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F95077" w14:textId="1A21202C" w:rsidR="0009111F" w:rsidRDefault="0009111F" w:rsidP="007D62A9">
      <w:pPr>
        <w:pStyle w:val="Header"/>
        <w:pBdr>
          <w:top w:val="double" w:sz="4" w:space="1" w:color="auto"/>
          <w:bottom w:val="double" w:sz="4" w:space="1" w:color="auto"/>
        </w:pBdr>
        <w:tabs>
          <w:tab w:val="clear" w:pos="4153"/>
          <w:tab w:val="clear" w:pos="8306"/>
        </w:tabs>
        <w:jc w:val="center"/>
        <w:rPr>
          <w:rFonts w:ascii="Arial" w:hAnsi="Arial" w:cs="Arial"/>
          <w:sz w:val="34"/>
          <w:szCs w:val="34"/>
        </w:rPr>
      </w:pPr>
      <w:r>
        <w:rPr>
          <w:rFonts w:ascii="Arial" w:hAnsi="Arial" w:cs="Arial"/>
          <w:sz w:val="34"/>
          <w:szCs w:val="34"/>
        </w:rPr>
        <w:t>Legislative Instrument</w:t>
      </w:r>
    </w:p>
    <w:p w14:paraId="3BF95078" w14:textId="77777777" w:rsidR="0009111F" w:rsidRDefault="0009111F" w:rsidP="007D62A9">
      <w:pPr>
        <w:pStyle w:val="Header"/>
        <w:pBdr>
          <w:top w:val="double" w:sz="4" w:space="1" w:color="auto"/>
          <w:bottom w:val="double" w:sz="4" w:space="1" w:color="auto"/>
        </w:pBdr>
        <w:tabs>
          <w:tab w:val="clear" w:pos="4153"/>
          <w:tab w:val="clear" w:pos="8306"/>
        </w:tabs>
        <w:jc w:val="center"/>
        <w:rPr>
          <w:rFonts w:ascii="Arial" w:hAnsi="Arial" w:cs="Arial"/>
          <w:sz w:val="34"/>
          <w:szCs w:val="34"/>
        </w:rPr>
      </w:pPr>
    </w:p>
    <w:p w14:paraId="3D6717D3" w14:textId="77777777" w:rsidR="007D1ED8" w:rsidRDefault="0051039F" w:rsidP="007D62A9">
      <w:pPr>
        <w:pStyle w:val="Header"/>
        <w:pBdr>
          <w:top w:val="double" w:sz="4" w:space="1" w:color="auto"/>
          <w:bottom w:val="double" w:sz="4" w:space="1" w:color="auto"/>
        </w:pBdr>
        <w:tabs>
          <w:tab w:val="clear" w:pos="4153"/>
          <w:tab w:val="clear" w:pos="8306"/>
        </w:tabs>
        <w:jc w:val="center"/>
        <w:rPr>
          <w:rFonts w:ascii="Arial" w:hAnsi="Arial" w:cs="Arial"/>
          <w:sz w:val="34"/>
          <w:szCs w:val="34"/>
        </w:rPr>
      </w:pPr>
      <w:r>
        <w:rPr>
          <w:rFonts w:ascii="Arial" w:hAnsi="Arial" w:cs="Arial"/>
          <w:sz w:val="34"/>
          <w:szCs w:val="34"/>
        </w:rPr>
        <w:t>Income Tax</w:t>
      </w:r>
      <w:r w:rsidR="003F7596">
        <w:rPr>
          <w:rFonts w:ascii="Arial" w:hAnsi="Arial" w:cs="Arial"/>
          <w:sz w:val="34"/>
          <w:szCs w:val="34"/>
        </w:rPr>
        <w:t>:</w:t>
      </w:r>
      <w:r>
        <w:rPr>
          <w:rFonts w:ascii="Arial" w:hAnsi="Arial" w:cs="Arial"/>
          <w:sz w:val="34"/>
          <w:szCs w:val="34"/>
        </w:rPr>
        <w:t xml:space="preserve"> </w:t>
      </w:r>
      <w:r w:rsidR="006465E1" w:rsidRPr="00AB4BF6">
        <w:rPr>
          <w:rFonts w:ascii="Arial" w:hAnsi="Arial" w:cs="Arial"/>
          <w:sz w:val="34"/>
          <w:szCs w:val="34"/>
        </w:rPr>
        <w:t xml:space="preserve">Employment Termination Payments Redundancy Trusts (12 month rule) Determination </w:t>
      </w:r>
      <w:r w:rsidR="003F7596" w:rsidRPr="00AB4BF6">
        <w:rPr>
          <w:rFonts w:ascii="Arial" w:hAnsi="Arial" w:cs="Arial"/>
          <w:sz w:val="34"/>
          <w:szCs w:val="34"/>
        </w:rPr>
        <w:t>20</w:t>
      </w:r>
      <w:r w:rsidR="003F7596" w:rsidRPr="00BF3D0D">
        <w:rPr>
          <w:rFonts w:ascii="Arial" w:hAnsi="Arial" w:cs="Arial"/>
          <w:sz w:val="34"/>
          <w:szCs w:val="34"/>
        </w:rPr>
        <w:t>19</w:t>
      </w:r>
    </w:p>
    <w:p w14:paraId="3BF9507A" w14:textId="0D0CC17A" w:rsidR="000A1078" w:rsidRDefault="000A1078" w:rsidP="007D62A9"/>
    <w:p w14:paraId="53804F6E" w14:textId="79E4EAA9" w:rsidR="006465E1" w:rsidRPr="007D1ED8" w:rsidRDefault="000A1078" w:rsidP="006465E1">
      <w:pPr>
        <w:rPr>
          <w:rFonts w:ascii="Arial" w:hAnsi="Arial" w:cs="Arial"/>
          <w:sz w:val="22"/>
          <w:szCs w:val="22"/>
        </w:rPr>
      </w:pPr>
      <w:r w:rsidRPr="007D1ED8">
        <w:rPr>
          <w:rFonts w:ascii="Arial" w:hAnsi="Arial" w:cs="Arial"/>
          <w:sz w:val="22"/>
          <w:szCs w:val="22"/>
        </w:rPr>
        <w:t>I,</w:t>
      </w:r>
      <w:r w:rsidR="00354C19" w:rsidRPr="007D1ED8">
        <w:rPr>
          <w:rFonts w:ascii="Arial" w:hAnsi="Arial" w:cs="Arial"/>
          <w:sz w:val="22"/>
          <w:szCs w:val="22"/>
        </w:rPr>
        <w:t xml:space="preserve"> </w:t>
      </w:r>
      <w:r w:rsidR="006465E1" w:rsidRPr="007D1ED8">
        <w:rPr>
          <w:rFonts w:ascii="Arial" w:hAnsi="Arial" w:cs="Arial"/>
          <w:b/>
          <w:sz w:val="22"/>
          <w:szCs w:val="22"/>
        </w:rPr>
        <w:t>James O’Halloran</w:t>
      </w:r>
      <w:r w:rsidR="006465E1" w:rsidRPr="007D1ED8" w:rsidDel="006465E1">
        <w:rPr>
          <w:rFonts w:ascii="Arial" w:hAnsi="Arial" w:cs="Arial"/>
          <w:b/>
          <w:sz w:val="22"/>
          <w:szCs w:val="22"/>
        </w:rPr>
        <w:t xml:space="preserve"> </w:t>
      </w:r>
      <w:r w:rsidR="00354C19" w:rsidRPr="007D1ED8">
        <w:rPr>
          <w:rFonts w:ascii="Arial" w:hAnsi="Arial" w:cs="Arial"/>
          <w:sz w:val="22"/>
          <w:szCs w:val="22"/>
        </w:rPr>
        <w:t xml:space="preserve">Deputy Commissioner </w:t>
      </w:r>
      <w:r w:rsidR="00FE443B" w:rsidRPr="007D1ED8">
        <w:rPr>
          <w:rFonts w:ascii="Arial" w:hAnsi="Arial" w:cs="Arial"/>
          <w:sz w:val="22"/>
          <w:szCs w:val="22"/>
        </w:rPr>
        <w:t>of Taxation</w:t>
      </w:r>
      <w:r w:rsidRPr="007D1ED8">
        <w:rPr>
          <w:rFonts w:ascii="Arial" w:hAnsi="Arial" w:cs="Arial"/>
          <w:sz w:val="22"/>
          <w:szCs w:val="22"/>
        </w:rPr>
        <w:t xml:space="preserve">, make this </w:t>
      </w:r>
      <w:r w:rsidR="00F233B1" w:rsidRPr="007D1ED8">
        <w:rPr>
          <w:rFonts w:ascii="Arial" w:hAnsi="Arial" w:cs="Arial"/>
          <w:sz w:val="22"/>
          <w:szCs w:val="22"/>
        </w:rPr>
        <w:t>d</w:t>
      </w:r>
      <w:r w:rsidR="000B2C32" w:rsidRPr="007D1ED8">
        <w:rPr>
          <w:rFonts w:ascii="Arial" w:hAnsi="Arial" w:cs="Arial"/>
          <w:sz w:val="22"/>
          <w:szCs w:val="22"/>
        </w:rPr>
        <w:t>etermination</w:t>
      </w:r>
      <w:r w:rsidRPr="007D1ED8">
        <w:rPr>
          <w:rFonts w:ascii="Arial" w:hAnsi="Arial" w:cs="Arial"/>
          <w:sz w:val="22"/>
          <w:szCs w:val="22"/>
        </w:rPr>
        <w:t xml:space="preserve"> under</w:t>
      </w:r>
      <w:r w:rsidR="00354C19" w:rsidRPr="007D1ED8">
        <w:rPr>
          <w:rFonts w:ascii="Arial" w:hAnsi="Arial" w:cs="Arial"/>
          <w:sz w:val="22"/>
          <w:szCs w:val="22"/>
        </w:rPr>
        <w:t xml:space="preserve"> </w:t>
      </w:r>
      <w:r w:rsidR="006465E1" w:rsidRPr="007D1ED8">
        <w:rPr>
          <w:rFonts w:ascii="Arial" w:hAnsi="Arial" w:cs="Arial"/>
          <w:sz w:val="22"/>
          <w:szCs w:val="22"/>
        </w:rPr>
        <w:t xml:space="preserve">subsection 82-130(7) of the </w:t>
      </w:r>
      <w:r w:rsidR="006465E1" w:rsidRPr="007D1ED8">
        <w:rPr>
          <w:rFonts w:ascii="Arial" w:hAnsi="Arial" w:cs="Arial"/>
          <w:i/>
          <w:sz w:val="22"/>
          <w:szCs w:val="22"/>
        </w:rPr>
        <w:t>Income Tax Assessment Act 1997</w:t>
      </w:r>
      <w:r w:rsidR="006465E1" w:rsidRPr="007D1ED8">
        <w:rPr>
          <w:rFonts w:ascii="Arial" w:hAnsi="Arial" w:cs="Arial"/>
          <w:sz w:val="22"/>
          <w:szCs w:val="22"/>
        </w:rPr>
        <w:t>.</w:t>
      </w:r>
    </w:p>
    <w:p w14:paraId="3BF9507D" w14:textId="45181EF5" w:rsidR="00354C19" w:rsidRPr="007D1ED8" w:rsidRDefault="00354C19" w:rsidP="007D1ED8">
      <w:pPr>
        <w:rPr>
          <w:rFonts w:ascii="Arial" w:hAnsi="Arial" w:cs="Arial"/>
          <w:sz w:val="22"/>
          <w:szCs w:val="22"/>
        </w:rPr>
      </w:pPr>
      <w:bookmarkStart w:id="0" w:name="_GoBack"/>
      <w:bookmarkEnd w:id="0"/>
    </w:p>
    <w:p w14:paraId="3BF9507E" w14:textId="77777777" w:rsidR="00F233B1" w:rsidRPr="007D1ED8" w:rsidRDefault="00F233B1" w:rsidP="007D1ED8">
      <w:pPr>
        <w:rPr>
          <w:rFonts w:ascii="Arial" w:hAnsi="Arial" w:cs="Arial"/>
          <w:sz w:val="22"/>
          <w:szCs w:val="22"/>
        </w:rPr>
      </w:pPr>
    </w:p>
    <w:p w14:paraId="3BF9507F" w14:textId="77777777" w:rsidR="00BB6DC3" w:rsidRPr="007D1ED8" w:rsidRDefault="00BB6DC3" w:rsidP="007D1ED8">
      <w:pPr>
        <w:rPr>
          <w:rFonts w:ascii="Arial" w:hAnsi="Arial" w:cs="Arial"/>
          <w:b/>
          <w:sz w:val="22"/>
          <w:szCs w:val="22"/>
        </w:rPr>
      </w:pPr>
    </w:p>
    <w:p w14:paraId="3BF95080" w14:textId="525765B1" w:rsidR="000A1078" w:rsidRPr="00DF4EC9" w:rsidRDefault="00EF56ED" w:rsidP="007D62A9">
      <w:pPr>
        <w:rPr>
          <w:rFonts w:ascii="Arial" w:hAnsi="Arial" w:cs="Arial"/>
          <w:b/>
          <w:sz w:val="22"/>
          <w:szCs w:val="22"/>
        </w:rPr>
      </w:pPr>
      <w:r>
        <w:rPr>
          <w:rFonts w:ascii="Arial" w:hAnsi="Arial" w:cs="Arial"/>
          <w:b/>
          <w:sz w:val="22"/>
          <w:szCs w:val="22"/>
        </w:rPr>
        <w:t>James O’Halloran</w:t>
      </w:r>
    </w:p>
    <w:p w14:paraId="3BF95081" w14:textId="77777777" w:rsidR="00992067" w:rsidRDefault="000A1078" w:rsidP="007D62A9">
      <w:pPr>
        <w:rPr>
          <w:rFonts w:ascii="Arial" w:hAnsi="Arial" w:cs="Arial"/>
          <w:sz w:val="22"/>
          <w:szCs w:val="22"/>
        </w:rPr>
      </w:pPr>
      <w:r w:rsidRPr="00DF4EC9">
        <w:rPr>
          <w:rFonts w:ascii="Arial" w:hAnsi="Arial" w:cs="Arial"/>
          <w:sz w:val="22"/>
          <w:szCs w:val="22"/>
        </w:rPr>
        <w:t>Deputy Commissioner of Taxation</w:t>
      </w:r>
    </w:p>
    <w:p w14:paraId="3BF95082" w14:textId="043174C8" w:rsidR="00992067" w:rsidRPr="00DF4EC9" w:rsidRDefault="00992067" w:rsidP="007D62A9">
      <w:pPr>
        <w:rPr>
          <w:rFonts w:ascii="Arial" w:hAnsi="Arial" w:cs="Arial"/>
          <w:sz w:val="22"/>
          <w:szCs w:val="22"/>
        </w:rPr>
      </w:pPr>
      <w:r w:rsidRPr="00B17AF3">
        <w:rPr>
          <w:rFonts w:ascii="Arial" w:hAnsi="Arial" w:cs="Arial"/>
          <w:sz w:val="22"/>
          <w:szCs w:val="22"/>
        </w:rPr>
        <w:t xml:space="preserve">Dated: </w:t>
      </w:r>
      <w:r w:rsidR="00736857" w:rsidRPr="00736857">
        <w:rPr>
          <w:rFonts w:ascii="Arial" w:hAnsi="Arial" w:cs="Arial"/>
          <w:sz w:val="22"/>
          <w:szCs w:val="22"/>
        </w:rPr>
        <w:t>4 March 2019</w:t>
      </w:r>
    </w:p>
    <w:p w14:paraId="3BF95083" w14:textId="77777777" w:rsidR="00AD7346" w:rsidRPr="00DF4EC9" w:rsidRDefault="00AD7346" w:rsidP="007D62A9">
      <w:pPr>
        <w:pBdr>
          <w:bottom w:val="double" w:sz="4" w:space="1" w:color="auto"/>
        </w:pBdr>
        <w:rPr>
          <w:sz w:val="22"/>
          <w:szCs w:val="22"/>
        </w:rPr>
      </w:pPr>
    </w:p>
    <w:p w14:paraId="3BF95084" w14:textId="77777777" w:rsidR="005B0F08" w:rsidRPr="007D1ED8" w:rsidRDefault="005B0F08" w:rsidP="007D1ED8">
      <w:pPr>
        <w:spacing w:after="120"/>
        <w:rPr>
          <w:rFonts w:ascii="Arial" w:hAnsi="Arial" w:cs="Arial"/>
          <w:sz w:val="22"/>
          <w:szCs w:val="22"/>
        </w:rPr>
      </w:pPr>
    </w:p>
    <w:p w14:paraId="3BF95085" w14:textId="03DBEC23" w:rsidR="000A1078" w:rsidRPr="007D1ED8" w:rsidRDefault="000A1078" w:rsidP="007D1ED8">
      <w:pPr>
        <w:pStyle w:val="Heading2"/>
        <w:numPr>
          <w:ilvl w:val="0"/>
          <w:numId w:val="2"/>
        </w:numPr>
        <w:tabs>
          <w:tab w:val="clear" w:pos="720"/>
        </w:tabs>
        <w:ind w:left="709" w:hanging="709"/>
        <w:rPr>
          <w:szCs w:val="22"/>
        </w:rPr>
      </w:pPr>
      <w:r w:rsidRPr="007D1ED8">
        <w:rPr>
          <w:szCs w:val="22"/>
        </w:rPr>
        <w:t xml:space="preserve">Name of </w:t>
      </w:r>
      <w:r w:rsidR="004E6980" w:rsidRPr="007D1ED8">
        <w:rPr>
          <w:szCs w:val="22"/>
        </w:rPr>
        <w:t>determination</w:t>
      </w:r>
    </w:p>
    <w:p w14:paraId="3BF95087" w14:textId="6F544C6D" w:rsidR="000A1078" w:rsidRPr="007D1ED8" w:rsidRDefault="000A1078" w:rsidP="007D1ED8">
      <w:pPr>
        <w:spacing w:after="120"/>
        <w:ind w:left="709"/>
        <w:rPr>
          <w:rFonts w:ascii="Arial" w:hAnsi="Arial" w:cs="Arial"/>
          <w:sz w:val="22"/>
          <w:szCs w:val="22"/>
        </w:rPr>
      </w:pPr>
      <w:r w:rsidRPr="007D1ED8">
        <w:rPr>
          <w:rFonts w:ascii="Arial" w:hAnsi="Arial" w:cs="Arial"/>
          <w:sz w:val="22"/>
          <w:szCs w:val="22"/>
        </w:rPr>
        <w:t xml:space="preserve">This </w:t>
      </w:r>
      <w:r w:rsidR="00D655A4" w:rsidRPr="007D1ED8">
        <w:rPr>
          <w:rFonts w:ascii="Arial" w:hAnsi="Arial" w:cs="Arial"/>
          <w:sz w:val="22"/>
          <w:szCs w:val="22"/>
        </w:rPr>
        <w:t>d</w:t>
      </w:r>
      <w:r w:rsidR="000B2C32" w:rsidRPr="007D1ED8">
        <w:rPr>
          <w:rFonts w:ascii="Arial" w:hAnsi="Arial" w:cs="Arial"/>
          <w:sz w:val="22"/>
          <w:szCs w:val="22"/>
        </w:rPr>
        <w:t>etermination</w:t>
      </w:r>
      <w:r w:rsidR="003A067D" w:rsidRPr="007D1ED8">
        <w:rPr>
          <w:rFonts w:ascii="Arial" w:hAnsi="Arial" w:cs="Arial"/>
          <w:sz w:val="22"/>
          <w:szCs w:val="22"/>
        </w:rPr>
        <w:t xml:space="preserve"> </w:t>
      </w:r>
      <w:r w:rsidR="001F30CF" w:rsidRPr="007D1ED8">
        <w:rPr>
          <w:rFonts w:ascii="Arial" w:hAnsi="Arial" w:cs="Arial"/>
          <w:sz w:val="22"/>
          <w:szCs w:val="22"/>
        </w:rPr>
        <w:t>is</w:t>
      </w:r>
      <w:r w:rsidR="000B2C32" w:rsidRPr="007D1ED8">
        <w:rPr>
          <w:rFonts w:ascii="Arial" w:hAnsi="Arial" w:cs="Arial"/>
          <w:sz w:val="22"/>
          <w:szCs w:val="22"/>
        </w:rPr>
        <w:t xml:space="preserve"> the</w:t>
      </w:r>
      <w:r w:rsidR="00D34E3D" w:rsidRPr="007D1ED8">
        <w:rPr>
          <w:rFonts w:ascii="Arial" w:hAnsi="Arial" w:cs="Arial"/>
          <w:sz w:val="22"/>
          <w:szCs w:val="22"/>
        </w:rPr>
        <w:t xml:space="preserve"> </w:t>
      </w:r>
      <w:r w:rsidR="007A5DC8" w:rsidRPr="007D1ED8">
        <w:rPr>
          <w:rFonts w:ascii="Arial" w:hAnsi="Arial" w:cs="Arial"/>
          <w:i/>
          <w:sz w:val="22"/>
          <w:szCs w:val="22"/>
        </w:rPr>
        <w:t>Income T</w:t>
      </w:r>
      <w:r w:rsidR="00D13D47" w:rsidRPr="007D1ED8">
        <w:rPr>
          <w:rFonts w:ascii="Arial" w:hAnsi="Arial" w:cs="Arial"/>
          <w:i/>
          <w:sz w:val="22"/>
          <w:szCs w:val="22"/>
        </w:rPr>
        <w:t>ax</w:t>
      </w:r>
      <w:r w:rsidR="003F7596" w:rsidRPr="007D1ED8">
        <w:rPr>
          <w:rFonts w:ascii="Arial" w:hAnsi="Arial" w:cs="Arial"/>
          <w:i/>
          <w:sz w:val="22"/>
          <w:szCs w:val="22"/>
        </w:rPr>
        <w:t>:</w:t>
      </w:r>
      <w:r w:rsidR="00D13D47" w:rsidRPr="007D1ED8">
        <w:rPr>
          <w:rFonts w:ascii="Arial" w:hAnsi="Arial" w:cs="Arial"/>
          <w:sz w:val="22"/>
          <w:szCs w:val="22"/>
        </w:rPr>
        <w:t xml:space="preserve"> </w:t>
      </w:r>
      <w:r w:rsidR="00F377AE" w:rsidRPr="007D1ED8">
        <w:rPr>
          <w:rFonts w:ascii="Arial" w:hAnsi="Arial" w:cs="Arial"/>
          <w:i/>
          <w:sz w:val="22"/>
          <w:szCs w:val="22"/>
        </w:rPr>
        <w:t>Employment Termination Payments Redundancy Trusts (12 month rule)</w:t>
      </w:r>
      <w:r w:rsidR="00F377AE" w:rsidRPr="007D1ED8">
        <w:rPr>
          <w:rFonts w:ascii="Arial" w:hAnsi="Arial" w:cs="Arial"/>
          <w:sz w:val="22"/>
          <w:szCs w:val="22"/>
        </w:rPr>
        <w:t xml:space="preserve"> </w:t>
      </w:r>
      <w:r w:rsidR="00F377AE" w:rsidRPr="007D1ED8">
        <w:rPr>
          <w:rFonts w:ascii="Arial" w:hAnsi="Arial" w:cs="Arial"/>
          <w:i/>
          <w:sz w:val="22"/>
          <w:szCs w:val="22"/>
        </w:rPr>
        <w:t xml:space="preserve">Determination </w:t>
      </w:r>
      <w:r w:rsidR="003F7596" w:rsidRPr="007D1ED8">
        <w:rPr>
          <w:rFonts w:ascii="Arial" w:hAnsi="Arial" w:cs="Arial"/>
          <w:i/>
          <w:sz w:val="22"/>
          <w:szCs w:val="22"/>
        </w:rPr>
        <w:t>2019</w:t>
      </w:r>
      <w:r w:rsidR="00F67392" w:rsidRPr="007D1ED8">
        <w:rPr>
          <w:rFonts w:ascii="Arial" w:hAnsi="Arial" w:cs="Arial"/>
          <w:i/>
          <w:sz w:val="22"/>
          <w:szCs w:val="22"/>
        </w:rPr>
        <w:t>.</w:t>
      </w:r>
    </w:p>
    <w:p w14:paraId="3422D37A" w14:textId="77777777" w:rsidR="007D1ED8" w:rsidRPr="007D1ED8" w:rsidRDefault="007D1ED8" w:rsidP="007D1ED8">
      <w:pPr>
        <w:spacing w:after="120"/>
        <w:rPr>
          <w:rFonts w:ascii="Arial" w:hAnsi="Arial" w:cs="Arial"/>
          <w:sz w:val="22"/>
          <w:szCs w:val="22"/>
        </w:rPr>
      </w:pPr>
    </w:p>
    <w:p w14:paraId="3BF95088" w14:textId="77777777" w:rsidR="000A1078" w:rsidRPr="007D1ED8" w:rsidRDefault="000A1078" w:rsidP="007D1ED8">
      <w:pPr>
        <w:pStyle w:val="Heading2"/>
        <w:numPr>
          <w:ilvl w:val="0"/>
          <w:numId w:val="2"/>
        </w:numPr>
        <w:tabs>
          <w:tab w:val="clear" w:pos="720"/>
        </w:tabs>
        <w:ind w:left="709" w:hanging="709"/>
        <w:rPr>
          <w:szCs w:val="22"/>
        </w:rPr>
      </w:pPr>
      <w:r w:rsidRPr="007D1ED8">
        <w:rPr>
          <w:szCs w:val="22"/>
        </w:rPr>
        <w:t>Commencement</w:t>
      </w:r>
    </w:p>
    <w:p w14:paraId="3BF95089" w14:textId="26FEBE60" w:rsidR="006E6EF2" w:rsidRPr="007D1ED8" w:rsidRDefault="000A1078" w:rsidP="007D1ED8">
      <w:pPr>
        <w:spacing w:after="120"/>
        <w:ind w:left="709"/>
        <w:rPr>
          <w:rFonts w:ascii="Arial" w:hAnsi="Arial" w:cs="Arial"/>
          <w:sz w:val="22"/>
          <w:szCs w:val="22"/>
        </w:rPr>
      </w:pPr>
      <w:r w:rsidRPr="007D1ED8">
        <w:rPr>
          <w:rFonts w:ascii="Arial" w:hAnsi="Arial" w:cs="Arial"/>
          <w:sz w:val="22"/>
          <w:szCs w:val="22"/>
        </w:rPr>
        <w:t xml:space="preserve">This </w:t>
      </w:r>
      <w:r w:rsidR="004E6980" w:rsidRPr="007D1ED8">
        <w:rPr>
          <w:rFonts w:ascii="Arial" w:hAnsi="Arial" w:cs="Arial"/>
          <w:sz w:val="22"/>
          <w:szCs w:val="22"/>
        </w:rPr>
        <w:t>determination</w:t>
      </w:r>
      <w:r w:rsidR="00857716" w:rsidRPr="007D1ED8">
        <w:rPr>
          <w:rFonts w:ascii="Arial" w:hAnsi="Arial" w:cs="Arial"/>
          <w:sz w:val="22"/>
          <w:szCs w:val="22"/>
        </w:rPr>
        <w:t xml:space="preserve"> </w:t>
      </w:r>
      <w:r w:rsidR="008D2F8A" w:rsidRPr="007D1ED8">
        <w:rPr>
          <w:rFonts w:ascii="Arial" w:hAnsi="Arial" w:cs="Arial"/>
          <w:sz w:val="22"/>
          <w:szCs w:val="22"/>
        </w:rPr>
        <w:t xml:space="preserve">is taken to have </w:t>
      </w:r>
      <w:r w:rsidR="00857716" w:rsidRPr="007D1ED8">
        <w:rPr>
          <w:rFonts w:ascii="Arial" w:hAnsi="Arial" w:cs="Arial"/>
          <w:sz w:val="22"/>
          <w:szCs w:val="22"/>
        </w:rPr>
        <w:t>commence</w:t>
      </w:r>
      <w:r w:rsidR="008D2F8A" w:rsidRPr="007D1ED8">
        <w:rPr>
          <w:rFonts w:ascii="Arial" w:hAnsi="Arial" w:cs="Arial"/>
          <w:sz w:val="22"/>
          <w:szCs w:val="22"/>
        </w:rPr>
        <w:t>d</w:t>
      </w:r>
      <w:r w:rsidR="00857716" w:rsidRPr="007D1ED8">
        <w:rPr>
          <w:rFonts w:ascii="Arial" w:hAnsi="Arial" w:cs="Arial"/>
          <w:sz w:val="22"/>
          <w:szCs w:val="22"/>
        </w:rPr>
        <w:t xml:space="preserve"> </w:t>
      </w:r>
      <w:proofErr w:type="gramStart"/>
      <w:r w:rsidR="00857716" w:rsidRPr="007D1ED8">
        <w:rPr>
          <w:rFonts w:ascii="Arial" w:hAnsi="Arial" w:cs="Arial"/>
          <w:sz w:val="22"/>
          <w:szCs w:val="22"/>
        </w:rPr>
        <w:t>on</w:t>
      </w:r>
      <w:r w:rsidR="008D2F8A" w:rsidRPr="007D1ED8">
        <w:rPr>
          <w:rFonts w:ascii="Arial" w:hAnsi="Arial" w:cs="Arial"/>
          <w:sz w:val="22"/>
          <w:szCs w:val="22"/>
        </w:rPr>
        <w:t xml:space="preserve"> </w:t>
      </w:r>
      <w:r w:rsidR="00414405" w:rsidRPr="007D1ED8">
        <w:rPr>
          <w:rFonts w:ascii="Arial" w:hAnsi="Arial" w:cs="Arial"/>
          <w:sz w:val="22"/>
          <w:szCs w:val="22"/>
        </w:rPr>
        <w:t xml:space="preserve"> the</w:t>
      </w:r>
      <w:proofErr w:type="gramEnd"/>
      <w:r w:rsidR="00414405" w:rsidRPr="007D1ED8">
        <w:rPr>
          <w:rFonts w:ascii="Arial" w:hAnsi="Arial" w:cs="Arial"/>
          <w:sz w:val="22"/>
          <w:szCs w:val="22"/>
        </w:rPr>
        <w:t xml:space="preserve"> day after it is registered</w:t>
      </w:r>
      <w:r w:rsidR="00E908BD" w:rsidRPr="007D1ED8">
        <w:rPr>
          <w:rFonts w:ascii="Arial" w:hAnsi="Arial" w:cs="Arial"/>
          <w:sz w:val="22"/>
          <w:szCs w:val="22"/>
        </w:rPr>
        <w:t xml:space="preserve"> on the Federal Register of Legislation</w:t>
      </w:r>
      <w:r w:rsidR="008D2F8A" w:rsidRPr="007D1ED8">
        <w:rPr>
          <w:rFonts w:ascii="Arial" w:hAnsi="Arial" w:cs="Arial"/>
          <w:sz w:val="22"/>
          <w:szCs w:val="22"/>
        </w:rPr>
        <w:t>.</w:t>
      </w:r>
    </w:p>
    <w:p w14:paraId="3BF9508A" w14:textId="77777777" w:rsidR="006E6EF2" w:rsidRPr="007D1ED8" w:rsidRDefault="006E6EF2" w:rsidP="007D1ED8">
      <w:pPr>
        <w:spacing w:after="120"/>
        <w:rPr>
          <w:rFonts w:ascii="Arial" w:hAnsi="Arial" w:cs="Arial"/>
          <w:sz w:val="22"/>
          <w:szCs w:val="22"/>
        </w:rPr>
      </w:pPr>
    </w:p>
    <w:p w14:paraId="3BF9508B" w14:textId="77777777" w:rsidR="000A1078" w:rsidRPr="007D1ED8" w:rsidRDefault="008D2F8A" w:rsidP="007D1ED8">
      <w:pPr>
        <w:pStyle w:val="Heading2"/>
        <w:numPr>
          <w:ilvl w:val="0"/>
          <w:numId w:val="2"/>
        </w:numPr>
        <w:tabs>
          <w:tab w:val="clear" w:pos="720"/>
        </w:tabs>
        <w:ind w:left="709" w:hanging="709"/>
        <w:rPr>
          <w:szCs w:val="22"/>
        </w:rPr>
      </w:pPr>
      <w:r w:rsidRPr="007D1ED8">
        <w:rPr>
          <w:szCs w:val="22"/>
        </w:rPr>
        <w:t>Application</w:t>
      </w:r>
    </w:p>
    <w:p w14:paraId="0BB64078" w14:textId="77777777" w:rsidR="007D1ED8" w:rsidRDefault="008D2F8A" w:rsidP="007D1ED8">
      <w:pPr>
        <w:spacing w:after="120"/>
        <w:ind w:left="709"/>
        <w:rPr>
          <w:rFonts w:ascii="Arial" w:hAnsi="Arial" w:cs="Arial"/>
          <w:sz w:val="22"/>
          <w:szCs w:val="22"/>
        </w:rPr>
      </w:pPr>
      <w:r w:rsidRPr="007D1ED8">
        <w:rPr>
          <w:rFonts w:ascii="Arial" w:hAnsi="Arial" w:cs="Arial"/>
          <w:sz w:val="22"/>
          <w:szCs w:val="22"/>
        </w:rPr>
        <w:t xml:space="preserve">This </w:t>
      </w:r>
      <w:r w:rsidR="004E6980" w:rsidRPr="007D1ED8">
        <w:rPr>
          <w:rFonts w:ascii="Arial" w:hAnsi="Arial" w:cs="Arial"/>
          <w:sz w:val="22"/>
          <w:szCs w:val="22"/>
        </w:rPr>
        <w:t>determination</w:t>
      </w:r>
      <w:r w:rsidRPr="007D1ED8">
        <w:rPr>
          <w:rFonts w:ascii="Arial" w:hAnsi="Arial" w:cs="Arial"/>
          <w:sz w:val="22"/>
          <w:szCs w:val="22"/>
        </w:rPr>
        <w:t xml:space="preserve"> applies to</w:t>
      </w:r>
      <w:r w:rsidR="00732F35" w:rsidRPr="007D1ED8">
        <w:rPr>
          <w:rFonts w:ascii="Arial" w:hAnsi="Arial" w:cs="Arial"/>
          <w:sz w:val="22"/>
          <w:szCs w:val="22"/>
        </w:rPr>
        <w:t xml:space="preserve"> </w:t>
      </w:r>
      <w:r w:rsidR="00F377AE" w:rsidRPr="007D1ED8">
        <w:rPr>
          <w:rFonts w:ascii="Arial" w:hAnsi="Arial" w:cs="Arial"/>
          <w:sz w:val="22"/>
          <w:szCs w:val="22"/>
        </w:rPr>
        <w:t>a payment received</w:t>
      </w:r>
      <w:r w:rsidR="009B34C3" w:rsidRPr="007D1ED8">
        <w:rPr>
          <w:rFonts w:ascii="Arial" w:hAnsi="Arial" w:cs="Arial"/>
          <w:sz w:val="22"/>
          <w:szCs w:val="22"/>
        </w:rPr>
        <w:t xml:space="preserve"> by a person,</w:t>
      </w:r>
      <w:r w:rsidR="00F377AE" w:rsidRPr="007D1ED8">
        <w:rPr>
          <w:rFonts w:ascii="Arial" w:hAnsi="Arial" w:cs="Arial"/>
          <w:sz w:val="22"/>
          <w:szCs w:val="22"/>
        </w:rPr>
        <w:t xml:space="preserve"> </w:t>
      </w:r>
      <w:r w:rsidR="009B34C3" w:rsidRPr="007D1ED8">
        <w:rPr>
          <w:rFonts w:ascii="Arial" w:hAnsi="Arial" w:cs="Arial"/>
          <w:sz w:val="22"/>
          <w:szCs w:val="22"/>
        </w:rPr>
        <w:t xml:space="preserve">after the date that this </w:t>
      </w:r>
      <w:r w:rsidR="004E6980" w:rsidRPr="007D1ED8">
        <w:rPr>
          <w:rFonts w:ascii="Arial" w:hAnsi="Arial" w:cs="Arial"/>
          <w:sz w:val="22"/>
          <w:szCs w:val="22"/>
        </w:rPr>
        <w:t>determination</w:t>
      </w:r>
      <w:r w:rsidR="009B34C3" w:rsidRPr="007D1ED8">
        <w:rPr>
          <w:rFonts w:ascii="Arial" w:hAnsi="Arial" w:cs="Arial"/>
          <w:sz w:val="22"/>
          <w:szCs w:val="22"/>
        </w:rPr>
        <w:t xml:space="preserve"> is registered on the Federal Register of Legislation,</w:t>
      </w:r>
      <w:r w:rsidR="00F377AE" w:rsidRPr="007D1ED8">
        <w:rPr>
          <w:rFonts w:ascii="Arial" w:hAnsi="Arial" w:cs="Arial"/>
          <w:sz w:val="22"/>
          <w:szCs w:val="22"/>
        </w:rPr>
        <w:t xml:space="preserve"> if </w:t>
      </w:r>
      <w:proofErr w:type="gramStart"/>
      <w:r w:rsidR="00F377AE" w:rsidRPr="007D1ED8">
        <w:rPr>
          <w:rFonts w:ascii="Arial" w:hAnsi="Arial" w:cs="Arial"/>
          <w:sz w:val="22"/>
          <w:szCs w:val="22"/>
        </w:rPr>
        <w:t>the</w:t>
      </w:r>
      <w:proofErr w:type="gramEnd"/>
      <w:r w:rsidR="00F377AE" w:rsidRPr="007D1ED8">
        <w:rPr>
          <w:rFonts w:ascii="Arial" w:hAnsi="Arial" w:cs="Arial"/>
          <w:sz w:val="22"/>
          <w:szCs w:val="22"/>
        </w:rPr>
        <w:t xml:space="preserve"> payment is received from a redundancy trust:</w:t>
      </w:r>
    </w:p>
    <w:p w14:paraId="73B0D6A0" w14:textId="3709BD77" w:rsidR="00F377AE" w:rsidRPr="007D1ED8" w:rsidRDefault="00F377AE" w:rsidP="00DF438D">
      <w:pPr>
        <w:numPr>
          <w:ilvl w:val="0"/>
          <w:numId w:val="10"/>
        </w:numPr>
        <w:spacing w:after="120"/>
        <w:ind w:left="2127" w:hanging="709"/>
        <w:rPr>
          <w:rFonts w:ascii="Arial" w:hAnsi="Arial" w:cs="Arial"/>
          <w:sz w:val="22"/>
          <w:szCs w:val="22"/>
        </w:rPr>
      </w:pPr>
      <w:r w:rsidRPr="007D1ED8">
        <w:rPr>
          <w:rFonts w:ascii="Arial" w:hAnsi="Arial" w:cs="Arial"/>
          <w:sz w:val="22"/>
          <w:szCs w:val="22"/>
        </w:rPr>
        <w:t>either</w:t>
      </w:r>
    </w:p>
    <w:p w14:paraId="62269CE7" w14:textId="0F469559" w:rsidR="00F377AE" w:rsidRPr="007D1ED8" w:rsidRDefault="00F377AE" w:rsidP="00DF438D">
      <w:pPr>
        <w:numPr>
          <w:ilvl w:val="1"/>
          <w:numId w:val="11"/>
        </w:numPr>
        <w:spacing w:after="120"/>
        <w:ind w:left="2835" w:hanging="709"/>
        <w:rPr>
          <w:rFonts w:ascii="Arial" w:hAnsi="Arial" w:cs="Arial"/>
          <w:sz w:val="22"/>
          <w:szCs w:val="22"/>
        </w:rPr>
      </w:pPr>
      <w:r w:rsidRPr="007D1ED8">
        <w:rPr>
          <w:rFonts w:ascii="Arial" w:hAnsi="Arial" w:cs="Arial"/>
          <w:sz w:val="22"/>
          <w:szCs w:val="22"/>
        </w:rPr>
        <w:t>in consequence of the termination of that person’s employment</w:t>
      </w:r>
      <w:r w:rsidR="003F7596" w:rsidRPr="007D1ED8">
        <w:rPr>
          <w:rFonts w:ascii="Arial" w:hAnsi="Arial" w:cs="Arial"/>
          <w:sz w:val="22"/>
          <w:szCs w:val="22"/>
        </w:rPr>
        <w:t xml:space="preserve">; </w:t>
      </w:r>
      <w:r w:rsidRPr="007D1ED8">
        <w:rPr>
          <w:rFonts w:ascii="Arial" w:hAnsi="Arial" w:cs="Arial"/>
          <w:sz w:val="22"/>
          <w:szCs w:val="22"/>
        </w:rPr>
        <w:t>or</w:t>
      </w:r>
    </w:p>
    <w:p w14:paraId="7E5E2F98" w14:textId="77777777" w:rsidR="00F377AE" w:rsidRPr="007D1ED8" w:rsidRDefault="00F377AE" w:rsidP="00DF438D">
      <w:pPr>
        <w:numPr>
          <w:ilvl w:val="1"/>
          <w:numId w:val="11"/>
        </w:numPr>
        <w:spacing w:after="120"/>
        <w:ind w:left="2835" w:hanging="709"/>
        <w:rPr>
          <w:rFonts w:ascii="Arial" w:hAnsi="Arial" w:cs="Arial"/>
          <w:sz w:val="22"/>
          <w:szCs w:val="22"/>
        </w:rPr>
      </w:pPr>
      <w:r w:rsidRPr="007D1ED8">
        <w:rPr>
          <w:rFonts w:ascii="Arial" w:hAnsi="Arial" w:cs="Arial"/>
          <w:sz w:val="22"/>
          <w:szCs w:val="22"/>
        </w:rPr>
        <w:t>after another person’s death, in consequence of the termination of that other person’s employment; and</w:t>
      </w:r>
    </w:p>
    <w:p w14:paraId="7E54C6B6" w14:textId="77777777" w:rsidR="00F377AE" w:rsidRPr="007D1ED8" w:rsidRDefault="00F377AE" w:rsidP="00DF438D">
      <w:pPr>
        <w:numPr>
          <w:ilvl w:val="0"/>
          <w:numId w:val="10"/>
        </w:numPr>
        <w:spacing w:after="120"/>
        <w:ind w:left="2127" w:hanging="709"/>
        <w:rPr>
          <w:rFonts w:ascii="Arial" w:hAnsi="Arial" w:cs="Arial"/>
          <w:sz w:val="22"/>
          <w:szCs w:val="22"/>
        </w:rPr>
      </w:pPr>
      <w:r w:rsidRPr="007D1ED8">
        <w:rPr>
          <w:rFonts w:ascii="Arial" w:hAnsi="Arial" w:cs="Arial"/>
          <w:sz w:val="22"/>
          <w:szCs w:val="22"/>
        </w:rPr>
        <w:t>more than 12 months after that termination; and</w:t>
      </w:r>
    </w:p>
    <w:p w14:paraId="05CEB174" w14:textId="77777777" w:rsidR="007D1ED8" w:rsidRDefault="00F377AE" w:rsidP="00DF438D">
      <w:pPr>
        <w:numPr>
          <w:ilvl w:val="0"/>
          <w:numId w:val="10"/>
        </w:numPr>
        <w:spacing w:after="120"/>
        <w:ind w:left="2127" w:hanging="709"/>
        <w:rPr>
          <w:rFonts w:ascii="Arial" w:hAnsi="Arial" w:cs="Arial"/>
          <w:sz w:val="22"/>
          <w:szCs w:val="22"/>
        </w:rPr>
      </w:pPr>
      <w:proofErr w:type="gramStart"/>
      <w:r w:rsidRPr="007D1ED8">
        <w:rPr>
          <w:rFonts w:ascii="Arial" w:hAnsi="Arial" w:cs="Arial"/>
          <w:sz w:val="22"/>
          <w:szCs w:val="22"/>
        </w:rPr>
        <w:t>is</w:t>
      </w:r>
      <w:proofErr w:type="gramEnd"/>
      <w:r w:rsidRPr="007D1ED8">
        <w:rPr>
          <w:rFonts w:ascii="Arial" w:hAnsi="Arial" w:cs="Arial"/>
          <w:sz w:val="22"/>
          <w:szCs w:val="22"/>
        </w:rPr>
        <w:t xml:space="preserve"> not a payment under section 82-135 of the </w:t>
      </w:r>
      <w:r w:rsidRPr="007D1ED8">
        <w:rPr>
          <w:rFonts w:ascii="Arial" w:hAnsi="Arial" w:cs="Arial"/>
          <w:i/>
          <w:sz w:val="22"/>
          <w:szCs w:val="22"/>
        </w:rPr>
        <w:t>Income Tax Assessment Act 1997</w:t>
      </w:r>
      <w:r w:rsidR="00FE5ED4" w:rsidRPr="007D1ED8">
        <w:rPr>
          <w:rFonts w:ascii="Arial" w:hAnsi="Arial" w:cs="Arial"/>
          <w:i/>
          <w:sz w:val="22"/>
          <w:szCs w:val="22"/>
        </w:rPr>
        <w:t xml:space="preserve"> </w:t>
      </w:r>
      <w:r w:rsidR="00FE5ED4" w:rsidRPr="007D1ED8">
        <w:rPr>
          <w:rFonts w:ascii="Arial" w:hAnsi="Arial" w:cs="Arial"/>
          <w:sz w:val="22"/>
          <w:szCs w:val="22"/>
        </w:rPr>
        <w:t>(ITAA 1997)</w:t>
      </w:r>
      <w:r w:rsidRPr="007D1ED8">
        <w:rPr>
          <w:rFonts w:ascii="Arial" w:hAnsi="Arial" w:cs="Arial"/>
          <w:sz w:val="22"/>
          <w:szCs w:val="22"/>
        </w:rPr>
        <w:t>.</w:t>
      </w:r>
    </w:p>
    <w:p w14:paraId="73F2FE80" w14:textId="69D404F2" w:rsidR="00F377AE" w:rsidRPr="007D1ED8" w:rsidRDefault="00F377AE" w:rsidP="007D1ED8">
      <w:pPr>
        <w:spacing w:after="120"/>
        <w:ind w:left="709"/>
        <w:rPr>
          <w:rFonts w:ascii="Arial" w:hAnsi="Arial" w:cs="Arial"/>
          <w:sz w:val="22"/>
          <w:szCs w:val="22"/>
        </w:rPr>
      </w:pPr>
      <w:r w:rsidRPr="007D1ED8">
        <w:rPr>
          <w:rFonts w:ascii="Arial" w:hAnsi="Arial" w:cs="Arial"/>
          <w:sz w:val="22"/>
          <w:szCs w:val="22"/>
        </w:rPr>
        <w:t xml:space="preserve">In this determination, such a payment is called a </w:t>
      </w:r>
      <w:r w:rsidRPr="007D1ED8">
        <w:rPr>
          <w:rFonts w:ascii="Arial" w:hAnsi="Arial" w:cs="Arial"/>
          <w:b/>
          <w:i/>
          <w:sz w:val="22"/>
          <w:szCs w:val="22"/>
        </w:rPr>
        <w:t>late termination payment</w:t>
      </w:r>
      <w:r w:rsidRPr="007D1ED8">
        <w:rPr>
          <w:rFonts w:ascii="Arial" w:hAnsi="Arial" w:cs="Arial"/>
          <w:sz w:val="22"/>
          <w:szCs w:val="22"/>
        </w:rPr>
        <w:t>.</w:t>
      </w:r>
    </w:p>
    <w:p w14:paraId="3BF9508F" w14:textId="77777777" w:rsidR="00B76A2D" w:rsidRPr="007D1ED8" w:rsidRDefault="00B76A2D" w:rsidP="007D1ED8">
      <w:pPr>
        <w:spacing w:after="120"/>
        <w:rPr>
          <w:rFonts w:ascii="Arial" w:hAnsi="Arial" w:cs="Arial"/>
          <w:sz w:val="22"/>
          <w:szCs w:val="22"/>
        </w:rPr>
      </w:pPr>
    </w:p>
    <w:p w14:paraId="5586E6B5" w14:textId="64946DE0" w:rsidR="009B34C3" w:rsidRPr="007D1ED8" w:rsidRDefault="00FE5ED4" w:rsidP="007D1ED8">
      <w:pPr>
        <w:pStyle w:val="Heading2"/>
        <w:numPr>
          <w:ilvl w:val="0"/>
          <w:numId w:val="2"/>
        </w:numPr>
        <w:tabs>
          <w:tab w:val="clear" w:pos="720"/>
        </w:tabs>
        <w:ind w:left="709" w:hanging="709"/>
        <w:rPr>
          <w:szCs w:val="22"/>
        </w:rPr>
      </w:pPr>
      <w:r w:rsidRPr="007D1ED8">
        <w:rPr>
          <w:szCs w:val="22"/>
        </w:rPr>
        <w:lastRenderedPageBreak/>
        <w:t>Repeal of previous d</w:t>
      </w:r>
      <w:r w:rsidR="009B34C3" w:rsidRPr="007D1ED8">
        <w:rPr>
          <w:szCs w:val="22"/>
        </w:rPr>
        <w:t>etermination</w:t>
      </w:r>
    </w:p>
    <w:p w14:paraId="52D21E12" w14:textId="124C0431" w:rsidR="00FE5ED4" w:rsidRPr="007D1ED8" w:rsidRDefault="00FE5ED4" w:rsidP="00DF438D">
      <w:pPr>
        <w:keepLines/>
        <w:spacing w:after="120"/>
        <w:ind w:left="709"/>
        <w:rPr>
          <w:rFonts w:ascii="Arial" w:hAnsi="Arial" w:cs="Arial"/>
          <w:sz w:val="22"/>
          <w:szCs w:val="22"/>
        </w:rPr>
      </w:pPr>
      <w:r w:rsidRPr="007D1ED8">
        <w:rPr>
          <w:rFonts w:ascii="Arial" w:hAnsi="Arial" w:cs="Arial"/>
          <w:sz w:val="22"/>
          <w:szCs w:val="22"/>
        </w:rPr>
        <w:t xml:space="preserve">This determination replaces </w:t>
      </w:r>
      <w:r w:rsidRPr="007D1ED8">
        <w:rPr>
          <w:rFonts w:ascii="Arial" w:hAnsi="Arial" w:cs="Arial"/>
          <w:i/>
          <w:sz w:val="22"/>
          <w:szCs w:val="22"/>
        </w:rPr>
        <w:t>Employment Termination Payments Redundancy Trusts (12 month rule) Determination 2009</w:t>
      </w:r>
      <w:r w:rsidRPr="007D1ED8">
        <w:rPr>
          <w:rFonts w:ascii="Arial" w:hAnsi="Arial" w:cs="Arial"/>
          <w:sz w:val="22"/>
          <w:szCs w:val="22"/>
        </w:rPr>
        <w:t xml:space="preserve"> </w:t>
      </w:r>
      <w:r w:rsidR="00441F38" w:rsidRPr="007D1ED8">
        <w:rPr>
          <w:rFonts w:ascii="Arial" w:hAnsi="Arial" w:cs="Arial"/>
          <w:sz w:val="22"/>
          <w:szCs w:val="22"/>
        </w:rPr>
        <w:t>(</w:t>
      </w:r>
      <w:r w:rsidRPr="007D1ED8">
        <w:rPr>
          <w:rFonts w:ascii="Arial" w:hAnsi="Arial" w:cs="Arial"/>
          <w:sz w:val="22"/>
          <w:szCs w:val="22"/>
        </w:rPr>
        <w:t>F2009L00716</w:t>
      </w:r>
      <w:r w:rsidR="00441F38" w:rsidRPr="007D1ED8">
        <w:rPr>
          <w:rFonts w:ascii="Arial" w:hAnsi="Arial" w:cs="Arial"/>
          <w:sz w:val="22"/>
          <w:szCs w:val="22"/>
        </w:rPr>
        <w:t>)</w:t>
      </w:r>
      <w:r w:rsidRPr="007D1ED8">
        <w:rPr>
          <w:rFonts w:ascii="Arial" w:hAnsi="Arial" w:cs="Arial"/>
          <w:sz w:val="22"/>
          <w:szCs w:val="22"/>
        </w:rPr>
        <w:t xml:space="preserve"> registered on </w:t>
      </w:r>
      <w:r w:rsidR="007D1ED8">
        <w:rPr>
          <w:rFonts w:ascii="Arial" w:hAnsi="Arial" w:cs="Arial"/>
          <w:sz w:val="22"/>
          <w:szCs w:val="22"/>
        </w:rPr>
        <w:t>12 </w:t>
      </w:r>
      <w:r w:rsidR="003F7596" w:rsidRPr="007D1ED8">
        <w:rPr>
          <w:rFonts w:ascii="Arial" w:hAnsi="Arial" w:cs="Arial"/>
          <w:sz w:val="22"/>
          <w:szCs w:val="22"/>
        </w:rPr>
        <w:t>March</w:t>
      </w:r>
      <w:r w:rsidRPr="007D1ED8">
        <w:rPr>
          <w:rFonts w:ascii="Arial" w:hAnsi="Arial" w:cs="Arial"/>
          <w:sz w:val="22"/>
          <w:szCs w:val="22"/>
        </w:rPr>
        <w:t xml:space="preserve"> 2009. The previous determination is repealed on commencement of this determination.</w:t>
      </w:r>
    </w:p>
    <w:p w14:paraId="61D87FCA" w14:textId="77777777" w:rsidR="00FE5ED4" w:rsidRPr="007D1ED8" w:rsidRDefault="00FE5ED4" w:rsidP="007D1ED8">
      <w:pPr>
        <w:spacing w:after="120"/>
        <w:rPr>
          <w:rFonts w:ascii="Arial" w:hAnsi="Arial" w:cs="Arial"/>
          <w:sz w:val="22"/>
          <w:szCs w:val="22"/>
        </w:rPr>
      </w:pPr>
    </w:p>
    <w:p w14:paraId="20F87229" w14:textId="77777777" w:rsidR="007D1ED8" w:rsidRDefault="0000370C" w:rsidP="007D1ED8">
      <w:pPr>
        <w:pStyle w:val="Heading2"/>
        <w:numPr>
          <w:ilvl w:val="0"/>
          <w:numId w:val="2"/>
        </w:numPr>
        <w:tabs>
          <w:tab w:val="clear" w:pos="720"/>
        </w:tabs>
        <w:ind w:left="709" w:hanging="709"/>
        <w:rPr>
          <w:szCs w:val="22"/>
        </w:rPr>
      </w:pPr>
      <w:r w:rsidRPr="007D1ED8">
        <w:rPr>
          <w:szCs w:val="22"/>
        </w:rPr>
        <w:t>Determination</w:t>
      </w:r>
    </w:p>
    <w:p w14:paraId="2BBCD605" w14:textId="6DDCF31E" w:rsidR="00FE5ED4" w:rsidRPr="007D1ED8" w:rsidRDefault="00FE5ED4" w:rsidP="007D1ED8">
      <w:pPr>
        <w:spacing w:after="120"/>
        <w:ind w:left="709"/>
        <w:rPr>
          <w:rFonts w:ascii="Arial" w:hAnsi="Arial" w:cs="Arial"/>
          <w:sz w:val="22"/>
          <w:szCs w:val="22"/>
        </w:rPr>
      </w:pPr>
      <w:r w:rsidRPr="007D1ED8">
        <w:rPr>
          <w:rFonts w:ascii="Arial" w:hAnsi="Arial" w:cs="Arial"/>
          <w:sz w:val="22"/>
          <w:szCs w:val="22"/>
        </w:rPr>
        <w:t>This determination is made in accordance with paragraph 82-130(7) of the ITAA 1997.</w:t>
      </w:r>
    </w:p>
    <w:p w14:paraId="3DAFB1C8" w14:textId="6DEB169E" w:rsidR="00F377AE" w:rsidRPr="007D1ED8" w:rsidRDefault="00F377AE" w:rsidP="007D1ED8">
      <w:pPr>
        <w:spacing w:after="120"/>
        <w:ind w:left="709"/>
        <w:rPr>
          <w:rFonts w:ascii="Arial" w:hAnsi="Arial" w:cs="Arial"/>
          <w:sz w:val="22"/>
          <w:szCs w:val="22"/>
        </w:rPr>
      </w:pPr>
      <w:r w:rsidRPr="007D1ED8">
        <w:rPr>
          <w:rFonts w:ascii="Arial" w:hAnsi="Arial" w:cs="Arial"/>
          <w:sz w:val="22"/>
          <w:szCs w:val="22"/>
        </w:rPr>
        <w:t>Paragraph 82-130(1</w:t>
      </w:r>
      <w:proofErr w:type="gramStart"/>
      <w:r w:rsidRPr="007D1ED8">
        <w:rPr>
          <w:rFonts w:ascii="Arial" w:hAnsi="Arial" w:cs="Arial"/>
          <w:sz w:val="22"/>
          <w:szCs w:val="22"/>
        </w:rPr>
        <w:t>)(</w:t>
      </w:r>
      <w:proofErr w:type="gramEnd"/>
      <w:r w:rsidRPr="007D1ED8">
        <w:rPr>
          <w:rFonts w:ascii="Arial" w:hAnsi="Arial" w:cs="Arial"/>
          <w:sz w:val="22"/>
          <w:szCs w:val="22"/>
        </w:rPr>
        <w:t xml:space="preserve">b) of the </w:t>
      </w:r>
      <w:r w:rsidR="00FE5ED4" w:rsidRPr="007D1ED8">
        <w:rPr>
          <w:rFonts w:ascii="Arial" w:hAnsi="Arial" w:cs="Arial"/>
          <w:sz w:val="22"/>
          <w:szCs w:val="22"/>
        </w:rPr>
        <w:t>ITAA 1997</w:t>
      </w:r>
      <w:r w:rsidR="00A6690D" w:rsidRPr="007D1ED8">
        <w:rPr>
          <w:rFonts w:ascii="Arial" w:hAnsi="Arial" w:cs="Arial"/>
          <w:sz w:val="22"/>
          <w:szCs w:val="22"/>
        </w:rPr>
        <w:t xml:space="preserve"> </w:t>
      </w:r>
      <w:r w:rsidRPr="007D1ED8">
        <w:rPr>
          <w:rFonts w:ascii="Arial" w:hAnsi="Arial" w:cs="Arial"/>
          <w:sz w:val="22"/>
          <w:szCs w:val="22"/>
        </w:rPr>
        <w:t>does not apply to a late termination payment if:</w:t>
      </w:r>
    </w:p>
    <w:p w14:paraId="18442412" w14:textId="77777777" w:rsidR="00F377AE" w:rsidRPr="007D1ED8" w:rsidRDefault="00F377AE" w:rsidP="00DF438D">
      <w:pPr>
        <w:numPr>
          <w:ilvl w:val="1"/>
          <w:numId w:val="12"/>
        </w:numPr>
        <w:spacing w:after="120"/>
        <w:ind w:left="2127" w:hanging="709"/>
        <w:rPr>
          <w:rFonts w:eastAsia="Arial"/>
          <w:color w:val="000000"/>
          <w:sz w:val="22"/>
          <w:szCs w:val="22"/>
        </w:rPr>
      </w:pPr>
      <w:r w:rsidRPr="007D1ED8">
        <w:rPr>
          <w:rFonts w:ascii="Arial" w:eastAsia="Arial" w:hAnsi="Arial" w:cs="Arial"/>
          <w:color w:val="000000"/>
          <w:sz w:val="22"/>
          <w:szCs w:val="22"/>
        </w:rPr>
        <w:t>the person whose employment was terminated was a member of a redundancy trust and an application for the payment was lodged with the trustee of the redundancy trust within 12 months of the person becoming entitled to the payment under the terms of the trust deed of the redundancy trust; and</w:t>
      </w:r>
    </w:p>
    <w:p w14:paraId="09288BED" w14:textId="77777777" w:rsidR="00F377AE" w:rsidRPr="007D1ED8" w:rsidRDefault="00F377AE" w:rsidP="00DF438D">
      <w:pPr>
        <w:numPr>
          <w:ilvl w:val="1"/>
          <w:numId w:val="12"/>
        </w:numPr>
        <w:spacing w:after="120"/>
        <w:ind w:left="2127" w:hanging="709"/>
        <w:rPr>
          <w:rFonts w:ascii="Arial" w:hAnsi="Arial" w:cs="Arial"/>
          <w:color w:val="000000"/>
          <w:sz w:val="22"/>
          <w:szCs w:val="22"/>
        </w:rPr>
      </w:pPr>
      <w:r w:rsidRPr="007D1ED8">
        <w:rPr>
          <w:rFonts w:ascii="Arial" w:hAnsi="Arial" w:cs="Arial"/>
          <w:color w:val="000000"/>
          <w:sz w:val="22"/>
          <w:szCs w:val="22"/>
        </w:rPr>
        <w:t>the payment was made by the trustee of the redundancy trust:</w:t>
      </w:r>
    </w:p>
    <w:p w14:paraId="738CBE37" w14:textId="77777777" w:rsidR="00F377AE" w:rsidRPr="007D1ED8" w:rsidRDefault="00F377AE" w:rsidP="00DF438D">
      <w:pPr>
        <w:spacing w:after="120"/>
        <w:ind w:left="2835" w:hanging="709"/>
        <w:rPr>
          <w:rFonts w:ascii="Arial" w:hAnsi="Arial" w:cs="Arial"/>
          <w:color w:val="000000"/>
          <w:sz w:val="22"/>
          <w:szCs w:val="22"/>
        </w:rPr>
      </w:pPr>
      <w:r w:rsidRPr="007D1ED8">
        <w:rPr>
          <w:rFonts w:ascii="Arial" w:hAnsi="Arial" w:cs="Arial"/>
          <w:color w:val="000000"/>
          <w:sz w:val="22"/>
          <w:szCs w:val="22"/>
        </w:rPr>
        <w:t>(</w:t>
      </w:r>
      <w:proofErr w:type="gramStart"/>
      <w:r w:rsidRPr="007D1ED8">
        <w:rPr>
          <w:rFonts w:ascii="Arial" w:hAnsi="Arial" w:cs="Arial"/>
          <w:color w:val="000000"/>
          <w:sz w:val="22"/>
          <w:szCs w:val="22"/>
        </w:rPr>
        <w:t>i</w:t>
      </w:r>
      <w:proofErr w:type="gramEnd"/>
      <w:r w:rsidRPr="007D1ED8">
        <w:rPr>
          <w:rFonts w:ascii="Arial" w:hAnsi="Arial" w:cs="Arial"/>
          <w:color w:val="000000"/>
          <w:sz w:val="22"/>
          <w:szCs w:val="22"/>
        </w:rPr>
        <w:t>)</w:t>
      </w:r>
      <w:r w:rsidRPr="007D1ED8">
        <w:rPr>
          <w:rFonts w:ascii="Arial" w:hAnsi="Arial" w:cs="Arial"/>
          <w:color w:val="000000"/>
          <w:sz w:val="22"/>
          <w:szCs w:val="22"/>
        </w:rPr>
        <w:tab/>
        <w:t>as soon as practicable after receipt of the application for payment; or</w:t>
      </w:r>
    </w:p>
    <w:p w14:paraId="796A29E1" w14:textId="77777777" w:rsidR="00F377AE" w:rsidRPr="007D1ED8" w:rsidRDefault="00F377AE" w:rsidP="00DF438D">
      <w:pPr>
        <w:spacing w:after="120"/>
        <w:ind w:left="2835" w:hanging="709"/>
        <w:rPr>
          <w:rFonts w:ascii="Arial" w:hAnsi="Arial" w:cs="Arial"/>
          <w:color w:val="000000"/>
          <w:sz w:val="22"/>
          <w:szCs w:val="22"/>
        </w:rPr>
      </w:pPr>
      <w:r w:rsidRPr="007D1ED8">
        <w:rPr>
          <w:rFonts w:ascii="Arial" w:hAnsi="Arial" w:cs="Arial"/>
          <w:color w:val="000000"/>
          <w:sz w:val="22"/>
          <w:szCs w:val="22"/>
        </w:rPr>
        <w:t>(ii)</w:t>
      </w:r>
      <w:r w:rsidRPr="007D1ED8">
        <w:rPr>
          <w:rFonts w:ascii="Arial" w:hAnsi="Arial" w:cs="Arial"/>
          <w:color w:val="000000"/>
          <w:sz w:val="22"/>
          <w:szCs w:val="22"/>
        </w:rPr>
        <w:tab/>
      </w:r>
      <w:proofErr w:type="gramStart"/>
      <w:r w:rsidRPr="007D1ED8">
        <w:rPr>
          <w:rFonts w:ascii="Arial" w:hAnsi="Arial" w:cs="Arial"/>
          <w:color w:val="000000"/>
          <w:sz w:val="22"/>
          <w:szCs w:val="22"/>
        </w:rPr>
        <w:t>no</w:t>
      </w:r>
      <w:proofErr w:type="gramEnd"/>
      <w:r w:rsidRPr="007D1ED8">
        <w:rPr>
          <w:rFonts w:ascii="Arial" w:hAnsi="Arial" w:cs="Arial"/>
          <w:color w:val="000000"/>
          <w:sz w:val="22"/>
          <w:szCs w:val="22"/>
        </w:rPr>
        <w:t xml:space="preserve"> later than 2 years after the termination of the person's employment that led to the entitlement;</w:t>
      </w:r>
    </w:p>
    <w:p w14:paraId="78D59E23" w14:textId="7ED3BE7A" w:rsidR="00F377AE" w:rsidRPr="007D1ED8" w:rsidRDefault="00F377AE" w:rsidP="00DF438D">
      <w:pPr>
        <w:spacing w:after="120"/>
        <w:ind w:left="2126"/>
        <w:rPr>
          <w:rFonts w:ascii="Arial" w:hAnsi="Arial" w:cs="Arial"/>
          <w:color w:val="000000"/>
          <w:sz w:val="22"/>
          <w:szCs w:val="22"/>
        </w:rPr>
      </w:pPr>
      <w:proofErr w:type="gramStart"/>
      <w:r w:rsidRPr="007D1ED8">
        <w:rPr>
          <w:rFonts w:ascii="Arial" w:hAnsi="Arial" w:cs="Arial"/>
          <w:color w:val="000000"/>
          <w:sz w:val="22"/>
          <w:szCs w:val="22"/>
        </w:rPr>
        <w:t>whichever</w:t>
      </w:r>
      <w:proofErr w:type="gramEnd"/>
      <w:r w:rsidRPr="007D1ED8">
        <w:rPr>
          <w:rFonts w:ascii="Arial" w:hAnsi="Arial" w:cs="Arial"/>
          <w:color w:val="000000"/>
          <w:sz w:val="22"/>
          <w:szCs w:val="22"/>
        </w:rPr>
        <w:t xml:space="preserve"> occurs earlier</w:t>
      </w:r>
      <w:r w:rsidR="00A6690D" w:rsidRPr="007D1ED8">
        <w:rPr>
          <w:rFonts w:ascii="Arial" w:hAnsi="Arial" w:cs="Arial"/>
          <w:color w:val="000000"/>
          <w:sz w:val="22"/>
          <w:szCs w:val="22"/>
        </w:rPr>
        <w:t>.</w:t>
      </w:r>
    </w:p>
    <w:p w14:paraId="3BF95092" w14:textId="77777777" w:rsidR="00657558" w:rsidRPr="007D1ED8" w:rsidRDefault="00657558" w:rsidP="007D1ED8">
      <w:pPr>
        <w:spacing w:after="120"/>
        <w:rPr>
          <w:rFonts w:ascii="Arial" w:hAnsi="Arial" w:cs="Arial"/>
          <w:sz w:val="22"/>
          <w:szCs w:val="22"/>
        </w:rPr>
      </w:pPr>
    </w:p>
    <w:p w14:paraId="1F01D15A" w14:textId="77777777" w:rsidR="007D1ED8" w:rsidRDefault="0000370C" w:rsidP="007D1ED8">
      <w:pPr>
        <w:pStyle w:val="Heading2"/>
        <w:numPr>
          <w:ilvl w:val="0"/>
          <w:numId w:val="2"/>
        </w:numPr>
        <w:tabs>
          <w:tab w:val="clear" w:pos="720"/>
        </w:tabs>
        <w:ind w:left="709" w:hanging="709"/>
        <w:rPr>
          <w:szCs w:val="22"/>
        </w:rPr>
      </w:pPr>
      <w:r w:rsidRPr="007D1ED8">
        <w:rPr>
          <w:szCs w:val="22"/>
        </w:rPr>
        <w:t>Definitions</w:t>
      </w:r>
    </w:p>
    <w:p w14:paraId="2F5DF096" w14:textId="77777777" w:rsidR="00F377AE" w:rsidRPr="007D1ED8" w:rsidRDefault="00F377AE" w:rsidP="007D1ED8">
      <w:pPr>
        <w:spacing w:after="120"/>
        <w:ind w:left="709"/>
        <w:rPr>
          <w:rFonts w:ascii="Arial" w:hAnsi="Arial" w:cs="Arial"/>
          <w:sz w:val="22"/>
          <w:szCs w:val="22"/>
        </w:rPr>
      </w:pPr>
      <w:r w:rsidRPr="007D1ED8">
        <w:rPr>
          <w:rFonts w:ascii="Arial" w:hAnsi="Arial" w:cs="Arial"/>
          <w:sz w:val="22"/>
          <w:szCs w:val="22"/>
        </w:rPr>
        <w:t>In this Determination:</w:t>
      </w:r>
    </w:p>
    <w:p w14:paraId="41E37353" w14:textId="77777777" w:rsidR="00F377AE" w:rsidRPr="007D1ED8" w:rsidRDefault="00F377AE" w:rsidP="007D1ED8">
      <w:pPr>
        <w:spacing w:after="120"/>
        <w:ind w:left="709"/>
        <w:rPr>
          <w:rFonts w:ascii="Arial" w:hAnsi="Arial" w:cs="Arial"/>
          <w:sz w:val="22"/>
          <w:szCs w:val="22"/>
        </w:rPr>
      </w:pPr>
      <w:r w:rsidRPr="007D1ED8">
        <w:rPr>
          <w:rFonts w:ascii="Arial" w:hAnsi="Arial" w:cs="Arial"/>
          <w:b/>
          <w:sz w:val="22"/>
          <w:szCs w:val="22"/>
        </w:rPr>
        <w:t>‘</w:t>
      </w:r>
      <w:proofErr w:type="gramStart"/>
      <w:r w:rsidRPr="007D1ED8">
        <w:rPr>
          <w:rFonts w:ascii="Arial" w:hAnsi="Arial" w:cs="Arial"/>
          <w:b/>
          <w:sz w:val="22"/>
          <w:szCs w:val="22"/>
        </w:rPr>
        <w:t>redundancy</w:t>
      </w:r>
      <w:proofErr w:type="gramEnd"/>
      <w:r w:rsidRPr="007D1ED8">
        <w:rPr>
          <w:rFonts w:ascii="Arial" w:hAnsi="Arial" w:cs="Arial"/>
          <w:b/>
          <w:sz w:val="22"/>
          <w:szCs w:val="22"/>
        </w:rPr>
        <w:t xml:space="preserve"> trust’</w:t>
      </w:r>
      <w:r w:rsidRPr="007D1ED8">
        <w:rPr>
          <w:rFonts w:ascii="Arial" w:hAnsi="Arial" w:cs="Arial"/>
          <w:sz w:val="22"/>
          <w:szCs w:val="22"/>
        </w:rPr>
        <w:t xml:space="preserve"> means:</w:t>
      </w:r>
    </w:p>
    <w:p w14:paraId="64433CD8" w14:textId="448CF21E" w:rsidR="00164077" w:rsidRPr="00DF438D" w:rsidRDefault="00DF438D" w:rsidP="00DF438D">
      <w:pPr>
        <w:numPr>
          <w:ilvl w:val="0"/>
          <w:numId w:val="14"/>
        </w:numPr>
        <w:spacing w:after="120"/>
        <w:ind w:left="2127" w:hanging="709"/>
        <w:rPr>
          <w:rFonts w:ascii="Arial" w:hAnsi="Arial" w:cs="Arial"/>
          <w:sz w:val="22"/>
          <w:szCs w:val="22"/>
        </w:rPr>
      </w:pPr>
      <w:r>
        <w:rPr>
          <w:rFonts w:ascii="Arial" w:hAnsi="Arial" w:cs="Arial"/>
          <w:sz w:val="22"/>
          <w:szCs w:val="22"/>
        </w:rPr>
        <w:t>a fund that</w:t>
      </w:r>
      <w:r w:rsidR="00164077" w:rsidRPr="00DF438D">
        <w:rPr>
          <w:rFonts w:ascii="Arial" w:hAnsi="Arial" w:cs="Arial"/>
          <w:sz w:val="22"/>
          <w:szCs w:val="22"/>
        </w:rPr>
        <w:t>:</w:t>
      </w:r>
    </w:p>
    <w:p w14:paraId="66155055" w14:textId="4D4EF6A6" w:rsidR="009F074B" w:rsidRPr="00DF438D" w:rsidRDefault="00DF438D" w:rsidP="00DF438D">
      <w:pPr>
        <w:numPr>
          <w:ilvl w:val="0"/>
          <w:numId w:val="15"/>
        </w:numPr>
        <w:spacing w:after="120"/>
        <w:ind w:left="2835" w:hanging="709"/>
        <w:rPr>
          <w:rFonts w:ascii="Arial" w:hAnsi="Arial" w:cs="Arial"/>
          <w:sz w:val="22"/>
          <w:szCs w:val="22"/>
        </w:rPr>
      </w:pPr>
      <w:r w:rsidRPr="00DF438D">
        <w:rPr>
          <w:rFonts w:ascii="Arial" w:hAnsi="Arial" w:cs="Arial"/>
          <w:sz w:val="22"/>
          <w:szCs w:val="22"/>
        </w:rPr>
        <w:t xml:space="preserve">is </w:t>
      </w:r>
      <w:r w:rsidR="009F074B" w:rsidRPr="00DF438D">
        <w:rPr>
          <w:rFonts w:ascii="Arial" w:hAnsi="Arial" w:cs="Arial"/>
          <w:sz w:val="22"/>
          <w:szCs w:val="22"/>
        </w:rPr>
        <w:t xml:space="preserve">endorsed as an approved worker entitlement fund under subsection 58PB(3) of the </w:t>
      </w:r>
      <w:r w:rsidR="00E908BD" w:rsidRPr="00DF438D">
        <w:rPr>
          <w:rFonts w:ascii="Arial" w:hAnsi="Arial" w:cs="Arial"/>
          <w:i/>
          <w:iCs/>
          <w:sz w:val="22"/>
          <w:szCs w:val="22"/>
        </w:rPr>
        <w:t>Fringe B</w:t>
      </w:r>
      <w:r w:rsidR="009F074B" w:rsidRPr="00DF438D">
        <w:rPr>
          <w:rFonts w:ascii="Arial" w:hAnsi="Arial" w:cs="Arial"/>
          <w:i/>
          <w:iCs/>
          <w:sz w:val="22"/>
          <w:szCs w:val="22"/>
        </w:rPr>
        <w:t xml:space="preserve">enefits Tax Assessment Act 1986 </w:t>
      </w:r>
      <w:r w:rsidR="009F074B" w:rsidRPr="00DF438D">
        <w:rPr>
          <w:rFonts w:ascii="Arial" w:hAnsi="Arial" w:cs="Arial"/>
          <w:sz w:val="22"/>
          <w:szCs w:val="22"/>
        </w:rPr>
        <w:t>(FBTAA);</w:t>
      </w:r>
      <w:r w:rsidR="009F074B" w:rsidRPr="00DF438D">
        <w:rPr>
          <w:rFonts w:ascii="Arial" w:hAnsi="Arial" w:cs="Arial"/>
          <w:i/>
          <w:iCs/>
          <w:sz w:val="22"/>
          <w:szCs w:val="22"/>
        </w:rPr>
        <w:t xml:space="preserve"> </w:t>
      </w:r>
      <w:r w:rsidR="009F074B" w:rsidRPr="00DF438D">
        <w:rPr>
          <w:rFonts w:ascii="Arial" w:hAnsi="Arial" w:cs="Arial"/>
          <w:sz w:val="22"/>
          <w:szCs w:val="22"/>
        </w:rPr>
        <w:t>or</w:t>
      </w:r>
    </w:p>
    <w:p w14:paraId="5AB7BFF8" w14:textId="66A04891" w:rsidR="009F074B" w:rsidRPr="00DF438D" w:rsidRDefault="009F074B" w:rsidP="00DF438D">
      <w:pPr>
        <w:numPr>
          <w:ilvl w:val="0"/>
          <w:numId w:val="15"/>
        </w:numPr>
        <w:spacing w:after="120"/>
        <w:ind w:left="2835" w:hanging="709"/>
        <w:rPr>
          <w:rFonts w:ascii="Arial" w:hAnsi="Arial" w:cs="Arial"/>
          <w:sz w:val="22"/>
          <w:szCs w:val="22"/>
        </w:rPr>
      </w:pPr>
      <w:r w:rsidRPr="00DF438D">
        <w:rPr>
          <w:rFonts w:ascii="Arial" w:hAnsi="Arial" w:cs="Arial"/>
          <w:sz w:val="22"/>
          <w:szCs w:val="22"/>
        </w:rPr>
        <w:t>the entity that operates the fund is endorsed for the operation of the fund under subsection 58PB (3A) of the FBTAA; or</w:t>
      </w:r>
    </w:p>
    <w:p w14:paraId="564C66EF" w14:textId="5F29AE1D" w:rsidR="009F074B" w:rsidRPr="00DF438D" w:rsidRDefault="00164077" w:rsidP="00DF438D">
      <w:pPr>
        <w:numPr>
          <w:ilvl w:val="0"/>
          <w:numId w:val="14"/>
        </w:numPr>
        <w:spacing w:after="120"/>
        <w:ind w:left="2127" w:hanging="709"/>
        <w:rPr>
          <w:rFonts w:ascii="Arial" w:hAnsi="Arial" w:cs="Arial"/>
          <w:sz w:val="22"/>
          <w:szCs w:val="22"/>
        </w:rPr>
      </w:pPr>
      <w:proofErr w:type="gramStart"/>
      <w:r w:rsidRPr="00DF438D">
        <w:rPr>
          <w:rFonts w:ascii="Arial" w:hAnsi="Arial" w:cs="Arial"/>
          <w:sz w:val="22"/>
          <w:szCs w:val="22"/>
        </w:rPr>
        <w:t>a</w:t>
      </w:r>
      <w:proofErr w:type="gramEnd"/>
      <w:r w:rsidRPr="00DF438D">
        <w:rPr>
          <w:rFonts w:ascii="Arial" w:hAnsi="Arial" w:cs="Arial"/>
          <w:sz w:val="22"/>
          <w:szCs w:val="22"/>
        </w:rPr>
        <w:t xml:space="preserve"> fund that, </w:t>
      </w:r>
      <w:r w:rsidR="009F074B" w:rsidRPr="00DF438D">
        <w:rPr>
          <w:rFonts w:ascii="Arial" w:hAnsi="Arial" w:cs="Arial"/>
          <w:sz w:val="22"/>
          <w:szCs w:val="22"/>
        </w:rPr>
        <w:t>just before 28 June 2011, was an approved worker entitlement fund under subsection 58PB(2) of the FBTAA.</w:t>
      </w:r>
    </w:p>
    <w:p w14:paraId="00651B3D" w14:textId="5D09727D" w:rsidR="00F377AE" w:rsidRPr="007D1ED8" w:rsidRDefault="00F377AE" w:rsidP="007D1ED8">
      <w:pPr>
        <w:spacing w:after="120"/>
        <w:ind w:left="709"/>
        <w:rPr>
          <w:rFonts w:ascii="Arial" w:hAnsi="Arial" w:cs="Arial"/>
          <w:sz w:val="22"/>
          <w:szCs w:val="22"/>
        </w:rPr>
      </w:pPr>
      <w:r w:rsidRPr="007D1ED8">
        <w:rPr>
          <w:rFonts w:ascii="Arial" w:hAnsi="Arial" w:cs="Arial"/>
          <w:b/>
          <w:sz w:val="22"/>
          <w:szCs w:val="22"/>
        </w:rPr>
        <w:t>‘</w:t>
      </w:r>
      <w:proofErr w:type="gramStart"/>
      <w:r w:rsidRPr="007D1ED8">
        <w:rPr>
          <w:rFonts w:ascii="Arial" w:hAnsi="Arial" w:cs="Arial"/>
          <w:b/>
          <w:sz w:val="22"/>
          <w:szCs w:val="22"/>
        </w:rPr>
        <w:t>member</w:t>
      </w:r>
      <w:proofErr w:type="gramEnd"/>
      <w:r w:rsidRPr="007D1ED8">
        <w:rPr>
          <w:rFonts w:ascii="Arial" w:hAnsi="Arial" w:cs="Arial"/>
          <w:b/>
          <w:sz w:val="22"/>
          <w:szCs w:val="22"/>
        </w:rPr>
        <w:t xml:space="preserve"> of a redundancy trust’</w:t>
      </w:r>
      <w:r w:rsidRPr="007D1ED8">
        <w:rPr>
          <w:rFonts w:ascii="Arial" w:hAnsi="Arial" w:cs="Arial"/>
          <w:sz w:val="22"/>
          <w:szCs w:val="22"/>
        </w:rPr>
        <w:t xml:space="preserve"> means a person who is entitled to a payment/s under the terms of the redundancy trust's deed due to termination of employment.</w:t>
      </w:r>
    </w:p>
    <w:sectPr w:rsidR="00F377AE" w:rsidRPr="007D1ED8" w:rsidSect="00C22AC5">
      <w:headerReference w:type="first" r:id="rId15"/>
      <w:pgSz w:w="11906" w:h="16838" w:code="9"/>
      <w:pgMar w:top="1078" w:right="1700" w:bottom="1440" w:left="184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1C84E3" w14:textId="77777777" w:rsidR="00EC5F24" w:rsidRDefault="00EC5F24">
      <w:r>
        <w:separator/>
      </w:r>
    </w:p>
  </w:endnote>
  <w:endnote w:type="continuationSeparator" w:id="0">
    <w:p w14:paraId="385DC6D6" w14:textId="77777777" w:rsidR="00EC5F24" w:rsidRDefault="00EC5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F9845E" w14:textId="77777777" w:rsidR="00EC5F24" w:rsidRDefault="00EC5F24">
      <w:r>
        <w:separator/>
      </w:r>
    </w:p>
  </w:footnote>
  <w:footnote w:type="continuationSeparator" w:id="0">
    <w:p w14:paraId="15C9BE7C" w14:textId="77777777" w:rsidR="00EC5F24" w:rsidRDefault="00EC5F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F95098" w14:textId="77777777" w:rsidR="00F233B1" w:rsidRPr="00001B90" w:rsidRDefault="00001B90">
    <w:pPr>
      <w:pStyle w:val="Header"/>
      <w:rPr>
        <w:sz w:val="20"/>
        <w:szCs w:val="20"/>
      </w:rPr>
    </w:pPr>
    <w:r w:rsidRPr="00001B90">
      <w:rPr>
        <w:noProof/>
        <w:sz w:val="20"/>
        <w:szCs w:val="20"/>
      </w:rPr>
      <w:drawing>
        <wp:inline distT="0" distB="0" distL="0" distR="0" wp14:anchorId="3BF9509A" wp14:editId="3BF9509B">
          <wp:extent cx="2413635" cy="701675"/>
          <wp:effectExtent l="0" t="0" r="5715" b="3175"/>
          <wp:docPr id="2" name="Picture 1" descr="AT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O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635" cy="701675"/>
                  </a:xfrm>
                  <a:prstGeom prst="rect">
                    <a:avLst/>
                  </a:prstGeom>
                  <a:noFill/>
                  <a:ln>
                    <a:noFill/>
                  </a:ln>
                </pic:spPr>
              </pic:pic>
            </a:graphicData>
          </a:graphic>
        </wp:inline>
      </w:drawing>
    </w:r>
  </w:p>
  <w:p w14:paraId="3BF95099" w14:textId="77777777" w:rsidR="00001B90" w:rsidRPr="00001B90" w:rsidRDefault="00001B90">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8540E"/>
    <w:multiLevelType w:val="hybridMultilevel"/>
    <w:tmpl w:val="C6368ED2"/>
    <w:lvl w:ilvl="0" w:tplc="0C09000F">
      <w:start w:val="1"/>
      <w:numFmt w:val="decimal"/>
      <w:lvlText w:val="%1."/>
      <w:lvlJc w:val="left"/>
      <w:pPr>
        <w:tabs>
          <w:tab w:val="num" w:pos="8370"/>
        </w:tabs>
        <w:ind w:left="8370" w:hanging="360"/>
      </w:pPr>
    </w:lvl>
    <w:lvl w:ilvl="1" w:tplc="0C090019" w:tentative="1">
      <w:start w:val="1"/>
      <w:numFmt w:val="lowerLetter"/>
      <w:lvlText w:val="%2."/>
      <w:lvlJc w:val="left"/>
      <w:pPr>
        <w:tabs>
          <w:tab w:val="num" w:pos="9090"/>
        </w:tabs>
        <w:ind w:left="9090" w:hanging="360"/>
      </w:pPr>
    </w:lvl>
    <w:lvl w:ilvl="2" w:tplc="0C09001B" w:tentative="1">
      <w:start w:val="1"/>
      <w:numFmt w:val="lowerRoman"/>
      <w:lvlText w:val="%3."/>
      <w:lvlJc w:val="right"/>
      <w:pPr>
        <w:tabs>
          <w:tab w:val="num" w:pos="9810"/>
        </w:tabs>
        <w:ind w:left="9810" w:hanging="180"/>
      </w:pPr>
    </w:lvl>
    <w:lvl w:ilvl="3" w:tplc="0C09000F" w:tentative="1">
      <w:start w:val="1"/>
      <w:numFmt w:val="decimal"/>
      <w:lvlText w:val="%4."/>
      <w:lvlJc w:val="left"/>
      <w:pPr>
        <w:tabs>
          <w:tab w:val="num" w:pos="10530"/>
        </w:tabs>
        <w:ind w:left="10530" w:hanging="360"/>
      </w:pPr>
    </w:lvl>
    <w:lvl w:ilvl="4" w:tplc="0C090019" w:tentative="1">
      <w:start w:val="1"/>
      <w:numFmt w:val="lowerLetter"/>
      <w:lvlText w:val="%5."/>
      <w:lvlJc w:val="left"/>
      <w:pPr>
        <w:tabs>
          <w:tab w:val="num" w:pos="11250"/>
        </w:tabs>
        <w:ind w:left="11250" w:hanging="360"/>
      </w:pPr>
    </w:lvl>
    <w:lvl w:ilvl="5" w:tplc="0C09001B" w:tentative="1">
      <w:start w:val="1"/>
      <w:numFmt w:val="lowerRoman"/>
      <w:lvlText w:val="%6."/>
      <w:lvlJc w:val="right"/>
      <w:pPr>
        <w:tabs>
          <w:tab w:val="num" w:pos="11970"/>
        </w:tabs>
        <w:ind w:left="11970" w:hanging="180"/>
      </w:pPr>
    </w:lvl>
    <w:lvl w:ilvl="6" w:tplc="0C09000F" w:tentative="1">
      <w:start w:val="1"/>
      <w:numFmt w:val="decimal"/>
      <w:lvlText w:val="%7."/>
      <w:lvlJc w:val="left"/>
      <w:pPr>
        <w:tabs>
          <w:tab w:val="num" w:pos="12690"/>
        </w:tabs>
        <w:ind w:left="12690" w:hanging="360"/>
      </w:pPr>
    </w:lvl>
    <w:lvl w:ilvl="7" w:tplc="0C090019" w:tentative="1">
      <w:start w:val="1"/>
      <w:numFmt w:val="lowerLetter"/>
      <w:lvlText w:val="%8."/>
      <w:lvlJc w:val="left"/>
      <w:pPr>
        <w:tabs>
          <w:tab w:val="num" w:pos="13410"/>
        </w:tabs>
        <w:ind w:left="13410" w:hanging="360"/>
      </w:pPr>
    </w:lvl>
    <w:lvl w:ilvl="8" w:tplc="0C09001B" w:tentative="1">
      <w:start w:val="1"/>
      <w:numFmt w:val="lowerRoman"/>
      <w:lvlText w:val="%9."/>
      <w:lvlJc w:val="right"/>
      <w:pPr>
        <w:tabs>
          <w:tab w:val="num" w:pos="14130"/>
        </w:tabs>
        <w:ind w:left="14130" w:hanging="180"/>
      </w:pPr>
    </w:lvl>
  </w:abstractNum>
  <w:abstractNum w:abstractNumId="1">
    <w:nsid w:val="15311D84"/>
    <w:multiLevelType w:val="hybridMultilevel"/>
    <w:tmpl w:val="1536F832"/>
    <w:lvl w:ilvl="0" w:tplc="DF3EDEA2">
      <w:start w:val="1"/>
      <w:numFmt w:val="decimal"/>
      <w:lvlText w:val="%1."/>
      <w:lvlJc w:val="left"/>
      <w:pPr>
        <w:tabs>
          <w:tab w:val="num" w:pos="720"/>
        </w:tabs>
        <w:ind w:left="720" w:hanging="360"/>
      </w:pPr>
      <w:rPr>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159E12A8"/>
    <w:multiLevelType w:val="hybridMultilevel"/>
    <w:tmpl w:val="7A5446C6"/>
    <w:lvl w:ilvl="0" w:tplc="C1102186">
      <w:start w:val="1"/>
      <w:numFmt w:val="lowerLetter"/>
      <w:lvlText w:val="(%1)"/>
      <w:lvlJc w:val="left"/>
      <w:pPr>
        <w:ind w:left="1800" w:hanging="36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3">
    <w:nsid w:val="19CB290B"/>
    <w:multiLevelType w:val="hybridMultilevel"/>
    <w:tmpl w:val="A64057CC"/>
    <w:lvl w:ilvl="0" w:tplc="073248BA">
      <w:start w:val="1"/>
      <w:numFmt w:val="lowerRoman"/>
      <w:lvlText w:val="(%1)"/>
      <w:lvlJc w:val="left"/>
      <w:pPr>
        <w:ind w:left="2138" w:hanging="360"/>
      </w:pPr>
      <w:rPr>
        <w:rFonts w:hint="default"/>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4">
    <w:nsid w:val="1A4A51D6"/>
    <w:multiLevelType w:val="hybridMultilevel"/>
    <w:tmpl w:val="66B6E3B8"/>
    <w:lvl w:ilvl="0" w:tplc="1906406E">
      <w:start w:val="1"/>
      <w:numFmt w:val="lowerLetter"/>
      <w:lvlText w:val="(%1)"/>
      <w:lvlJc w:val="left"/>
      <w:pPr>
        <w:tabs>
          <w:tab w:val="num" w:pos="1440"/>
        </w:tabs>
        <w:ind w:left="1440" w:hanging="360"/>
      </w:pPr>
      <w:rPr>
        <w:rFonts w:hint="default"/>
      </w:rPr>
    </w:lvl>
    <w:lvl w:ilvl="1" w:tplc="073248BA">
      <w:start w:val="1"/>
      <w:numFmt w:val="lowerRoman"/>
      <w:lvlText w:val="(%2)"/>
      <w:lvlJc w:val="left"/>
      <w:pPr>
        <w:tabs>
          <w:tab w:val="num" w:pos="2160"/>
        </w:tabs>
        <w:ind w:left="2160" w:hanging="360"/>
      </w:pPr>
      <w:rPr>
        <w:rFonts w:hint="default"/>
      </w:r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5">
    <w:nsid w:val="1C657EBE"/>
    <w:multiLevelType w:val="hybridMultilevel"/>
    <w:tmpl w:val="4AA89E10"/>
    <w:lvl w:ilvl="0" w:tplc="0C09000F">
      <w:start w:val="6"/>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1CCD1B91"/>
    <w:multiLevelType w:val="hybridMultilevel"/>
    <w:tmpl w:val="7804B5CC"/>
    <w:lvl w:ilvl="0" w:tplc="0C09000F">
      <w:start w:val="1"/>
      <w:numFmt w:val="decimal"/>
      <w:lvlText w:val="%1."/>
      <w:lvlJc w:val="left"/>
      <w:pPr>
        <w:tabs>
          <w:tab w:val="num" w:pos="1440"/>
        </w:tabs>
        <w:ind w:left="1440" w:hanging="360"/>
      </w:p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7">
    <w:nsid w:val="2FAE5F5A"/>
    <w:multiLevelType w:val="hybridMultilevel"/>
    <w:tmpl w:val="9F4247D6"/>
    <w:lvl w:ilvl="0" w:tplc="02224C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4A462B4A"/>
    <w:multiLevelType w:val="hybridMultilevel"/>
    <w:tmpl w:val="B7F83842"/>
    <w:lvl w:ilvl="0" w:tplc="DF3EDEA2">
      <w:start w:val="1"/>
      <w:numFmt w:val="decimal"/>
      <w:lvlText w:val="%1."/>
      <w:lvlJc w:val="left"/>
      <w:pPr>
        <w:tabs>
          <w:tab w:val="num" w:pos="720"/>
        </w:tabs>
        <w:ind w:left="720" w:hanging="360"/>
      </w:pPr>
      <w:rPr>
        <w:b/>
      </w:rPr>
    </w:lvl>
    <w:lvl w:ilvl="1" w:tplc="0C090017">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nsid w:val="51795809"/>
    <w:multiLevelType w:val="hybridMultilevel"/>
    <w:tmpl w:val="4628F242"/>
    <w:lvl w:ilvl="0" w:tplc="1906406E">
      <w:start w:val="1"/>
      <w:numFmt w:val="lowerLetter"/>
      <w:lvlText w:val="(%1)"/>
      <w:lvlJc w:val="left"/>
      <w:pPr>
        <w:tabs>
          <w:tab w:val="num" w:pos="1440"/>
        </w:tabs>
        <w:ind w:left="1440" w:hanging="360"/>
      </w:pPr>
      <w:rPr>
        <w:rFonts w:hint="default"/>
      </w:rPr>
    </w:lvl>
    <w:lvl w:ilvl="1" w:tplc="38AC9DA4">
      <w:start w:val="1"/>
      <w:numFmt w:val="lowerRoman"/>
      <w:lvlText w:val="%2)"/>
      <w:lvlJc w:val="left"/>
      <w:pPr>
        <w:tabs>
          <w:tab w:val="num" w:pos="2160"/>
        </w:tabs>
        <w:ind w:left="2160" w:hanging="360"/>
      </w:pPr>
      <w:rPr>
        <w:rFonts w:hint="default"/>
      </w:r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0">
    <w:nsid w:val="61182FA6"/>
    <w:multiLevelType w:val="hybridMultilevel"/>
    <w:tmpl w:val="42680C54"/>
    <w:lvl w:ilvl="0" w:tplc="073248BA">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63422C87"/>
    <w:multiLevelType w:val="hybridMultilevel"/>
    <w:tmpl w:val="EF8210DA"/>
    <w:lvl w:ilvl="0" w:tplc="02224C8E">
      <w:start w:val="1"/>
      <w:numFmt w:val="lowerLetter"/>
      <w:lvlText w:val="(%1)"/>
      <w:lvlJc w:val="left"/>
      <w:pPr>
        <w:tabs>
          <w:tab w:val="num" w:pos="1440"/>
        </w:tabs>
        <w:ind w:left="1440" w:hanging="360"/>
      </w:pPr>
      <w:rPr>
        <w:rFonts w:hint="default"/>
      </w:rPr>
    </w:lvl>
    <w:lvl w:ilvl="1" w:tplc="38AC9DA4">
      <w:start w:val="1"/>
      <w:numFmt w:val="lowerRoman"/>
      <w:lvlText w:val="%2)"/>
      <w:lvlJc w:val="left"/>
      <w:pPr>
        <w:tabs>
          <w:tab w:val="num" w:pos="2160"/>
        </w:tabs>
        <w:ind w:left="2160" w:hanging="360"/>
      </w:pPr>
      <w:rPr>
        <w:rFonts w:hint="default"/>
      </w:r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2">
    <w:nsid w:val="66B45590"/>
    <w:multiLevelType w:val="hybridMultilevel"/>
    <w:tmpl w:val="A88A2104"/>
    <w:lvl w:ilvl="0" w:tplc="DF3EDEA2">
      <w:start w:val="1"/>
      <w:numFmt w:val="decimal"/>
      <w:lvlText w:val="%1."/>
      <w:lvlJc w:val="left"/>
      <w:pPr>
        <w:tabs>
          <w:tab w:val="num" w:pos="720"/>
        </w:tabs>
        <w:ind w:left="720" w:hanging="360"/>
      </w:pPr>
      <w:rPr>
        <w:b/>
      </w:rPr>
    </w:lvl>
    <w:lvl w:ilvl="1" w:tplc="0A7A6EB4">
      <w:start w:val="1"/>
      <w:numFmt w:val="lowerLetter"/>
      <w:lvlText w:val="(%2)"/>
      <w:lvlJc w:val="left"/>
      <w:pPr>
        <w:tabs>
          <w:tab w:val="num" w:pos="1440"/>
        </w:tabs>
        <w:ind w:left="1440" w:hanging="360"/>
      </w:pPr>
      <w:rPr>
        <w:rFonts w:ascii="Arial" w:hAnsi="Arial" w:cs="Aria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6D6D47DA"/>
    <w:multiLevelType w:val="singleLevel"/>
    <w:tmpl w:val="AF469F9A"/>
    <w:lvl w:ilvl="0">
      <w:start w:val="1"/>
      <w:numFmt w:val="bullet"/>
      <w:pStyle w:val="dotpoint"/>
      <w:lvlText w:val=""/>
      <w:lvlJc w:val="left"/>
      <w:pPr>
        <w:tabs>
          <w:tab w:val="num" w:pos="360"/>
        </w:tabs>
        <w:ind w:left="360" w:hanging="360"/>
      </w:pPr>
      <w:rPr>
        <w:rFonts w:ascii="Symbol" w:hAnsi="Symbol" w:hint="default"/>
      </w:rPr>
    </w:lvl>
  </w:abstractNum>
  <w:abstractNum w:abstractNumId="14">
    <w:nsid w:val="7B275CB9"/>
    <w:multiLevelType w:val="hybridMultilevel"/>
    <w:tmpl w:val="D7DE0C02"/>
    <w:lvl w:ilvl="0" w:tplc="0C090005">
      <w:start w:val="1"/>
      <w:numFmt w:val="bullet"/>
      <w:lvlText w:val=""/>
      <w:lvlJc w:val="left"/>
      <w:pPr>
        <w:tabs>
          <w:tab w:val="num" w:pos="780"/>
        </w:tabs>
        <w:ind w:left="780" w:hanging="360"/>
      </w:pPr>
      <w:rPr>
        <w:rFonts w:ascii="Wingdings" w:hAnsi="Wingdings"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num w:numId="1">
    <w:abstractNumId w:val="0"/>
  </w:num>
  <w:num w:numId="2">
    <w:abstractNumId w:val="8"/>
  </w:num>
  <w:num w:numId="3">
    <w:abstractNumId w:val="14"/>
  </w:num>
  <w:num w:numId="4">
    <w:abstractNumId w:val="5"/>
  </w:num>
  <w:num w:numId="5">
    <w:abstractNumId w:val="6"/>
  </w:num>
  <w:num w:numId="6">
    <w:abstractNumId w:val="1"/>
  </w:num>
  <w:num w:numId="7">
    <w:abstractNumId w:val="9"/>
  </w:num>
  <w:num w:numId="8">
    <w:abstractNumId w:val="13"/>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4"/>
  </w:num>
  <w:num w:numId="12">
    <w:abstractNumId w:val="12"/>
  </w:num>
  <w:num w:numId="13">
    <w:abstractNumId w:val="3"/>
  </w:num>
  <w:num w:numId="14">
    <w:abstractNumId w:val="7"/>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11F"/>
    <w:rsid w:val="00001B90"/>
    <w:rsid w:val="0000370C"/>
    <w:rsid w:val="00007304"/>
    <w:rsid w:val="0000743E"/>
    <w:rsid w:val="00013309"/>
    <w:rsid w:val="00013AD9"/>
    <w:rsid w:val="000171F2"/>
    <w:rsid w:val="00017CD7"/>
    <w:rsid w:val="00022C8A"/>
    <w:rsid w:val="00022FA9"/>
    <w:rsid w:val="00026BC1"/>
    <w:rsid w:val="0003261F"/>
    <w:rsid w:val="00034883"/>
    <w:rsid w:val="00035397"/>
    <w:rsid w:val="00036F54"/>
    <w:rsid w:val="00044893"/>
    <w:rsid w:val="00045F14"/>
    <w:rsid w:val="00053761"/>
    <w:rsid w:val="00053842"/>
    <w:rsid w:val="00061054"/>
    <w:rsid w:val="0006112D"/>
    <w:rsid w:val="00061910"/>
    <w:rsid w:val="00066E97"/>
    <w:rsid w:val="00072E3D"/>
    <w:rsid w:val="000745A8"/>
    <w:rsid w:val="0007527F"/>
    <w:rsid w:val="000761BD"/>
    <w:rsid w:val="00082A4A"/>
    <w:rsid w:val="00083FAC"/>
    <w:rsid w:val="00087C21"/>
    <w:rsid w:val="00090B7A"/>
    <w:rsid w:val="0009111F"/>
    <w:rsid w:val="00096865"/>
    <w:rsid w:val="000A0909"/>
    <w:rsid w:val="000A0B93"/>
    <w:rsid w:val="000A1078"/>
    <w:rsid w:val="000A3297"/>
    <w:rsid w:val="000A6CE4"/>
    <w:rsid w:val="000A70C6"/>
    <w:rsid w:val="000B2C32"/>
    <w:rsid w:val="000B2DD7"/>
    <w:rsid w:val="000D13BC"/>
    <w:rsid w:val="000D3CC6"/>
    <w:rsid w:val="000D40A4"/>
    <w:rsid w:val="000D6A3C"/>
    <w:rsid w:val="000D6E5B"/>
    <w:rsid w:val="000E0270"/>
    <w:rsid w:val="000E2EB8"/>
    <w:rsid w:val="000F3E93"/>
    <w:rsid w:val="000F52DE"/>
    <w:rsid w:val="001051FA"/>
    <w:rsid w:val="00106686"/>
    <w:rsid w:val="00110ACA"/>
    <w:rsid w:val="00110E46"/>
    <w:rsid w:val="00110F37"/>
    <w:rsid w:val="00114408"/>
    <w:rsid w:val="00116596"/>
    <w:rsid w:val="00116B15"/>
    <w:rsid w:val="001243A8"/>
    <w:rsid w:val="00126EED"/>
    <w:rsid w:val="00131447"/>
    <w:rsid w:val="00134D4D"/>
    <w:rsid w:val="001361C6"/>
    <w:rsid w:val="00150830"/>
    <w:rsid w:val="00154159"/>
    <w:rsid w:val="00155E7A"/>
    <w:rsid w:val="00156D4B"/>
    <w:rsid w:val="001605B9"/>
    <w:rsid w:val="00163373"/>
    <w:rsid w:val="00164077"/>
    <w:rsid w:val="00165CC9"/>
    <w:rsid w:val="00165DC1"/>
    <w:rsid w:val="0017078D"/>
    <w:rsid w:val="00172075"/>
    <w:rsid w:val="00173050"/>
    <w:rsid w:val="00175FFF"/>
    <w:rsid w:val="00176815"/>
    <w:rsid w:val="00181212"/>
    <w:rsid w:val="00184795"/>
    <w:rsid w:val="00187C71"/>
    <w:rsid w:val="001958EE"/>
    <w:rsid w:val="00197136"/>
    <w:rsid w:val="001A09BD"/>
    <w:rsid w:val="001A271F"/>
    <w:rsid w:val="001A34E7"/>
    <w:rsid w:val="001A5431"/>
    <w:rsid w:val="001A67BD"/>
    <w:rsid w:val="001B0FC5"/>
    <w:rsid w:val="001B1C8D"/>
    <w:rsid w:val="001C0007"/>
    <w:rsid w:val="001C6316"/>
    <w:rsid w:val="001C6C9F"/>
    <w:rsid w:val="001C7B01"/>
    <w:rsid w:val="001D0C43"/>
    <w:rsid w:val="001D1628"/>
    <w:rsid w:val="001D4C15"/>
    <w:rsid w:val="001E32EA"/>
    <w:rsid w:val="001E4F85"/>
    <w:rsid w:val="001E5A7D"/>
    <w:rsid w:val="001F30CF"/>
    <w:rsid w:val="001F4720"/>
    <w:rsid w:val="00200593"/>
    <w:rsid w:val="00200CD4"/>
    <w:rsid w:val="002025B9"/>
    <w:rsid w:val="00203F0E"/>
    <w:rsid w:val="00204EFB"/>
    <w:rsid w:val="002112A9"/>
    <w:rsid w:val="0021318A"/>
    <w:rsid w:val="00215A42"/>
    <w:rsid w:val="00216C38"/>
    <w:rsid w:val="002213F3"/>
    <w:rsid w:val="00222180"/>
    <w:rsid w:val="00223D79"/>
    <w:rsid w:val="00224B20"/>
    <w:rsid w:val="00225B5B"/>
    <w:rsid w:val="002309BC"/>
    <w:rsid w:val="00234388"/>
    <w:rsid w:val="00237D14"/>
    <w:rsid w:val="00242CCE"/>
    <w:rsid w:val="002449E3"/>
    <w:rsid w:val="00246081"/>
    <w:rsid w:val="002476E9"/>
    <w:rsid w:val="002504EE"/>
    <w:rsid w:val="00255AB5"/>
    <w:rsid w:val="00256024"/>
    <w:rsid w:val="00270137"/>
    <w:rsid w:val="00274BCD"/>
    <w:rsid w:val="00286620"/>
    <w:rsid w:val="00292E75"/>
    <w:rsid w:val="002944AD"/>
    <w:rsid w:val="002A1515"/>
    <w:rsid w:val="002A2CD1"/>
    <w:rsid w:val="002A6D63"/>
    <w:rsid w:val="002A7FB3"/>
    <w:rsid w:val="002B014D"/>
    <w:rsid w:val="002B0B63"/>
    <w:rsid w:val="002B3BDD"/>
    <w:rsid w:val="002B5B41"/>
    <w:rsid w:val="002C1214"/>
    <w:rsid w:val="002C1E82"/>
    <w:rsid w:val="002C5784"/>
    <w:rsid w:val="002C7A81"/>
    <w:rsid w:val="002D066A"/>
    <w:rsid w:val="002D144F"/>
    <w:rsid w:val="002D6902"/>
    <w:rsid w:val="002D7B6D"/>
    <w:rsid w:val="002D7DD0"/>
    <w:rsid w:val="002F18CB"/>
    <w:rsid w:val="002F3447"/>
    <w:rsid w:val="00303F72"/>
    <w:rsid w:val="003107EF"/>
    <w:rsid w:val="00312725"/>
    <w:rsid w:val="00314A4E"/>
    <w:rsid w:val="003150E0"/>
    <w:rsid w:val="0032158A"/>
    <w:rsid w:val="003229FB"/>
    <w:rsid w:val="00322E62"/>
    <w:rsid w:val="0033478D"/>
    <w:rsid w:val="0033482D"/>
    <w:rsid w:val="00335247"/>
    <w:rsid w:val="00337DA3"/>
    <w:rsid w:val="00340433"/>
    <w:rsid w:val="00342135"/>
    <w:rsid w:val="0034580A"/>
    <w:rsid w:val="003462FD"/>
    <w:rsid w:val="00347B2A"/>
    <w:rsid w:val="00354C19"/>
    <w:rsid w:val="00361A02"/>
    <w:rsid w:val="003651A6"/>
    <w:rsid w:val="00367704"/>
    <w:rsid w:val="00367E7D"/>
    <w:rsid w:val="00372F98"/>
    <w:rsid w:val="00372FF9"/>
    <w:rsid w:val="00373E8D"/>
    <w:rsid w:val="0037526B"/>
    <w:rsid w:val="00377BCC"/>
    <w:rsid w:val="00380717"/>
    <w:rsid w:val="00381779"/>
    <w:rsid w:val="003819B3"/>
    <w:rsid w:val="00391A9C"/>
    <w:rsid w:val="00397383"/>
    <w:rsid w:val="003A0073"/>
    <w:rsid w:val="003A067D"/>
    <w:rsid w:val="003A1C6C"/>
    <w:rsid w:val="003A58BC"/>
    <w:rsid w:val="003A5A04"/>
    <w:rsid w:val="003A64FC"/>
    <w:rsid w:val="003B123A"/>
    <w:rsid w:val="003B5EDB"/>
    <w:rsid w:val="003B6971"/>
    <w:rsid w:val="003B6B0B"/>
    <w:rsid w:val="003C0157"/>
    <w:rsid w:val="003C564E"/>
    <w:rsid w:val="003C7C74"/>
    <w:rsid w:val="003D3335"/>
    <w:rsid w:val="003D354B"/>
    <w:rsid w:val="003D5A34"/>
    <w:rsid w:val="003E3E74"/>
    <w:rsid w:val="003E52ED"/>
    <w:rsid w:val="003F71AF"/>
    <w:rsid w:val="003F7596"/>
    <w:rsid w:val="004007F2"/>
    <w:rsid w:val="00411530"/>
    <w:rsid w:val="00412B77"/>
    <w:rsid w:val="00414405"/>
    <w:rsid w:val="0042007E"/>
    <w:rsid w:val="00424F2B"/>
    <w:rsid w:val="00426390"/>
    <w:rsid w:val="0043366F"/>
    <w:rsid w:val="00436E40"/>
    <w:rsid w:val="00441AC4"/>
    <w:rsid w:val="00441F38"/>
    <w:rsid w:val="00446E2A"/>
    <w:rsid w:val="00447D82"/>
    <w:rsid w:val="00451EE1"/>
    <w:rsid w:val="00452C78"/>
    <w:rsid w:val="00453A50"/>
    <w:rsid w:val="00453FB4"/>
    <w:rsid w:val="0045428E"/>
    <w:rsid w:val="00461FBC"/>
    <w:rsid w:val="00466FCB"/>
    <w:rsid w:val="004745E2"/>
    <w:rsid w:val="00475A2F"/>
    <w:rsid w:val="00480A1F"/>
    <w:rsid w:val="00484715"/>
    <w:rsid w:val="004870DE"/>
    <w:rsid w:val="00490C14"/>
    <w:rsid w:val="004975A9"/>
    <w:rsid w:val="004A30EE"/>
    <w:rsid w:val="004A3AB0"/>
    <w:rsid w:val="004B0651"/>
    <w:rsid w:val="004B1977"/>
    <w:rsid w:val="004B4F84"/>
    <w:rsid w:val="004B7906"/>
    <w:rsid w:val="004C1BDB"/>
    <w:rsid w:val="004C3B01"/>
    <w:rsid w:val="004C68AA"/>
    <w:rsid w:val="004D0B9D"/>
    <w:rsid w:val="004D22B9"/>
    <w:rsid w:val="004E04F8"/>
    <w:rsid w:val="004E2A09"/>
    <w:rsid w:val="004E3A27"/>
    <w:rsid w:val="004E4117"/>
    <w:rsid w:val="004E5FC4"/>
    <w:rsid w:val="004E660F"/>
    <w:rsid w:val="004E6980"/>
    <w:rsid w:val="004F6872"/>
    <w:rsid w:val="005020A3"/>
    <w:rsid w:val="0050473D"/>
    <w:rsid w:val="00506840"/>
    <w:rsid w:val="00507465"/>
    <w:rsid w:val="00507C1E"/>
    <w:rsid w:val="0051039F"/>
    <w:rsid w:val="00510446"/>
    <w:rsid w:val="00510B32"/>
    <w:rsid w:val="00510E8B"/>
    <w:rsid w:val="00513891"/>
    <w:rsid w:val="00513A8B"/>
    <w:rsid w:val="00515786"/>
    <w:rsid w:val="005251FD"/>
    <w:rsid w:val="005272E2"/>
    <w:rsid w:val="00527EC7"/>
    <w:rsid w:val="005312F5"/>
    <w:rsid w:val="00532AC5"/>
    <w:rsid w:val="005361C9"/>
    <w:rsid w:val="005364C0"/>
    <w:rsid w:val="00537D5D"/>
    <w:rsid w:val="00545171"/>
    <w:rsid w:val="0055072D"/>
    <w:rsid w:val="00552490"/>
    <w:rsid w:val="00554CFA"/>
    <w:rsid w:val="0056163C"/>
    <w:rsid w:val="00564D84"/>
    <w:rsid w:val="00567854"/>
    <w:rsid w:val="00570631"/>
    <w:rsid w:val="0057609B"/>
    <w:rsid w:val="00582467"/>
    <w:rsid w:val="005848C1"/>
    <w:rsid w:val="005849D8"/>
    <w:rsid w:val="00585124"/>
    <w:rsid w:val="0058722D"/>
    <w:rsid w:val="005903F3"/>
    <w:rsid w:val="005A3791"/>
    <w:rsid w:val="005B0F08"/>
    <w:rsid w:val="005B110F"/>
    <w:rsid w:val="005B118C"/>
    <w:rsid w:val="005B331E"/>
    <w:rsid w:val="005B4F0F"/>
    <w:rsid w:val="005B51FF"/>
    <w:rsid w:val="005B556C"/>
    <w:rsid w:val="005B6BBF"/>
    <w:rsid w:val="005C13A2"/>
    <w:rsid w:val="005C5D9A"/>
    <w:rsid w:val="005D2382"/>
    <w:rsid w:val="005D55A1"/>
    <w:rsid w:val="005D7217"/>
    <w:rsid w:val="005E214D"/>
    <w:rsid w:val="005E49E3"/>
    <w:rsid w:val="005E6E25"/>
    <w:rsid w:val="005F0683"/>
    <w:rsid w:val="005F0688"/>
    <w:rsid w:val="005F1A16"/>
    <w:rsid w:val="005F2226"/>
    <w:rsid w:val="005F223B"/>
    <w:rsid w:val="005F26B6"/>
    <w:rsid w:val="005F5CFA"/>
    <w:rsid w:val="006001AD"/>
    <w:rsid w:val="006005F4"/>
    <w:rsid w:val="00600A5F"/>
    <w:rsid w:val="00612328"/>
    <w:rsid w:val="006127B8"/>
    <w:rsid w:val="00613DA2"/>
    <w:rsid w:val="00621779"/>
    <w:rsid w:val="00622FAC"/>
    <w:rsid w:val="006230F5"/>
    <w:rsid w:val="00627741"/>
    <w:rsid w:val="0063701F"/>
    <w:rsid w:val="00644EDE"/>
    <w:rsid w:val="006465E1"/>
    <w:rsid w:val="0064758C"/>
    <w:rsid w:val="00650FDC"/>
    <w:rsid w:val="00657558"/>
    <w:rsid w:val="006577D8"/>
    <w:rsid w:val="00673BA4"/>
    <w:rsid w:val="00673C52"/>
    <w:rsid w:val="0068234C"/>
    <w:rsid w:val="006910C8"/>
    <w:rsid w:val="006919FF"/>
    <w:rsid w:val="0069258C"/>
    <w:rsid w:val="00696C29"/>
    <w:rsid w:val="006B38B0"/>
    <w:rsid w:val="006B76E1"/>
    <w:rsid w:val="006C008D"/>
    <w:rsid w:val="006C285A"/>
    <w:rsid w:val="006C344E"/>
    <w:rsid w:val="006E1181"/>
    <w:rsid w:val="006E27F8"/>
    <w:rsid w:val="006E2B6D"/>
    <w:rsid w:val="006E3DDC"/>
    <w:rsid w:val="006E6EF2"/>
    <w:rsid w:val="006F00D4"/>
    <w:rsid w:val="006F0AC8"/>
    <w:rsid w:val="006F3F34"/>
    <w:rsid w:val="006F44E4"/>
    <w:rsid w:val="006F4E8C"/>
    <w:rsid w:val="00703C5E"/>
    <w:rsid w:val="007047B7"/>
    <w:rsid w:val="00704877"/>
    <w:rsid w:val="0070498F"/>
    <w:rsid w:val="00705A23"/>
    <w:rsid w:val="00706ACB"/>
    <w:rsid w:val="00711825"/>
    <w:rsid w:val="0071393F"/>
    <w:rsid w:val="00713A82"/>
    <w:rsid w:val="007153AD"/>
    <w:rsid w:val="007271D6"/>
    <w:rsid w:val="0072721F"/>
    <w:rsid w:val="00732F35"/>
    <w:rsid w:val="00736857"/>
    <w:rsid w:val="00740968"/>
    <w:rsid w:val="00741721"/>
    <w:rsid w:val="007478FC"/>
    <w:rsid w:val="00753596"/>
    <w:rsid w:val="0076476D"/>
    <w:rsid w:val="00771758"/>
    <w:rsid w:val="0077436F"/>
    <w:rsid w:val="00776EC3"/>
    <w:rsid w:val="00782943"/>
    <w:rsid w:val="007848AB"/>
    <w:rsid w:val="00784A59"/>
    <w:rsid w:val="007853B5"/>
    <w:rsid w:val="00797788"/>
    <w:rsid w:val="007A190A"/>
    <w:rsid w:val="007A5ABF"/>
    <w:rsid w:val="007A5DC8"/>
    <w:rsid w:val="007A6D51"/>
    <w:rsid w:val="007B0972"/>
    <w:rsid w:val="007B0DF6"/>
    <w:rsid w:val="007B2B77"/>
    <w:rsid w:val="007B6064"/>
    <w:rsid w:val="007C5463"/>
    <w:rsid w:val="007C70AF"/>
    <w:rsid w:val="007D05B9"/>
    <w:rsid w:val="007D143D"/>
    <w:rsid w:val="007D1ED8"/>
    <w:rsid w:val="007D3B7A"/>
    <w:rsid w:val="007D62A9"/>
    <w:rsid w:val="007E0320"/>
    <w:rsid w:val="007E6004"/>
    <w:rsid w:val="007F04BE"/>
    <w:rsid w:val="007F2B91"/>
    <w:rsid w:val="007F6FDE"/>
    <w:rsid w:val="008036A3"/>
    <w:rsid w:val="00804728"/>
    <w:rsid w:val="00804E07"/>
    <w:rsid w:val="00805FB4"/>
    <w:rsid w:val="00805FCD"/>
    <w:rsid w:val="00807A75"/>
    <w:rsid w:val="00812B6D"/>
    <w:rsid w:val="00813040"/>
    <w:rsid w:val="008163F0"/>
    <w:rsid w:val="00816C72"/>
    <w:rsid w:val="00820311"/>
    <w:rsid w:val="0082246B"/>
    <w:rsid w:val="008256D3"/>
    <w:rsid w:val="008265FF"/>
    <w:rsid w:val="00826833"/>
    <w:rsid w:val="008322A4"/>
    <w:rsid w:val="00841E3C"/>
    <w:rsid w:val="008430FE"/>
    <w:rsid w:val="00843877"/>
    <w:rsid w:val="00844FBE"/>
    <w:rsid w:val="00851389"/>
    <w:rsid w:val="008571FF"/>
    <w:rsid w:val="00857716"/>
    <w:rsid w:val="008615C0"/>
    <w:rsid w:val="00864E5E"/>
    <w:rsid w:val="008668E1"/>
    <w:rsid w:val="00866BB5"/>
    <w:rsid w:val="0086713F"/>
    <w:rsid w:val="00870155"/>
    <w:rsid w:val="00874B25"/>
    <w:rsid w:val="00876316"/>
    <w:rsid w:val="00877DC5"/>
    <w:rsid w:val="00880A93"/>
    <w:rsid w:val="00883225"/>
    <w:rsid w:val="008906E9"/>
    <w:rsid w:val="0089182B"/>
    <w:rsid w:val="008950BC"/>
    <w:rsid w:val="008962B4"/>
    <w:rsid w:val="00896CED"/>
    <w:rsid w:val="008B0F40"/>
    <w:rsid w:val="008B17C7"/>
    <w:rsid w:val="008B283D"/>
    <w:rsid w:val="008B32F6"/>
    <w:rsid w:val="008D27B9"/>
    <w:rsid w:val="008D2F8A"/>
    <w:rsid w:val="008E7713"/>
    <w:rsid w:val="008F6245"/>
    <w:rsid w:val="00906516"/>
    <w:rsid w:val="009079A5"/>
    <w:rsid w:val="009105C1"/>
    <w:rsid w:val="00911F3A"/>
    <w:rsid w:val="00912F99"/>
    <w:rsid w:val="0091304C"/>
    <w:rsid w:val="00915BA5"/>
    <w:rsid w:val="0093325B"/>
    <w:rsid w:val="00933619"/>
    <w:rsid w:val="00941A33"/>
    <w:rsid w:val="00941D54"/>
    <w:rsid w:val="00950E56"/>
    <w:rsid w:val="00951288"/>
    <w:rsid w:val="00954ADE"/>
    <w:rsid w:val="00960417"/>
    <w:rsid w:val="00962392"/>
    <w:rsid w:val="009647D1"/>
    <w:rsid w:val="00964BBB"/>
    <w:rsid w:val="0096645F"/>
    <w:rsid w:val="009665E1"/>
    <w:rsid w:val="0097053C"/>
    <w:rsid w:val="00976E43"/>
    <w:rsid w:val="00984184"/>
    <w:rsid w:val="00985810"/>
    <w:rsid w:val="00991819"/>
    <w:rsid w:val="009918FB"/>
    <w:rsid w:val="00992067"/>
    <w:rsid w:val="00994E47"/>
    <w:rsid w:val="0099547A"/>
    <w:rsid w:val="009A287E"/>
    <w:rsid w:val="009A423F"/>
    <w:rsid w:val="009A5297"/>
    <w:rsid w:val="009B01E8"/>
    <w:rsid w:val="009B1BA0"/>
    <w:rsid w:val="009B34C3"/>
    <w:rsid w:val="009C073F"/>
    <w:rsid w:val="009C1634"/>
    <w:rsid w:val="009C20DD"/>
    <w:rsid w:val="009C4448"/>
    <w:rsid w:val="009C547B"/>
    <w:rsid w:val="009C5AB4"/>
    <w:rsid w:val="009C5BD3"/>
    <w:rsid w:val="009D3BCB"/>
    <w:rsid w:val="009F074B"/>
    <w:rsid w:val="009F1842"/>
    <w:rsid w:val="009F3B86"/>
    <w:rsid w:val="009F4AC1"/>
    <w:rsid w:val="00A00A3E"/>
    <w:rsid w:val="00A040B3"/>
    <w:rsid w:val="00A06441"/>
    <w:rsid w:val="00A07DDD"/>
    <w:rsid w:val="00A11638"/>
    <w:rsid w:val="00A12200"/>
    <w:rsid w:val="00A16341"/>
    <w:rsid w:val="00A1744D"/>
    <w:rsid w:val="00A23A72"/>
    <w:rsid w:val="00A262DA"/>
    <w:rsid w:val="00A27A0F"/>
    <w:rsid w:val="00A43D5E"/>
    <w:rsid w:val="00A45272"/>
    <w:rsid w:val="00A46445"/>
    <w:rsid w:val="00A46C70"/>
    <w:rsid w:val="00A47300"/>
    <w:rsid w:val="00A51360"/>
    <w:rsid w:val="00A5679B"/>
    <w:rsid w:val="00A6690D"/>
    <w:rsid w:val="00A71E14"/>
    <w:rsid w:val="00A72E01"/>
    <w:rsid w:val="00A73020"/>
    <w:rsid w:val="00A766F2"/>
    <w:rsid w:val="00A80B02"/>
    <w:rsid w:val="00A80D6E"/>
    <w:rsid w:val="00A83945"/>
    <w:rsid w:val="00A85D08"/>
    <w:rsid w:val="00A86204"/>
    <w:rsid w:val="00A90DDD"/>
    <w:rsid w:val="00A93940"/>
    <w:rsid w:val="00A95452"/>
    <w:rsid w:val="00A971F3"/>
    <w:rsid w:val="00A974AA"/>
    <w:rsid w:val="00A97580"/>
    <w:rsid w:val="00AA7AF9"/>
    <w:rsid w:val="00AA7B18"/>
    <w:rsid w:val="00AC449B"/>
    <w:rsid w:val="00AC5A7A"/>
    <w:rsid w:val="00AC5E42"/>
    <w:rsid w:val="00AC60C6"/>
    <w:rsid w:val="00AC7C1E"/>
    <w:rsid w:val="00AD1237"/>
    <w:rsid w:val="00AD40B5"/>
    <w:rsid w:val="00AD7346"/>
    <w:rsid w:val="00AE12C7"/>
    <w:rsid w:val="00AE2B6B"/>
    <w:rsid w:val="00AE442E"/>
    <w:rsid w:val="00AE65E4"/>
    <w:rsid w:val="00AE7FDD"/>
    <w:rsid w:val="00AF5E7A"/>
    <w:rsid w:val="00AF64D8"/>
    <w:rsid w:val="00B012C9"/>
    <w:rsid w:val="00B125A6"/>
    <w:rsid w:val="00B16DE2"/>
    <w:rsid w:val="00B17AF3"/>
    <w:rsid w:val="00B17EBE"/>
    <w:rsid w:val="00B2143E"/>
    <w:rsid w:val="00B2146A"/>
    <w:rsid w:val="00B2235F"/>
    <w:rsid w:val="00B239FE"/>
    <w:rsid w:val="00B24C21"/>
    <w:rsid w:val="00B262B2"/>
    <w:rsid w:val="00B31757"/>
    <w:rsid w:val="00B371C4"/>
    <w:rsid w:val="00B4057E"/>
    <w:rsid w:val="00B46090"/>
    <w:rsid w:val="00B501D6"/>
    <w:rsid w:val="00B518BE"/>
    <w:rsid w:val="00B629B9"/>
    <w:rsid w:val="00B66C91"/>
    <w:rsid w:val="00B67050"/>
    <w:rsid w:val="00B734E6"/>
    <w:rsid w:val="00B73CFD"/>
    <w:rsid w:val="00B748C2"/>
    <w:rsid w:val="00B7511B"/>
    <w:rsid w:val="00B75411"/>
    <w:rsid w:val="00B76A2D"/>
    <w:rsid w:val="00B76BA4"/>
    <w:rsid w:val="00B81B35"/>
    <w:rsid w:val="00B85DF9"/>
    <w:rsid w:val="00B85E2A"/>
    <w:rsid w:val="00B86322"/>
    <w:rsid w:val="00B93E7D"/>
    <w:rsid w:val="00BB0565"/>
    <w:rsid w:val="00BB49A2"/>
    <w:rsid w:val="00BB5BFA"/>
    <w:rsid w:val="00BB6DC3"/>
    <w:rsid w:val="00BB6FB8"/>
    <w:rsid w:val="00BC0F5E"/>
    <w:rsid w:val="00BC2526"/>
    <w:rsid w:val="00BC5CFD"/>
    <w:rsid w:val="00BC6E02"/>
    <w:rsid w:val="00BC7610"/>
    <w:rsid w:val="00BD2E15"/>
    <w:rsid w:val="00BE101F"/>
    <w:rsid w:val="00BF1798"/>
    <w:rsid w:val="00BF28F5"/>
    <w:rsid w:val="00BF2C4D"/>
    <w:rsid w:val="00BF3D0D"/>
    <w:rsid w:val="00BF3DB1"/>
    <w:rsid w:val="00BF6C55"/>
    <w:rsid w:val="00BF7305"/>
    <w:rsid w:val="00C00949"/>
    <w:rsid w:val="00C01C90"/>
    <w:rsid w:val="00C03732"/>
    <w:rsid w:val="00C0586C"/>
    <w:rsid w:val="00C05AF7"/>
    <w:rsid w:val="00C064D4"/>
    <w:rsid w:val="00C10277"/>
    <w:rsid w:val="00C11A89"/>
    <w:rsid w:val="00C12A1A"/>
    <w:rsid w:val="00C20B8E"/>
    <w:rsid w:val="00C22AC5"/>
    <w:rsid w:val="00C27BBB"/>
    <w:rsid w:val="00C339D8"/>
    <w:rsid w:val="00C376F7"/>
    <w:rsid w:val="00C37FDC"/>
    <w:rsid w:val="00C44870"/>
    <w:rsid w:val="00C50AA2"/>
    <w:rsid w:val="00C52E83"/>
    <w:rsid w:val="00C5538B"/>
    <w:rsid w:val="00C70C26"/>
    <w:rsid w:val="00C717BF"/>
    <w:rsid w:val="00C7339E"/>
    <w:rsid w:val="00C770F6"/>
    <w:rsid w:val="00C80EF7"/>
    <w:rsid w:val="00C906B0"/>
    <w:rsid w:val="00C93DC7"/>
    <w:rsid w:val="00C94FA8"/>
    <w:rsid w:val="00CA247C"/>
    <w:rsid w:val="00CB02FC"/>
    <w:rsid w:val="00CC0732"/>
    <w:rsid w:val="00CC2EFC"/>
    <w:rsid w:val="00CC2F04"/>
    <w:rsid w:val="00CD3F00"/>
    <w:rsid w:val="00CD6869"/>
    <w:rsid w:val="00CD6FE7"/>
    <w:rsid w:val="00CD77B9"/>
    <w:rsid w:val="00CE0BB5"/>
    <w:rsid w:val="00CE6CFF"/>
    <w:rsid w:val="00CE6FE4"/>
    <w:rsid w:val="00CE7267"/>
    <w:rsid w:val="00CE7AC1"/>
    <w:rsid w:val="00CF17F8"/>
    <w:rsid w:val="00CF249D"/>
    <w:rsid w:val="00D03DE5"/>
    <w:rsid w:val="00D05351"/>
    <w:rsid w:val="00D0547D"/>
    <w:rsid w:val="00D07216"/>
    <w:rsid w:val="00D11652"/>
    <w:rsid w:val="00D13D47"/>
    <w:rsid w:val="00D20C3F"/>
    <w:rsid w:val="00D25C53"/>
    <w:rsid w:val="00D30875"/>
    <w:rsid w:val="00D329F5"/>
    <w:rsid w:val="00D34E3D"/>
    <w:rsid w:val="00D45696"/>
    <w:rsid w:val="00D4641D"/>
    <w:rsid w:val="00D466F0"/>
    <w:rsid w:val="00D509DF"/>
    <w:rsid w:val="00D52229"/>
    <w:rsid w:val="00D526CE"/>
    <w:rsid w:val="00D6391F"/>
    <w:rsid w:val="00D6438C"/>
    <w:rsid w:val="00D655A4"/>
    <w:rsid w:val="00D67554"/>
    <w:rsid w:val="00D675E1"/>
    <w:rsid w:val="00D709F0"/>
    <w:rsid w:val="00D720D2"/>
    <w:rsid w:val="00D734B3"/>
    <w:rsid w:val="00D87EA8"/>
    <w:rsid w:val="00D977E8"/>
    <w:rsid w:val="00DA141D"/>
    <w:rsid w:val="00DA1B8E"/>
    <w:rsid w:val="00DA48EF"/>
    <w:rsid w:val="00DA4CD2"/>
    <w:rsid w:val="00DA56F1"/>
    <w:rsid w:val="00DA60C0"/>
    <w:rsid w:val="00DB25FA"/>
    <w:rsid w:val="00DD3766"/>
    <w:rsid w:val="00DD3997"/>
    <w:rsid w:val="00DD3DBC"/>
    <w:rsid w:val="00DD6050"/>
    <w:rsid w:val="00DD7C37"/>
    <w:rsid w:val="00DE154B"/>
    <w:rsid w:val="00DE6889"/>
    <w:rsid w:val="00DE73D9"/>
    <w:rsid w:val="00DE7704"/>
    <w:rsid w:val="00DF03A8"/>
    <w:rsid w:val="00DF0AC8"/>
    <w:rsid w:val="00DF3A95"/>
    <w:rsid w:val="00DF438D"/>
    <w:rsid w:val="00DF4958"/>
    <w:rsid w:val="00DF4EC9"/>
    <w:rsid w:val="00DF663F"/>
    <w:rsid w:val="00E01F5A"/>
    <w:rsid w:val="00E0250D"/>
    <w:rsid w:val="00E03C17"/>
    <w:rsid w:val="00E0571A"/>
    <w:rsid w:val="00E05893"/>
    <w:rsid w:val="00E07DB3"/>
    <w:rsid w:val="00E119BD"/>
    <w:rsid w:val="00E124C3"/>
    <w:rsid w:val="00E12B7B"/>
    <w:rsid w:val="00E15B1B"/>
    <w:rsid w:val="00E27F1F"/>
    <w:rsid w:val="00E3200A"/>
    <w:rsid w:val="00E35F55"/>
    <w:rsid w:val="00E37101"/>
    <w:rsid w:val="00E4484F"/>
    <w:rsid w:val="00E45D2A"/>
    <w:rsid w:val="00E47037"/>
    <w:rsid w:val="00E50922"/>
    <w:rsid w:val="00E567BB"/>
    <w:rsid w:val="00E60F52"/>
    <w:rsid w:val="00E62BC8"/>
    <w:rsid w:val="00E726CD"/>
    <w:rsid w:val="00E7461B"/>
    <w:rsid w:val="00E77941"/>
    <w:rsid w:val="00E843CC"/>
    <w:rsid w:val="00E84870"/>
    <w:rsid w:val="00E85E06"/>
    <w:rsid w:val="00E86D82"/>
    <w:rsid w:val="00E9016A"/>
    <w:rsid w:val="00E9045E"/>
    <w:rsid w:val="00E908BD"/>
    <w:rsid w:val="00E92EFF"/>
    <w:rsid w:val="00E94CEB"/>
    <w:rsid w:val="00EA450D"/>
    <w:rsid w:val="00EA61A2"/>
    <w:rsid w:val="00EA6978"/>
    <w:rsid w:val="00EA7646"/>
    <w:rsid w:val="00EB16F9"/>
    <w:rsid w:val="00EB1AAB"/>
    <w:rsid w:val="00EB7AAF"/>
    <w:rsid w:val="00EC4311"/>
    <w:rsid w:val="00EC5F24"/>
    <w:rsid w:val="00EC6129"/>
    <w:rsid w:val="00EE2AA7"/>
    <w:rsid w:val="00EE67AD"/>
    <w:rsid w:val="00EF0F5B"/>
    <w:rsid w:val="00EF18FD"/>
    <w:rsid w:val="00EF1F54"/>
    <w:rsid w:val="00EF2771"/>
    <w:rsid w:val="00EF56ED"/>
    <w:rsid w:val="00EF6B56"/>
    <w:rsid w:val="00EF6E31"/>
    <w:rsid w:val="00EF74F9"/>
    <w:rsid w:val="00F03275"/>
    <w:rsid w:val="00F233B1"/>
    <w:rsid w:val="00F23501"/>
    <w:rsid w:val="00F25005"/>
    <w:rsid w:val="00F252F6"/>
    <w:rsid w:val="00F25FA9"/>
    <w:rsid w:val="00F30A9A"/>
    <w:rsid w:val="00F377AE"/>
    <w:rsid w:val="00F443AD"/>
    <w:rsid w:val="00F44BAB"/>
    <w:rsid w:val="00F452F8"/>
    <w:rsid w:val="00F4596B"/>
    <w:rsid w:val="00F5040D"/>
    <w:rsid w:val="00F50DD0"/>
    <w:rsid w:val="00F52270"/>
    <w:rsid w:val="00F536A1"/>
    <w:rsid w:val="00F544CD"/>
    <w:rsid w:val="00F5726E"/>
    <w:rsid w:val="00F6226D"/>
    <w:rsid w:val="00F65AB3"/>
    <w:rsid w:val="00F67392"/>
    <w:rsid w:val="00F74767"/>
    <w:rsid w:val="00F74AB0"/>
    <w:rsid w:val="00F75FD3"/>
    <w:rsid w:val="00F76254"/>
    <w:rsid w:val="00F816AE"/>
    <w:rsid w:val="00F85EE8"/>
    <w:rsid w:val="00F86555"/>
    <w:rsid w:val="00F97997"/>
    <w:rsid w:val="00F97FDF"/>
    <w:rsid w:val="00FA0610"/>
    <w:rsid w:val="00FA4F75"/>
    <w:rsid w:val="00FA59BF"/>
    <w:rsid w:val="00FA7A50"/>
    <w:rsid w:val="00FB0005"/>
    <w:rsid w:val="00FB1FB8"/>
    <w:rsid w:val="00FB7367"/>
    <w:rsid w:val="00FC1C66"/>
    <w:rsid w:val="00FC49BE"/>
    <w:rsid w:val="00FC5942"/>
    <w:rsid w:val="00FC6B03"/>
    <w:rsid w:val="00FC7296"/>
    <w:rsid w:val="00FD3DB8"/>
    <w:rsid w:val="00FD68E8"/>
    <w:rsid w:val="00FE0FE1"/>
    <w:rsid w:val="00FE24B1"/>
    <w:rsid w:val="00FE360E"/>
    <w:rsid w:val="00FE443B"/>
    <w:rsid w:val="00FE5A86"/>
    <w:rsid w:val="00FE5ED4"/>
    <w:rsid w:val="00FE7B6F"/>
    <w:rsid w:val="00FF1045"/>
    <w:rsid w:val="00FF11FB"/>
    <w:rsid w:val="00FF18EB"/>
    <w:rsid w:val="00FF6E32"/>
    <w:rsid w:val="00FF71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F95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link w:val="Heading2Char"/>
    <w:unhideWhenUsed/>
    <w:qFormat/>
    <w:rsid w:val="007D1ED8"/>
    <w:pPr>
      <w:keepNext/>
      <w:keepLines/>
      <w:spacing w:after="120"/>
      <w:ind w:left="709" w:hanging="709"/>
      <w:outlineLvl w:val="1"/>
    </w:pPr>
    <w:rPr>
      <w:rFonts w:ascii="Arial" w:eastAsiaTheme="majorEastAsia" w:hAnsi="Arial" w:cstheme="majorBidi"/>
      <w:b/>
      <w:bCs/>
      <w:sz w:val="22"/>
      <w:szCs w:val="26"/>
      <w:lang w:eastAsia="en-US"/>
    </w:rPr>
  </w:style>
  <w:style w:type="paragraph" w:styleId="Heading5">
    <w:name w:val="heading 5"/>
    <w:basedOn w:val="Normal"/>
    <w:qFormat/>
    <w:rsid w:val="000E0270"/>
    <w:pPr>
      <w:spacing w:before="100" w:beforeAutospacing="1" w:after="100" w:afterAutospacing="1"/>
      <w:outlineLvl w:val="4"/>
    </w:pPr>
    <w:rPr>
      <w:rFonts w:ascii="Arial" w:hAnsi="Arial" w:cs="Arial"/>
      <w:b/>
      <w:bCs/>
      <w:color w:val="0033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A1078"/>
    <w:pPr>
      <w:tabs>
        <w:tab w:val="center" w:pos="4153"/>
        <w:tab w:val="right" w:pos="8306"/>
      </w:tabs>
    </w:pPr>
  </w:style>
  <w:style w:type="paragraph" w:styleId="Footer">
    <w:name w:val="footer"/>
    <w:basedOn w:val="Normal"/>
    <w:rsid w:val="000A1078"/>
    <w:pPr>
      <w:tabs>
        <w:tab w:val="center" w:pos="4153"/>
        <w:tab w:val="right" w:pos="8306"/>
      </w:tabs>
    </w:pPr>
  </w:style>
  <w:style w:type="table" w:styleId="TableGrid">
    <w:name w:val="Table Grid"/>
    <w:basedOn w:val="TableNormal"/>
    <w:rsid w:val="001847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E0270"/>
    <w:rPr>
      <w:color w:val="0000EE"/>
      <w:u w:val="single"/>
    </w:rPr>
  </w:style>
  <w:style w:type="paragraph" w:styleId="NormalWeb">
    <w:name w:val="Normal (Web)"/>
    <w:basedOn w:val="Normal"/>
    <w:rsid w:val="000E0270"/>
    <w:pPr>
      <w:spacing w:before="100" w:beforeAutospacing="1" w:after="100" w:afterAutospacing="1"/>
    </w:pPr>
    <w:rPr>
      <w:rFonts w:ascii="Arial" w:hAnsi="Arial" w:cs="Arial"/>
      <w:color w:val="000000"/>
      <w:sz w:val="20"/>
      <w:szCs w:val="20"/>
    </w:rPr>
  </w:style>
  <w:style w:type="paragraph" w:styleId="FootnoteText">
    <w:name w:val="footnote text"/>
    <w:basedOn w:val="Normal"/>
    <w:semiHidden/>
    <w:rsid w:val="00FF6E32"/>
    <w:rPr>
      <w:sz w:val="20"/>
      <w:szCs w:val="20"/>
    </w:rPr>
  </w:style>
  <w:style w:type="character" w:styleId="FootnoteReference">
    <w:name w:val="footnote reference"/>
    <w:basedOn w:val="DefaultParagraphFont"/>
    <w:semiHidden/>
    <w:rsid w:val="00FF6E32"/>
    <w:rPr>
      <w:vertAlign w:val="superscript"/>
    </w:rPr>
  </w:style>
  <w:style w:type="paragraph" w:styleId="BalloonText">
    <w:name w:val="Balloon Text"/>
    <w:basedOn w:val="Normal"/>
    <w:semiHidden/>
    <w:rsid w:val="00DD3997"/>
    <w:rPr>
      <w:rFonts w:ascii="Tahoma" w:hAnsi="Tahoma" w:cs="Tahoma"/>
      <w:sz w:val="16"/>
      <w:szCs w:val="16"/>
    </w:rPr>
  </w:style>
  <w:style w:type="character" w:styleId="CommentReference">
    <w:name w:val="annotation reference"/>
    <w:basedOn w:val="DefaultParagraphFont"/>
    <w:semiHidden/>
    <w:rsid w:val="000B2C32"/>
    <w:rPr>
      <w:sz w:val="16"/>
      <w:szCs w:val="16"/>
    </w:rPr>
  </w:style>
  <w:style w:type="paragraph" w:styleId="CommentText">
    <w:name w:val="annotation text"/>
    <w:basedOn w:val="Normal"/>
    <w:semiHidden/>
    <w:rsid w:val="000B2C32"/>
    <w:rPr>
      <w:sz w:val="20"/>
      <w:szCs w:val="20"/>
    </w:rPr>
  </w:style>
  <w:style w:type="paragraph" w:styleId="CommentSubject">
    <w:name w:val="annotation subject"/>
    <w:basedOn w:val="CommentText"/>
    <w:next w:val="CommentText"/>
    <w:semiHidden/>
    <w:rsid w:val="000B2C32"/>
    <w:rPr>
      <w:b/>
      <w:bCs/>
    </w:rPr>
  </w:style>
  <w:style w:type="paragraph" w:customStyle="1" w:styleId="dotpoint">
    <w:name w:val="dot point"/>
    <w:basedOn w:val="Normal"/>
    <w:rsid w:val="009F074B"/>
    <w:pPr>
      <w:numPr>
        <w:numId w:val="8"/>
      </w:numPr>
      <w:spacing w:before="120" w:after="120"/>
    </w:pPr>
    <w:rPr>
      <w:rFonts w:ascii="Times" w:eastAsiaTheme="minorHAnsi" w:hAnsi="Times" w:cs="Times"/>
      <w:sz w:val="22"/>
      <w:szCs w:val="22"/>
    </w:rPr>
  </w:style>
  <w:style w:type="paragraph" w:styleId="ListParagraph">
    <w:name w:val="List Paragraph"/>
    <w:basedOn w:val="Normal"/>
    <w:uiPriority w:val="34"/>
    <w:qFormat/>
    <w:rsid w:val="00FE5ED4"/>
    <w:pPr>
      <w:ind w:left="720"/>
      <w:contextualSpacing/>
    </w:pPr>
  </w:style>
  <w:style w:type="character" w:customStyle="1" w:styleId="Heading2Char">
    <w:name w:val="Heading 2 Char"/>
    <w:basedOn w:val="DefaultParagraphFont"/>
    <w:link w:val="Heading2"/>
    <w:rsid w:val="007D1ED8"/>
    <w:rPr>
      <w:rFonts w:ascii="Arial" w:eastAsiaTheme="majorEastAsia" w:hAnsi="Arial" w:cstheme="majorBidi"/>
      <w:b/>
      <w:bCs/>
      <w:sz w:val="22"/>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link w:val="Heading2Char"/>
    <w:unhideWhenUsed/>
    <w:qFormat/>
    <w:rsid w:val="007D1ED8"/>
    <w:pPr>
      <w:keepNext/>
      <w:keepLines/>
      <w:spacing w:after="120"/>
      <w:ind w:left="709" w:hanging="709"/>
      <w:outlineLvl w:val="1"/>
    </w:pPr>
    <w:rPr>
      <w:rFonts w:ascii="Arial" w:eastAsiaTheme="majorEastAsia" w:hAnsi="Arial" w:cstheme="majorBidi"/>
      <w:b/>
      <w:bCs/>
      <w:sz w:val="22"/>
      <w:szCs w:val="26"/>
      <w:lang w:eastAsia="en-US"/>
    </w:rPr>
  </w:style>
  <w:style w:type="paragraph" w:styleId="Heading5">
    <w:name w:val="heading 5"/>
    <w:basedOn w:val="Normal"/>
    <w:qFormat/>
    <w:rsid w:val="000E0270"/>
    <w:pPr>
      <w:spacing w:before="100" w:beforeAutospacing="1" w:after="100" w:afterAutospacing="1"/>
      <w:outlineLvl w:val="4"/>
    </w:pPr>
    <w:rPr>
      <w:rFonts w:ascii="Arial" w:hAnsi="Arial" w:cs="Arial"/>
      <w:b/>
      <w:bCs/>
      <w:color w:val="0033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A1078"/>
    <w:pPr>
      <w:tabs>
        <w:tab w:val="center" w:pos="4153"/>
        <w:tab w:val="right" w:pos="8306"/>
      </w:tabs>
    </w:pPr>
  </w:style>
  <w:style w:type="paragraph" w:styleId="Footer">
    <w:name w:val="footer"/>
    <w:basedOn w:val="Normal"/>
    <w:rsid w:val="000A1078"/>
    <w:pPr>
      <w:tabs>
        <w:tab w:val="center" w:pos="4153"/>
        <w:tab w:val="right" w:pos="8306"/>
      </w:tabs>
    </w:pPr>
  </w:style>
  <w:style w:type="table" w:styleId="TableGrid">
    <w:name w:val="Table Grid"/>
    <w:basedOn w:val="TableNormal"/>
    <w:rsid w:val="001847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E0270"/>
    <w:rPr>
      <w:color w:val="0000EE"/>
      <w:u w:val="single"/>
    </w:rPr>
  </w:style>
  <w:style w:type="paragraph" w:styleId="NormalWeb">
    <w:name w:val="Normal (Web)"/>
    <w:basedOn w:val="Normal"/>
    <w:rsid w:val="000E0270"/>
    <w:pPr>
      <w:spacing w:before="100" w:beforeAutospacing="1" w:after="100" w:afterAutospacing="1"/>
    </w:pPr>
    <w:rPr>
      <w:rFonts w:ascii="Arial" w:hAnsi="Arial" w:cs="Arial"/>
      <w:color w:val="000000"/>
      <w:sz w:val="20"/>
      <w:szCs w:val="20"/>
    </w:rPr>
  </w:style>
  <w:style w:type="paragraph" w:styleId="FootnoteText">
    <w:name w:val="footnote text"/>
    <w:basedOn w:val="Normal"/>
    <w:semiHidden/>
    <w:rsid w:val="00FF6E32"/>
    <w:rPr>
      <w:sz w:val="20"/>
      <w:szCs w:val="20"/>
    </w:rPr>
  </w:style>
  <w:style w:type="character" w:styleId="FootnoteReference">
    <w:name w:val="footnote reference"/>
    <w:basedOn w:val="DefaultParagraphFont"/>
    <w:semiHidden/>
    <w:rsid w:val="00FF6E32"/>
    <w:rPr>
      <w:vertAlign w:val="superscript"/>
    </w:rPr>
  </w:style>
  <w:style w:type="paragraph" w:styleId="BalloonText">
    <w:name w:val="Balloon Text"/>
    <w:basedOn w:val="Normal"/>
    <w:semiHidden/>
    <w:rsid w:val="00DD3997"/>
    <w:rPr>
      <w:rFonts w:ascii="Tahoma" w:hAnsi="Tahoma" w:cs="Tahoma"/>
      <w:sz w:val="16"/>
      <w:szCs w:val="16"/>
    </w:rPr>
  </w:style>
  <w:style w:type="character" w:styleId="CommentReference">
    <w:name w:val="annotation reference"/>
    <w:basedOn w:val="DefaultParagraphFont"/>
    <w:semiHidden/>
    <w:rsid w:val="000B2C32"/>
    <w:rPr>
      <w:sz w:val="16"/>
      <w:szCs w:val="16"/>
    </w:rPr>
  </w:style>
  <w:style w:type="paragraph" w:styleId="CommentText">
    <w:name w:val="annotation text"/>
    <w:basedOn w:val="Normal"/>
    <w:semiHidden/>
    <w:rsid w:val="000B2C32"/>
    <w:rPr>
      <w:sz w:val="20"/>
      <w:szCs w:val="20"/>
    </w:rPr>
  </w:style>
  <w:style w:type="paragraph" w:styleId="CommentSubject">
    <w:name w:val="annotation subject"/>
    <w:basedOn w:val="CommentText"/>
    <w:next w:val="CommentText"/>
    <w:semiHidden/>
    <w:rsid w:val="000B2C32"/>
    <w:rPr>
      <w:b/>
      <w:bCs/>
    </w:rPr>
  </w:style>
  <w:style w:type="paragraph" w:customStyle="1" w:styleId="dotpoint">
    <w:name w:val="dot point"/>
    <w:basedOn w:val="Normal"/>
    <w:rsid w:val="009F074B"/>
    <w:pPr>
      <w:numPr>
        <w:numId w:val="8"/>
      </w:numPr>
      <w:spacing w:before="120" w:after="120"/>
    </w:pPr>
    <w:rPr>
      <w:rFonts w:ascii="Times" w:eastAsiaTheme="minorHAnsi" w:hAnsi="Times" w:cs="Times"/>
      <w:sz w:val="22"/>
      <w:szCs w:val="22"/>
    </w:rPr>
  </w:style>
  <w:style w:type="paragraph" w:styleId="ListParagraph">
    <w:name w:val="List Paragraph"/>
    <w:basedOn w:val="Normal"/>
    <w:uiPriority w:val="34"/>
    <w:qFormat/>
    <w:rsid w:val="00FE5ED4"/>
    <w:pPr>
      <w:ind w:left="720"/>
      <w:contextualSpacing/>
    </w:pPr>
  </w:style>
  <w:style w:type="character" w:customStyle="1" w:styleId="Heading2Char">
    <w:name w:val="Heading 2 Char"/>
    <w:basedOn w:val="DefaultParagraphFont"/>
    <w:link w:val="Heading2"/>
    <w:rsid w:val="007D1ED8"/>
    <w:rPr>
      <w:rFonts w:ascii="Arial" w:eastAsiaTheme="majorEastAsia" w:hAnsi="Arial" w:cstheme="majorBidi"/>
      <w:b/>
      <w:bCs/>
      <w:sz w:val="22"/>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065044">
      <w:bodyDiv w:val="1"/>
      <w:marLeft w:val="75"/>
      <w:marRight w:val="75"/>
      <w:marTop w:val="75"/>
      <w:marBottom w:val="75"/>
      <w:divBdr>
        <w:top w:val="none" w:sz="0" w:space="0" w:color="auto"/>
        <w:left w:val="none" w:sz="0" w:space="0" w:color="auto"/>
        <w:bottom w:val="none" w:sz="0" w:space="0" w:color="auto"/>
        <w:right w:val="none" w:sz="0" w:space="0" w:color="auto"/>
      </w:divBdr>
      <w:divsChild>
        <w:div w:id="561600509">
          <w:blockQuote w:val="1"/>
          <w:marLeft w:val="750"/>
          <w:marRight w:val="750"/>
          <w:marTop w:val="100"/>
          <w:marBottom w:val="100"/>
          <w:divBdr>
            <w:top w:val="none" w:sz="0" w:space="0" w:color="auto"/>
            <w:left w:val="none" w:sz="0" w:space="0" w:color="auto"/>
            <w:bottom w:val="none" w:sz="0" w:space="0" w:color="auto"/>
            <w:right w:val="none" w:sz="0" w:space="0" w:color="auto"/>
          </w:divBdr>
        </w:div>
        <w:div w:id="1061295538">
          <w:blockQuote w:val="1"/>
          <w:marLeft w:val="750"/>
          <w:marRight w:val="750"/>
          <w:marTop w:val="100"/>
          <w:marBottom w:val="100"/>
          <w:divBdr>
            <w:top w:val="none" w:sz="0" w:space="0" w:color="auto"/>
            <w:left w:val="none" w:sz="0" w:space="0" w:color="auto"/>
            <w:bottom w:val="none" w:sz="0" w:space="0" w:color="auto"/>
            <w:right w:val="none" w:sz="0" w:space="0" w:color="auto"/>
          </w:divBdr>
        </w:div>
        <w:div w:id="1280334708">
          <w:blockQuote w:val="1"/>
          <w:marLeft w:val="750"/>
          <w:marRight w:val="750"/>
          <w:marTop w:val="100"/>
          <w:marBottom w:val="100"/>
          <w:divBdr>
            <w:top w:val="none" w:sz="0" w:space="0" w:color="auto"/>
            <w:left w:val="none" w:sz="0" w:space="0" w:color="auto"/>
            <w:bottom w:val="none" w:sz="0" w:space="0" w:color="auto"/>
            <w:right w:val="none" w:sz="0" w:space="0" w:color="auto"/>
          </w:divBdr>
        </w:div>
        <w:div w:id="1633555215">
          <w:blockQuote w:val="1"/>
          <w:marLeft w:val="750"/>
          <w:marRight w:val="750"/>
          <w:marTop w:val="100"/>
          <w:marBottom w:val="100"/>
          <w:divBdr>
            <w:top w:val="none" w:sz="0" w:space="0" w:color="auto"/>
            <w:left w:val="none" w:sz="0" w:space="0" w:color="auto"/>
            <w:bottom w:val="none" w:sz="0" w:space="0" w:color="auto"/>
            <w:right w:val="none" w:sz="0" w:space="0" w:color="auto"/>
          </w:divBdr>
        </w:div>
        <w:div w:id="1727409488">
          <w:blockQuote w:val="1"/>
          <w:marLeft w:val="750"/>
          <w:marRight w:val="750"/>
          <w:marTop w:val="100"/>
          <w:marBottom w:val="100"/>
          <w:divBdr>
            <w:top w:val="none" w:sz="0" w:space="0" w:color="auto"/>
            <w:left w:val="none" w:sz="0" w:space="0" w:color="auto"/>
            <w:bottom w:val="none" w:sz="0" w:space="0" w:color="auto"/>
            <w:right w:val="none" w:sz="0" w:space="0" w:color="auto"/>
          </w:divBdr>
        </w:div>
      </w:divsChild>
    </w:div>
    <w:div w:id="1043796840">
      <w:bodyDiv w:val="1"/>
      <w:marLeft w:val="75"/>
      <w:marRight w:val="75"/>
      <w:marTop w:val="75"/>
      <w:marBottom w:val="75"/>
      <w:divBdr>
        <w:top w:val="none" w:sz="0" w:space="0" w:color="auto"/>
        <w:left w:val="none" w:sz="0" w:space="0" w:color="auto"/>
        <w:bottom w:val="none" w:sz="0" w:space="0" w:color="auto"/>
        <w:right w:val="none" w:sz="0" w:space="0" w:color="auto"/>
      </w:divBdr>
      <w:divsChild>
        <w:div w:id="120657156">
          <w:blockQuote w:val="1"/>
          <w:marLeft w:val="750"/>
          <w:marRight w:val="750"/>
          <w:marTop w:val="100"/>
          <w:marBottom w:val="100"/>
          <w:divBdr>
            <w:top w:val="none" w:sz="0" w:space="0" w:color="auto"/>
            <w:left w:val="none" w:sz="0" w:space="0" w:color="auto"/>
            <w:bottom w:val="none" w:sz="0" w:space="0" w:color="auto"/>
            <w:right w:val="none" w:sz="0" w:space="0" w:color="auto"/>
          </w:divBdr>
        </w:div>
        <w:div w:id="1219437675">
          <w:blockQuote w:val="1"/>
          <w:marLeft w:val="750"/>
          <w:marRight w:val="750"/>
          <w:marTop w:val="100"/>
          <w:marBottom w:val="100"/>
          <w:divBdr>
            <w:top w:val="none" w:sz="0" w:space="0" w:color="auto"/>
            <w:left w:val="none" w:sz="0" w:space="0" w:color="auto"/>
            <w:bottom w:val="none" w:sz="0" w:space="0" w:color="auto"/>
            <w:right w:val="none" w:sz="0" w:space="0" w:color="auto"/>
          </w:divBdr>
        </w:div>
      </w:divsChild>
    </w:div>
    <w:div w:id="1570189766">
      <w:bodyDiv w:val="1"/>
      <w:marLeft w:val="75"/>
      <w:marRight w:val="75"/>
      <w:marTop w:val="75"/>
      <w:marBottom w:val="75"/>
      <w:divBdr>
        <w:top w:val="none" w:sz="0" w:space="0" w:color="auto"/>
        <w:left w:val="none" w:sz="0" w:space="0" w:color="auto"/>
        <w:bottom w:val="none" w:sz="0" w:space="0" w:color="auto"/>
        <w:right w:val="none" w:sz="0" w:space="0" w:color="auto"/>
      </w:divBdr>
      <w:divsChild>
        <w:div w:id="599607574">
          <w:blockQuote w:val="1"/>
          <w:marLeft w:val="750"/>
          <w:marRight w:val="750"/>
          <w:marTop w:val="100"/>
          <w:marBottom w:val="100"/>
          <w:divBdr>
            <w:top w:val="none" w:sz="0" w:space="0" w:color="auto"/>
            <w:left w:val="none" w:sz="0" w:space="0" w:color="auto"/>
            <w:bottom w:val="none" w:sz="0" w:space="0" w:color="auto"/>
            <w:right w:val="none" w:sz="0" w:space="0" w:color="auto"/>
          </w:divBdr>
        </w:div>
        <w:div w:id="868951037">
          <w:blockQuote w:val="1"/>
          <w:marLeft w:val="750"/>
          <w:marRight w:val="750"/>
          <w:marTop w:val="100"/>
          <w:marBottom w:val="100"/>
          <w:divBdr>
            <w:top w:val="none" w:sz="0" w:space="0" w:color="auto"/>
            <w:left w:val="none" w:sz="0" w:space="0" w:color="auto"/>
            <w:bottom w:val="none" w:sz="0" w:space="0" w:color="auto"/>
            <w:right w:val="none" w:sz="0" w:space="0" w:color="auto"/>
          </w:divBdr>
        </w:div>
      </w:divsChild>
    </w:div>
    <w:div w:id="1598053774">
      <w:bodyDiv w:val="1"/>
      <w:marLeft w:val="75"/>
      <w:marRight w:val="75"/>
      <w:marTop w:val="75"/>
      <w:marBottom w:val="75"/>
      <w:divBdr>
        <w:top w:val="none" w:sz="0" w:space="0" w:color="auto"/>
        <w:left w:val="none" w:sz="0" w:space="0" w:color="auto"/>
        <w:bottom w:val="none" w:sz="0" w:space="0" w:color="auto"/>
        <w:right w:val="none" w:sz="0" w:space="0" w:color="auto"/>
      </w:divBdr>
      <w:divsChild>
        <w:div w:id="1513493805">
          <w:blockQuote w:val="1"/>
          <w:marLeft w:val="750"/>
          <w:marRight w:val="750"/>
          <w:marTop w:val="100"/>
          <w:marBottom w:val="100"/>
          <w:divBdr>
            <w:top w:val="none" w:sz="0" w:space="0" w:color="auto"/>
            <w:left w:val="none" w:sz="0" w:space="0" w:color="auto"/>
            <w:bottom w:val="none" w:sz="0" w:space="0" w:color="auto"/>
            <w:right w:val="none" w:sz="0" w:space="0" w:color="auto"/>
          </w:divBdr>
        </w:div>
        <w:div w:id="1869563057">
          <w:blockQuote w:val="1"/>
          <w:marLeft w:val="750"/>
          <w:marRight w:val="750"/>
          <w:marTop w:val="100"/>
          <w:marBottom w:val="100"/>
          <w:divBdr>
            <w:top w:val="none" w:sz="0" w:space="0" w:color="auto"/>
            <w:left w:val="none" w:sz="0" w:space="0" w:color="auto"/>
            <w:bottom w:val="none" w:sz="0" w:space="0" w:color="auto"/>
            <w:right w:val="none" w:sz="0" w:space="0" w:color="auto"/>
          </w:divBdr>
        </w:div>
      </w:divsChild>
    </w:div>
    <w:div w:id="1788507813">
      <w:bodyDiv w:val="1"/>
      <w:marLeft w:val="75"/>
      <w:marRight w:val="75"/>
      <w:marTop w:val="75"/>
      <w:marBottom w:val="75"/>
      <w:divBdr>
        <w:top w:val="none" w:sz="0" w:space="0" w:color="auto"/>
        <w:left w:val="none" w:sz="0" w:space="0" w:color="auto"/>
        <w:bottom w:val="none" w:sz="0" w:space="0" w:color="auto"/>
        <w:right w:val="none" w:sz="0" w:space="0" w:color="auto"/>
      </w:divBdr>
      <w:divsChild>
        <w:div w:id="321586186">
          <w:blockQuote w:val="1"/>
          <w:marLeft w:val="750"/>
          <w:marRight w:val="750"/>
          <w:marTop w:val="100"/>
          <w:marBottom w:val="100"/>
          <w:divBdr>
            <w:top w:val="none" w:sz="0" w:space="0" w:color="auto"/>
            <w:left w:val="none" w:sz="0" w:space="0" w:color="auto"/>
            <w:bottom w:val="none" w:sz="0" w:space="0" w:color="auto"/>
            <w:right w:val="none" w:sz="0" w:space="0" w:color="auto"/>
          </w:divBdr>
        </w:div>
        <w:div w:id="1552962943">
          <w:blockQuote w:val="1"/>
          <w:marLeft w:val="750"/>
          <w:marRight w:val="750"/>
          <w:marTop w:val="100"/>
          <w:marBottom w:val="100"/>
          <w:divBdr>
            <w:top w:val="none" w:sz="0" w:space="0" w:color="auto"/>
            <w:left w:val="none" w:sz="0" w:space="0" w:color="auto"/>
            <w:bottom w:val="none" w:sz="0" w:space="0" w:color="auto"/>
            <w:right w:val="none" w:sz="0" w:space="0" w:color="auto"/>
          </w:divBdr>
        </w:div>
      </w:divsChild>
    </w:div>
    <w:div w:id="192495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False</openByDefault>
  <xsnScope>http://sharepoint</xsnScope>
</customXsn>
</file>

<file path=customXml/item2.xml><?xml version="1.0" encoding="utf-8"?>
<p:properties xmlns:p="http://schemas.microsoft.com/office/2006/metadata/properties" xmlns:xsi="http://www.w3.org/2001/XMLSchema-instance" xmlns:pc="http://schemas.microsoft.com/office/infopath/2007/PartnerControls">
  <documentManagement>
    <Category xmlns="c65f9449-2a65-4a94-823f-6ddb40b10aaa">
      <Value>Governance</Value>
    </Category>
    <TaxKeywordTaxHTField xmlns="5e039acd-daf0-4ba3-b421-e9b9ae1a3620">
      <Terms xmlns="http://schemas.microsoft.com/office/infopath/2007/PartnerControls"/>
    </TaxKeywordTaxHTField>
    <n1a6d2b88979416cad2cc3ecb331e44a xmlns="5e039acd-daf0-4ba3-b421-e9b9ae1a362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1bbb598d-ed8e-4faa-b9b5-c952cc7313f8</TermId>
        </TermInfo>
      </Terms>
    </n1a6d2b88979416cad2cc3ecb331e44a>
    <Branch xmlns="c65f9449-2a65-4a94-823f-6ddb40b10aaa">Law Design &amp; Governance</Branch>
    <TaxCatchAll xmlns="5e039acd-daf0-4ba3-b421-e9b9ae1a3620">
      <Value>1</Value>
    </TaxCatchAll>
    <_dlc_ExpireDateSaved xmlns="http://schemas.microsoft.com/sharepoint/v3" xsi:nil="true"/>
    <_dlc_ExpireDate xmlns="http://schemas.microsoft.com/sharepoint/v3">2027-04-21T01:45:01+00:00</_dlc_ExpireDate>
    <_dlc_DocId xmlns="5e039acd-daf0-4ba3-b421-e9b9ae1a3620">5YHNKJZSV77T-1853-1469</_dlc_DocId>
    <_dlc_DocIdUrl xmlns="5e039acd-daf0-4ba3-b421-e9b9ae1a3620">
      <Url>http://sharepoint/GASites/IntegratedTaxDesign/_layouts/DocIdRedir.aspx?ID=5YHNKJZSV77T-1853-1469</Url>
      <Description>5YHNKJZSV77T-1853-1469</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spe:Receivers>
</file>

<file path=customXml/item4.xml><?xml version="1.0" encoding="utf-8"?>
<?mso-contentType ?>
<p:Policy xmlns:p="office.server.policy" id="" local="true">
  <p:Name>Word</p:Name>
  <p:Description/>
  <p:Statement/>
  <p:PolicyItems>
    <p:PolicyItem featureId="Microsoft.Office.RecordsManagement.PolicyFeatures.Expiration" staticId="0x010100A64679C44DADA04984EEB770C4791873|1060299444" UniqueId="4cb30c36-7391-4ddd-ab56-a47c5a5217a7">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10</number>
                  <property>Modified</property>
                  <propertyId>28cf69c5-fa48-462a-b5cd-27b6f9d2bd5f</propertyId>
                  <period>years</period>
                </formula>
                <action type="action" id="Microsoft.Office.RecordsManagement.PolicyFeatures.Expiration.Action.Delete"/>
              </data>
            </stages>
          </Schedule>
        </Schedules>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Word" ma:contentTypeID="0x010100A64679C44DADA04984EEB770C4791873006B50A42D46FE94428A184B3B20B7217F" ma:contentTypeVersion="40" ma:contentTypeDescription="" ma:contentTypeScope="" ma:versionID="648be8763a6aea8338c6a7265d703936">
  <xsd:schema xmlns:xsd="http://www.w3.org/2001/XMLSchema" xmlns:xs="http://www.w3.org/2001/XMLSchema" xmlns:p="http://schemas.microsoft.com/office/2006/metadata/properties" xmlns:ns1="http://schemas.microsoft.com/sharepoint/v3" xmlns:ns2="5e039acd-daf0-4ba3-b421-e9b9ae1a3620" xmlns:ns3="c65f9449-2a65-4a94-823f-6ddb40b10aaa" targetNamespace="http://schemas.microsoft.com/office/2006/metadata/properties" ma:root="true" ma:fieldsID="70f7ab4a0ee816d215b7013c42be5da4" ns1:_="" ns2:_="" ns3:_="">
    <xsd:import namespace="http://schemas.microsoft.com/sharepoint/v3"/>
    <xsd:import namespace="5e039acd-daf0-4ba3-b421-e9b9ae1a3620"/>
    <xsd:import namespace="c65f9449-2a65-4a94-823f-6ddb40b10aaa"/>
    <xsd:element name="properties">
      <xsd:complexType>
        <xsd:sequence>
          <xsd:element name="documentManagement">
            <xsd:complexType>
              <xsd:all>
                <xsd:element ref="ns2:_dlc_DocId" minOccurs="0"/>
                <xsd:element ref="ns2:_dlc_DocIdUrl" minOccurs="0"/>
                <xsd:element ref="ns2:_dlc_DocIdPersistId" minOccurs="0"/>
                <xsd:element ref="ns2:n1a6d2b88979416cad2cc3ecb331e44a" minOccurs="0"/>
                <xsd:element ref="ns2:TaxCatchAll" minOccurs="0"/>
                <xsd:element ref="ns2:TaxCatchAllLabel" minOccurs="0"/>
                <xsd:element ref="ns1:_dlc_Exempt" minOccurs="0"/>
                <xsd:element ref="ns1:_dlc_ExpireDateSaved" minOccurs="0"/>
                <xsd:element ref="ns1:_dlc_ExpireDate" minOccurs="0"/>
                <xsd:element ref="ns3:Branch" minOccurs="0"/>
                <xsd:element ref="ns3:Category"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element name="_dlc_ExpireDateSaved" ma:index="16" nillable="true" ma:displayName="Original Expiration Date" ma:hidden="true" ma:internalName="_dlc_ExpireDateSaved" ma:readOnly="true">
      <xsd:simpleType>
        <xsd:restriction base="dms:DateTime"/>
      </xsd:simpleType>
    </xsd:element>
    <xsd:element name="_dlc_ExpireDate" ma:index="1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e039acd-daf0-4ba3-b421-e9b9ae1a362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n1a6d2b88979416cad2cc3ecb331e44a" ma:index="11" nillable="true" ma:taxonomy="true" ma:internalName="n1a6d2b88979416cad2cc3ecb331e44a" ma:taxonomyFieldName="Security_x0020_Classification" ma:displayName="Security Classification" ma:readOnly="false" ma:default="1;#UNCLASSIFIED|1bbb598d-ed8e-4faa-b9b5-c952cc7313f8" ma:fieldId="{71a6d2b8-8979-416c-ad2c-c3ecb331e44a}" ma:sspId="552124a6-5639-4054-9398-f49b47b0070b" ma:termSetId="01e0d8d2-6959-4708-b4cf-d9f24a977c8f"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c2003f9-3252-44e8-804f-d5d14dd81ab1}" ma:internalName="TaxCatchAll" ma:showField="CatchAllData" ma:web="5e039acd-daf0-4ba3-b421-e9b9ae1a362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ec2003f9-3252-44e8-804f-d5d14dd81ab1}" ma:internalName="TaxCatchAllLabel" ma:readOnly="true" ma:showField="CatchAllDataLabel" ma:web="5e039acd-daf0-4ba3-b421-e9b9ae1a3620">
      <xsd:complexType>
        <xsd:complexContent>
          <xsd:extension base="dms:MultiChoiceLookup">
            <xsd:sequence>
              <xsd:element name="Value" type="dms:Lookup" maxOccurs="unbounded" minOccurs="0" nillable="true"/>
            </xsd:sequence>
          </xsd:extension>
        </xsd:complexContent>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552124a6-5639-4054-9398-f49b47b0070b"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5f9449-2a65-4a94-823f-6ddb40b10aaa" elementFormDefault="qualified">
    <xsd:import namespace="http://schemas.microsoft.com/office/2006/documentManagement/types"/>
    <xsd:import namespace="http://schemas.microsoft.com/office/infopath/2007/PartnerControls"/>
    <xsd:element name="Branch" ma:index="18" nillable="true" ma:displayName="Branch" ma:format="Dropdown" ma:internalName="Branch" ma:readOnly="false">
      <xsd:simpleType>
        <xsd:restriction base="dms:Choice">
          <xsd:enumeration value="Revenue Analysis Branch"/>
          <xsd:enumeration value="Law Design &amp; Governance"/>
          <xsd:enumeration value="ATO Design &amp; Innovation"/>
          <xsd:enumeration value="ATO Policy Integration"/>
          <xsd:enumeration value="ITD Business Management"/>
        </xsd:restriction>
      </xsd:simpleType>
    </xsd:element>
    <xsd:element name="Category" ma:index="19" nillable="true" ma:displayName="Category" ma:internalName="Category" ma:readOnly="false">
      <xsd:complexType>
        <xsd:complexContent>
          <xsd:extension base="dms:MultiChoice">
            <xsd:sequence>
              <xsd:element name="Value" maxOccurs="unbounded" minOccurs="0" nillable="true">
                <xsd:simpleType>
                  <xsd:restriction base="dms:Choice">
                    <xsd:enumeration value="ITD Talks"/>
                    <xsd:enumeration value="ITD Forum"/>
                    <xsd:enumeration value="Policy Advice"/>
                    <xsd:enumeration value="Data analysis"/>
                    <xsd:enumeration value="Tax Reviews"/>
                    <xsd:enumeration value="Early engagement"/>
                    <xsd:enumeration value="Government relations"/>
                    <xsd:enumeration value="Costings"/>
                    <xsd:enumeration value="ITD Matters"/>
                    <xsd:enumeration value="How to guides"/>
                    <xsd:enumeration value="Governance"/>
                    <xsd:enumeration value="Stakeholder engagement"/>
                    <xsd:enumeration value="Risk management"/>
                    <xsd:enumeration value="Technical advice"/>
                    <xsd:enumeration value="Secondments"/>
                    <xsd:enumeration value="Rotations"/>
                    <xsd:enumeration value="Graduates"/>
                    <xsd:enumeration value="L&amp;D"/>
                    <xsd:enumeration value="Project management"/>
                    <xsd:enumeration value="Technology"/>
                    <xsd:enumeration value="Capability plan"/>
                    <xsd:enumeration value="Innovation"/>
                    <xsd:enumeration value="Support"/>
                    <xsd:enumeration value="Self Service Framework"/>
                    <xsd:enumeration value="Design groups"/>
                    <xsd:enumeration value="Branch Plan"/>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B4F9E-335A-4DF4-BB68-89D895A5AE71}">
  <ds:schemaRefs>
    <ds:schemaRef ds:uri="http://schemas.microsoft.com/office/2006/metadata/customXsn"/>
  </ds:schemaRefs>
</ds:datastoreItem>
</file>

<file path=customXml/itemProps2.xml><?xml version="1.0" encoding="utf-8"?>
<ds:datastoreItem xmlns:ds="http://schemas.openxmlformats.org/officeDocument/2006/customXml" ds:itemID="{B0081C95-3F46-4952-92B3-0BA2FA1D6B70}">
  <ds:schemaRefs>
    <ds:schemaRef ds:uri="http://schemas.microsoft.com/office/2006/metadata/properties"/>
    <ds:schemaRef ds:uri="http://schemas.microsoft.com/office/infopath/2007/PartnerControls"/>
    <ds:schemaRef ds:uri="c65f9449-2a65-4a94-823f-6ddb40b10aaa"/>
    <ds:schemaRef ds:uri="5e039acd-daf0-4ba3-b421-e9b9ae1a3620"/>
    <ds:schemaRef ds:uri="http://schemas.microsoft.com/sharepoint/v3"/>
  </ds:schemaRefs>
</ds:datastoreItem>
</file>

<file path=customXml/itemProps3.xml><?xml version="1.0" encoding="utf-8"?>
<ds:datastoreItem xmlns:ds="http://schemas.openxmlformats.org/officeDocument/2006/customXml" ds:itemID="{DCA68371-72DF-49E5-A925-4A34BE45674F}">
  <ds:schemaRefs>
    <ds:schemaRef ds:uri="http://schemas.microsoft.com/sharepoint/events"/>
  </ds:schemaRefs>
</ds:datastoreItem>
</file>

<file path=customXml/itemProps4.xml><?xml version="1.0" encoding="utf-8"?>
<ds:datastoreItem xmlns:ds="http://schemas.openxmlformats.org/officeDocument/2006/customXml" ds:itemID="{0E5324EE-A4EA-4803-87EC-7781638E8A55}">
  <ds:schemaRefs>
    <ds:schemaRef ds:uri="office.server.policy"/>
  </ds:schemaRefs>
</ds:datastoreItem>
</file>

<file path=customXml/itemProps5.xml><?xml version="1.0" encoding="utf-8"?>
<ds:datastoreItem xmlns:ds="http://schemas.openxmlformats.org/officeDocument/2006/customXml" ds:itemID="{2D0B1822-6B19-467B-841B-2A287328ADEF}">
  <ds:schemaRefs>
    <ds:schemaRef ds:uri="http://schemas.microsoft.com/sharepoint/v3/contenttype/forms"/>
  </ds:schemaRefs>
</ds:datastoreItem>
</file>

<file path=customXml/itemProps6.xml><?xml version="1.0" encoding="utf-8"?>
<ds:datastoreItem xmlns:ds="http://schemas.openxmlformats.org/officeDocument/2006/customXml" ds:itemID="{D907218F-9D06-44CF-8D7C-5A12A63C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039acd-daf0-4ba3-b421-e9b9ae1a3620"/>
    <ds:schemaRef ds:uri="c65f9449-2a65-4a94-823f-6ddb40b10a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C951FDC-F042-46ED-B6B5-607C84F99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Taxation Administration Act – Withholding Schedule</vt:lpstr>
    </vt:vector>
  </TitlesOfParts>
  <Company>Australian Taxation Office</Company>
  <LinksUpToDate>false</LinksUpToDate>
  <CharactersWithSpaces>2846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Taxation Administration Act – Withholding Schedule</dc:title>
  <dc:creator>ubafu</dc:creator>
  <cp:lastModifiedBy>Ducat, Stuart</cp:lastModifiedBy>
  <cp:revision>2</cp:revision>
  <cp:lastPrinted>2019-01-30T07:28:00Z</cp:lastPrinted>
  <dcterms:created xsi:type="dcterms:W3CDTF">2019-03-25T03:41:00Z</dcterms:created>
  <dcterms:modified xsi:type="dcterms:W3CDTF">2019-03-25T03:41:00Z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0x010100A64679C44DADA04984EEB770C4791873006B50A42D46FE94428A184B3B20B7217F</vt:lpwstr>
  </property>
  <property fmtid="{D5CDD505-2E9C-101B-9397-08002B2CF9AE}" pid="3" name="_dlc_policyId">
    <vt:lpwstr>0x010100A64679C44DADA04984EEB770C4791873|1060299444</vt:lpwstr>
  </property>
  <property fmtid="{D5CDD505-2E9C-101B-9397-08002B2CF9AE}" pid="4" name="ItemRetentionFormula">
    <vt:lpwstr>&lt;formula id="Microsoft.Office.RecordsManagement.PolicyFeatures.Expiration.Formula.BuiltIn"&gt;&lt;number&gt;10&lt;/number&gt;&lt;property&gt;Modified&lt;/property&gt;&lt;propertyId&gt;28cf69c5-fa48-462a-b5cd-27b6f9d2bd5f&lt;/propertyId&gt;&lt;period&gt;years&lt;/period&gt;&lt;/formula&gt;</vt:lpwstr>
  </property>
  <property fmtid="{D5CDD505-2E9C-101B-9397-08002B2CF9AE}" pid="5" name="_dlc_DocIdItemGuid">
    <vt:lpwstr>133e58d6-93de-47ec-bd11-9f5d94cf2332</vt:lpwstr>
  </property>
  <property fmtid="{D5CDD505-2E9C-101B-9397-08002B2CF9AE}" pid="6" name="TaxKeyword">
    <vt:lpwstr/>
  </property>
  <property fmtid="{D5CDD505-2E9C-101B-9397-08002B2CF9AE}" pid="7" name="Security Classification">
    <vt:lpwstr>1;#UNCLASSIFIED|1bbb598d-ed8e-4faa-b9b5-c952cc7313f8</vt:lpwstr>
  </property>
</Properties>
</file>