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8DA" w:rsidRPr="00BC76EB" w:rsidRDefault="002533F0" w:rsidP="00AC672F">
      <w:pPr>
        <w:spacing w:before="0" w:after="120" w:line="360" w:lineRule="auto"/>
        <w:ind w:right="91"/>
        <w:jc w:val="center"/>
        <w:rPr>
          <w:rFonts w:ascii="Arial" w:hAnsi="Arial" w:cs="Arial"/>
          <w:b/>
          <w:szCs w:val="24"/>
          <w:u w:val="single"/>
        </w:rPr>
      </w:pPr>
      <w:r w:rsidRPr="00BC76EB">
        <w:rPr>
          <w:rFonts w:ascii="Arial" w:hAnsi="Arial" w:cs="Arial"/>
          <w:b/>
          <w:szCs w:val="24"/>
          <w:u w:val="single"/>
        </w:rPr>
        <w:t>EXPLANATORY STATEMENT</w:t>
      </w:r>
    </w:p>
    <w:p w:rsidR="002533F0" w:rsidRPr="00BC76EB" w:rsidRDefault="002533F0" w:rsidP="00AC672F">
      <w:pPr>
        <w:spacing w:before="0" w:line="360" w:lineRule="auto"/>
        <w:ind w:right="91"/>
        <w:jc w:val="center"/>
        <w:rPr>
          <w:rFonts w:ascii="Arial" w:hAnsi="Arial" w:cs="Arial"/>
          <w:i/>
          <w:szCs w:val="24"/>
        </w:rPr>
      </w:pPr>
    </w:p>
    <w:p w:rsidR="00966756" w:rsidRDefault="005341B3" w:rsidP="00AC672F">
      <w:pPr>
        <w:spacing w:before="0" w:line="360" w:lineRule="auto"/>
        <w:ind w:right="91"/>
        <w:jc w:val="center"/>
        <w:rPr>
          <w:rFonts w:ascii="Arial" w:hAnsi="Arial" w:cs="Arial"/>
          <w:i/>
          <w:szCs w:val="24"/>
        </w:rPr>
      </w:pPr>
      <w:r>
        <w:rPr>
          <w:rFonts w:ascii="Arial" w:hAnsi="Arial" w:cs="Arial"/>
          <w:i/>
          <w:szCs w:val="24"/>
        </w:rPr>
        <w:t>Social Security Act 1991</w:t>
      </w:r>
    </w:p>
    <w:p w:rsidR="005341B3" w:rsidRPr="005341B3" w:rsidRDefault="005341B3" w:rsidP="00AC672F">
      <w:pPr>
        <w:spacing w:before="0" w:line="360" w:lineRule="auto"/>
        <w:ind w:right="91"/>
        <w:jc w:val="center"/>
        <w:rPr>
          <w:rFonts w:ascii="Arial" w:hAnsi="Arial" w:cs="Arial"/>
          <w:i/>
          <w:szCs w:val="24"/>
        </w:rPr>
      </w:pPr>
      <w:r>
        <w:rPr>
          <w:rFonts w:ascii="Arial" w:hAnsi="Arial" w:cs="Arial"/>
          <w:i/>
          <w:szCs w:val="24"/>
        </w:rPr>
        <w:t>Social Security (Exempt Lump Sums – Payments to Former British Child Migrants) Determination 2019</w:t>
      </w:r>
    </w:p>
    <w:p w:rsidR="005341B3" w:rsidRDefault="005341B3" w:rsidP="00AC672F">
      <w:pPr>
        <w:spacing w:before="0" w:line="360" w:lineRule="auto"/>
        <w:ind w:right="91"/>
        <w:rPr>
          <w:rFonts w:ascii="Arial" w:hAnsi="Arial" w:cs="Arial"/>
          <w:b/>
          <w:szCs w:val="24"/>
        </w:rPr>
      </w:pPr>
    </w:p>
    <w:p w:rsidR="002533F0" w:rsidRPr="00BC76EB" w:rsidRDefault="0083135C" w:rsidP="00AC672F">
      <w:pPr>
        <w:spacing w:before="0" w:line="360" w:lineRule="auto"/>
        <w:ind w:right="91"/>
        <w:rPr>
          <w:rFonts w:ascii="Arial" w:hAnsi="Arial" w:cs="Arial"/>
          <w:b/>
          <w:szCs w:val="24"/>
        </w:rPr>
      </w:pPr>
      <w:r w:rsidRPr="00BC76EB">
        <w:rPr>
          <w:rFonts w:ascii="Arial" w:hAnsi="Arial" w:cs="Arial"/>
          <w:b/>
          <w:szCs w:val="24"/>
        </w:rPr>
        <w:t>Purpose</w:t>
      </w:r>
    </w:p>
    <w:p w:rsidR="00AC672F" w:rsidRDefault="00AC672F" w:rsidP="00AC672F">
      <w:pPr>
        <w:spacing w:line="360"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8(11)(d) of the </w:t>
      </w:r>
      <w:r>
        <w:rPr>
          <w:rStyle w:val="BookTitle"/>
          <w:rFonts w:ascii="Arial" w:hAnsi="Arial" w:cs="Arial"/>
          <w:iCs w:val="0"/>
          <w:smallCaps w:val="0"/>
          <w:spacing w:val="0"/>
          <w:szCs w:val="24"/>
        </w:rPr>
        <w:t>Social Security Act 1991</w:t>
      </w:r>
      <w:r>
        <w:rPr>
          <w:rStyle w:val="BookTitle"/>
          <w:rFonts w:ascii="Arial" w:hAnsi="Arial" w:cs="Arial"/>
          <w:i w:val="0"/>
          <w:iCs w:val="0"/>
          <w:smallCaps w:val="0"/>
          <w:spacing w:val="0"/>
          <w:szCs w:val="24"/>
        </w:rPr>
        <w:t xml:space="preserve"> (the Act) allows the Secretary of the Department of Social Services (DSS) to determine </w:t>
      </w:r>
      <w:r w:rsidR="001758FD">
        <w:rPr>
          <w:rStyle w:val="BookTitle"/>
          <w:rFonts w:ascii="Arial" w:hAnsi="Arial" w:cs="Arial"/>
          <w:i w:val="0"/>
          <w:iCs w:val="0"/>
          <w:smallCaps w:val="0"/>
          <w:spacing w:val="0"/>
          <w:szCs w:val="24"/>
        </w:rPr>
        <w:t xml:space="preserve">by legislative instrument </w:t>
      </w:r>
      <w:r>
        <w:rPr>
          <w:rStyle w:val="BookTitle"/>
          <w:rFonts w:ascii="Arial" w:hAnsi="Arial" w:cs="Arial"/>
          <w:i w:val="0"/>
          <w:iCs w:val="0"/>
          <w:smallCaps w:val="0"/>
          <w:spacing w:val="0"/>
          <w:szCs w:val="24"/>
        </w:rPr>
        <w:t>that an amount or class of amounts received by a person is an exempt lump sum for the purposes of the Act. The effect of th</w:t>
      </w:r>
      <w:r w:rsidR="001758FD">
        <w:rPr>
          <w:rStyle w:val="BookTitle"/>
          <w:rFonts w:ascii="Arial" w:hAnsi="Arial" w:cs="Arial"/>
          <w:i w:val="0"/>
          <w:iCs w:val="0"/>
          <w:smallCaps w:val="0"/>
          <w:spacing w:val="0"/>
          <w:szCs w:val="24"/>
        </w:rPr>
        <w:t xml:space="preserve">e </w:t>
      </w:r>
      <w:r w:rsidR="001758FD">
        <w:rPr>
          <w:rStyle w:val="BookTitle"/>
          <w:rFonts w:ascii="Arial" w:hAnsi="Arial" w:cs="Arial"/>
          <w:iCs w:val="0"/>
          <w:smallCaps w:val="0"/>
          <w:spacing w:val="0"/>
          <w:szCs w:val="24"/>
        </w:rPr>
        <w:t>Social Security (Exempt Lump Sums – Payments to Former British Child Migrants) Determination 2019</w:t>
      </w:r>
      <w:r w:rsidR="001758FD">
        <w:rPr>
          <w:rStyle w:val="BookTitle"/>
          <w:rFonts w:ascii="Arial" w:hAnsi="Arial" w:cs="Arial"/>
          <w:i w:val="0"/>
          <w:iCs w:val="0"/>
          <w:smallCaps w:val="0"/>
          <w:spacing w:val="0"/>
          <w:szCs w:val="24"/>
        </w:rPr>
        <w:t xml:space="preserve"> (instrument) </w:t>
      </w:r>
      <w:r>
        <w:rPr>
          <w:rStyle w:val="BookTitle"/>
          <w:rFonts w:ascii="Arial" w:hAnsi="Arial" w:cs="Arial"/>
          <w:i w:val="0"/>
          <w:iCs w:val="0"/>
          <w:smallCaps w:val="0"/>
          <w:spacing w:val="0"/>
          <w:szCs w:val="24"/>
        </w:rPr>
        <w:t xml:space="preserve">is that a payment </w:t>
      </w:r>
      <w:r w:rsidR="001758FD">
        <w:rPr>
          <w:rStyle w:val="BookTitle"/>
          <w:rFonts w:ascii="Arial" w:hAnsi="Arial" w:cs="Arial"/>
          <w:i w:val="0"/>
          <w:iCs w:val="0"/>
          <w:smallCaps w:val="0"/>
          <w:spacing w:val="0"/>
          <w:szCs w:val="24"/>
        </w:rPr>
        <w:t xml:space="preserve">in the amount of </w:t>
      </w:r>
      <w:r w:rsidR="001758FD" w:rsidRPr="00215796">
        <w:rPr>
          <w:rStyle w:val="BookTitle"/>
          <w:rFonts w:ascii="Arial" w:hAnsi="Arial" w:cs="Arial"/>
          <w:i w:val="0"/>
          <w:iCs w:val="0"/>
          <w:smallCaps w:val="0"/>
          <w:spacing w:val="0"/>
          <w:szCs w:val="24"/>
        </w:rPr>
        <w:t>£20,000</w:t>
      </w:r>
      <w:r w:rsidR="001758FD">
        <w:rPr>
          <w:rStyle w:val="BookTitle"/>
          <w:rFonts w:ascii="Arial" w:hAnsi="Arial" w:cs="Arial"/>
          <w:i w:val="0"/>
          <w:iCs w:val="0"/>
          <w:smallCaps w:val="0"/>
          <w:spacing w:val="0"/>
          <w:szCs w:val="24"/>
        </w:rPr>
        <w:t xml:space="preserve">GBP </w:t>
      </w:r>
      <w:r>
        <w:rPr>
          <w:rStyle w:val="BookTitle"/>
          <w:rFonts w:ascii="Arial" w:hAnsi="Arial" w:cs="Arial"/>
          <w:i w:val="0"/>
          <w:iCs w:val="0"/>
          <w:smallCaps w:val="0"/>
          <w:spacing w:val="0"/>
          <w:szCs w:val="24"/>
        </w:rPr>
        <w:t xml:space="preserve">made under the </w:t>
      </w:r>
      <w:r w:rsidRPr="00AC672F">
        <w:rPr>
          <w:rStyle w:val="BookTitle"/>
          <w:rFonts w:ascii="Arial" w:hAnsi="Arial" w:cs="Arial"/>
          <w:i w:val="0"/>
          <w:iCs w:val="0"/>
          <w:smallCaps w:val="0"/>
          <w:spacing w:val="0"/>
          <w:szCs w:val="24"/>
        </w:rPr>
        <w:t>Ex-Gratia Payment Scheme for Former British Child Migrants</w:t>
      </w:r>
      <w:r w:rsidR="00840AB9">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by the Government of the United Kingdom is an exempt lump sum under paragraph 8(11)(d) of the Act. </w:t>
      </w:r>
    </w:p>
    <w:p w:rsidR="00A40B91" w:rsidRPr="00A40B91" w:rsidRDefault="00A40B91" w:rsidP="00A40B91">
      <w:pPr>
        <w:spacing w:before="0" w:after="240"/>
        <w:rPr>
          <w:rStyle w:val="BookTitle"/>
          <w:rFonts w:ascii="Arial" w:hAnsi="Arial" w:cs="Arial"/>
          <w:i w:val="0"/>
          <w:iCs w:val="0"/>
          <w:smallCaps w:val="0"/>
          <w:spacing w:val="0"/>
          <w:szCs w:val="24"/>
        </w:rPr>
      </w:pPr>
    </w:p>
    <w:p w:rsidR="0015134A" w:rsidRDefault="0015134A" w:rsidP="00AC672F">
      <w:pPr>
        <w:spacing w:line="360" w:lineRule="auto"/>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rsidR="00A40B91" w:rsidRDefault="00ED5D88" w:rsidP="00AC672F">
      <w:pPr>
        <w:spacing w:line="360"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Under social security law, an income test is used to determine a persons’ eligibility for a social security payment and, if they are eligible, the rate of a social security payment that is payable. An income amount earned, derived or received for a person’s own use or benefit is generally assessable as income. However, some amounts that would otherwise be income are specifically exempted. </w:t>
      </w:r>
    </w:p>
    <w:p w:rsidR="004E3E3E" w:rsidRDefault="00ED5D88" w:rsidP="00AC672F">
      <w:pPr>
        <w:spacing w:line="360"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4E3E3E">
        <w:rPr>
          <w:rStyle w:val="BookTitle"/>
          <w:rFonts w:ascii="Arial" w:hAnsi="Arial" w:cs="Arial"/>
          <w:i w:val="0"/>
          <w:iCs w:val="0"/>
          <w:smallCaps w:val="0"/>
          <w:spacing w:val="0"/>
          <w:szCs w:val="24"/>
        </w:rPr>
        <w:t xml:space="preserve">8(11)(d) of the Act allows the Secretary </w:t>
      </w:r>
      <w:r w:rsidR="00840AB9">
        <w:rPr>
          <w:rStyle w:val="BookTitle"/>
          <w:rFonts w:ascii="Arial" w:hAnsi="Arial" w:cs="Arial"/>
          <w:i w:val="0"/>
          <w:iCs w:val="0"/>
          <w:smallCaps w:val="0"/>
          <w:spacing w:val="0"/>
          <w:szCs w:val="24"/>
        </w:rPr>
        <w:t xml:space="preserve">of the Department of Social Services </w:t>
      </w:r>
      <w:r w:rsidR="004E3E3E">
        <w:rPr>
          <w:rStyle w:val="BookTitle"/>
          <w:rFonts w:ascii="Arial" w:hAnsi="Arial" w:cs="Arial"/>
          <w:i w:val="0"/>
          <w:iCs w:val="0"/>
          <w:smallCaps w:val="0"/>
          <w:spacing w:val="0"/>
          <w:szCs w:val="24"/>
        </w:rPr>
        <w:t xml:space="preserve">to determine that an amount, or class of amounts, is an ‘exempt lump sum’ for the purposes of the Act. An exempt lump sum is excluded from the definition of ‘ordinary income’ under subsection 8(1) of the Act, meaning the lump sum amount is not to be taken into account under the social security income test. </w:t>
      </w:r>
    </w:p>
    <w:p w:rsidR="004E3E3E" w:rsidRPr="00215796" w:rsidRDefault="004E3E3E" w:rsidP="00215796">
      <w:pPr>
        <w:spacing w:line="360"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In 2018, the British Independent Inquiry into Child Sexual Abuse Interim Report and its report on Child Migration Programmes were published. The inquiry recommended that the Government of the United Kingdom establish a financial redress scheme for surviving former British child migrants on the basis that they were exposed to the risk </w:t>
      </w:r>
      <w:r>
        <w:rPr>
          <w:rStyle w:val="BookTitle"/>
          <w:rFonts w:ascii="Arial" w:hAnsi="Arial" w:cs="Arial"/>
          <w:i w:val="0"/>
          <w:iCs w:val="0"/>
          <w:smallCaps w:val="0"/>
          <w:spacing w:val="0"/>
          <w:szCs w:val="24"/>
        </w:rPr>
        <w:lastRenderedPageBreak/>
        <w:t xml:space="preserve">of sexual abuse. </w:t>
      </w:r>
      <w:r w:rsidR="00A32CA9">
        <w:rPr>
          <w:rStyle w:val="BookTitle"/>
          <w:rFonts w:ascii="Arial" w:hAnsi="Arial" w:cs="Arial"/>
          <w:i w:val="0"/>
          <w:iCs w:val="0"/>
          <w:smallCaps w:val="0"/>
          <w:spacing w:val="0"/>
          <w:szCs w:val="24"/>
        </w:rPr>
        <w:t xml:space="preserve">The Government of the United Kingdom has long acknowledged that the Child Migration Programmes were a “shameful episode of history and… failure of the first duty of a nation, which is to protect its children”. </w:t>
      </w:r>
      <w:r>
        <w:rPr>
          <w:rStyle w:val="BookTitle"/>
          <w:rFonts w:ascii="Arial" w:hAnsi="Arial" w:cs="Arial"/>
          <w:i w:val="0"/>
          <w:iCs w:val="0"/>
          <w:smallCaps w:val="0"/>
          <w:spacing w:val="0"/>
          <w:szCs w:val="24"/>
        </w:rPr>
        <w:t xml:space="preserve">On 19 December 2018, the Government of the United Kingdom published its response to the Inquiry, and announced that the Government would establish an ex-gratia payment scheme for former British child migrants, in recognition of the fundamentally flawed nature of the historic child migration policy. </w:t>
      </w:r>
      <w:r w:rsidR="00215796" w:rsidRPr="00215796">
        <w:rPr>
          <w:rStyle w:val="BookTitle"/>
          <w:rFonts w:ascii="Arial" w:hAnsi="Arial" w:cs="Arial"/>
          <w:i w:val="0"/>
          <w:iCs w:val="0"/>
          <w:smallCaps w:val="0"/>
          <w:spacing w:val="0"/>
          <w:szCs w:val="24"/>
        </w:rPr>
        <w:t>The rate of the</w:t>
      </w:r>
      <w:r w:rsidR="00840AB9">
        <w:rPr>
          <w:rStyle w:val="BookTitle"/>
          <w:rFonts w:ascii="Arial" w:hAnsi="Arial" w:cs="Arial"/>
          <w:i w:val="0"/>
          <w:iCs w:val="0"/>
          <w:smallCaps w:val="0"/>
          <w:spacing w:val="0"/>
          <w:szCs w:val="24"/>
        </w:rPr>
        <w:t>se</w:t>
      </w:r>
      <w:r w:rsidR="00215796" w:rsidRPr="00215796">
        <w:rPr>
          <w:rStyle w:val="BookTitle"/>
          <w:rFonts w:ascii="Arial" w:hAnsi="Arial" w:cs="Arial"/>
          <w:i w:val="0"/>
          <w:iCs w:val="0"/>
          <w:smallCaps w:val="0"/>
          <w:spacing w:val="0"/>
          <w:szCs w:val="24"/>
        </w:rPr>
        <w:t xml:space="preserve"> payment</w:t>
      </w:r>
      <w:r w:rsidR="00840AB9">
        <w:rPr>
          <w:rStyle w:val="BookTitle"/>
          <w:rFonts w:ascii="Arial" w:hAnsi="Arial" w:cs="Arial"/>
          <w:i w:val="0"/>
          <w:iCs w:val="0"/>
          <w:smallCaps w:val="0"/>
          <w:spacing w:val="0"/>
          <w:szCs w:val="24"/>
        </w:rPr>
        <w:t>s</w:t>
      </w:r>
      <w:r w:rsidR="00215796" w:rsidRPr="00215796">
        <w:rPr>
          <w:rStyle w:val="BookTitle"/>
          <w:rFonts w:ascii="Arial" w:hAnsi="Arial" w:cs="Arial"/>
          <w:i w:val="0"/>
          <w:iCs w:val="0"/>
          <w:smallCaps w:val="0"/>
          <w:spacing w:val="0"/>
          <w:szCs w:val="24"/>
        </w:rPr>
        <w:t xml:space="preserve"> is a lu</w:t>
      </w:r>
      <w:r w:rsidR="00762655">
        <w:rPr>
          <w:rStyle w:val="BookTitle"/>
          <w:rFonts w:ascii="Arial" w:hAnsi="Arial" w:cs="Arial"/>
          <w:i w:val="0"/>
          <w:iCs w:val="0"/>
          <w:smallCaps w:val="0"/>
          <w:spacing w:val="0"/>
          <w:szCs w:val="24"/>
        </w:rPr>
        <w:t xml:space="preserve">mp-sum ex-gratia payment of </w:t>
      </w:r>
      <w:r w:rsidR="00215796" w:rsidRPr="00215796">
        <w:rPr>
          <w:rStyle w:val="BookTitle"/>
          <w:rFonts w:ascii="Arial" w:hAnsi="Arial" w:cs="Arial"/>
          <w:i w:val="0"/>
          <w:iCs w:val="0"/>
          <w:smallCaps w:val="0"/>
          <w:spacing w:val="0"/>
          <w:szCs w:val="24"/>
        </w:rPr>
        <w:t>£20,000</w:t>
      </w:r>
      <w:r w:rsidR="00762655">
        <w:rPr>
          <w:rStyle w:val="BookTitle"/>
          <w:rFonts w:ascii="Arial" w:hAnsi="Arial" w:cs="Arial"/>
          <w:i w:val="0"/>
          <w:iCs w:val="0"/>
          <w:smallCaps w:val="0"/>
          <w:spacing w:val="0"/>
          <w:szCs w:val="24"/>
        </w:rPr>
        <w:t>GBP</w:t>
      </w:r>
      <w:r w:rsidR="00215796" w:rsidRPr="00215796">
        <w:rPr>
          <w:rStyle w:val="BookTitle"/>
          <w:rFonts w:ascii="Arial" w:hAnsi="Arial" w:cs="Arial"/>
          <w:i w:val="0"/>
          <w:iCs w:val="0"/>
          <w:smallCaps w:val="0"/>
          <w:spacing w:val="0"/>
          <w:szCs w:val="24"/>
        </w:rPr>
        <w:t>.</w:t>
      </w:r>
      <w:r w:rsidR="00DE35F6">
        <w:rPr>
          <w:rStyle w:val="BookTitle"/>
          <w:rFonts w:ascii="Arial" w:hAnsi="Arial" w:cs="Arial"/>
          <w:i w:val="0"/>
          <w:iCs w:val="0"/>
          <w:smallCaps w:val="0"/>
          <w:spacing w:val="0"/>
          <w:szCs w:val="24"/>
        </w:rPr>
        <w:t xml:space="preserve"> </w:t>
      </w:r>
    </w:p>
    <w:p w:rsidR="00840AB9" w:rsidRDefault="004E3E3E" w:rsidP="00AC672F">
      <w:pPr>
        <w:spacing w:line="360"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w:t>
      </w:r>
      <w:r w:rsidR="00840AB9">
        <w:rPr>
          <w:rStyle w:val="BookTitle"/>
          <w:rFonts w:ascii="Arial" w:hAnsi="Arial" w:cs="Arial"/>
          <w:i w:val="0"/>
          <w:iCs w:val="0"/>
          <w:smallCaps w:val="0"/>
          <w:spacing w:val="0"/>
          <w:szCs w:val="24"/>
        </w:rPr>
        <w:t>se</w:t>
      </w:r>
      <w:r>
        <w:rPr>
          <w:rStyle w:val="BookTitle"/>
          <w:rFonts w:ascii="Arial" w:hAnsi="Arial" w:cs="Arial"/>
          <w:i w:val="0"/>
          <w:iCs w:val="0"/>
          <w:smallCaps w:val="0"/>
          <w:spacing w:val="0"/>
          <w:szCs w:val="24"/>
        </w:rPr>
        <w:t xml:space="preserve"> payment</w:t>
      </w:r>
      <w:r w:rsidR="00840AB9">
        <w:rPr>
          <w:rStyle w:val="BookTitle"/>
          <w:rFonts w:ascii="Arial" w:hAnsi="Arial" w:cs="Arial"/>
          <w:i w:val="0"/>
          <w:iCs w:val="0"/>
          <w:smallCaps w:val="0"/>
          <w:spacing w:val="0"/>
          <w:szCs w:val="24"/>
        </w:rPr>
        <w:t>s are</w:t>
      </w:r>
      <w:r>
        <w:rPr>
          <w:rStyle w:val="BookTitle"/>
          <w:rFonts w:ascii="Arial" w:hAnsi="Arial" w:cs="Arial"/>
          <w:i w:val="0"/>
          <w:iCs w:val="0"/>
          <w:smallCaps w:val="0"/>
          <w:spacing w:val="0"/>
          <w:szCs w:val="24"/>
        </w:rPr>
        <w:t xml:space="preserve"> payable to all former British child migrants, regardless of whether they suffered abuse, in recognition of the ‘fundamentally flawed’ nature of the historic Child Migration Programmes.</w:t>
      </w:r>
      <w:r w:rsidR="003C69FF">
        <w:rPr>
          <w:rStyle w:val="BookTitle"/>
          <w:rFonts w:ascii="Arial" w:hAnsi="Arial" w:cs="Arial"/>
          <w:i w:val="0"/>
          <w:iCs w:val="0"/>
          <w:smallCaps w:val="0"/>
          <w:spacing w:val="0"/>
          <w:szCs w:val="24"/>
        </w:rPr>
        <w:t xml:space="preserve"> The scheme is open to</w:t>
      </w:r>
      <w:r w:rsidR="00840AB9">
        <w:rPr>
          <w:rStyle w:val="BookTitle"/>
          <w:rFonts w:ascii="Arial" w:hAnsi="Arial" w:cs="Arial"/>
          <w:i w:val="0"/>
          <w:iCs w:val="0"/>
          <w:smallCaps w:val="0"/>
          <w:spacing w:val="0"/>
          <w:szCs w:val="24"/>
        </w:rPr>
        <w:t>:</w:t>
      </w:r>
    </w:p>
    <w:p w:rsidR="00840AB9" w:rsidRDefault="003C69FF" w:rsidP="00840AB9">
      <w:pPr>
        <w:pStyle w:val="ListParagraph"/>
        <w:numPr>
          <w:ilvl w:val="0"/>
          <w:numId w:val="17"/>
        </w:numPr>
        <w:spacing w:line="360" w:lineRule="auto"/>
        <w:rPr>
          <w:rStyle w:val="BookTitle"/>
          <w:rFonts w:ascii="Arial" w:hAnsi="Arial" w:cs="Arial"/>
          <w:i w:val="0"/>
          <w:iCs w:val="0"/>
          <w:smallCaps w:val="0"/>
          <w:spacing w:val="0"/>
          <w:szCs w:val="24"/>
        </w:rPr>
      </w:pPr>
      <w:r w:rsidRPr="00840AB9">
        <w:rPr>
          <w:rStyle w:val="BookTitle"/>
          <w:rFonts w:ascii="Arial" w:hAnsi="Arial" w:cs="Arial"/>
          <w:i w:val="0"/>
          <w:iCs w:val="0"/>
          <w:smallCaps w:val="0"/>
          <w:spacing w:val="0"/>
          <w:szCs w:val="24"/>
        </w:rPr>
        <w:t>any former British child migrant</w:t>
      </w:r>
      <w:r w:rsidR="00840AB9">
        <w:rPr>
          <w:rStyle w:val="BookTitle"/>
          <w:rFonts w:ascii="Arial" w:hAnsi="Arial" w:cs="Arial"/>
          <w:i w:val="0"/>
          <w:iCs w:val="0"/>
          <w:smallCaps w:val="0"/>
          <w:spacing w:val="0"/>
          <w:szCs w:val="24"/>
        </w:rPr>
        <w:t xml:space="preserve"> who was alive on 1 March 2018; or</w:t>
      </w:r>
    </w:p>
    <w:p w:rsidR="00840AB9" w:rsidRDefault="003C69FF" w:rsidP="00840AB9">
      <w:pPr>
        <w:pStyle w:val="ListParagraph"/>
        <w:numPr>
          <w:ilvl w:val="0"/>
          <w:numId w:val="17"/>
        </w:numPr>
        <w:spacing w:line="360" w:lineRule="auto"/>
        <w:rPr>
          <w:rStyle w:val="BookTitle"/>
          <w:rFonts w:ascii="Arial" w:hAnsi="Arial" w:cs="Arial"/>
          <w:i w:val="0"/>
          <w:iCs w:val="0"/>
          <w:smallCaps w:val="0"/>
          <w:spacing w:val="0"/>
          <w:szCs w:val="24"/>
        </w:rPr>
      </w:pPr>
      <w:r w:rsidRPr="00840AB9">
        <w:rPr>
          <w:rStyle w:val="BookTitle"/>
          <w:rFonts w:ascii="Arial" w:hAnsi="Arial" w:cs="Arial"/>
          <w:i w:val="0"/>
          <w:iCs w:val="0"/>
          <w:smallCaps w:val="0"/>
          <w:spacing w:val="0"/>
          <w:szCs w:val="24"/>
        </w:rPr>
        <w:t xml:space="preserve">the beneficiaries </w:t>
      </w:r>
      <w:r w:rsidR="00840AB9">
        <w:rPr>
          <w:rStyle w:val="BookTitle"/>
          <w:rFonts w:ascii="Arial" w:hAnsi="Arial" w:cs="Arial"/>
          <w:i w:val="0"/>
          <w:iCs w:val="0"/>
          <w:smallCaps w:val="0"/>
          <w:spacing w:val="0"/>
          <w:szCs w:val="24"/>
        </w:rPr>
        <w:t xml:space="preserve">of that former British child migrant where the child migrant </w:t>
      </w:r>
      <w:r w:rsidRPr="00840AB9">
        <w:rPr>
          <w:rStyle w:val="BookTitle"/>
          <w:rFonts w:ascii="Arial" w:hAnsi="Arial" w:cs="Arial"/>
          <w:i w:val="0"/>
          <w:iCs w:val="0"/>
          <w:smallCaps w:val="0"/>
          <w:spacing w:val="0"/>
          <w:szCs w:val="24"/>
        </w:rPr>
        <w:t>was alive on 1 March 2018</w:t>
      </w:r>
      <w:r w:rsidR="00840AB9">
        <w:rPr>
          <w:rStyle w:val="BookTitle"/>
          <w:rFonts w:ascii="Arial" w:hAnsi="Arial" w:cs="Arial"/>
          <w:i w:val="0"/>
          <w:iCs w:val="0"/>
          <w:smallCaps w:val="0"/>
          <w:spacing w:val="0"/>
          <w:szCs w:val="24"/>
        </w:rPr>
        <w:t>, but</w:t>
      </w:r>
      <w:r w:rsidRPr="00840AB9">
        <w:rPr>
          <w:rStyle w:val="BookTitle"/>
          <w:rFonts w:ascii="Arial" w:hAnsi="Arial" w:cs="Arial"/>
          <w:i w:val="0"/>
          <w:iCs w:val="0"/>
          <w:smallCaps w:val="0"/>
          <w:spacing w:val="0"/>
          <w:szCs w:val="24"/>
        </w:rPr>
        <w:t xml:space="preserve"> has since passed away. </w:t>
      </w:r>
    </w:p>
    <w:p w:rsidR="004E3E3E" w:rsidRPr="00840AB9" w:rsidRDefault="00215796" w:rsidP="00840AB9">
      <w:pPr>
        <w:spacing w:line="360" w:lineRule="auto"/>
        <w:rPr>
          <w:rStyle w:val="BookTitle"/>
          <w:rFonts w:ascii="Arial" w:hAnsi="Arial" w:cs="Arial"/>
          <w:i w:val="0"/>
          <w:iCs w:val="0"/>
          <w:smallCaps w:val="0"/>
          <w:spacing w:val="0"/>
          <w:szCs w:val="24"/>
        </w:rPr>
      </w:pPr>
      <w:r w:rsidRPr="00840AB9">
        <w:rPr>
          <w:rStyle w:val="BookTitle"/>
          <w:rFonts w:ascii="Arial" w:hAnsi="Arial" w:cs="Arial"/>
          <w:i w:val="0"/>
          <w:iCs w:val="0"/>
          <w:smallCaps w:val="0"/>
          <w:spacing w:val="0"/>
          <w:szCs w:val="24"/>
        </w:rPr>
        <w:t>The payment</w:t>
      </w:r>
      <w:r w:rsidR="00840AB9">
        <w:rPr>
          <w:rStyle w:val="BookTitle"/>
          <w:rFonts w:ascii="Arial" w:hAnsi="Arial" w:cs="Arial"/>
          <w:i w:val="0"/>
          <w:iCs w:val="0"/>
          <w:smallCaps w:val="0"/>
          <w:spacing w:val="0"/>
          <w:szCs w:val="24"/>
        </w:rPr>
        <w:t>s under this scheme</w:t>
      </w:r>
      <w:r w:rsidRPr="00840AB9">
        <w:rPr>
          <w:rStyle w:val="BookTitle"/>
          <w:rFonts w:ascii="Arial" w:hAnsi="Arial" w:cs="Arial"/>
          <w:i w:val="0"/>
          <w:iCs w:val="0"/>
          <w:smallCaps w:val="0"/>
          <w:spacing w:val="0"/>
          <w:szCs w:val="24"/>
        </w:rPr>
        <w:t xml:space="preserve"> will be payable to all qualified applicants of the scheme regardless of their individual circumstances, including the receipt of payments received from other Governments or through private legal action. </w:t>
      </w:r>
    </w:p>
    <w:p w:rsidR="00EF4D81" w:rsidRDefault="00215796" w:rsidP="00AC672F">
      <w:pPr>
        <w:spacing w:line="360"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Eligible claimants must have been a child migrant sent from the United Kingdom and Crown Dependencies (England, Wales, North Ireland, Scotland, Channel Islands and the Isle of Man). </w:t>
      </w:r>
      <w:r w:rsidR="00CF4088">
        <w:rPr>
          <w:rStyle w:val="BookTitle"/>
          <w:rFonts w:ascii="Arial" w:hAnsi="Arial" w:cs="Arial"/>
          <w:i w:val="0"/>
          <w:iCs w:val="0"/>
          <w:smallCaps w:val="0"/>
          <w:spacing w:val="0"/>
          <w:szCs w:val="24"/>
        </w:rPr>
        <w:t>The scheme will cover the whole of the United Kingdom</w:t>
      </w:r>
      <w:r w:rsidR="00A32CA9">
        <w:rPr>
          <w:rStyle w:val="BookTitle"/>
          <w:rFonts w:ascii="Arial" w:hAnsi="Arial" w:cs="Arial"/>
          <w:i w:val="0"/>
          <w:iCs w:val="0"/>
          <w:smallCaps w:val="0"/>
          <w:spacing w:val="0"/>
          <w:szCs w:val="24"/>
        </w:rPr>
        <w:t>, regardless of</w:t>
      </w:r>
      <w:r w:rsidR="00840AB9">
        <w:rPr>
          <w:rStyle w:val="BookTitle"/>
          <w:rFonts w:ascii="Arial" w:hAnsi="Arial" w:cs="Arial"/>
          <w:i w:val="0"/>
          <w:iCs w:val="0"/>
          <w:smallCaps w:val="0"/>
          <w:spacing w:val="0"/>
          <w:szCs w:val="24"/>
        </w:rPr>
        <w:t xml:space="preserve"> the United Kingdom</w:t>
      </w:r>
      <w:r w:rsidR="00A32CA9">
        <w:rPr>
          <w:rStyle w:val="BookTitle"/>
          <w:rFonts w:ascii="Arial" w:hAnsi="Arial" w:cs="Arial"/>
          <w:i w:val="0"/>
          <w:iCs w:val="0"/>
          <w:smallCaps w:val="0"/>
          <w:spacing w:val="0"/>
          <w:szCs w:val="24"/>
        </w:rPr>
        <w:t xml:space="preserve"> nation from which the former child migrant was</w:t>
      </w:r>
      <w:r w:rsidR="00762655">
        <w:rPr>
          <w:rStyle w:val="BookTitle"/>
          <w:rFonts w:ascii="Arial" w:hAnsi="Arial" w:cs="Arial"/>
          <w:i w:val="0"/>
          <w:iCs w:val="0"/>
          <w:smallCaps w:val="0"/>
          <w:spacing w:val="0"/>
          <w:szCs w:val="24"/>
        </w:rPr>
        <w:t xml:space="preserve"> </w:t>
      </w:r>
      <w:r w:rsidR="00A32CA9">
        <w:rPr>
          <w:rStyle w:val="BookTitle"/>
          <w:rFonts w:ascii="Arial" w:hAnsi="Arial" w:cs="Arial"/>
          <w:i w:val="0"/>
          <w:iCs w:val="0"/>
          <w:smallCaps w:val="0"/>
          <w:spacing w:val="0"/>
          <w:szCs w:val="24"/>
        </w:rPr>
        <w:t xml:space="preserve">sent. </w:t>
      </w:r>
      <w:r>
        <w:rPr>
          <w:rStyle w:val="BookTitle"/>
          <w:rFonts w:ascii="Arial" w:hAnsi="Arial" w:cs="Arial"/>
          <w:i w:val="0"/>
          <w:iCs w:val="0"/>
          <w:smallCaps w:val="0"/>
          <w:spacing w:val="0"/>
          <w:szCs w:val="24"/>
        </w:rPr>
        <w:t xml:space="preserve">The claimant must have been sent by a church, state, voluntary or other organisation to one of the receiving countries (Australia, New Zealand, Canada and Zimbabwe/ former Rhodesia) and must not have been accompanied by an adult family member, or sent to live with another member of their birth family. </w:t>
      </w:r>
    </w:p>
    <w:p w:rsidR="00EF4D81" w:rsidRDefault="00EF4D81" w:rsidP="00EF4D81">
      <w:pPr>
        <w:spacing w:line="360" w:lineRule="auto"/>
        <w:rPr>
          <w:rStyle w:val="BookTitle"/>
          <w:rFonts w:ascii="Arial" w:hAnsi="Arial" w:cs="Arial"/>
          <w:i w:val="0"/>
          <w:iCs w:val="0"/>
          <w:smallCaps w:val="0"/>
          <w:spacing w:val="0"/>
          <w:szCs w:val="24"/>
        </w:rPr>
      </w:pPr>
      <w:r w:rsidRPr="00EF4D81">
        <w:rPr>
          <w:rStyle w:val="BookTitle"/>
          <w:rFonts w:ascii="Arial" w:hAnsi="Arial" w:cs="Arial"/>
          <w:i w:val="0"/>
          <w:iCs w:val="0"/>
          <w:smallCaps w:val="0"/>
          <w:spacing w:val="0"/>
          <w:szCs w:val="24"/>
        </w:rPr>
        <w:t>Any payments that a former British child migrant may have received from any other scheme, or private claim, in any country</w:t>
      </w:r>
      <w:r>
        <w:rPr>
          <w:rStyle w:val="BookTitle"/>
          <w:rFonts w:ascii="Arial" w:hAnsi="Arial" w:cs="Arial"/>
          <w:i w:val="0"/>
          <w:iCs w:val="0"/>
          <w:smallCaps w:val="0"/>
          <w:spacing w:val="0"/>
          <w:szCs w:val="24"/>
        </w:rPr>
        <w:t xml:space="preserve"> will not be taken into account in administering </w:t>
      </w:r>
      <w:r w:rsidR="00CF4088">
        <w:rPr>
          <w:rStyle w:val="BookTitle"/>
          <w:rFonts w:ascii="Arial" w:hAnsi="Arial" w:cs="Arial"/>
          <w:i w:val="0"/>
          <w:iCs w:val="0"/>
          <w:smallCaps w:val="0"/>
          <w:spacing w:val="0"/>
          <w:szCs w:val="24"/>
        </w:rPr>
        <w:t>the ex-gratia payment</w:t>
      </w:r>
      <w:r w:rsidR="00840AB9">
        <w:rPr>
          <w:rStyle w:val="BookTitle"/>
          <w:rFonts w:ascii="Arial" w:hAnsi="Arial" w:cs="Arial"/>
          <w:i w:val="0"/>
          <w:iCs w:val="0"/>
          <w:smallCaps w:val="0"/>
          <w:spacing w:val="0"/>
          <w:szCs w:val="24"/>
        </w:rPr>
        <w:t>s under the scheme</w:t>
      </w:r>
      <w:r w:rsidR="00CF4088">
        <w:rPr>
          <w:rStyle w:val="BookTitle"/>
          <w:rFonts w:ascii="Arial" w:hAnsi="Arial" w:cs="Arial"/>
          <w:i w:val="0"/>
          <w:iCs w:val="0"/>
          <w:smallCaps w:val="0"/>
          <w:spacing w:val="0"/>
          <w:szCs w:val="24"/>
        </w:rPr>
        <w:t xml:space="preserve">. </w:t>
      </w:r>
      <w:r w:rsidR="00A32CA9">
        <w:rPr>
          <w:rStyle w:val="BookTitle"/>
          <w:rFonts w:ascii="Arial" w:hAnsi="Arial" w:cs="Arial"/>
          <w:i w:val="0"/>
          <w:iCs w:val="0"/>
          <w:smallCaps w:val="0"/>
          <w:spacing w:val="0"/>
          <w:szCs w:val="24"/>
        </w:rPr>
        <w:t>The G</w:t>
      </w:r>
      <w:r w:rsidR="00840AB9">
        <w:rPr>
          <w:rStyle w:val="BookTitle"/>
          <w:rFonts w:ascii="Arial" w:hAnsi="Arial" w:cs="Arial"/>
          <w:i w:val="0"/>
          <w:iCs w:val="0"/>
          <w:smallCaps w:val="0"/>
          <w:spacing w:val="0"/>
          <w:szCs w:val="24"/>
        </w:rPr>
        <w:t xml:space="preserve">overnment of the United Kingdom </w:t>
      </w:r>
      <w:r w:rsidR="00A32CA9">
        <w:rPr>
          <w:rStyle w:val="BookTitle"/>
          <w:rFonts w:ascii="Arial" w:hAnsi="Arial" w:cs="Arial"/>
          <w:i w:val="0"/>
          <w:iCs w:val="0"/>
          <w:smallCaps w:val="0"/>
          <w:spacing w:val="0"/>
          <w:szCs w:val="24"/>
        </w:rPr>
        <w:t>start</w:t>
      </w:r>
      <w:r w:rsidR="00840AB9">
        <w:rPr>
          <w:rStyle w:val="BookTitle"/>
          <w:rFonts w:ascii="Arial" w:hAnsi="Arial" w:cs="Arial"/>
          <w:i w:val="0"/>
          <w:iCs w:val="0"/>
          <w:smallCaps w:val="0"/>
          <w:spacing w:val="0"/>
          <w:szCs w:val="24"/>
        </w:rPr>
        <w:t>ed</w:t>
      </w:r>
      <w:r w:rsidR="00A32CA9">
        <w:rPr>
          <w:rStyle w:val="BookTitle"/>
          <w:rFonts w:ascii="Arial" w:hAnsi="Arial" w:cs="Arial"/>
          <w:i w:val="0"/>
          <w:iCs w:val="0"/>
          <w:smallCaps w:val="0"/>
          <w:spacing w:val="0"/>
          <w:szCs w:val="24"/>
        </w:rPr>
        <w:t xml:space="preserve"> accepting applications for the scheme from 1 March 2019 and the scheme will remain open for two years from its launch. Claims submitted </w:t>
      </w:r>
      <w:r w:rsidR="00840AB9">
        <w:rPr>
          <w:rStyle w:val="BookTitle"/>
          <w:rFonts w:ascii="Arial" w:hAnsi="Arial" w:cs="Arial"/>
          <w:i w:val="0"/>
          <w:iCs w:val="0"/>
          <w:smallCaps w:val="0"/>
          <w:spacing w:val="0"/>
          <w:szCs w:val="24"/>
        </w:rPr>
        <w:lastRenderedPageBreak/>
        <w:t xml:space="preserve">under the scheme </w:t>
      </w:r>
      <w:r w:rsidR="00A32CA9">
        <w:rPr>
          <w:rStyle w:val="BookTitle"/>
          <w:rFonts w:ascii="Arial" w:hAnsi="Arial" w:cs="Arial"/>
          <w:i w:val="0"/>
          <w:iCs w:val="0"/>
          <w:smallCaps w:val="0"/>
          <w:spacing w:val="0"/>
          <w:szCs w:val="24"/>
        </w:rPr>
        <w:t xml:space="preserve">after this period will be considered on a case by case basis, and eligibility for or the amount of the payment will not be affected. </w:t>
      </w:r>
    </w:p>
    <w:p w:rsidR="00664C80" w:rsidRPr="00EF4D81" w:rsidRDefault="00664C80" w:rsidP="00664C80">
      <w:pPr>
        <w:spacing w:line="360" w:lineRule="auto"/>
        <w:rPr>
          <w:rStyle w:val="BookTitle"/>
          <w:rFonts w:ascii="Arial" w:hAnsi="Arial" w:cs="Arial"/>
          <w:i w:val="0"/>
          <w:iCs w:val="0"/>
          <w:smallCaps w:val="0"/>
          <w:spacing w:val="0"/>
          <w:szCs w:val="24"/>
        </w:rPr>
      </w:pPr>
      <w:r w:rsidRPr="00EB2395">
        <w:rPr>
          <w:rStyle w:val="BookTitle"/>
          <w:rFonts w:ascii="Arial" w:hAnsi="Arial" w:cs="Arial"/>
          <w:i w:val="0"/>
          <w:iCs w:val="0"/>
          <w:smallCaps w:val="0"/>
          <w:spacing w:val="0"/>
          <w:szCs w:val="24"/>
        </w:rPr>
        <w:t>Subsection 1100(1) of the Act provides that where a payment is received in a foreign currency, the amount received is taken to be the value of the amount in Australian currency</w:t>
      </w:r>
      <w:r w:rsidR="00D04E99" w:rsidRPr="00EB2395">
        <w:rPr>
          <w:rStyle w:val="BookTitle"/>
          <w:rFonts w:ascii="Arial" w:hAnsi="Arial" w:cs="Arial"/>
          <w:i w:val="0"/>
          <w:iCs w:val="0"/>
          <w:smallCaps w:val="0"/>
          <w:spacing w:val="0"/>
          <w:szCs w:val="24"/>
        </w:rPr>
        <w:t xml:space="preserve">. </w:t>
      </w:r>
      <w:r w:rsidR="00EB2395">
        <w:rPr>
          <w:rStyle w:val="BookTitle"/>
          <w:rFonts w:ascii="Arial" w:hAnsi="Arial" w:cs="Arial"/>
          <w:i w:val="0"/>
          <w:iCs w:val="0"/>
          <w:smallCaps w:val="0"/>
          <w:spacing w:val="0"/>
          <w:szCs w:val="24"/>
        </w:rPr>
        <w:t>T</w:t>
      </w:r>
      <w:r w:rsidR="00D04E99" w:rsidRPr="00EB2395">
        <w:rPr>
          <w:rStyle w:val="BookTitle"/>
          <w:rFonts w:ascii="Arial" w:hAnsi="Arial" w:cs="Arial"/>
          <w:i w:val="0"/>
          <w:iCs w:val="0"/>
          <w:smallCaps w:val="0"/>
          <w:spacing w:val="0"/>
          <w:szCs w:val="24"/>
        </w:rPr>
        <w:t xml:space="preserve">he rate at which the amount received is to be converted to Australian currency is to be calculated </w:t>
      </w:r>
      <w:r w:rsidR="00EB2395">
        <w:rPr>
          <w:rStyle w:val="BookTitle"/>
          <w:rFonts w:ascii="Arial" w:hAnsi="Arial" w:cs="Arial"/>
          <w:i w:val="0"/>
          <w:iCs w:val="0"/>
          <w:smallCaps w:val="0"/>
          <w:spacing w:val="0"/>
          <w:szCs w:val="24"/>
        </w:rPr>
        <w:t xml:space="preserve">pursuant to the </w:t>
      </w:r>
      <w:r w:rsidR="00EB2395">
        <w:rPr>
          <w:rStyle w:val="BookTitle"/>
          <w:rFonts w:ascii="Arial" w:hAnsi="Arial" w:cs="Arial"/>
          <w:iCs w:val="0"/>
          <w:smallCaps w:val="0"/>
          <w:spacing w:val="0"/>
          <w:szCs w:val="24"/>
        </w:rPr>
        <w:t>Social Security (Foreign Currency Exchange Rate) Determination 2017.</w:t>
      </w:r>
      <w:r w:rsidR="00EB2395">
        <w:rPr>
          <w:rStyle w:val="BookTitle"/>
          <w:rFonts w:ascii="Arial" w:hAnsi="Arial" w:cs="Arial"/>
          <w:i w:val="0"/>
          <w:iCs w:val="0"/>
          <w:smallCaps w:val="0"/>
          <w:spacing w:val="0"/>
          <w:szCs w:val="24"/>
        </w:rPr>
        <w:t xml:space="preserve">  </w:t>
      </w:r>
    </w:p>
    <w:p w:rsidR="00EF4D81" w:rsidRDefault="00840AB9" w:rsidP="00AC672F">
      <w:pPr>
        <w:spacing w:line="360"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instrument</w:t>
      </w:r>
      <w:r w:rsidR="00A32CA9">
        <w:rPr>
          <w:rStyle w:val="BookTitle"/>
          <w:rFonts w:ascii="Arial" w:hAnsi="Arial" w:cs="Arial"/>
          <w:i w:val="0"/>
          <w:iCs w:val="0"/>
          <w:smallCaps w:val="0"/>
          <w:spacing w:val="0"/>
          <w:szCs w:val="24"/>
        </w:rPr>
        <w:t xml:space="preserve"> </w:t>
      </w:r>
      <w:r w:rsidR="003A64E9">
        <w:rPr>
          <w:rStyle w:val="BookTitle"/>
          <w:rFonts w:ascii="Arial" w:hAnsi="Arial" w:cs="Arial"/>
          <w:i w:val="0"/>
          <w:iCs w:val="0"/>
          <w:smallCaps w:val="0"/>
          <w:spacing w:val="0"/>
          <w:szCs w:val="24"/>
        </w:rPr>
        <w:t>provide</w:t>
      </w:r>
      <w:r>
        <w:rPr>
          <w:rStyle w:val="BookTitle"/>
          <w:rFonts w:ascii="Arial" w:hAnsi="Arial" w:cs="Arial"/>
          <w:i w:val="0"/>
          <w:iCs w:val="0"/>
          <w:smallCaps w:val="0"/>
          <w:spacing w:val="0"/>
          <w:szCs w:val="24"/>
        </w:rPr>
        <w:t>s</w:t>
      </w:r>
      <w:r w:rsidR="003A64E9">
        <w:rPr>
          <w:rStyle w:val="BookTitle"/>
          <w:rFonts w:ascii="Arial" w:hAnsi="Arial" w:cs="Arial"/>
          <w:i w:val="0"/>
          <w:iCs w:val="0"/>
          <w:smallCaps w:val="0"/>
          <w:spacing w:val="0"/>
          <w:szCs w:val="24"/>
        </w:rPr>
        <w:t xml:space="preserve"> that</w:t>
      </w:r>
      <w:r w:rsidR="00A32CA9">
        <w:rPr>
          <w:rStyle w:val="BookTitle"/>
          <w:rFonts w:ascii="Arial" w:hAnsi="Arial" w:cs="Arial"/>
          <w:i w:val="0"/>
          <w:iCs w:val="0"/>
          <w:smallCaps w:val="0"/>
          <w:spacing w:val="0"/>
          <w:szCs w:val="24"/>
        </w:rPr>
        <w:t xml:space="preserve"> payments </w:t>
      </w:r>
      <w:r w:rsidR="003A64E9">
        <w:rPr>
          <w:rStyle w:val="BookTitle"/>
          <w:rFonts w:ascii="Arial" w:hAnsi="Arial" w:cs="Arial"/>
          <w:i w:val="0"/>
          <w:iCs w:val="0"/>
          <w:smallCaps w:val="0"/>
          <w:spacing w:val="0"/>
          <w:szCs w:val="24"/>
        </w:rPr>
        <w:t>made under the scheme will be exempt lump sum</w:t>
      </w:r>
      <w:r>
        <w:rPr>
          <w:rStyle w:val="BookTitle"/>
          <w:rFonts w:ascii="Arial" w:hAnsi="Arial" w:cs="Arial"/>
          <w:i w:val="0"/>
          <w:iCs w:val="0"/>
          <w:smallCaps w:val="0"/>
          <w:spacing w:val="0"/>
          <w:szCs w:val="24"/>
        </w:rPr>
        <w:t>s for the purposes of the Act. This means that r</w:t>
      </w:r>
      <w:r w:rsidR="003A64E9">
        <w:rPr>
          <w:rStyle w:val="BookTitle"/>
          <w:rFonts w:ascii="Arial" w:hAnsi="Arial" w:cs="Arial"/>
          <w:i w:val="0"/>
          <w:iCs w:val="0"/>
          <w:smallCaps w:val="0"/>
          <w:spacing w:val="0"/>
          <w:szCs w:val="24"/>
        </w:rPr>
        <w:t>ecipients of the</w:t>
      </w:r>
      <w:r>
        <w:rPr>
          <w:rStyle w:val="BookTitle"/>
          <w:rFonts w:ascii="Arial" w:hAnsi="Arial" w:cs="Arial"/>
          <w:i w:val="0"/>
          <w:iCs w:val="0"/>
          <w:smallCaps w:val="0"/>
          <w:spacing w:val="0"/>
          <w:szCs w:val="24"/>
        </w:rPr>
        <w:t>se</w:t>
      </w:r>
      <w:r w:rsidR="003A64E9">
        <w:rPr>
          <w:rStyle w:val="BookTitle"/>
          <w:rFonts w:ascii="Arial" w:hAnsi="Arial" w:cs="Arial"/>
          <w:i w:val="0"/>
          <w:iCs w:val="0"/>
          <w:smallCaps w:val="0"/>
          <w:spacing w:val="0"/>
          <w:szCs w:val="24"/>
        </w:rPr>
        <w:t xml:space="preserve"> payment</w:t>
      </w:r>
      <w:r>
        <w:rPr>
          <w:rStyle w:val="BookTitle"/>
          <w:rFonts w:ascii="Arial" w:hAnsi="Arial" w:cs="Arial"/>
          <w:i w:val="0"/>
          <w:iCs w:val="0"/>
          <w:smallCaps w:val="0"/>
          <w:spacing w:val="0"/>
          <w:szCs w:val="24"/>
        </w:rPr>
        <w:t>s</w:t>
      </w:r>
      <w:r w:rsidR="003A64E9">
        <w:rPr>
          <w:rStyle w:val="BookTitle"/>
          <w:rFonts w:ascii="Arial" w:hAnsi="Arial" w:cs="Arial"/>
          <w:i w:val="0"/>
          <w:iCs w:val="0"/>
          <w:smallCaps w:val="0"/>
          <w:spacing w:val="0"/>
          <w:szCs w:val="24"/>
        </w:rPr>
        <w:t xml:space="preserve"> will not have </w:t>
      </w:r>
      <w:r>
        <w:rPr>
          <w:rStyle w:val="BookTitle"/>
          <w:rFonts w:ascii="Arial" w:hAnsi="Arial" w:cs="Arial"/>
          <w:i w:val="0"/>
          <w:iCs w:val="0"/>
          <w:smallCaps w:val="0"/>
          <w:spacing w:val="0"/>
          <w:szCs w:val="24"/>
        </w:rPr>
        <w:t>such amounts</w:t>
      </w:r>
      <w:r w:rsidR="003A64E9">
        <w:rPr>
          <w:rStyle w:val="BookTitle"/>
          <w:rFonts w:ascii="Arial" w:hAnsi="Arial" w:cs="Arial"/>
          <w:i w:val="0"/>
          <w:iCs w:val="0"/>
          <w:smallCaps w:val="0"/>
          <w:spacing w:val="0"/>
          <w:szCs w:val="24"/>
        </w:rPr>
        <w:t xml:space="preserve"> taken into account under the social security income test. </w:t>
      </w:r>
    </w:p>
    <w:p w:rsidR="00840AB9" w:rsidRDefault="00840AB9" w:rsidP="00840AB9">
      <w:pPr>
        <w:spacing w:before="0" w:after="240"/>
        <w:rPr>
          <w:rStyle w:val="BookTitle"/>
          <w:rFonts w:ascii="Arial" w:hAnsi="Arial" w:cs="Arial"/>
          <w:b/>
          <w:i w:val="0"/>
          <w:iCs w:val="0"/>
          <w:smallCaps w:val="0"/>
          <w:spacing w:val="0"/>
          <w:szCs w:val="24"/>
          <w:highlight w:val="yellow"/>
        </w:rPr>
      </w:pPr>
    </w:p>
    <w:p w:rsidR="00840AB9" w:rsidRPr="00840AB9" w:rsidRDefault="00840AB9" w:rsidP="00840AB9">
      <w:pPr>
        <w:spacing w:before="0" w:after="240"/>
        <w:rPr>
          <w:rStyle w:val="BookTitle"/>
          <w:rFonts w:ascii="Arial" w:hAnsi="Arial" w:cs="Arial"/>
          <w:b/>
          <w:i w:val="0"/>
          <w:iCs w:val="0"/>
          <w:smallCaps w:val="0"/>
          <w:spacing w:val="0"/>
          <w:szCs w:val="24"/>
        </w:rPr>
      </w:pPr>
      <w:r w:rsidRPr="00840AB9">
        <w:rPr>
          <w:rStyle w:val="BookTitle"/>
          <w:rFonts w:ascii="Arial" w:hAnsi="Arial" w:cs="Arial"/>
          <w:b/>
          <w:i w:val="0"/>
          <w:iCs w:val="0"/>
          <w:smallCaps w:val="0"/>
          <w:spacing w:val="0"/>
          <w:szCs w:val="24"/>
        </w:rPr>
        <w:t>Commencement</w:t>
      </w:r>
    </w:p>
    <w:p w:rsidR="00840AB9" w:rsidRDefault="00840AB9" w:rsidP="00840AB9">
      <w:pPr>
        <w:spacing w:before="0" w:after="240"/>
        <w:rPr>
          <w:rStyle w:val="BookTitle"/>
          <w:rFonts w:ascii="Arial" w:hAnsi="Arial" w:cs="Arial"/>
          <w:i w:val="0"/>
          <w:iCs w:val="0"/>
          <w:smallCaps w:val="0"/>
          <w:spacing w:val="0"/>
          <w:szCs w:val="24"/>
        </w:rPr>
      </w:pPr>
      <w:r w:rsidRPr="00840AB9">
        <w:rPr>
          <w:rStyle w:val="BookTitle"/>
          <w:rFonts w:ascii="Arial" w:hAnsi="Arial" w:cs="Arial"/>
          <w:i w:val="0"/>
          <w:iCs w:val="0"/>
          <w:smallCaps w:val="0"/>
          <w:spacing w:val="0"/>
          <w:szCs w:val="24"/>
        </w:rPr>
        <w:t>This instrument commenc</w:t>
      </w:r>
      <w:r w:rsidR="009930B9">
        <w:rPr>
          <w:rStyle w:val="BookTitle"/>
          <w:rFonts w:ascii="Arial" w:hAnsi="Arial" w:cs="Arial"/>
          <w:i w:val="0"/>
          <w:iCs w:val="0"/>
          <w:smallCaps w:val="0"/>
          <w:spacing w:val="0"/>
          <w:szCs w:val="24"/>
        </w:rPr>
        <w:t>es on the day after this instrument is made</w:t>
      </w:r>
      <w:r w:rsidRPr="00840AB9">
        <w:rPr>
          <w:rStyle w:val="BookTitle"/>
          <w:rFonts w:ascii="Arial" w:hAnsi="Arial" w:cs="Arial"/>
          <w:i w:val="0"/>
          <w:iCs w:val="0"/>
          <w:smallCaps w:val="0"/>
          <w:spacing w:val="0"/>
          <w:szCs w:val="24"/>
        </w:rPr>
        <w:t>.</w:t>
      </w:r>
    </w:p>
    <w:p w:rsidR="00840AB9" w:rsidRDefault="00840AB9" w:rsidP="00840AB9">
      <w:pPr>
        <w:shd w:val="clear" w:color="auto" w:fill="FFFFFF"/>
        <w:spacing w:line="360" w:lineRule="auto"/>
        <w:textAlignment w:val="top"/>
        <w:rPr>
          <w:rFonts w:ascii="Arial" w:hAnsi="Arial" w:cs="Arial"/>
          <w:b/>
          <w:color w:val="111111"/>
          <w:szCs w:val="24"/>
        </w:rPr>
      </w:pPr>
    </w:p>
    <w:p w:rsidR="00840AB9" w:rsidRPr="00AC672F" w:rsidRDefault="00840AB9" w:rsidP="00840AB9">
      <w:pPr>
        <w:shd w:val="clear" w:color="auto" w:fill="FFFFFF"/>
        <w:spacing w:line="360" w:lineRule="auto"/>
        <w:textAlignment w:val="top"/>
        <w:rPr>
          <w:rFonts w:ascii="Arial" w:hAnsi="Arial" w:cs="Arial"/>
          <w:b/>
          <w:color w:val="111111"/>
          <w:szCs w:val="24"/>
        </w:rPr>
      </w:pPr>
      <w:r w:rsidRPr="00AC672F">
        <w:rPr>
          <w:rFonts w:ascii="Arial" w:hAnsi="Arial" w:cs="Arial"/>
          <w:b/>
          <w:color w:val="111111"/>
          <w:szCs w:val="24"/>
        </w:rPr>
        <w:t>Consultation</w:t>
      </w:r>
    </w:p>
    <w:p w:rsidR="00840AB9" w:rsidRDefault="00E562ED" w:rsidP="00840AB9">
      <w:pPr>
        <w:shd w:val="clear" w:color="auto" w:fill="FFFFFF"/>
        <w:spacing w:line="360" w:lineRule="auto"/>
        <w:textAlignment w:val="top"/>
        <w:rPr>
          <w:rFonts w:ascii="Arial" w:hAnsi="Arial" w:cs="Arial"/>
          <w:color w:val="111111"/>
          <w:szCs w:val="24"/>
        </w:rPr>
      </w:pPr>
      <w:r>
        <w:rPr>
          <w:rFonts w:ascii="Arial" w:hAnsi="Arial" w:cs="Arial"/>
          <w:color w:val="111111"/>
          <w:szCs w:val="24"/>
        </w:rPr>
        <w:t xml:space="preserve">The </w:t>
      </w:r>
      <w:r w:rsidR="001F46AC">
        <w:rPr>
          <w:rFonts w:ascii="Arial" w:hAnsi="Arial" w:cs="Arial"/>
          <w:color w:val="111111"/>
          <w:szCs w:val="24"/>
        </w:rPr>
        <w:t>Department of Human Services, the Department of Agriculture and Water Resources, and the Department of Veterans’ Affairs</w:t>
      </w:r>
      <w:r>
        <w:rPr>
          <w:rFonts w:ascii="Arial" w:hAnsi="Arial" w:cs="Arial"/>
          <w:color w:val="111111"/>
          <w:szCs w:val="24"/>
        </w:rPr>
        <w:t xml:space="preserve"> </w:t>
      </w:r>
      <w:r w:rsidR="001F46AC">
        <w:rPr>
          <w:rFonts w:ascii="Arial" w:hAnsi="Arial" w:cs="Arial"/>
          <w:color w:val="111111"/>
          <w:szCs w:val="24"/>
        </w:rPr>
        <w:t xml:space="preserve">were consulted. </w:t>
      </w:r>
    </w:p>
    <w:p w:rsidR="00762655" w:rsidRPr="00AC672F" w:rsidRDefault="00762655" w:rsidP="00840AB9">
      <w:pPr>
        <w:shd w:val="clear" w:color="auto" w:fill="FFFFFF"/>
        <w:spacing w:line="360" w:lineRule="auto"/>
        <w:textAlignment w:val="top"/>
        <w:rPr>
          <w:rFonts w:ascii="Arial" w:hAnsi="Arial" w:cs="Arial"/>
          <w:color w:val="111111"/>
          <w:szCs w:val="24"/>
        </w:rPr>
      </w:pPr>
    </w:p>
    <w:p w:rsidR="00840AB9" w:rsidRPr="00AC672F" w:rsidRDefault="00840AB9" w:rsidP="00840AB9">
      <w:pPr>
        <w:shd w:val="clear" w:color="auto" w:fill="FFFFFF"/>
        <w:spacing w:before="0" w:line="360" w:lineRule="auto"/>
        <w:textAlignment w:val="top"/>
        <w:rPr>
          <w:rFonts w:ascii="Arial" w:hAnsi="Arial" w:cs="Arial"/>
          <w:color w:val="111111"/>
          <w:szCs w:val="24"/>
        </w:rPr>
      </w:pPr>
      <w:r w:rsidRPr="00AC672F">
        <w:rPr>
          <w:rFonts w:ascii="Arial" w:hAnsi="Arial" w:cs="Arial"/>
          <w:color w:val="111111"/>
          <w:szCs w:val="24"/>
        </w:rPr>
        <w:t xml:space="preserve">This </w:t>
      </w:r>
      <w:r w:rsidR="00762655">
        <w:rPr>
          <w:rFonts w:ascii="Arial" w:hAnsi="Arial" w:cs="Arial"/>
          <w:color w:val="111111"/>
          <w:szCs w:val="24"/>
        </w:rPr>
        <w:t>instrument</w:t>
      </w:r>
      <w:r w:rsidRPr="00AC672F">
        <w:rPr>
          <w:rFonts w:ascii="Arial" w:hAnsi="Arial" w:cs="Arial"/>
          <w:color w:val="111111"/>
          <w:szCs w:val="24"/>
        </w:rPr>
        <w:t xml:space="preserve"> will </w:t>
      </w:r>
      <w:r w:rsidR="001F46AC">
        <w:rPr>
          <w:rFonts w:ascii="Arial" w:hAnsi="Arial" w:cs="Arial"/>
          <w:color w:val="111111"/>
          <w:szCs w:val="24"/>
        </w:rPr>
        <w:t>operate beneficially</w:t>
      </w:r>
      <w:r w:rsidRPr="00AC672F">
        <w:rPr>
          <w:rFonts w:ascii="Arial" w:hAnsi="Arial" w:cs="Arial"/>
          <w:color w:val="111111"/>
          <w:szCs w:val="24"/>
        </w:rPr>
        <w:t xml:space="preserve"> as it exempts the </w:t>
      </w:r>
      <w:r>
        <w:rPr>
          <w:rFonts w:ascii="Arial" w:hAnsi="Arial" w:cs="Arial"/>
          <w:color w:val="111111"/>
          <w:szCs w:val="24"/>
        </w:rPr>
        <w:t xml:space="preserve">Former Child Migrant Payment </w:t>
      </w:r>
      <w:r w:rsidRPr="00AC672F">
        <w:rPr>
          <w:rFonts w:ascii="Arial" w:hAnsi="Arial" w:cs="Arial"/>
          <w:color w:val="111111"/>
          <w:szCs w:val="24"/>
        </w:rPr>
        <w:t xml:space="preserve">made by the </w:t>
      </w:r>
      <w:r>
        <w:rPr>
          <w:rFonts w:ascii="Arial" w:hAnsi="Arial" w:cs="Arial"/>
          <w:color w:val="111111"/>
          <w:szCs w:val="24"/>
        </w:rPr>
        <w:t>Government of the United Kingdom from t</w:t>
      </w:r>
      <w:r w:rsidRPr="00AC672F">
        <w:rPr>
          <w:rFonts w:ascii="Arial" w:hAnsi="Arial" w:cs="Arial"/>
          <w:color w:val="111111"/>
          <w:szCs w:val="24"/>
        </w:rPr>
        <w:t xml:space="preserve">he social security income test.  As a result, public consultation was considered unnecessary. </w:t>
      </w:r>
      <w:r w:rsidRPr="00AC672F">
        <w:rPr>
          <w:rFonts w:ascii="Arial" w:hAnsi="Arial" w:cs="Arial"/>
          <w:color w:val="111111"/>
          <w:szCs w:val="24"/>
        </w:rPr>
        <w:tab/>
      </w:r>
    </w:p>
    <w:p w:rsidR="00762655" w:rsidRDefault="00762655" w:rsidP="00762655">
      <w:pPr>
        <w:shd w:val="clear" w:color="auto" w:fill="FFFFFF"/>
        <w:spacing w:before="0" w:after="240" w:line="360" w:lineRule="auto"/>
        <w:textAlignment w:val="top"/>
        <w:rPr>
          <w:rFonts w:ascii="Arial" w:hAnsi="Arial" w:cs="Arial"/>
          <w:b/>
          <w:color w:val="111111"/>
          <w:szCs w:val="24"/>
        </w:rPr>
      </w:pPr>
    </w:p>
    <w:p w:rsidR="00762655" w:rsidRPr="00AC672F" w:rsidRDefault="00762655" w:rsidP="00762655">
      <w:pPr>
        <w:shd w:val="clear" w:color="auto" w:fill="FFFFFF"/>
        <w:spacing w:before="0" w:after="240" w:line="360" w:lineRule="auto"/>
        <w:textAlignment w:val="top"/>
        <w:rPr>
          <w:rFonts w:ascii="Arial" w:hAnsi="Arial" w:cs="Arial"/>
          <w:b/>
          <w:color w:val="111111"/>
          <w:szCs w:val="24"/>
        </w:rPr>
      </w:pPr>
      <w:r w:rsidRPr="00AC672F">
        <w:rPr>
          <w:rFonts w:ascii="Arial" w:hAnsi="Arial" w:cs="Arial"/>
          <w:b/>
          <w:color w:val="111111"/>
          <w:szCs w:val="24"/>
        </w:rPr>
        <w:t>Regulatory Impact Analysis</w:t>
      </w:r>
    </w:p>
    <w:p w:rsidR="00762655" w:rsidRPr="00AC672F" w:rsidRDefault="00762655" w:rsidP="00762655">
      <w:pPr>
        <w:shd w:val="clear" w:color="auto" w:fill="FFFFFF"/>
        <w:spacing w:before="0" w:after="240" w:line="360" w:lineRule="auto"/>
        <w:textAlignment w:val="top"/>
        <w:rPr>
          <w:rFonts w:ascii="Arial" w:hAnsi="Arial" w:cs="Arial"/>
          <w:color w:val="111111"/>
          <w:szCs w:val="24"/>
        </w:rPr>
      </w:pPr>
      <w:r w:rsidRPr="00AC672F">
        <w:rPr>
          <w:rFonts w:ascii="Arial" w:hAnsi="Arial" w:cs="Arial"/>
          <w:color w:val="111111"/>
          <w:szCs w:val="24"/>
        </w:rPr>
        <w:t>Th</w:t>
      </w:r>
      <w:r>
        <w:rPr>
          <w:rFonts w:ascii="Arial" w:hAnsi="Arial" w:cs="Arial"/>
          <w:color w:val="111111"/>
          <w:szCs w:val="24"/>
        </w:rPr>
        <w:t>is instrument</w:t>
      </w:r>
      <w:r w:rsidRPr="00AC672F">
        <w:rPr>
          <w:rFonts w:ascii="Arial" w:hAnsi="Arial" w:cs="Arial"/>
          <w:color w:val="111111"/>
          <w:szCs w:val="24"/>
        </w:rPr>
        <w:t xml:space="preserve"> does not require a Regulatory Impact Statement. The </w:t>
      </w:r>
      <w:r>
        <w:rPr>
          <w:rFonts w:ascii="Arial" w:hAnsi="Arial" w:cs="Arial"/>
          <w:color w:val="111111"/>
          <w:szCs w:val="24"/>
        </w:rPr>
        <w:t>instrument</w:t>
      </w:r>
      <w:r w:rsidRPr="00AC672F">
        <w:rPr>
          <w:rFonts w:ascii="Arial" w:hAnsi="Arial" w:cs="Arial"/>
          <w:color w:val="111111"/>
          <w:szCs w:val="24"/>
        </w:rPr>
        <w:t xml:space="preserve"> will operate in a beneficial manner.  It is not regulatory in nature, will not impact on business activity and will have no, or minimal, compliance costs or competition impact.</w:t>
      </w:r>
    </w:p>
    <w:p w:rsidR="003A64E9" w:rsidRPr="00A32CA9" w:rsidRDefault="003A64E9" w:rsidP="00AC672F">
      <w:pPr>
        <w:spacing w:line="360" w:lineRule="auto"/>
        <w:rPr>
          <w:rStyle w:val="BookTitle"/>
          <w:rFonts w:ascii="Arial" w:hAnsi="Arial" w:cs="Arial"/>
          <w:i w:val="0"/>
          <w:iCs w:val="0"/>
          <w:smallCaps w:val="0"/>
          <w:spacing w:val="0"/>
          <w:szCs w:val="24"/>
        </w:rPr>
      </w:pPr>
    </w:p>
    <w:p w:rsidR="006A6D51" w:rsidRPr="00BC76EB" w:rsidRDefault="006A6D51" w:rsidP="00AC672F">
      <w:pPr>
        <w:spacing w:line="360" w:lineRule="auto"/>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Explanation of the provisions</w:t>
      </w:r>
    </w:p>
    <w:p w:rsidR="00446D6C" w:rsidRPr="00AC672F" w:rsidRDefault="00365424" w:rsidP="00AC672F">
      <w:pPr>
        <w:spacing w:line="360" w:lineRule="auto"/>
        <w:rPr>
          <w:rStyle w:val="BookTitle"/>
          <w:rFonts w:ascii="Arial" w:hAnsi="Arial" w:cs="Arial"/>
          <w:iCs w:val="0"/>
          <w:smallCaps w:val="0"/>
          <w:spacing w:val="0"/>
          <w:szCs w:val="24"/>
        </w:rPr>
      </w:pPr>
      <w:r w:rsidRPr="00AC672F">
        <w:rPr>
          <w:rStyle w:val="BookTitle"/>
          <w:rFonts w:ascii="Arial" w:hAnsi="Arial" w:cs="Arial"/>
          <w:b/>
          <w:i w:val="0"/>
          <w:iCs w:val="0"/>
          <w:smallCaps w:val="0"/>
          <w:spacing w:val="0"/>
          <w:szCs w:val="24"/>
        </w:rPr>
        <w:t>Section</w:t>
      </w:r>
      <w:r w:rsidR="00871F28" w:rsidRPr="00AC672F">
        <w:rPr>
          <w:rStyle w:val="BookTitle"/>
          <w:rFonts w:ascii="Arial" w:hAnsi="Arial" w:cs="Arial"/>
          <w:b/>
          <w:i w:val="0"/>
          <w:iCs w:val="0"/>
          <w:smallCaps w:val="0"/>
          <w:spacing w:val="0"/>
          <w:szCs w:val="24"/>
        </w:rPr>
        <w:t xml:space="preserve"> 1</w:t>
      </w:r>
      <w:r w:rsidR="00871F28" w:rsidRPr="00AC672F">
        <w:rPr>
          <w:rStyle w:val="BookTitle"/>
          <w:rFonts w:ascii="Arial" w:hAnsi="Arial" w:cs="Arial"/>
          <w:i w:val="0"/>
          <w:iCs w:val="0"/>
          <w:smallCaps w:val="0"/>
          <w:spacing w:val="0"/>
          <w:szCs w:val="24"/>
        </w:rPr>
        <w:t xml:space="preserve"> </w:t>
      </w:r>
      <w:r w:rsidR="00D1706F" w:rsidRPr="00BC76EB">
        <w:rPr>
          <w:rStyle w:val="BookTitle"/>
          <w:rFonts w:ascii="Arial" w:hAnsi="Arial" w:cs="Arial"/>
          <w:i w:val="0"/>
          <w:iCs w:val="0"/>
          <w:smallCaps w:val="0"/>
          <w:spacing w:val="0"/>
          <w:szCs w:val="24"/>
        </w:rPr>
        <w:t xml:space="preserve">provides </w:t>
      </w:r>
      <w:r w:rsidR="0083135C" w:rsidRPr="00BC76EB">
        <w:rPr>
          <w:rStyle w:val="BookTitle"/>
          <w:rFonts w:ascii="Arial" w:hAnsi="Arial" w:cs="Arial"/>
          <w:i w:val="0"/>
          <w:iCs w:val="0"/>
          <w:smallCaps w:val="0"/>
          <w:spacing w:val="0"/>
          <w:szCs w:val="24"/>
        </w:rPr>
        <w:t xml:space="preserve">how </w:t>
      </w:r>
      <w:r w:rsidR="00985038" w:rsidRPr="00BC76EB">
        <w:rPr>
          <w:rStyle w:val="BookTitle"/>
          <w:rFonts w:ascii="Arial" w:hAnsi="Arial" w:cs="Arial"/>
          <w:i w:val="0"/>
          <w:iCs w:val="0"/>
          <w:smallCaps w:val="0"/>
          <w:spacing w:val="0"/>
          <w:szCs w:val="24"/>
        </w:rPr>
        <w:t>the</w:t>
      </w:r>
      <w:r w:rsidR="00D1706F" w:rsidRPr="00BC76EB">
        <w:rPr>
          <w:rStyle w:val="BookTitle"/>
          <w:rFonts w:ascii="Arial" w:hAnsi="Arial" w:cs="Arial"/>
          <w:i w:val="0"/>
          <w:iCs w:val="0"/>
          <w:smallCaps w:val="0"/>
          <w:spacing w:val="0"/>
          <w:szCs w:val="24"/>
        </w:rPr>
        <w:t xml:space="preserve"> </w:t>
      </w:r>
      <w:r w:rsidR="00AC672F">
        <w:rPr>
          <w:rStyle w:val="BookTitle"/>
          <w:rFonts w:ascii="Arial" w:hAnsi="Arial" w:cs="Arial"/>
          <w:i w:val="0"/>
          <w:iCs w:val="0"/>
          <w:smallCaps w:val="0"/>
          <w:spacing w:val="0"/>
          <w:szCs w:val="24"/>
        </w:rPr>
        <w:t>instrument</w:t>
      </w:r>
      <w:r w:rsidR="00D1706F" w:rsidRPr="00BC76EB">
        <w:rPr>
          <w:rStyle w:val="BookTitle"/>
          <w:rFonts w:ascii="Arial" w:hAnsi="Arial" w:cs="Arial"/>
          <w:i w:val="0"/>
          <w:iCs w:val="0"/>
          <w:smallCaps w:val="0"/>
          <w:spacing w:val="0"/>
          <w:szCs w:val="24"/>
        </w:rPr>
        <w:t xml:space="preserve"> is </w:t>
      </w:r>
      <w:r w:rsidR="00985038" w:rsidRPr="00BC76EB">
        <w:rPr>
          <w:rStyle w:val="BookTitle"/>
          <w:rFonts w:ascii="Arial" w:hAnsi="Arial" w:cs="Arial"/>
          <w:i w:val="0"/>
          <w:iCs w:val="0"/>
          <w:smallCaps w:val="0"/>
          <w:spacing w:val="0"/>
          <w:szCs w:val="24"/>
        </w:rPr>
        <w:t>to be cited, that is, as</w:t>
      </w:r>
      <w:r w:rsidR="00AC672F">
        <w:rPr>
          <w:rStyle w:val="BookTitle"/>
          <w:rFonts w:ascii="Arial" w:hAnsi="Arial" w:cs="Arial"/>
          <w:i w:val="0"/>
          <w:iCs w:val="0"/>
          <w:smallCaps w:val="0"/>
          <w:spacing w:val="0"/>
          <w:szCs w:val="24"/>
        </w:rPr>
        <w:t xml:space="preserve"> the </w:t>
      </w:r>
      <w:r w:rsidR="00AC672F" w:rsidRPr="00AC672F">
        <w:rPr>
          <w:rStyle w:val="BookTitle"/>
          <w:rFonts w:ascii="Arial" w:hAnsi="Arial" w:cs="Arial"/>
          <w:iCs w:val="0"/>
          <w:smallCaps w:val="0"/>
          <w:spacing w:val="0"/>
          <w:szCs w:val="24"/>
        </w:rPr>
        <w:t>Social Security (Exempt Lump Sums – Payments to Former British Child Migrants) Determination 201</w:t>
      </w:r>
      <w:r w:rsidR="001F46AC">
        <w:rPr>
          <w:rStyle w:val="BookTitle"/>
          <w:rFonts w:ascii="Arial" w:hAnsi="Arial" w:cs="Arial"/>
          <w:iCs w:val="0"/>
          <w:smallCaps w:val="0"/>
          <w:spacing w:val="0"/>
          <w:szCs w:val="24"/>
        </w:rPr>
        <w:t>9</w:t>
      </w:r>
      <w:r w:rsidR="00AC672F" w:rsidRPr="00AC672F">
        <w:rPr>
          <w:rStyle w:val="BookTitle"/>
          <w:rFonts w:ascii="Arial" w:hAnsi="Arial" w:cs="Arial"/>
          <w:iCs w:val="0"/>
          <w:smallCaps w:val="0"/>
          <w:spacing w:val="0"/>
          <w:szCs w:val="24"/>
        </w:rPr>
        <w:t>.</w:t>
      </w:r>
    </w:p>
    <w:p w:rsidR="00871F28" w:rsidRDefault="00365424" w:rsidP="00AC672F">
      <w:pPr>
        <w:spacing w:line="360" w:lineRule="auto"/>
        <w:rPr>
          <w:rStyle w:val="BookTitle"/>
          <w:rFonts w:ascii="Arial" w:hAnsi="Arial" w:cs="Arial"/>
          <w:i w:val="0"/>
          <w:iCs w:val="0"/>
          <w:smallCaps w:val="0"/>
          <w:spacing w:val="0"/>
          <w:szCs w:val="24"/>
        </w:rPr>
      </w:pPr>
      <w:r w:rsidRPr="001E2FC1">
        <w:rPr>
          <w:rStyle w:val="BookTitle"/>
          <w:rFonts w:ascii="Arial" w:hAnsi="Arial" w:cs="Arial"/>
          <w:b/>
          <w:i w:val="0"/>
          <w:iCs w:val="0"/>
          <w:smallCaps w:val="0"/>
          <w:spacing w:val="0"/>
          <w:szCs w:val="24"/>
        </w:rPr>
        <w:t>Section</w:t>
      </w:r>
      <w:r w:rsidR="00AC672F">
        <w:rPr>
          <w:rStyle w:val="BookTitle"/>
          <w:rFonts w:ascii="Arial" w:hAnsi="Arial" w:cs="Arial"/>
          <w:b/>
          <w:i w:val="0"/>
          <w:iCs w:val="0"/>
          <w:smallCaps w:val="0"/>
          <w:spacing w:val="0"/>
          <w:szCs w:val="24"/>
        </w:rPr>
        <w:t xml:space="preserve"> 2</w:t>
      </w:r>
      <w:r w:rsidR="001E2FC1">
        <w:rPr>
          <w:rStyle w:val="BookTitle"/>
          <w:rFonts w:ascii="Arial" w:hAnsi="Arial" w:cs="Arial"/>
          <w:b/>
          <w:i w:val="0"/>
          <w:iCs w:val="0"/>
          <w:smallCaps w:val="0"/>
          <w:spacing w:val="0"/>
          <w:szCs w:val="24"/>
        </w:rPr>
        <w:t xml:space="preserve"> </w:t>
      </w:r>
      <w:r w:rsidR="00762655">
        <w:rPr>
          <w:rStyle w:val="BookTitle"/>
          <w:rFonts w:ascii="Arial" w:hAnsi="Arial" w:cs="Arial"/>
          <w:i w:val="0"/>
          <w:iCs w:val="0"/>
          <w:smallCaps w:val="0"/>
          <w:spacing w:val="0"/>
          <w:szCs w:val="24"/>
        </w:rPr>
        <w:t>provides</w:t>
      </w:r>
      <w:r w:rsidR="009930B9">
        <w:rPr>
          <w:rStyle w:val="BookTitle"/>
          <w:rFonts w:ascii="Arial" w:hAnsi="Arial" w:cs="Arial"/>
          <w:i w:val="0"/>
          <w:iCs w:val="0"/>
          <w:smallCaps w:val="0"/>
          <w:spacing w:val="0"/>
          <w:szCs w:val="24"/>
        </w:rPr>
        <w:t xml:space="preserve"> that this</w:t>
      </w:r>
      <w:r w:rsidR="001E2FC1">
        <w:rPr>
          <w:rStyle w:val="BookTitle"/>
          <w:rFonts w:ascii="Arial" w:hAnsi="Arial" w:cs="Arial"/>
          <w:i w:val="0"/>
          <w:iCs w:val="0"/>
          <w:smallCaps w:val="0"/>
          <w:spacing w:val="0"/>
          <w:szCs w:val="24"/>
        </w:rPr>
        <w:t xml:space="preserve"> instrument commences on </w:t>
      </w:r>
      <w:r w:rsidR="00762655">
        <w:rPr>
          <w:rStyle w:val="BookTitle"/>
          <w:rFonts w:ascii="Arial" w:hAnsi="Arial" w:cs="Arial"/>
          <w:i w:val="0"/>
          <w:iCs w:val="0"/>
          <w:smallCaps w:val="0"/>
          <w:spacing w:val="0"/>
          <w:szCs w:val="24"/>
        </w:rPr>
        <w:t xml:space="preserve">the day after </w:t>
      </w:r>
      <w:r w:rsidR="009930B9">
        <w:rPr>
          <w:rStyle w:val="BookTitle"/>
          <w:rFonts w:ascii="Arial" w:hAnsi="Arial" w:cs="Arial"/>
          <w:i w:val="0"/>
          <w:iCs w:val="0"/>
          <w:smallCaps w:val="0"/>
          <w:spacing w:val="0"/>
          <w:szCs w:val="24"/>
        </w:rPr>
        <w:t>this instrument is made</w:t>
      </w:r>
      <w:r w:rsidR="00762655">
        <w:rPr>
          <w:rStyle w:val="BookTitle"/>
          <w:rFonts w:ascii="Arial" w:hAnsi="Arial" w:cs="Arial"/>
          <w:i w:val="0"/>
          <w:iCs w:val="0"/>
          <w:smallCaps w:val="0"/>
          <w:spacing w:val="0"/>
          <w:szCs w:val="24"/>
        </w:rPr>
        <w:t xml:space="preserve">. </w:t>
      </w:r>
      <w:r w:rsidR="00762655" w:rsidRPr="007C1B40">
        <w:rPr>
          <w:rStyle w:val="BookTitle"/>
          <w:rFonts w:ascii="Arial" w:hAnsi="Arial" w:cs="Arial"/>
          <w:i w:val="0"/>
          <w:iCs w:val="0"/>
          <w:smallCaps w:val="0"/>
          <w:spacing w:val="0"/>
          <w:szCs w:val="24"/>
        </w:rPr>
        <w:t>T</w:t>
      </w:r>
      <w:r w:rsidR="001E2FC1" w:rsidRPr="007C1B40">
        <w:rPr>
          <w:rStyle w:val="BookTitle"/>
          <w:rFonts w:ascii="Arial" w:hAnsi="Arial" w:cs="Arial"/>
          <w:i w:val="0"/>
          <w:iCs w:val="0"/>
          <w:smallCaps w:val="0"/>
          <w:spacing w:val="0"/>
          <w:szCs w:val="24"/>
        </w:rPr>
        <w:t>his means that the instrument will have effect on and from that date.</w:t>
      </w:r>
      <w:r w:rsidR="001E2FC1">
        <w:rPr>
          <w:rStyle w:val="BookTitle"/>
          <w:rFonts w:ascii="Arial" w:hAnsi="Arial" w:cs="Arial"/>
          <w:i w:val="0"/>
          <w:iCs w:val="0"/>
          <w:smallCaps w:val="0"/>
          <w:spacing w:val="0"/>
          <w:szCs w:val="24"/>
        </w:rPr>
        <w:t xml:space="preserve"> </w:t>
      </w:r>
    </w:p>
    <w:p w:rsidR="001E2FC1" w:rsidRDefault="00AC672F" w:rsidP="00AC672F">
      <w:pPr>
        <w:spacing w:line="360" w:lineRule="auto"/>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3 </w:t>
      </w:r>
      <w:r w:rsidR="00762655">
        <w:rPr>
          <w:rStyle w:val="BookTitle"/>
          <w:rFonts w:ascii="Arial" w:hAnsi="Arial" w:cs="Arial"/>
          <w:i w:val="0"/>
          <w:iCs w:val="0"/>
          <w:smallCaps w:val="0"/>
          <w:spacing w:val="0"/>
          <w:szCs w:val="24"/>
        </w:rPr>
        <w:t>provides</w:t>
      </w:r>
      <w:r w:rsidR="001E2FC1">
        <w:rPr>
          <w:rStyle w:val="BookTitle"/>
          <w:rFonts w:ascii="Arial" w:hAnsi="Arial" w:cs="Arial"/>
          <w:i w:val="0"/>
          <w:iCs w:val="0"/>
          <w:smallCaps w:val="0"/>
          <w:spacing w:val="0"/>
          <w:szCs w:val="24"/>
        </w:rPr>
        <w:t xml:space="preserve"> that the authority for making th</w:t>
      </w:r>
      <w:r w:rsidR="00762655">
        <w:rPr>
          <w:rStyle w:val="BookTitle"/>
          <w:rFonts w:ascii="Arial" w:hAnsi="Arial" w:cs="Arial"/>
          <w:i w:val="0"/>
          <w:iCs w:val="0"/>
          <w:smallCaps w:val="0"/>
          <w:spacing w:val="0"/>
          <w:szCs w:val="24"/>
        </w:rPr>
        <w:t>e instrume</w:t>
      </w:r>
      <w:bookmarkStart w:id="0" w:name="_GoBack"/>
      <w:bookmarkEnd w:id="0"/>
      <w:r w:rsidR="00762655">
        <w:rPr>
          <w:rStyle w:val="BookTitle"/>
          <w:rFonts w:ascii="Arial" w:hAnsi="Arial" w:cs="Arial"/>
          <w:i w:val="0"/>
          <w:iCs w:val="0"/>
          <w:smallCaps w:val="0"/>
          <w:spacing w:val="0"/>
          <w:szCs w:val="24"/>
        </w:rPr>
        <w:t xml:space="preserve">nt </w:t>
      </w:r>
      <w:r w:rsidR="001E2FC1">
        <w:rPr>
          <w:rStyle w:val="BookTitle"/>
          <w:rFonts w:ascii="Arial" w:hAnsi="Arial" w:cs="Arial"/>
          <w:i w:val="0"/>
          <w:iCs w:val="0"/>
          <w:smallCaps w:val="0"/>
          <w:spacing w:val="0"/>
          <w:szCs w:val="24"/>
        </w:rPr>
        <w:t xml:space="preserve">is paragraph 8(11)(d) of the Act. </w:t>
      </w:r>
    </w:p>
    <w:p w:rsidR="00AC672F" w:rsidRPr="00762655" w:rsidRDefault="00AC672F" w:rsidP="00AC672F">
      <w:pPr>
        <w:spacing w:line="360" w:lineRule="auto"/>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4 </w:t>
      </w:r>
      <w:r w:rsidR="00762655">
        <w:rPr>
          <w:rStyle w:val="BookTitle"/>
          <w:rFonts w:ascii="Arial" w:hAnsi="Arial" w:cs="Arial"/>
          <w:i w:val="0"/>
          <w:iCs w:val="0"/>
          <w:smallCaps w:val="0"/>
          <w:spacing w:val="0"/>
          <w:szCs w:val="24"/>
        </w:rPr>
        <w:t xml:space="preserve">makes provision for </w:t>
      </w:r>
      <w:r w:rsidR="00A40B91">
        <w:rPr>
          <w:rStyle w:val="BookTitle"/>
          <w:rFonts w:ascii="Arial" w:hAnsi="Arial" w:cs="Arial"/>
          <w:i w:val="0"/>
          <w:iCs w:val="0"/>
          <w:smallCaps w:val="0"/>
          <w:spacing w:val="0"/>
          <w:szCs w:val="24"/>
        </w:rPr>
        <w:t xml:space="preserve">definitions of certain terms used in the </w:t>
      </w:r>
      <w:r w:rsidR="00762655">
        <w:rPr>
          <w:rStyle w:val="BookTitle"/>
          <w:rFonts w:ascii="Arial" w:hAnsi="Arial" w:cs="Arial"/>
          <w:i w:val="0"/>
          <w:iCs w:val="0"/>
          <w:smallCaps w:val="0"/>
          <w:spacing w:val="0"/>
          <w:szCs w:val="24"/>
        </w:rPr>
        <w:t xml:space="preserve">instrument. Act means the Social Security Act 1991. Former British Child Migrant Payment means any </w:t>
      </w:r>
      <w:r w:rsidR="00762655" w:rsidRPr="001F46AC">
        <w:rPr>
          <w:rStyle w:val="BookTitle"/>
          <w:rFonts w:ascii="Arial" w:hAnsi="Arial" w:cs="Arial"/>
          <w:i w:val="0"/>
          <w:iCs w:val="0"/>
          <w:smallCaps w:val="0"/>
          <w:spacing w:val="0"/>
          <w:szCs w:val="24"/>
        </w:rPr>
        <w:t xml:space="preserve">payment </w:t>
      </w:r>
      <w:r w:rsidR="00DE48BB" w:rsidRPr="001F46AC">
        <w:rPr>
          <w:rStyle w:val="BookTitle"/>
          <w:rFonts w:ascii="Arial" w:hAnsi="Arial" w:cs="Arial"/>
          <w:i w:val="0"/>
          <w:iCs w:val="0"/>
          <w:smallCaps w:val="0"/>
          <w:spacing w:val="0"/>
          <w:szCs w:val="24"/>
        </w:rPr>
        <w:t>of no more than</w:t>
      </w:r>
      <w:r w:rsidR="00762655" w:rsidRPr="001F46AC">
        <w:rPr>
          <w:rStyle w:val="BookTitle"/>
          <w:rFonts w:ascii="Arial" w:hAnsi="Arial" w:cs="Arial"/>
          <w:i w:val="0"/>
          <w:iCs w:val="0"/>
          <w:smallCaps w:val="0"/>
          <w:spacing w:val="0"/>
          <w:szCs w:val="24"/>
        </w:rPr>
        <w:t xml:space="preserve"> £</w:t>
      </w:r>
      <w:r w:rsidR="00762655" w:rsidRPr="00215796">
        <w:rPr>
          <w:rStyle w:val="BookTitle"/>
          <w:rFonts w:ascii="Arial" w:hAnsi="Arial" w:cs="Arial"/>
          <w:i w:val="0"/>
          <w:iCs w:val="0"/>
          <w:smallCaps w:val="0"/>
          <w:spacing w:val="0"/>
          <w:szCs w:val="24"/>
        </w:rPr>
        <w:t>20,000</w:t>
      </w:r>
      <w:r w:rsidR="00762655">
        <w:rPr>
          <w:rStyle w:val="BookTitle"/>
          <w:rFonts w:ascii="Arial" w:hAnsi="Arial" w:cs="Arial"/>
          <w:i w:val="0"/>
          <w:iCs w:val="0"/>
          <w:smallCaps w:val="0"/>
          <w:spacing w:val="0"/>
          <w:szCs w:val="24"/>
        </w:rPr>
        <w:t xml:space="preserve">GBP made on or after 1 March 2019 by The Government of the United Kingdom under the </w:t>
      </w:r>
      <w:r w:rsidR="00762655">
        <w:rPr>
          <w:rStyle w:val="BookTitle"/>
          <w:rFonts w:ascii="Arial" w:hAnsi="Arial" w:cs="Arial"/>
          <w:iCs w:val="0"/>
          <w:smallCaps w:val="0"/>
          <w:spacing w:val="0"/>
          <w:szCs w:val="24"/>
        </w:rPr>
        <w:t xml:space="preserve">Ex-Gratia Payment Scheme for Former British Child Migrants </w:t>
      </w:r>
      <w:r w:rsidR="00762655">
        <w:rPr>
          <w:rStyle w:val="BookTitle"/>
          <w:rFonts w:ascii="Arial" w:hAnsi="Arial" w:cs="Arial"/>
          <w:i w:val="0"/>
          <w:iCs w:val="0"/>
          <w:smallCaps w:val="0"/>
          <w:spacing w:val="0"/>
          <w:szCs w:val="24"/>
        </w:rPr>
        <w:t xml:space="preserve">to a person who was alive on 1 March 2018 and was determined under that scheme to be an entitled former child migrant, or that person’s </w:t>
      </w:r>
      <w:r w:rsidR="00762655" w:rsidRPr="00DA400C">
        <w:rPr>
          <w:rStyle w:val="BookTitle"/>
          <w:rFonts w:ascii="Arial" w:hAnsi="Arial" w:cs="Arial"/>
          <w:i w:val="0"/>
          <w:iCs w:val="0"/>
          <w:smallCaps w:val="0"/>
          <w:spacing w:val="0"/>
          <w:szCs w:val="24"/>
        </w:rPr>
        <w:t xml:space="preserve">beneficiary. Accordingly, payments made any time from 1 March 2019 under this scheme will be included in this definition. Together with section 5, this provision has some beneficial prospective operation. As the retrospectivity is only beneficial, it is consistent with section 12(2) of the </w:t>
      </w:r>
      <w:r w:rsidR="00762655" w:rsidRPr="00DA400C">
        <w:rPr>
          <w:rStyle w:val="BookTitle"/>
          <w:rFonts w:ascii="Arial" w:hAnsi="Arial" w:cs="Arial"/>
          <w:iCs w:val="0"/>
          <w:smallCaps w:val="0"/>
          <w:spacing w:val="0"/>
          <w:szCs w:val="24"/>
        </w:rPr>
        <w:t>Legislation Act 2003.</w:t>
      </w:r>
      <w:r w:rsidR="00762655">
        <w:rPr>
          <w:rStyle w:val="BookTitle"/>
          <w:rFonts w:ascii="Arial" w:hAnsi="Arial" w:cs="Arial"/>
          <w:iCs w:val="0"/>
          <w:smallCaps w:val="0"/>
          <w:spacing w:val="0"/>
          <w:szCs w:val="24"/>
        </w:rPr>
        <w:t xml:space="preserve"> </w:t>
      </w:r>
      <w:r w:rsidR="00762655">
        <w:rPr>
          <w:rStyle w:val="BookTitle"/>
          <w:rFonts w:ascii="Arial" w:hAnsi="Arial" w:cs="Arial"/>
          <w:i w:val="0"/>
          <w:iCs w:val="0"/>
          <w:smallCaps w:val="0"/>
          <w:spacing w:val="0"/>
          <w:szCs w:val="24"/>
        </w:rPr>
        <w:t xml:space="preserve"> </w:t>
      </w:r>
    </w:p>
    <w:p w:rsidR="001E2FC1" w:rsidRPr="00A40B91" w:rsidRDefault="00A40B91" w:rsidP="00A40B91">
      <w:pPr>
        <w:spacing w:line="360" w:lineRule="auto"/>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5 </w:t>
      </w:r>
      <w:r>
        <w:rPr>
          <w:rStyle w:val="BookTitle"/>
          <w:rFonts w:ascii="Arial" w:hAnsi="Arial" w:cs="Arial"/>
          <w:i w:val="0"/>
          <w:iCs w:val="0"/>
          <w:smallCaps w:val="0"/>
          <w:spacing w:val="0"/>
          <w:szCs w:val="24"/>
        </w:rPr>
        <w:t>specifies that a Former British</w:t>
      </w:r>
      <w:r w:rsidR="00762655">
        <w:rPr>
          <w:rStyle w:val="BookTitle"/>
          <w:rFonts w:ascii="Arial" w:hAnsi="Arial" w:cs="Arial"/>
          <w:i w:val="0"/>
          <w:iCs w:val="0"/>
          <w:smallCaps w:val="0"/>
          <w:spacing w:val="0"/>
          <w:szCs w:val="24"/>
        </w:rPr>
        <w:t xml:space="preserve"> Child Migrant payment made by T</w:t>
      </w:r>
      <w:r>
        <w:rPr>
          <w:rStyle w:val="BookTitle"/>
          <w:rFonts w:ascii="Arial" w:hAnsi="Arial" w:cs="Arial"/>
          <w:i w:val="0"/>
          <w:iCs w:val="0"/>
          <w:smallCaps w:val="0"/>
          <w:spacing w:val="0"/>
          <w:szCs w:val="24"/>
        </w:rPr>
        <w:t xml:space="preserve">he Government of the United Kingdom under the </w:t>
      </w:r>
      <w:r w:rsidRPr="00AC672F">
        <w:rPr>
          <w:rStyle w:val="BookTitle"/>
          <w:rFonts w:ascii="Arial" w:hAnsi="Arial" w:cs="Arial"/>
          <w:i w:val="0"/>
          <w:iCs w:val="0"/>
          <w:smallCaps w:val="0"/>
          <w:spacing w:val="0"/>
          <w:szCs w:val="24"/>
        </w:rPr>
        <w:t>Ex-Gratia Payment Scheme for Former British Child Migrants</w:t>
      </w:r>
      <w:r>
        <w:rPr>
          <w:rStyle w:val="BookTitle"/>
          <w:rFonts w:ascii="Arial" w:hAnsi="Arial" w:cs="Arial"/>
          <w:i w:val="0"/>
          <w:iCs w:val="0"/>
          <w:smallCaps w:val="0"/>
          <w:spacing w:val="0"/>
          <w:szCs w:val="24"/>
        </w:rPr>
        <w:t xml:space="preserve"> is an exempt lump sum for the purposes of paragraph 8(11)(d) of the Act. </w:t>
      </w:r>
    </w:p>
    <w:p w:rsidR="00AC672F" w:rsidRDefault="00AC672F" w:rsidP="00A40B91">
      <w:pPr>
        <w:shd w:val="clear" w:color="auto" w:fill="FFFFFF"/>
        <w:spacing w:before="0" w:after="240" w:line="360" w:lineRule="auto"/>
        <w:textAlignment w:val="top"/>
        <w:rPr>
          <w:rFonts w:ascii="Arial" w:hAnsi="Arial" w:cs="Arial"/>
          <w:b/>
          <w:color w:val="111111"/>
          <w:szCs w:val="24"/>
        </w:rPr>
      </w:pPr>
    </w:p>
    <w:p w:rsidR="00C37944" w:rsidRPr="00BC76EB" w:rsidRDefault="00C37944">
      <w:pPr>
        <w:spacing w:before="0" w:after="200" w:line="276" w:lineRule="auto"/>
        <w:rPr>
          <w:rFonts w:ascii="Arial" w:eastAsiaTheme="majorEastAsia" w:hAnsi="Arial" w:cs="Arial"/>
          <w:b/>
          <w:bCs/>
          <w:szCs w:val="24"/>
        </w:rPr>
      </w:pPr>
      <w:bookmarkStart w:id="1" w:name="_Toc290210739"/>
      <w:r w:rsidRPr="00BC76EB">
        <w:rPr>
          <w:rFonts w:ascii="Arial" w:hAnsi="Arial" w:cs="Arial"/>
          <w:szCs w:val="24"/>
        </w:rPr>
        <w:br w:type="page"/>
      </w:r>
    </w:p>
    <w:p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rsidR="006546B7" w:rsidRPr="00BC76EB" w:rsidRDefault="006546B7" w:rsidP="006546B7">
      <w:pPr>
        <w:spacing w:before="120" w:after="120"/>
        <w:jc w:val="center"/>
        <w:rPr>
          <w:rFonts w:ascii="Arial" w:hAnsi="Arial" w:cs="Arial"/>
          <w:szCs w:val="24"/>
        </w:rPr>
      </w:pPr>
    </w:p>
    <w:p w:rsidR="00A40B91" w:rsidRPr="00A40B91" w:rsidRDefault="00A40B91" w:rsidP="00A40B91">
      <w:pPr>
        <w:spacing w:before="0" w:line="360" w:lineRule="auto"/>
        <w:ind w:right="91"/>
        <w:jc w:val="center"/>
        <w:rPr>
          <w:rFonts w:ascii="Arial" w:hAnsi="Arial" w:cs="Arial"/>
          <w:b/>
          <w:i/>
          <w:szCs w:val="24"/>
        </w:rPr>
      </w:pPr>
      <w:r w:rsidRPr="00A40B91">
        <w:rPr>
          <w:rFonts w:ascii="Arial" w:hAnsi="Arial" w:cs="Arial"/>
          <w:b/>
          <w:i/>
          <w:szCs w:val="24"/>
        </w:rPr>
        <w:t>Social Security (Exempt Lump Sums – Payments to Former British Child Migrants) Determination 2019</w:t>
      </w:r>
    </w:p>
    <w:p w:rsidR="006546B7" w:rsidRPr="00BC76EB" w:rsidRDefault="006546B7" w:rsidP="006546B7">
      <w:pPr>
        <w:spacing w:before="120" w:after="120"/>
        <w:jc w:val="center"/>
        <w:rPr>
          <w:rFonts w:ascii="Arial" w:hAnsi="Arial" w:cs="Arial"/>
          <w:szCs w:val="24"/>
        </w:rPr>
      </w:pPr>
    </w:p>
    <w:p w:rsidR="006546B7" w:rsidRPr="00BC76EB" w:rsidRDefault="00374A77" w:rsidP="006C5E5E">
      <w:pPr>
        <w:spacing w:before="120" w:after="120"/>
        <w:jc w:val="center"/>
        <w:rPr>
          <w:rFonts w:ascii="Arial" w:hAnsi="Arial" w:cs="Arial"/>
          <w:szCs w:val="24"/>
        </w:rPr>
      </w:pPr>
      <w:r w:rsidRPr="00BC76EB">
        <w:rPr>
          <w:rFonts w:ascii="Arial" w:hAnsi="Arial" w:cs="Arial"/>
          <w:szCs w:val="24"/>
        </w:rPr>
        <w:t xml:space="preserve">The </w:t>
      </w:r>
      <w:r w:rsidR="00870A59">
        <w:rPr>
          <w:rFonts w:ascii="Arial" w:hAnsi="Arial" w:cs="Arial"/>
          <w:szCs w:val="24"/>
        </w:rPr>
        <w:t>Determination</w:t>
      </w:r>
      <w:r w:rsidRPr="00BC76EB">
        <w:rPr>
          <w:rFonts w:ascii="Arial" w:hAnsi="Arial" w:cs="Arial"/>
          <w:szCs w:val="24"/>
        </w:rPr>
        <w:t xml:space="preserve"> </w:t>
      </w:r>
      <w:r w:rsidR="00A40B91">
        <w:rPr>
          <w:rFonts w:ascii="Arial" w:hAnsi="Arial" w:cs="Arial"/>
          <w:szCs w:val="24"/>
        </w:rPr>
        <w:t>is</w:t>
      </w:r>
      <w:r w:rsidR="006546B7" w:rsidRPr="00BC76EB">
        <w:rPr>
          <w:rFonts w:ascii="Arial" w:hAnsi="Arial" w:cs="Arial"/>
          <w:szCs w:val="24"/>
        </w:rPr>
        <w:t xml:space="preserve"> 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rsidR="006546B7" w:rsidRPr="00BC76EB" w:rsidRDefault="002A63EA" w:rsidP="00AD1347">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rsidR="001F46AC" w:rsidRPr="001F46AC" w:rsidRDefault="001F46AC" w:rsidP="001F46AC">
      <w:pPr>
        <w:spacing w:after="120"/>
        <w:rPr>
          <w:rFonts w:ascii="Arial" w:hAnsi="Arial" w:cs="Arial"/>
          <w:szCs w:val="24"/>
        </w:rPr>
      </w:pPr>
      <w:r w:rsidRPr="001F46AC">
        <w:rPr>
          <w:rFonts w:ascii="Arial" w:hAnsi="Arial" w:cs="Arial"/>
          <w:szCs w:val="24"/>
        </w:rPr>
        <w:t>The</w:t>
      </w:r>
      <w:r w:rsidR="00870A59">
        <w:rPr>
          <w:rFonts w:ascii="Arial" w:hAnsi="Arial" w:cs="Arial"/>
          <w:szCs w:val="24"/>
        </w:rPr>
        <w:t xml:space="preserve"> Determination</w:t>
      </w:r>
      <w:r>
        <w:rPr>
          <w:rFonts w:ascii="Arial" w:hAnsi="Arial" w:cs="Arial"/>
          <w:szCs w:val="24"/>
        </w:rPr>
        <w:t xml:space="preserve"> </w:t>
      </w:r>
      <w:r w:rsidRPr="001F46AC">
        <w:rPr>
          <w:rFonts w:ascii="Arial" w:hAnsi="Arial" w:cs="Arial"/>
          <w:szCs w:val="24"/>
        </w:rPr>
        <w:t xml:space="preserve">is compatible with the human rights and freedoms recognised or declared in the international instruments listed in section 3 of the Human Rights (Parliamentary Scrutiny) Act 2011. </w:t>
      </w:r>
    </w:p>
    <w:p w:rsidR="001F46AC" w:rsidRDefault="001F46AC" w:rsidP="001F46AC">
      <w:pPr>
        <w:spacing w:after="120"/>
        <w:rPr>
          <w:rFonts w:ascii="Arial" w:hAnsi="Arial" w:cs="Arial"/>
          <w:szCs w:val="24"/>
        </w:rPr>
      </w:pPr>
      <w:r w:rsidRPr="001F46AC">
        <w:rPr>
          <w:rFonts w:ascii="Arial" w:hAnsi="Arial" w:cs="Arial"/>
          <w:szCs w:val="24"/>
        </w:rPr>
        <w:t>The effect of the Determination is</w:t>
      </w:r>
      <w:r>
        <w:rPr>
          <w:rFonts w:ascii="Arial" w:hAnsi="Arial" w:cs="Arial"/>
          <w:szCs w:val="24"/>
        </w:rPr>
        <w:t xml:space="preserve"> that a person who receives an E</w:t>
      </w:r>
      <w:r w:rsidRPr="001F46AC">
        <w:rPr>
          <w:rFonts w:ascii="Arial" w:hAnsi="Arial" w:cs="Arial"/>
          <w:szCs w:val="24"/>
        </w:rPr>
        <w:t>x-gratia scheme payment to former British Child Migrants will not have that payment assessed as income under the social security law.</w:t>
      </w:r>
    </w:p>
    <w:p w:rsidR="006546B7" w:rsidRPr="00BC76EB" w:rsidRDefault="006546B7" w:rsidP="001F46AC">
      <w:pPr>
        <w:spacing w:after="120"/>
        <w:rPr>
          <w:rFonts w:ascii="Arial" w:hAnsi="Arial" w:cs="Arial"/>
          <w:b/>
          <w:szCs w:val="24"/>
        </w:rPr>
      </w:pPr>
      <w:r w:rsidRPr="00BC76EB">
        <w:rPr>
          <w:rFonts w:ascii="Arial" w:hAnsi="Arial" w:cs="Arial"/>
          <w:b/>
          <w:szCs w:val="24"/>
        </w:rPr>
        <w:t>Human rights implications</w:t>
      </w:r>
    </w:p>
    <w:p w:rsidR="001F46AC" w:rsidRPr="001F46AC" w:rsidRDefault="001F46AC" w:rsidP="001F46AC">
      <w:pPr>
        <w:spacing w:after="120"/>
        <w:rPr>
          <w:rFonts w:ascii="Arial" w:hAnsi="Arial" w:cs="Arial"/>
          <w:szCs w:val="24"/>
        </w:rPr>
      </w:pPr>
      <w:r w:rsidRPr="001F46AC">
        <w:rPr>
          <w:rFonts w:ascii="Arial" w:hAnsi="Arial" w:cs="Arial"/>
          <w:szCs w:val="24"/>
        </w:rPr>
        <w:t>The Determination engages the right to social security under Article 9 of the International Covenant on Economic, Social and Cultural Rights (ICESCR).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w:t>
      </w:r>
      <w:r>
        <w:rPr>
          <w:rFonts w:ascii="Arial" w:hAnsi="Arial" w:cs="Arial"/>
          <w:szCs w:val="24"/>
        </w:rPr>
        <w:t xml:space="preserve"> most basic forms of education.</w:t>
      </w:r>
    </w:p>
    <w:p w:rsidR="00870A59" w:rsidRDefault="001F46AC" w:rsidP="001F46AC">
      <w:pPr>
        <w:spacing w:after="120"/>
        <w:rPr>
          <w:rFonts w:ascii="Arial" w:hAnsi="Arial" w:cs="Arial"/>
          <w:szCs w:val="24"/>
        </w:rPr>
      </w:pPr>
      <w:r w:rsidRPr="001F46AC">
        <w:rPr>
          <w:rFonts w:ascii="Arial" w:hAnsi="Arial" w:cs="Arial"/>
          <w:szCs w:val="24"/>
        </w:rPr>
        <w:t>The Determination will operate beneficially as an Ex-gratia scheme payment to former British Child Migrants will not be taken into account when assessing a person’s eligibility or rate of social security entitlements under the social security income test. If the Ex-gratia scheme payment to former British Child Migrants is not exempted, a person in receipt of that payment may not be eligible for a social security payment or, if they are eligible, their rate of payment might be reduced. The Determination is therefore consistent with promotion of the right to social security.</w:t>
      </w:r>
    </w:p>
    <w:p w:rsidR="006546B7" w:rsidRPr="00BC76EB" w:rsidRDefault="006546B7" w:rsidP="001F46AC">
      <w:pPr>
        <w:spacing w:after="120"/>
        <w:rPr>
          <w:rFonts w:ascii="Arial" w:hAnsi="Arial" w:cs="Arial"/>
          <w:b/>
          <w:szCs w:val="24"/>
        </w:rPr>
      </w:pPr>
      <w:r w:rsidRPr="00BC76EB">
        <w:rPr>
          <w:rFonts w:ascii="Arial" w:hAnsi="Arial" w:cs="Arial"/>
          <w:b/>
          <w:szCs w:val="24"/>
        </w:rPr>
        <w:t>Conclusion</w:t>
      </w:r>
    </w:p>
    <w:p w:rsidR="006546B7" w:rsidRPr="00BC76EB" w:rsidRDefault="00374A77" w:rsidP="006546B7">
      <w:pPr>
        <w:spacing w:before="120" w:after="120"/>
        <w:rPr>
          <w:rFonts w:ascii="Arial" w:hAnsi="Arial" w:cs="Arial"/>
          <w:szCs w:val="24"/>
        </w:rPr>
      </w:pPr>
      <w:r w:rsidRPr="00BC76EB">
        <w:rPr>
          <w:rFonts w:ascii="Arial" w:hAnsi="Arial" w:cs="Arial"/>
          <w:szCs w:val="24"/>
        </w:rPr>
        <w:t xml:space="preserve">The </w:t>
      </w:r>
      <w:r w:rsidR="00870A59">
        <w:rPr>
          <w:rFonts w:ascii="Arial" w:hAnsi="Arial" w:cs="Arial"/>
          <w:szCs w:val="24"/>
        </w:rPr>
        <w:t xml:space="preserve">Determination is </w:t>
      </w:r>
      <w:r w:rsidR="006546B7" w:rsidRPr="00BC76EB">
        <w:rPr>
          <w:rFonts w:ascii="Arial" w:hAnsi="Arial" w:cs="Arial"/>
          <w:szCs w:val="24"/>
        </w:rPr>
        <w:t xml:space="preserve">compatible with human rights as </w:t>
      </w:r>
      <w:r w:rsidR="005C390A" w:rsidRPr="00BC76EB">
        <w:rPr>
          <w:rFonts w:ascii="Arial" w:hAnsi="Arial" w:cs="Arial"/>
          <w:szCs w:val="24"/>
        </w:rPr>
        <w:t>they</w:t>
      </w:r>
      <w:r w:rsidRPr="00BC76EB">
        <w:rPr>
          <w:rFonts w:ascii="Arial" w:hAnsi="Arial" w:cs="Arial"/>
          <w:szCs w:val="24"/>
        </w:rPr>
        <w:t xml:space="preserve"> </w:t>
      </w:r>
      <w:r w:rsidR="005C390A" w:rsidRPr="00BC76EB">
        <w:rPr>
          <w:rFonts w:ascii="Arial" w:hAnsi="Arial" w:cs="Arial"/>
          <w:szCs w:val="24"/>
        </w:rPr>
        <w:t>do</w:t>
      </w:r>
      <w:r w:rsidR="006546B7" w:rsidRPr="00BC76EB">
        <w:rPr>
          <w:rFonts w:ascii="Arial" w:hAnsi="Arial" w:cs="Arial"/>
          <w:szCs w:val="24"/>
        </w:rPr>
        <w:t xml:space="preserve"> not raise any human rights issues.</w:t>
      </w:r>
    </w:p>
    <w:p w:rsidR="006546B7" w:rsidRDefault="006546B7" w:rsidP="006546B7">
      <w:pPr>
        <w:spacing w:before="120" w:after="120"/>
        <w:contextualSpacing/>
        <w:jc w:val="center"/>
        <w:rPr>
          <w:rFonts w:ascii="Arial" w:hAnsi="Arial" w:cs="Arial"/>
          <w:szCs w:val="24"/>
        </w:rPr>
      </w:pPr>
    </w:p>
    <w:p w:rsidR="00870A59" w:rsidRPr="00BC76EB" w:rsidRDefault="00870A59" w:rsidP="006546B7">
      <w:pPr>
        <w:spacing w:before="120" w:after="120"/>
        <w:contextualSpacing/>
        <w:jc w:val="center"/>
        <w:rPr>
          <w:rFonts w:ascii="Arial" w:hAnsi="Arial" w:cs="Arial"/>
          <w:szCs w:val="24"/>
        </w:rPr>
      </w:pPr>
    </w:p>
    <w:bookmarkEnd w:id="1"/>
    <w:p w:rsidR="00870A59" w:rsidRDefault="00870A59" w:rsidP="00870A59">
      <w:pPr>
        <w:spacing w:before="0" w:after="200" w:line="276" w:lineRule="auto"/>
        <w:contextualSpacing/>
        <w:jc w:val="center"/>
        <w:rPr>
          <w:rFonts w:ascii="Arial" w:hAnsi="Arial" w:cs="Arial"/>
          <w:b/>
          <w:szCs w:val="24"/>
        </w:rPr>
      </w:pPr>
      <w:r w:rsidRPr="00870A59">
        <w:rPr>
          <w:rFonts w:ascii="Arial" w:hAnsi="Arial" w:cs="Arial"/>
          <w:b/>
          <w:szCs w:val="24"/>
        </w:rPr>
        <w:t xml:space="preserve">Mary McLarty, Branch Manager, Payment Structures Branch, </w:t>
      </w:r>
    </w:p>
    <w:p w:rsidR="002810A5" w:rsidRPr="00BC76EB" w:rsidRDefault="00870A59" w:rsidP="00870A59">
      <w:pPr>
        <w:spacing w:before="0" w:after="200" w:line="276" w:lineRule="auto"/>
        <w:contextualSpacing/>
        <w:jc w:val="center"/>
        <w:rPr>
          <w:rStyle w:val="BookTitle"/>
          <w:rFonts w:ascii="Arial" w:hAnsi="Arial" w:cs="Arial"/>
          <w:i w:val="0"/>
          <w:iCs w:val="0"/>
          <w:smallCaps w:val="0"/>
          <w:spacing w:val="0"/>
          <w:szCs w:val="24"/>
        </w:rPr>
      </w:pPr>
      <w:r w:rsidRPr="00870A59">
        <w:rPr>
          <w:rFonts w:ascii="Arial" w:hAnsi="Arial" w:cs="Arial"/>
          <w:b/>
          <w:szCs w:val="24"/>
        </w:rPr>
        <w:t>as a delegate of the Secretary of the Department of Social Services</w:t>
      </w:r>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78D" w:rsidRDefault="00C9478D" w:rsidP="00AD1645">
      <w:pPr>
        <w:spacing w:before="0"/>
      </w:pPr>
      <w:r>
        <w:separator/>
      </w:r>
    </w:p>
  </w:endnote>
  <w:endnote w:type="continuationSeparator" w:id="0">
    <w:p w:rsidR="00C9478D" w:rsidRDefault="00C9478D"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78D" w:rsidRDefault="00C9478D" w:rsidP="00AD1645">
      <w:pPr>
        <w:spacing w:before="0"/>
      </w:pPr>
      <w:r>
        <w:separator/>
      </w:r>
    </w:p>
  </w:footnote>
  <w:footnote w:type="continuationSeparator" w:id="0">
    <w:p w:rsidR="00C9478D" w:rsidRDefault="00C9478D"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6682"/>
    <w:multiLevelType w:val="hybridMultilevel"/>
    <w:tmpl w:val="B42EDEC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11"/>
  </w:num>
  <w:num w:numId="6">
    <w:abstractNumId w:val="2"/>
  </w:num>
  <w:num w:numId="7">
    <w:abstractNumId w:val="9"/>
  </w:num>
  <w:num w:numId="8">
    <w:abstractNumId w:val="13"/>
  </w:num>
  <w:num w:numId="9">
    <w:abstractNumId w:val="7"/>
  </w:num>
  <w:num w:numId="10">
    <w:abstractNumId w:val="14"/>
  </w:num>
  <w:num w:numId="11">
    <w:abstractNumId w:val="3"/>
  </w:num>
  <w:num w:numId="12">
    <w:abstractNumId w:val="5"/>
  </w:num>
  <w:num w:numId="13">
    <w:abstractNumId w:val="1"/>
  </w:num>
  <w:num w:numId="14">
    <w:abstractNumId w:val="8"/>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B79"/>
    <w:rsid w:val="00031D0B"/>
    <w:rsid w:val="00043B6D"/>
    <w:rsid w:val="000459EF"/>
    <w:rsid w:val="00045BF2"/>
    <w:rsid w:val="00051C3F"/>
    <w:rsid w:val="00066DAE"/>
    <w:rsid w:val="00074C1A"/>
    <w:rsid w:val="000760DC"/>
    <w:rsid w:val="000844AF"/>
    <w:rsid w:val="00084B46"/>
    <w:rsid w:val="00085730"/>
    <w:rsid w:val="00096B8D"/>
    <w:rsid w:val="000A3595"/>
    <w:rsid w:val="000A772F"/>
    <w:rsid w:val="000B4130"/>
    <w:rsid w:val="000C2DDB"/>
    <w:rsid w:val="000C5204"/>
    <w:rsid w:val="000D365F"/>
    <w:rsid w:val="000E02A0"/>
    <w:rsid w:val="000E3915"/>
    <w:rsid w:val="0011719D"/>
    <w:rsid w:val="00126429"/>
    <w:rsid w:val="001310C6"/>
    <w:rsid w:val="001355EF"/>
    <w:rsid w:val="00140359"/>
    <w:rsid w:val="001502F9"/>
    <w:rsid w:val="0015134A"/>
    <w:rsid w:val="00152472"/>
    <w:rsid w:val="00163809"/>
    <w:rsid w:val="0016653C"/>
    <w:rsid w:val="001758FD"/>
    <w:rsid w:val="00175BC6"/>
    <w:rsid w:val="00191AEC"/>
    <w:rsid w:val="001920F3"/>
    <w:rsid w:val="001A737C"/>
    <w:rsid w:val="001B5379"/>
    <w:rsid w:val="001C64F9"/>
    <w:rsid w:val="001D69AF"/>
    <w:rsid w:val="001E2FC1"/>
    <w:rsid w:val="001E5B72"/>
    <w:rsid w:val="001E5D12"/>
    <w:rsid w:val="001E630D"/>
    <w:rsid w:val="001E7422"/>
    <w:rsid w:val="001F46AC"/>
    <w:rsid w:val="001F4805"/>
    <w:rsid w:val="001F4E3C"/>
    <w:rsid w:val="002154EE"/>
    <w:rsid w:val="00215796"/>
    <w:rsid w:val="00224887"/>
    <w:rsid w:val="002329E1"/>
    <w:rsid w:val="002334D9"/>
    <w:rsid w:val="00234F9E"/>
    <w:rsid w:val="0024465E"/>
    <w:rsid w:val="0024760C"/>
    <w:rsid w:val="002533F0"/>
    <w:rsid w:val="002642C7"/>
    <w:rsid w:val="00264C31"/>
    <w:rsid w:val="00267CFD"/>
    <w:rsid w:val="002741BD"/>
    <w:rsid w:val="00274CAF"/>
    <w:rsid w:val="00276815"/>
    <w:rsid w:val="00276D06"/>
    <w:rsid w:val="00276F09"/>
    <w:rsid w:val="002810A5"/>
    <w:rsid w:val="0028209F"/>
    <w:rsid w:val="00283079"/>
    <w:rsid w:val="002926E3"/>
    <w:rsid w:val="002A0E63"/>
    <w:rsid w:val="002A2A71"/>
    <w:rsid w:val="002A523B"/>
    <w:rsid w:val="002A6007"/>
    <w:rsid w:val="002A63EA"/>
    <w:rsid w:val="002A72E8"/>
    <w:rsid w:val="002B0175"/>
    <w:rsid w:val="002C0F57"/>
    <w:rsid w:val="002C1403"/>
    <w:rsid w:val="002C1938"/>
    <w:rsid w:val="002C2252"/>
    <w:rsid w:val="002C6177"/>
    <w:rsid w:val="002D0F1C"/>
    <w:rsid w:val="002D35D8"/>
    <w:rsid w:val="002D4522"/>
    <w:rsid w:val="002E0BB1"/>
    <w:rsid w:val="002E45E2"/>
    <w:rsid w:val="002F526E"/>
    <w:rsid w:val="00300D8B"/>
    <w:rsid w:val="003119FD"/>
    <w:rsid w:val="00334F9D"/>
    <w:rsid w:val="00337065"/>
    <w:rsid w:val="00337D24"/>
    <w:rsid w:val="003430FC"/>
    <w:rsid w:val="003434E2"/>
    <w:rsid w:val="00345FFE"/>
    <w:rsid w:val="00347330"/>
    <w:rsid w:val="0035378F"/>
    <w:rsid w:val="003606C5"/>
    <w:rsid w:val="00365424"/>
    <w:rsid w:val="00374A77"/>
    <w:rsid w:val="00380666"/>
    <w:rsid w:val="00387D89"/>
    <w:rsid w:val="00392EB6"/>
    <w:rsid w:val="00393D4E"/>
    <w:rsid w:val="00394743"/>
    <w:rsid w:val="003A04AD"/>
    <w:rsid w:val="003A64E9"/>
    <w:rsid w:val="003B2BB8"/>
    <w:rsid w:val="003B44E1"/>
    <w:rsid w:val="003C3368"/>
    <w:rsid w:val="003C54B6"/>
    <w:rsid w:val="003C69FF"/>
    <w:rsid w:val="003D34FF"/>
    <w:rsid w:val="003D71F6"/>
    <w:rsid w:val="003E1784"/>
    <w:rsid w:val="00400273"/>
    <w:rsid w:val="00420387"/>
    <w:rsid w:val="0042132E"/>
    <w:rsid w:val="00446D6C"/>
    <w:rsid w:val="0045240C"/>
    <w:rsid w:val="00453FC9"/>
    <w:rsid w:val="00454405"/>
    <w:rsid w:val="00456FBD"/>
    <w:rsid w:val="00457792"/>
    <w:rsid w:val="004646E1"/>
    <w:rsid w:val="00470C3D"/>
    <w:rsid w:val="004726FF"/>
    <w:rsid w:val="004814F1"/>
    <w:rsid w:val="00482411"/>
    <w:rsid w:val="004956ED"/>
    <w:rsid w:val="0049646F"/>
    <w:rsid w:val="00497768"/>
    <w:rsid w:val="004A0C19"/>
    <w:rsid w:val="004A126A"/>
    <w:rsid w:val="004A24AF"/>
    <w:rsid w:val="004B3147"/>
    <w:rsid w:val="004B54CA"/>
    <w:rsid w:val="004C163F"/>
    <w:rsid w:val="004D336A"/>
    <w:rsid w:val="004E3A61"/>
    <w:rsid w:val="004E3E3E"/>
    <w:rsid w:val="004E5CBF"/>
    <w:rsid w:val="004F1CD0"/>
    <w:rsid w:val="004F264A"/>
    <w:rsid w:val="004F5308"/>
    <w:rsid w:val="004F69ED"/>
    <w:rsid w:val="00511520"/>
    <w:rsid w:val="00527238"/>
    <w:rsid w:val="005332C8"/>
    <w:rsid w:val="005341B3"/>
    <w:rsid w:val="00540BD8"/>
    <w:rsid w:val="005442A8"/>
    <w:rsid w:val="0055503B"/>
    <w:rsid w:val="00562CBC"/>
    <w:rsid w:val="00566538"/>
    <w:rsid w:val="00566BF6"/>
    <w:rsid w:val="00570884"/>
    <w:rsid w:val="00576330"/>
    <w:rsid w:val="0057641C"/>
    <w:rsid w:val="005766D2"/>
    <w:rsid w:val="00591D1A"/>
    <w:rsid w:val="00594251"/>
    <w:rsid w:val="005C0059"/>
    <w:rsid w:val="005C390A"/>
    <w:rsid w:val="005C3AA9"/>
    <w:rsid w:val="005C54B4"/>
    <w:rsid w:val="005C78B2"/>
    <w:rsid w:val="005E4167"/>
    <w:rsid w:val="005E4362"/>
    <w:rsid w:val="005E4607"/>
    <w:rsid w:val="005E7B26"/>
    <w:rsid w:val="005F41C9"/>
    <w:rsid w:val="005F5E17"/>
    <w:rsid w:val="00614C63"/>
    <w:rsid w:val="00620404"/>
    <w:rsid w:val="00622668"/>
    <w:rsid w:val="00622B71"/>
    <w:rsid w:val="00622D63"/>
    <w:rsid w:val="00624E34"/>
    <w:rsid w:val="00632F44"/>
    <w:rsid w:val="006402A6"/>
    <w:rsid w:val="006407D3"/>
    <w:rsid w:val="0064167D"/>
    <w:rsid w:val="00650B9C"/>
    <w:rsid w:val="00650C1C"/>
    <w:rsid w:val="006546B7"/>
    <w:rsid w:val="006643AB"/>
    <w:rsid w:val="00664C80"/>
    <w:rsid w:val="0067070B"/>
    <w:rsid w:val="00681C7F"/>
    <w:rsid w:val="00683FF5"/>
    <w:rsid w:val="00687351"/>
    <w:rsid w:val="006908F7"/>
    <w:rsid w:val="006A1F70"/>
    <w:rsid w:val="006A4CE7"/>
    <w:rsid w:val="006A5D55"/>
    <w:rsid w:val="006A6D51"/>
    <w:rsid w:val="006B2A4A"/>
    <w:rsid w:val="006B6977"/>
    <w:rsid w:val="006C5E5E"/>
    <w:rsid w:val="006D7E0F"/>
    <w:rsid w:val="006E1B19"/>
    <w:rsid w:val="006F0769"/>
    <w:rsid w:val="00701486"/>
    <w:rsid w:val="00720E42"/>
    <w:rsid w:val="0073766B"/>
    <w:rsid w:val="00762655"/>
    <w:rsid w:val="00762A05"/>
    <w:rsid w:val="00771003"/>
    <w:rsid w:val="0077461F"/>
    <w:rsid w:val="0078126B"/>
    <w:rsid w:val="00785261"/>
    <w:rsid w:val="007907A8"/>
    <w:rsid w:val="007938F3"/>
    <w:rsid w:val="0079557B"/>
    <w:rsid w:val="007A53DD"/>
    <w:rsid w:val="007B0256"/>
    <w:rsid w:val="007B69DD"/>
    <w:rsid w:val="007C1B40"/>
    <w:rsid w:val="007C4060"/>
    <w:rsid w:val="007C5234"/>
    <w:rsid w:val="007D6273"/>
    <w:rsid w:val="007E4FAD"/>
    <w:rsid w:val="007F44F6"/>
    <w:rsid w:val="00807CD7"/>
    <w:rsid w:val="00816CFA"/>
    <w:rsid w:val="0083135C"/>
    <w:rsid w:val="00840AB9"/>
    <w:rsid w:val="00841C22"/>
    <w:rsid w:val="00860BE9"/>
    <w:rsid w:val="008669B7"/>
    <w:rsid w:val="008707FE"/>
    <w:rsid w:val="00870A59"/>
    <w:rsid w:val="00871F28"/>
    <w:rsid w:val="008761FF"/>
    <w:rsid w:val="00880E92"/>
    <w:rsid w:val="008954BF"/>
    <w:rsid w:val="00896466"/>
    <w:rsid w:val="008B026E"/>
    <w:rsid w:val="008B1AA5"/>
    <w:rsid w:val="008B4CF1"/>
    <w:rsid w:val="008D2D41"/>
    <w:rsid w:val="008D2FC2"/>
    <w:rsid w:val="008D59CA"/>
    <w:rsid w:val="008D68B6"/>
    <w:rsid w:val="008D7A97"/>
    <w:rsid w:val="008E1D0E"/>
    <w:rsid w:val="008E320A"/>
    <w:rsid w:val="008F5702"/>
    <w:rsid w:val="0090001F"/>
    <w:rsid w:val="0090702B"/>
    <w:rsid w:val="009140F6"/>
    <w:rsid w:val="00915A96"/>
    <w:rsid w:val="009225F0"/>
    <w:rsid w:val="00925633"/>
    <w:rsid w:val="00930234"/>
    <w:rsid w:val="00930624"/>
    <w:rsid w:val="00932E80"/>
    <w:rsid w:val="009332B3"/>
    <w:rsid w:val="00935A03"/>
    <w:rsid w:val="009426E4"/>
    <w:rsid w:val="00946730"/>
    <w:rsid w:val="00950ACB"/>
    <w:rsid w:val="0095196E"/>
    <w:rsid w:val="00956519"/>
    <w:rsid w:val="00966756"/>
    <w:rsid w:val="00966F79"/>
    <w:rsid w:val="00970C88"/>
    <w:rsid w:val="00985038"/>
    <w:rsid w:val="009930B9"/>
    <w:rsid w:val="0099649B"/>
    <w:rsid w:val="009A4EAB"/>
    <w:rsid w:val="009A5D3E"/>
    <w:rsid w:val="009B71A9"/>
    <w:rsid w:val="009C63A9"/>
    <w:rsid w:val="009C63B6"/>
    <w:rsid w:val="009D1BE5"/>
    <w:rsid w:val="009F3C43"/>
    <w:rsid w:val="00A06B72"/>
    <w:rsid w:val="00A27E85"/>
    <w:rsid w:val="00A32CA9"/>
    <w:rsid w:val="00A375D4"/>
    <w:rsid w:val="00A37984"/>
    <w:rsid w:val="00A40B91"/>
    <w:rsid w:val="00A42690"/>
    <w:rsid w:val="00A4616D"/>
    <w:rsid w:val="00A6045B"/>
    <w:rsid w:val="00A63D74"/>
    <w:rsid w:val="00A66DD0"/>
    <w:rsid w:val="00A719D2"/>
    <w:rsid w:val="00A763EC"/>
    <w:rsid w:val="00A8767B"/>
    <w:rsid w:val="00A94C22"/>
    <w:rsid w:val="00AA0F80"/>
    <w:rsid w:val="00AA37AC"/>
    <w:rsid w:val="00AA45C6"/>
    <w:rsid w:val="00AA51E7"/>
    <w:rsid w:val="00AB7356"/>
    <w:rsid w:val="00AC271F"/>
    <w:rsid w:val="00AC635D"/>
    <w:rsid w:val="00AC672F"/>
    <w:rsid w:val="00AD1347"/>
    <w:rsid w:val="00AD1645"/>
    <w:rsid w:val="00AD69FE"/>
    <w:rsid w:val="00AE11F6"/>
    <w:rsid w:val="00AE3176"/>
    <w:rsid w:val="00AF0E6A"/>
    <w:rsid w:val="00B01538"/>
    <w:rsid w:val="00B04EB0"/>
    <w:rsid w:val="00B261D9"/>
    <w:rsid w:val="00B33E33"/>
    <w:rsid w:val="00B376E6"/>
    <w:rsid w:val="00B52B87"/>
    <w:rsid w:val="00B54C30"/>
    <w:rsid w:val="00B57278"/>
    <w:rsid w:val="00B6472A"/>
    <w:rsid w:val="00B73680"/>
    <w:rsid w:val="00B74531"/>
    <w:rsid w:val="00B777D9"/>
    <w:rsid w:val="00B813FA"/>
    <w:rsid w:val="00B821A0"/>
    <w:rsid w:val="00BA2DB9"/>
    <w:rsid w:val="00BB0D37"/>
    <w:rsid w:val="00BC35F6"/>
    <w:rsid w:val="00BC76EB"/>
    <w:rsid w:val="00BD25AE"/>
    <w:rsid w:val="00BD7E9D"/>
    <w:rsid w:val="00BE56A0"/>
    <w:rsid w:val="00BE7148"/>
    <w:rsid w:val="00BF2FB3"/>
    <w:rsid w:val="00C06E47"/>
    <w:rsid w:val="00C21C68"/>
    <w:rsid w:val="00C2733D"/>
    <w:rsid w:val="00C3204C"/>
    <w:rsid w:val="00C3470C"/>
    <w:rsid w:val="00C37944"/>
    <w:rsid w:val="00C37BA8"/>
    <w:rsid w:val="00C4511C"/>
    <w:rsid w:val="00C455A2"/>
    <w:rsid w:val="00C559BF"/>
    <w:rsid w:val="00C66CFA"/>
    <w:rsid w:val="00C7238E"/>
    <w:rsid w:val="00C77B41"/>
    <w:rsid w:val="00C9478D"/>
    <w:rsid w:val="00CA33B2"/>
    <w:rsid w:val="00CA3D78"/>
    <w:rsid w:val="00CA43C4"/>
    <w:rsid w:val="00CA6F15"/>
    <w:rsid w:val="00CB344C"/>
    <w:rsid w:val="00CB42CE"/>
    <w:rsid w:val="00CC7EC4"/>
    <w:rsid w:val="00CD0DDB"/>
    <w:rsid w:val="00CE1802"/>
    <w:rsid w:val="00CF0527"/>
    <w:rsid w:val="00CF4088"/>
    <w:rsid w:val="00D04E99"/>
    <w:rsid w:val="00D1706F"/>
    <w:rsid w:val="00D2075E"/>
    <w:rsid w:val="00D21D83"/>
    <w:rsid w:val="00D243C5"/>
    <w:rsid w:val="00D3071D"/>
    <w:rsid w:val="00D31C51"/>
    <w:rsid w:val="00D367AA"/>
    <w:rsid w:val="00D37C2C"/>
    <w:rsid w:val="00D459E0"/>
    <w:rsid w:val="00D520A1"/>
    <w:rsid w:val="00D61C4B"/>
    <w:rsid w:val="00D708CA"/>
    <w:rsid w:val="00D72F4B"/>
    <w:rsid w:val="00D849AE"/>
    <w:rsid w:val="00DA400C"/>
    <w:rsid w:val="00DB6E7A"/>
    <w:rsid w:val="00DC765C"/>
    <w:rsid w:val="00DD3BC1"/>
    <w:rsid w:val="00DE0717"/>
    <w:rsid w:val="00DE35F6"/>
    <w:rsid w:val="00DE3A1F"/>
    <w:rsid w:val="00DE48BB"/>
    <w:rsid w:val="00E01E71"/>
    <w:rsid w:val="00E027AF"/>
    <w:rsid w:val="00E15CFF"/>
    <w:rsid w:val="00E230ED"/>
    <w:rsid w:val="00E23C53"/>
    <w:rsid w:val="00E32139"/>
    <w:rsid w:val="00E44FD4"/>
    <w:rsid w:val="00E562ED"/>
    <w:rsid w:val="00E708B1"/>
    <w:rsid w:val="00E72DC6"/>
    <w:rsid w:val="00E745BB"/>
    <w:rsid w:val="00E7675B"/>
    <w:rsid w:val="00E87016"/>
    <w:rsid w:val="00E907A4"/>
    <w:rsid w:val="00E9738E"/>
    <w:rsid w:val="00EA16F9"/>
    <w:rsid w:val="00EA2DDC"/>
    <w:rsid w:val="00EA3666"/>
    <w:rsid w:val="00EA677D"/>
    <w:rsid w:val="00EA6829"/>
    <w:rsid w:val="00EA76C2"/>
    <w:rsid w:val="00EB2395"/>
    <w:rsid w:val="00EB51BC"/>
    <w:rsid w:val="00EC0C59"/>
    <w:rsid w:val="00EC25F5"/>
    <w:rsid w:val="00EC47F6"/>
    <w:rsid w:val="00ED1D5E"/>
    <w:rsid w:val="00ED5D88"/>
    <w:rsid w:val="00ED6613"/>
    <w:rsid w:val="00EE2764"/>
    <w:rsid w:val="00EF4D81"/>
    <w:rsid w:val="00EF54F0"/>
    <w:rsid w:val="00F0576D"/>
    <w:rsid w:val="00F108ED"/>
    <w:rsid w:val="00F227A4"/>
    <w:rsid w:val="00F328DA"/>
    <w:rsid w:val="00F35271"/>
    <w:rsid w:val="00F35580"/>
    <w:rsid w:val="00F502A9"/>
    <w:rsid w:val="00F52853"/>
    <w:rsid w:val="00F61A88"/>
    <w:rsid w:val="00F6737D"/>
    <w:rsid w:val="00F754A3"/>
    <w:rsid w:val="00F87C7A"/>
    <w:rsid w:val="00F925B9"/>
    <w:rsid w:val="00FA6F53"/>
    <w:rsid w:val="00FA7196"/>
    <w:rsid w:val="00FB030F"/>
    <w:rsid w:val="00FD2F20"/>
    <w:rsid w:val="00FD368E"/>
    <w:rsid w:val="00FD6BF4"/>
    <w:rsid w:val="00FD7A80"/>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D2F5"/>
  <w15:docId w15:val="{4EF31BD4-A7A8-460B-8548-887E60A3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79445">
      <w:bodyDiv w:val="1"/>
      <w:marLeft w:val="0"/>
      <w:marRight w:val="0"/>
      <w:marTop w:val="0"/>
      <w:marBottom w:val="0"/>
      <w:divBdr>
        <w:top w:val="none" w:sz="0" w:space="0" w:color="auto"/>
        <w:left w:val="none" w:sz="0" w:space="0" w:color="auto"/>
        <w:bottom w:val="none" w:sz="0" w:space="0" w:color="auto"/>
        <w:right w:val="none" w:sz="0" w:space="0" w:color="auto"/>
      </w:divBdr>
    </w:div>
    <w:div w:id="989476614">
      <w:bodyDiv w:val="1"/>
      <w:marLeft w:val="0"/>
      <w:marRight w:val="0"/>
      <w:marTop w:val="0"/>
      <w:marBottom w:val="0"/>
      <w:divBdr>
        <w:top w:val="none" w:sz="0" w:space="0" w:color="auto"/>
        <w:left w:val="none" w:sz="0" w:space="0" w:color="auto"/>
        <w:bottom w:val="none" w:sz="0" w:space="0" w:color="auto"/>
        <w:right w:val="none" w:sz="0" w:space="0" w:color="auto"/>
      </w:divBdr>
    </w:div>
    <w:div w:id="1110275377">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7A53E-5E0A-4480-9A8E-D5109D91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VOSS, Kathy</cp:lastModifiedBy>
  <cp:revision>3</cp:revision>
  <cp:lastPrinted>2016-04-08T01:41:00Z</cp:lastPrinted>
  <dcterms:created xsi:type="dcterms:W3CDTF">2019-03-28T01:38:00Z</dcterms:created>
  <dcterms:modified xsi:type="dcterms:W3CDTF">2019-03-28T01:41:00Z</dcterms:modified>
</cp:coreProperties>
</file>