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9D5E5" w14:textId="0C0D87D4" w:rsidR="0075055C" w:rsidRPr="002F164E" w:rsidRDefault="009D58C4" w:rsidP="0075055C">
      <w:pPr>
        <w:pStyle w:val="Heading1"/>
        <w:jc w:val="center"/>
        <w:rPr>
          <w:rFonts w:ascii="Times New Roman" w:hAnsi="Times New Roman"/>
          <w:color w:val="000000"/>
          <w:sz w:val="24"/>
          <w:szCs w:val="24"/>
          <w:lang w:val="en-GB"/>
        </w:rPr>
      </w:pPr>
      <w:r w:rsidRPr="002F164E">
        <w:rPr>
          <w:rFonts w:ascii="Times New Roman" w:hAnsi="Times New Roman"/>
          <w:color w:val="000000"/>
          <w:sz w:val="24"/>
          <w:szCs w:val="24"/>
          <w:lang w:val="en-GB"/>
        </w:rPr>
        <w:t>Explanatory Statement</w:t>
      </w:r>
    </w:p>
    <w:p w14:paraId="3CBF6093" w14:textId="2A481DBB" w:rsidR="0075055C" w:rsidRPr="002F164E" w:rsidRDefault="0075055C" w:rsidP="0075055C">
      <w:pPr>
        <w:jc w:val="center"/>
        <w:rPr>
          <w:rFonts w:ascii="Times New Roman" w:hAnsi="Times New Roman"/>
          <w:sz w:val="24"/>
          <w:szCs w:val="24"/>
          <w:lang w:eastAsia="en-AU"/>
        </w:rPr>
      </w:pPr>
      <w:r w:rsidRPr="002F164E">
        <w:rPr>
          <w:rFonts w:ascii="Times New Roman" w:hAnsi="Times New Roman"/>
          <w:sz w:val="24"/>
          <w:szCs w:val="24"/>
          <w:lang w:eastAsia="en-AU"/>
        </w:rPr>
        <w:t xml:space="preserve">Issued by the Authority of </w:t>
      </w:r>
      <w:r w:rsidR="004D588C" w:rsidRPr="002F164E">
        <w:rPr>
          <w:rFonts w:ascii="Times New Roman" w:hAnsi="Times New Roman"/>
          <w:sz w:val="24"/>
          <w:szCs w:val="24"/>
          <w:lang w:eastAsia="en-AU"/>
        </w:rPr>
        <w:t>the Minister for Communications</w:t>
      </w:r>
      <w:r w:rsidR="00FF783D">
        <w:rPr>
          <w:rFonts w:ascii="Times New Roman" w:hAnsi="Times New Roman"/>
          <w:sz w:val="24"/>
          <w:szCs w:val="24"/>
          <w:lang w:eastAsia="en-AU"/>
        </w:rPr>
        <w:t xml:space="preserve"> and the Arts</w:t>
      </w:r>
    </w:p>
    <w:p w14:paraId="14E8B716" w14:textId="77777777" w:rsidR="0075055C" w:rsidRPr="002F164E" w:rsidRDefault="0075055C" w:rsidP="0075055C">
      <w:pPr>
        <w:spacing w:after="100" w:afterAutospacing="1" w:line="360" w:lineRule="auto"/>
        <w:contextualSpacing/>
        <w:jc w:val="center"/>
        <w:rPr>
          <w:rFonts w:ascii="Times New Roman" w:hAnsi="Times New Roman"/>
          <w:i/>
          <w:sz w:val="24"/>
          <w:szCs w:val="24"/>
          <w:lang w:eastAsia="en-AU"/>
        </w:rPr>
      </w:pPr>
      <w:r w:rsidRPr="002F164E">
        <w:rPr>
          <w:rFonts w:ascii="Times New Roman" w:hAnsi="Times New Roman"/>
          <w:i/>
          <w:sz w:val="24"/>
          <w:szCs w:val="24"/>
          <w:lang w:eastAsia="en-AU"/>
        </w:rPr>
        <w:t>Telecommunications Act 1997</w:t>
      </w:r>
    </w:p>
    <w:p w14:paraId="15587FB7" w14:textId="77777777" w:rsidR="0075055C" w:rsidRPr="002F164E" w:rsidRDefault="0075055C" w:rsidP="0075055C">
      <w:pPr>
        <w:jc w:val="center"/>
        <w:rPr>
          <w:rFonts w:ascii="Times New Roman" w:hAnsi="Times New Roman"/>
          <w:i/>
          <w:sz w:val="24"/>
          <w:szCs w:val="24"/>
          <w:lang w:eastAsia="en-AU"/>
        </w:rPr>
      </w:pPr>
    </w:p>
    <w:p w14:paraId="642754FC" w14:textId="27F99F73" w:rsidR="004D588C" w:rsidRPr="002F164E" w:rsidRDefault="004D588C" w:rsidP="00734A11">
      <w:pPr>
        <w:jc w:val="center"/>
        <w:rPr>
          <w:rFonts w:ascii="Times New Roman" w:hAnsi="Times New Roman"/>
          <w:i/>
          <w:sz w:val="24"/>
          <w:szCs w:val="24"/>
          <w:lang w:eastAsia="en-AU"/>
        </w:rPr>
      </w:pPr>
      <w:r w:rsidRPr="002F164E">
        <w:rPr>
          <w:rFonts w:ascii="Times New Roman" w:hAnsi="Times New Roman"/>
          <w:i/>
          <w:sz w:val="24"/>
          <w:szCs w:val="24"/>
          <w:lang w:eastAsia="en-AU"/>
        </w:rPr>
        <w:t xml:space="preserve">Telecommunications (Carrier Licence Conditions - Telstra Corporation Limited) </w:t>
      </w:r>
      <w:r w:rsidR="00475DFE">
        <w:rPr>
          <w:rFonts w:ascii="Times New Roman" w:hAnsi="Times New Roman"/>
          <w:i/>
          <w:sz w:val="24"/>
          <w:szCs w:val="24"/>
          <w:lang w:eastAsia="en-AU"/>
        </w:rPr>
        <w:t xml:space="preserve">     </w:t>
      </w:r>
      <w:r w:rsidRPr="002F164E">
        <w:rPr>
          <w:rFonts w:ascii="Times New Roman" w:hAnsi="Times New Roman"/>
          <w:i/>
          <w:sz w:val="24"/>
          <w:szCs w:val="24"/>
          <w:lang w:eastAsia="en-AU"/>
        </w:rPr>
        <w:t>Declaration 2019</w:t>
      </w:r>
    </w:p>
    <w:p w14:paraId="4555D16B" w14:textId="53F42D00" w:rsidR="00EF4889" w:rsidRPr="002F164E" w:rsidRDefault="00B40F09">
      <w:pPr>
        <w:rPr>
          <w:rFonts w:ascii="Times New Roman" w:hAnsi="Times New Roman"/>
          <w:b/>
          <w:sz w:val="24"/>
          <w:szCs w:val="24"/>
        </w:rPr>
      </w:pPr>
      <w:r w:rsidRPr="002F164E">
        <w:rPr>
          <w:rFonts w:ascii="Times New Roman" w:hAnsi="Times New Roman"/>
          <w:b/>
          <w:sz w:val="24"/>
          <w:szCs w:val="24"/>
        </w:rPr>
        <w:t>Authority</w:t>
      </w:r>
    </w:p>
    <w:p w14:paraId="084FD8B5" w14:textId="5F59F15B" w:rsidR="00B40F09" w:rsidRPr="002F164E" w:rsidRDefault="004D588C" w:rsidP="0054340F">
      <w:pPr>
        <w:rPr>
          <w:rFonts w:ascii="Times New Roman" w:hAnsi="Times New Roman"/>
          <w:sz w:val="24"/>
          <w:szCs w:val="24"/>
        </w:rPr>
      </w:pPr>
      <w:r w:rsidRPr="002F164E">
        <w:rPr>
          <w:rFonts w:ascii="Times New Roman" w:hAnsi="Times New Roman"/>
          <w:sz w:val="24"/>
          <w:szCs w:val="24"/>
        </w:rPr>
        <w:t>Subsection 63(2</w:t>
      </w:r>
      <w:r w:rsidR="00B40F09" w:rsidRPr="002F164E">
        <w:rPr>
          <w:rFonts w:ascii="Times New Roman" w:hAnsi="Times New Roman"/>
          <w:sz w:val="24"/>
          <w:szCs w:val="24"/>
        </w:rPr>
        <w:t xml:space="preserve">) of the </w:t>
      </w:r>
      <w:r w:rsidR="00B40F09" w:rsidRPr="002F164E">
        <w:rPr>
          <w:rFonts w:ascii="Times New Roman" w:hAnsi="Times New Roman"/>
          <w:i/>
          <w:sz w:val="24"/>
          <w:szCs w:val="24"/>
        </w:rPr>
        <w:t>Telecommunications Act 1997</w:t>
      </w:r>
      <w:r w:rsidR="00B40F09" w:rsidRPr="002F164E">
        <w:rPr>
          <w:rFonts w:ascii="Times New Roman" w:hAnsi="Times New Roman"/>
          <w:sz w:val="24"/>
          <w:szCs w:val="24"/>
        </w:rPr>
        <w:t xml:space="preserve"> (the Act) confers power on the Minister </w:t>
      </w:r>
      <w:r w:rsidR="00433237">
        <w:rPr>
          <w:rFonts w:ascii="Times New Roman" w:hAnsi="Times New Roman"/>
          <w:sz w:val="24"/>
          <w:szCs w:val="24"/>
        </w:rPr>
        <w:t xml:space="preserve">for Communications and the Arts (the Minister) </w:t>
      </w:r>
      <w:r w:rsidR="00B40F09" w:rsidRPr="002F164E">
        <w:rPr>
          <w:rFonts w:ascii="Times New Roman" w:hAnsi="Times New Roman"/>
          <w:sz w:val="24"/>
          <w:szCs w:val="24"/>
        </w:rPr>
        <w:t xml:space="preserve">to </w:t>
      </w:r>
      <w:r w:rsidRPr="002F164E">
        <w:rPr>
          <w:rFonts w:ascii="Times New Roman" w:hAnsi="Times New Roman"/>
          <w:sz w:val="24"/>
          <w:szCs w:val="24"/>
        </w:rPr>
        <w:t>declare that a carrier licence is subject to conditions specified in an instrument</w:t>
      </w:r>
      <w:r w:rsidR="00B40F09" w:rsidRPr="002F164E">
        <w:rPr>
          <w:rFonts w:ascii="Times New Roman" w:hAnsi="Times New Roman"/>
          <w:sz w:val="24"/>
          <w:szCs w:val="24"/>
        </w:rPr>
        <w:t>.</w:t>
      </w:r>
      <w:r w:rsidR="00A80A09" w:rsidRPr="002F164E">
        <w:rPr>
          <w:rFonts w:ascii="Times New Roman" w:hAnsi="Times New Roman"/>
          <w:sz w:val="24"/>
          <w:szCs w:val="24"/>
        </w:rPr>
        <w:t xml:space="preserve"> </w:t>
      </w:r>
      <w:r w:rsidRPr="002F164E">
        <w:rPr>
          <w:rFonts w:ascii="Times New Roman" w:hAnsi="Times New Roman"/>
          <w:sz w:val="24"/>
          <w:szCs w:val="24"/>
        </w:rPr>
        <w:t xml:space="preserve">Subsection 63(6) of the Act confers power on the Minister to revoke such an instrument.  </w:t>
      </w:r>
    </w:p>
    <w:p w14:paraId="20CA1290" w14:textId="77777777" w:rsidR="00350D5A" w:rsidRPr="002F164E" w:rsidRDefault="00350D5A" w:rsidP="00350D5A">
      <w:pPr>
        <w:rPr>
          <w:rFonts w:ascii="Times New Roman" w:hAnsi="Times New Roman"/>
          <w:b/>
          <w:sz w:val="24"/>
          <w:szCs w:val="24"/>
        </w:rPr>
      </w:pPr>
      <w:r w:rsidRPr="002F164E">
        <w:rPr>
          <w:rFonts w:ascii="Times New Roman" w:hAnsi="Times New Roman"/>
          <w:b/>
          <w:sz w:val="24"/>
          <w:szCs w:val="24"/>
        </w:rPr>
        <w:t>Purpose</w:t>
      </w:r>
    </w:p>
    <w:p w14:paraId="0336F070" w14:textId="6D49C586" w:rsidR="00350D5A" w:rsidRPr="002F164E" w:rsidRDefault="00DB3BF6">
      <w:pPr>
        <w:rPr>
          <w:rFonts w:ascii="Times New Roman" w:hAnsi="Times New Roman"/>
          <w:sz w:val="24"/>
          <w:szCs w:val="24"/>
        </w:rPr>
      </w:pPr>
      <w:r w:rsidRPr="002F164E">
        <w:rPr>
          <w:rFonts w:ascii="Times New Roman" w:hAnsi="Times New Roman"/>
          <w:sz w:val="24"/>
          <w:szCs w:val="24"/>
        </w:rPr>
        <w:t xml:space="preserve">The purpose of the </w:t>
      </w:r>
      <w:r w:rsidRPr="002F164E">
        <w:rPr>
          <w:rFonts w:ascii="Times New Roman" w:hAnsi="Times New Roman"/>
          <w:i/>
          <w:sz w:val="24"/>
          <w:szCs w:val="24"/>
        </w:rPr>
        <w:t xml:space="preserve">Telecommunications (Carrier Licence Conditions - Telstra Corporation Limited) Declaration 2019 </w:t>
      </w:r>
      <w:r w:rsidR="00880C7F">
        <w:rPr>
          <w:rFonts w:ascii="Times New Roman" w:hAnsi="Times New Roman"/>
          <w:sz w:val="24"/>
          <w:szCs w:val="24"/>
        </w:rPr>
        <w:t xml:space="preserve">(the Declaration) </w:t>
      </w:r>
      <w:r w:rsidR="00350D5A" w:rsidRPr="002F164E">
        <w:rPr>
          <w:rFonts w:ascii="Times New Roman" w:hAnsi="Times New Roman"/>
          <w:sz w:val="24"/>
          <w:szCs w:val="24"/>
        </w:rPr>
        <w:t>is</w:t>
      </w:r>
      <w:r w:rsidRPr="002F164E">
        <w:rPr>
          <w:rFonts w:ascii="Times New Roman" w:hAnsi="Times New Roman"/>
          <w:sz w:val="24"/>
          <w:szCs w:val="24"/>
        </w:rPr>
        <w:t xml:space="preserve"> to </w:t>
      </w:r>
      <w:r w:rsidR="003A409D" w:rsidRPr="002F164E">
        <w:rPr>
          <w:rFonts w:ascii="Times New Roman" w:hAnsi="Times New Roman"/>
          <w:sz w:val="24"/>
          <w:szCs w:val="24"/>
        </w:rPr>
        <w:t>re</w:t>
      </w:r>
      <w:r w:rsidR="003A409D">
        <w:rPr>
          <w:rFonts w:ascii="Times New Roman" w:hAnsi="Times New Roman"/>
          <w:sz w:val="24"/>
          <w:szCs w:val="24"/>
        </w:rPr>
        <w:t>peal</w:t>
      </w:r>
      <w:r w:rsidR="003A409D" w:rsidRPr="002F164E">
        <w:rPr>
          <w:rFonts w:ascii="Times New Roman" w:hAnsi="Times New Roman"/>
          <w:sz w:val="24"/>
          <w:szCs w:val="24"/>
        </w:rPr>
        <w:t xml:space="preserve"> </w:t>
      </w:r>
      <w:r w:rsidRPr="002F164E">
        <w:rPr>
          <w:rFonts w:ascii="Times New Roman" w:hAnsi="Times New Roman"/>
          <w:sz w:val="24"/>
          <w:szCs w:val="24"/>
        </w:rPr>
        <w:t xml:space="preserve">and remake </w:t>
      </w:r>
      <w:r w:rsidR="00350D5A" w:rsidRPr="002F164E">
        <w:rPr>
          <w:rFonts w:ascii="Times New Roman" w:hAnsi="Times New Roman"/>
          <w:sz w:val="24"/>
          <w:szCs w:val="24"/>
        </w:rPr>
        <w:t xml:space="preserve">the </w:t>
      </w:r>
      <w:r w:rsidRPr="002F164E">
        <w:rPr>
          <w:rFonts w:ascii="Times New Roman" w:hAnsi="Times New Roman"/>
          <w:sz w:val="24"/>
          <w:szCs w:val="24"/>
        </w:rPr>
        <w:t xml:space="preserve">current </w:t>
      </w:r>
      <w:r w:rsidR="004D588C" w:rsidRPr="002F164E">
        <w:rPr>
          <w:rFonts w:ascii="Times New Roman" w:hAnsi="Times New Roman"/>
          <w:i/>
          <w:sz w:val="24"/>
          <w:szCs w:val="24"/>
        </w:rPr>
        <w:t>Telecommunications (Carrier Licence Conditions - Telstra Corporatio</w:t>
      </w:r>
      <w:r w:rsidRPr="002F164E">
        <w:rPr>
          <w:rFonts w:ascii="Times New Roman" w:hAnsi="Times New Roman"/>
          <w:i/>
          <w:sz w:val="24"/>
          <w:szCs w:val="24"/>
        </w:rPr>
        <w:t>n Limited) Declaration 1997</w:t>
      </w:r>
      <w:r w:rsidR="00582179" w:rsidRPr="002F164E">
        <w:rPr>
          <w:rFonts w:ascii="Times New Roman" w:hAnsi="Times New Roman"/>
          <w:sz w:val="24"/>
          <w:szCs w:val="24"/>
        </w:rPr>
        <w:t xml:space="preserve"> </w:t>
      </w:r>
      <w:r w:rsidR="00350D5A" w:rsidRPr="002F164E">
        <w:rPr>
          <w:rFonts w:ascii="Times New Roman" w:hAnsi="Times New Roman"/>
          <w:sz w:val="24"/>
          <w:szCs w:val="24"/>
        </w:rPr>
        <w:t>(the</w:t>
      </w:r>
      <w:r w:rsidR="003769ED" w:rsidRPr="002F164E">
        <w:rPr>
          <w:rFonts w:ascii="Times New Roman" w:hAnsi="Times New Roman"/>
          <w:sz w:val="24"/>
          <w:szCs w:val="24"/>
        </w:rPr>
        <w:t> </w:t>
      </w:r>
      <w:r w:rsidR="00826726">
        <w:rPr>
          <w:rFonts w:ascii="Times New Roman" w:hAnsi="Times New Roman"/>
          <w:sz w:val="24"/>
          <w:szCs w:val="24"/>
        </w:rPr>
        <w:t>‘</w:t>
      </w:r>
      <w:r w:rsidR="002B0514" w:rsidRPr="00284BE1">
        <w:rPr>
          <w:rFonts w:ascii="Times New Roman" w:hAnsi="Times New Roman"/>
          <w:sz w:val="24"/>
          <w:szCs w:val="24"/>
        </w:rPr>
        <w:t>Original Declaration</w:t>
      </w:r>
      <w:r w:rsidR="00826726">
        <w:rPr>
          <w:rFonts w:ascii="Times New Roman" w:hAnsi="Times New Roman"/>
          <w:sz w:val="24"/>
          <w:szCs w:val="24"/>
        </w:rPr>
        <w:t>’</w:t>
      </w:r>
      <w:r w:rsidR="004D588C" w:rsidRPr="00284BE1">
        <w:rPr>
          <w:rFonts w:ascii="Times New Roman" w:hAnsi="Times New Roman"/>
          <w:sz w:val="24"/>
          <w:szCs w:val="24"/>
        </w:rPr>
        <w:t>)</w:t>
      </w:r>
      <w:r w:rsidR="00E040A9" w:rsidRPr="00284BE1">
        <w:rPr>
          <w:rFonts w:ascii="Times New Roman" w:hAnsi="Times New Roman"/>
          <w:sz w:val="24"/>
          <w:szCs w:val="24"/>
        </w:rPr>
        <w:t xml:space="preserve"> </w:t>
      </w:r>
      <w:r w:rsidRPr="002F164E">
        <w:rPr>
          <w:rFonts w:ascii="Times New Roman" w:hAnsi="Times New Roman"/>
          <w:sz w:val="24"/>
          <w:szCs w:val="24"/>
        </w:rPr>
        <w:t>with minor changes to update the drafting style</w:t>
      </w:r>
      <w:r w:rsidR="00620BFE">
        <w:rPr>
          <w:rFonts w:ascii="Times New Roman" w:hAnsi="Times New Roman"/>
          <w:sz w:val="24"/>
          <w:szCs w:val="24"/>
        </w:rPr>
        <w:t>. A number of obligations</w:t>
      </w:r>
      <w:r w:rsidRPr="002F164E">
        <w:rPr>
          <w:rFonts w:ascii="Times New Roman" w:hAnsi="Times New Roman"/>
          <w:sz w:val="24"/>
          <w:szCs w:val="24"/>
        </w:rPr>
        <w:t xml:space="preserve"> on Telstra</w:t>
      </w:r>
      <w:r w:rsidR="007A2E49">
        <w:rPr>
          <w:rFonts w:ascii="Times New Roman" w:hAnsi="Times New Roman"/>
          <w:sz w:val="24"/>
          <w:szCs w:val="24"/>
        </w:rPr>
        <w:t xml:space="preserve"> from the Original Declaration</w:t>
      </w:r>
      <w:r w:rsidR="00620BFE">
        <w:rPr>
          <w:rFonts w:ascii="Times New Roman" w:hAnsi="Times New Roman"/>
          <w:sz w:val="24"/>
          <w:szCs w:val="24"/>
        </w:rPr>
        <w:t xml:space="preserve"> are redudant and have not been retained. These are</w:t>
      </w:r>
      <w:r w:rsidRPr="002F164E">
        <w:rPr>
          <w:rFonts w:ascii="Times New Roman" w:hAnsi="Times New Roman"/>
          <w:sz w:val="24"/>
          <w:szCs w:val="24"/>
        </w:rPr>
        <w:t>:</w:t>
      </w:r>
    </w:p>
    <w:p w14:paraId="1F09996B" w14:textId="0C2FAB67" w:rsidR="00DB3BF6" w:rsidRPr="002F164E" w:rsidRDefault="00DB3BF6" w:rsidP="003A1E64">
      <w:pPr>
        <w:pStyle w:val="ListParagraph"/>
        <w:numPr>
          <w:ilvl w:val="0"/>
          <w:numId w:val="1"/>
        </w:numPr>
        <w:rPr>
          <w:rFonts w:ascii="Times New Roman" w:hAnsi="Times New Roman"/>
          <w:sz w:val="24"/>
          <w:szCs w:val="24"/>
        </w:rPr>
      </w:pPr>
      <w:r w:rsidRPr="002F164E">
        <w:rPr>
          <w:rFonts w:ascii="Times New Roman" w:hAnsi="Times New Roman"/>
          <w:sz w:val="24"/>
          <w:szCs w:val="24"/>
        </w:rPr>
        <w:t xml:space="preserve">the </w:t>
      </w:r>
      <w:r w:rsidR="00620BFE">
        <w:rPr>
          <w:rFonts w:ascii="Times New Roman" w:hAnsi="Times New Roman"/>
          <w:sz w:val="24"/>
          <w:szCs w:val="24"/>
        </w:rPr>
        <w:t xml:space="preserve">obligation to maintain a </w:t>
      </w:r>
      <w:r w:rsidRPr="002F164E">
        <w:rPr>
          <w:rFonts w:ascii="Times New Roman" w:hAnsi="Times New Roman"/>
          <w:sz w:val="24"/>
          <w:szCs w:val="24"/>
        </w:rPr>
        <w:t xml:space="preserve">local presence </w:t>
      </w:r>
      <w:r w:rsidR="00620BFE">
        <w:rPr>
          <w:rFonts w:ascii="Times New Roman" w:hAnsi="Times New Roman"/>
          <w:sz w:val="24"/>
          <w:szCs w:val="24"/>
        </w:rPr>
        <w:t>in r</w:t>
      </w:r>
      <w:r w:rsidR="00620BFE" w:rsidRPr="0053049B">
        <w:rPr>
          <w:rFonts w:ascii="Times New Roman" w:hAnsi="Times New Roman"/>
          <w:sz w:val="24"/>
          <w:szCs w:val="24"/>
        </w:rPr>
        <w:t>egional, rural and remote parts </w:t>
      </w:r>
      <w:r w:rsidR="00620BFE">
        <w:rPr>
          <w:rFonts w:ascii="Times New Roman" w:hAnsi="Times New Roman"/>
          <w:sz w:val="24"/>
          <w:szCs w:val="24"/>
        </w:rPr>
        <w:t>of Australia</w:t>
      </w:r>
      <w:r w:rsidR="002F4CB1">
        <w:rPr>
          <w:rFonts w:ascii="Times New Roman" w:hAnsi="Times New Roman"/>
          <w:sz w:val="24"/>
          <w:szCs w:val="24"/>
        </w:rPr>
        <w:t xml:space="preserve">, </w:t>
      </w:r>
      <w:r w:rsidRPr="002F164E">
        <w:rPr>
          <w:rFonts w:ascii="Times New Roman" w:hAnsi="Times New Roman"/>
          <w:sz w:val="24"/>
          <w:szCs w:val="24"/>
        </w:rPr>
        <w:t xml:space="preserve">which has been made redundant by </w:t>
      </w:r>
      <w:r w:rsidR="00620BFE">
        <w:rPr>
          <w:rFonts w:ascii="Times New Roman" w:hAnsi="Times New Roman"/>
          <w:sz w:val="24"/>
          <w:szCs w:val="24"/>
        </w:rPr>
        <w:t>an agreement with the Commonwealth (</w:t>
      </w:r>
      <w:r w:rsidR="00826726">
        <w:rPr>
          <w:rFonts w:ascii="Times New Roman" w:hAnsi="Times New Roman"/>
          <w:sz w:val="24"/>
          <w:szCs w:val="24"/>
        </w:rPr>
        <w:t>i.e.</w:t>
      </w:r>
      <w:r w:rsidR="007A2E49">
        <w:rPr>
          <w:rFonts w:ascii="Times New Roman" w:hAnsi="Times New Roman"/>
          <w:sz w:val="24"/>
          <w:szCs w:val="24"/>
        </w:rPr>
        <w:t xml:space="preserve"> </w:t>
      </w:r>
      <w:r w:rsidR="00620BFE">
        <w:rPr>
          <w:rFonts w:ascii="Times New Roman" w:hAnsi="Times New Roman"/>
          <w:sz w:val="24"/>
          <w:szCs w:val="24"/>
        </w:rPr>
        <w:t xml:space="preserve">the </w:t>
      </w:r>
      <w:r w:rsidRPr="002F164E">
        <w:rPr>
          <w:rFonts w:ascii="Times New Roman" w:hAnsi="Times New Roman"/>
          <w:sz w:val="24"/>
          <w:szCs w:val="24"/>
        </w:rPr>
        <w:t>Telstra Universal</w:t>
      </w:r>
      <w:r w:rsidR="003A409D">
        <w:rPr>
          <w:rFonts w:ascii="Times New Roman" w:hAnsi="Times New Roman"/>
          <w:sz w:val="24"/>
          <w:szCs w:val="24"/>
        </w:rPr>
        <w:t xml:space="preserve"> Service</w:t>
      </w:r>
      <w:r w:rsidRPr="002F164E">
        <w:rPr>
          <w:rFonts w:ascii="Times New Roman" w:hAnsi="Times New Roman"/>
          <w:sz w:val="24"/>
          <w:szCs w:val="24"/>
        </w:rPr>
        <w:t xml:space="preserve"> Obligation Performance Agreement</w:t>
      </w:r>
      <w:r w:rsidR="00620BFE">
        <w:rPr>
          <w:rFonts w:ascii="Times New Roman" w:hAnsi="Times New Roman"/>
          <w:sz w:val="24"/>
          <w:szCs w:val="24"/>
        </w:rPr>
        <w:t>)</w:t>
      </w:r>
      <w:r w:rsidRPr="002F164E">
        <w:rPr>
          <w:rFonts w:ascii="Times New Roman" w:hAnsi="Times New Roman"/>
          <w:sz w:val="24"/>
          <w:szCs w:val="24"/>
        </w:rPr>
        <w:t xml:space="preserve"> </w:t>
      </w:r>
      <w:r w:rsidR="002F4CB1">
        <w:rPr>
          <w:rFonts w:ascii="Times New Roman" w:hAnsi="Times New Roman"/>
          <w:sz w:val="24"/>
          <w:szCs w:val="24"/>
        </w:rPr>
        <w:t>that</w:t>
      </w:r>
      <w:r w:rsidRPr="002F164E">
        <w:rPr>
          <w:rFonts w:ascii="Times New Roman" w:hAnsi="Times New Roman"/>
          <w:sz w:val="24"/>
          <w:szCs w:val="24"/>
        </w:rPr>
        <w:t xml:space="preserve"> requires Telstra to maintain its copper network in areas outside the National Broadband Network fixed-line footprint </w:t>
      </w:r>
      <w:r w:rsidR="00BD63C6">
        <w:rPr>
          <w:rFonts w:ascii="Times New Roman" w:hAnsi="Times New Roman"/>
          <w:sz w:val="24"/>
          <w:szCs w:val="24"/>
        </w:rPr>
        <w:t xml:space="preserve">from 2012 </w:t>
      </w:r>
      <w:r w:rsidRPr="002F164E">
        <w:rPr>
          <w:rFonts w:ascii="Times New Roman" w:hAnsi="Times New Roman"/>
          <w:sz w:val="24"/>
          <w:szCs w:val="24"/>
        </w:rPr>
        <w:t>until 2032</w:t>
      </w:r>
      <w:r w:rsidR="00F000ED">
        <w:rPr>
          <w:rFonts w:ascii="Times New Roman" w:hAnsi="Times New Roman"/>
          <w:sz w:val="24"/>
          <w:szCs w:val="24"/>
        </w:rPr>
        <w:t>; and</w:t>
      </w:r>
    </w:p>
    <w:p w14:paraId="4E4F66ED" w14:textId="5DA22F93" w:rsidR="00DB3BF6" w:rsidRPr="002F164E" w:rsidRDefault="002F4CB1" w:rsidP="003A1E64">
      <w:pPr>
        <w:pStyle w:val="ListParagraph"/>
        <w:numPr>
          <w:ilvl w:val="0"/>
          <w:numId w:val="1"/>
        </w:numPr>
        <w:rPr>
          <w:rFonts w:ascii="Times New Roman" w:hAnsi="Times New Roman"/>
          <w:sz w:val="24"/>
          <w:szCs w:val="24"/>
        </w:rPr>
      </w:pPr>
      <w:r>
        <w:rPr>
          <w:rFonts w:ascii="Times New Roman" w:hAnsi="Times New Roman"/>
          <w:sz w:val="24"/>
          <w:szCs w:val="24"/>
        </w:rPr>
        <w:t xml:space="preserve">the obligation to </w:t>
      </w:r>
      <w:r w:rsidR="00DB3BF6" w:rsidRPr="002F164E">
        <w:rPr>
          <w:rFonts w:ascii="Times New Roman" w:hAnsi="Times New Roman"/>
          <w:sz w:val="24"/>
          <w:szCs w:val="24"/>
        </w:rPr>
        <w:t>provi</w:t>
      </w:r>
      <w:r>
        <w:rPr>
          <w:rFonts w:ascii="Times New Roman" w:hAnsi="Times New Roman"/>
          <w:sz w:val="24"/>
          <w:szCs w:val="24"/>
        </w:rPr>
        <w:t>de</w:t>
      </w:r>
      <w:r w:rsidR="00DB3BF6" w:rsidRPr="002F164E">
        <w:rPr>
          <w:rFonts w:ascii="Times New Roman" w:hAnsi="Times New Roman"/>
          <w:sz w:val="24"/>
          <w:szCs w:val="24"/>
        </w:rPr>
        <w:t xml:space="preserve"> mobile coverage in selected population centres and highways, which </w:t>
      </w:r>
      <w:r w:rsidR="00B51B4A">
        <w:rPr>
          <w:rFonts w:ascii="Times New Roman" w:hAnsi="Times New Roman"/>
          <w:sz w:val="24"/>
          <w:szCs w:val="24"/>
        </w:rPr>
        <w:t>ceased to have effect in</w:t>
      </w:r>
      <w:r>
        <w:rPr>
          <w:rFonts w:ascii="Times New Roman" w:hAnsi="Times New Roman"/>
          <w:sz w:val="24"/>
          <w:szCs w:val="24"/>
        </w:rPr>
        <w:t xml:space="preserve"> </w:t>
      </w:r>
      <w:r w:rsidR="00B51B4A">
        <w:rPr>
          <w:rFonts w:ascii="Times New Roman" w:hAnsi="Times New Roman"/>
          <w:sz w:val="24"/>
          <w:szCs w:val="24"/>
        </w:rPr>
        <w:t>201</w:t>
      </w:r>
      <w:r w:rsidR="00CD6203">
        <w:rPr>
          <w:rFonts w:ascii="Times New Roman" w:hAnsi="Times New Roman"/>
          <w:sz w:val="24"/>
          <w:szCs w:val="24"/>
        </w:rPr>
        <w:t>5</w:t>
      </w:r>
      <w:r w:rsidR="00F000ED">
        <w:rPr>
          <w:rFonts w:ascii="Times New Roman" w:hAnsi="Times New Roman"/>
          <w:sz w:val="24"/>
          <w:szCs w:val="24"/>
        </w:rPr>
        <w:t>;</w:t>
      </w:r>
      <w:r w:rsidR="00DB3BF6" w:rsidRPr="002F164E">
        <w:rPr>
          <w:rFonts w:ascii="Times New Roman" w:hAnsi="Times New Roman"/>
          <w:sz w:val="24"/>
          <w:szCs w:val="24"/>
        </w:rPr>
        <w:t xml:space="preserve"> and</w:t>
      </w:r>
    </w:p>
    <w:p w14:paraId="7313D0C1" w14:textId="67D300DC" w:rsidR="00DB3BF6" w:rsidRPr="002F164E" w:rsidRDefault="002F4CB1" w:rsidP="003A1E64">
      <w:pPr>
        <w:pStyle w:val="ListParagraph"/>
        <w:numPr>
          <w:ilvl w:val="0"/>
          <w:numId w:val="1"/>
        </w:numPr>
        <w:rPr>
          <w:rFonts w:ascii="Times New Roman" w:hAnsi="Times New Roman"/>
          <w:sz w:val="24"/>
          <w:szCs w:val="24"/>
        </w:rPr>
      </w:pPr>
      <w:r>
        <w:rPr>
          <w:rFonts w:ascii="Times New Roman" w:hAnsi="Times New Roman"/>
          <w:sz w:val="24"/>
          <w:szCs w:val="24"/>
        </w:rPr>
        <w:t xml:space="preserve">the </w:t>
      </w:r>
      <w:r w:rsidR="00DB3BF6" w:rsidRPr="002F164E">
        <w:rPr>
          <w:rFonts w:ascii="Times New Roman" w:hAnsi="Times New Roman"/>
          <w:sz w:val="24"/>
          <w:szCs w:val="24"/>
        </w:rPr>
        <w:t>obligation to develop a Priority Assistance policy, which ha</w:t>
      </w:r>
      <w:r>
        <w:rPr>
          <w:rFonts w:ascii="Times New Roman" w:hAnsi="Times New Roman"/>
          <w:sz w:val="24"/>
          <w:szCs w:val="24"/>
        </w:rPr>
        <w:t>s</w:t>
      </w:r>
      <w:r w:rsidR="00DB3BF6" w:rsidRPr="002F164E">
        <w:rPr>
          <w:rFonts w:ascii="Times New Roman" w:hAnsi="Times New Roman"/>
          <w:sz w:val="24"/>
          <w:szCs w:val="24"/>
        </w:rPr>
        <w:t xml:space="preserve"> been fulfilled</w:t>
      </w:r>
      <w:r w:rsidR="00880C7F">
        <w:rPr>
          <w:rFonts w:ascii="Times New Roman" w:hAnsi="Times New Roman"/>
          <w:sz w:val="24"/>
          <w:szCs w:val="24"/>
        </w:rPr>
        <w:t xml:space="preserve"> (it is important to note that the obligations to maintain the Priority Assistance policy, and to supply Priority Assistance services, remain in the Declaration)</w:t>
      </w:r>
      <w:r w:rsidR="00DB3BF6" w:rsidRPr="002F164E">
        <w:rPr>
          <w:rFonts w:ascii="Times New Roman" w:hAnsi="Times New Roman"/>
          <w:sz w:val="24"/>
          <w:szCs w:val="24"/>
        </w:rPr>
        <w:t>.</w:t>
      </w:r>
      <w:r w:rsidR="00BD63C6">
        <w:rPr>
          <w:rFonts w:ascii="Times New Roman" w:hAnsi="Times New Roman"/>
          <w:sz w:val="24"/>
          <w:szCs w:val="24"/>
        </w:rPr>
        <w:t xml:space="preserve"> </w:t>
      </w:r>
    </w:p>
    <w:p w14:paraId="6DB2BAA9" w14:textId="3E4687F0" w:rsidR="00350D5A" w:rsidRPr="002F164E" w:rsidRDefault="002F164E" w:rsidP="00350D5A">
      <w:pPr>
        <w:rPr>
          <w:rFonts w:ascii="Times New Roman" w:hAnsi="Times New Roman"/>
          <w:b/>
          <w:sz w:val="24"/>
          <w:szCs w:val="24"/>
        </w:rPr>
      </w:pPr>
      <w:r>
        <w:rPr>
          <w:rFonts w:ascii="Times New Roman" w:hAnsi="Times New Roman"/>
          <w:b/>
          <w:sz w:val="24"/>
          <w:szCs w:val="24"/>
        </w:rPr>
        <w:br w:type="column"/>
      </w:r>
      <w:r w:rsidR="00350D5A" w:rsidRPr="002F164E">
        <w:rPr>
          <w:rFonts w:ascii="Times New Roman" w:hAnsi="Times New Roman"/>
          <w:b/>
          <w:sz w:val="24"/>
          <w:szCs w:val="24"/>
        </w:rPr>
        <w:lastRenderedPageBreak/>
        <w:t>Background</w:t>
      </w:r>
    </w:p>
    <w:p w14:paraId="54B9CF21" w14:textId="61CD0195" w:rsidR="00214C3C" w:rsidRDefault="002B0514" w:rsidP="004D588C">
      <w:pPr>
        <w:spacing w:after="0"/>
        <w:rPr>
          <w:rFonts w:ascii="Times New Roman" w:hAnsi="Times New Roman"/>
          <w:sz w:val="24"/>
          <w:szCs w:val="24"/>
        </w:rPr>
      </w:pPr>
      <w:r w:rsidRPr="002F164E">
        <w:rPr>
          <w:rFonts w:ascii="Times New Roman" w:hAnsi="Times New Roman"/>
          <w:sz w:val="24"/>
          <w:szCs w:val="24"/>
        </w:rPr>
        <w:t xml:space="preserve">The Original Declaration was made on 24 June 1997 and came into force on 1 July 1997. The Original Declaration </w:t>
      </w:r>
      <w:r w:rsidR="002F4CB1">
        <w:rPr>
          <w:rFonts w:ascii="Times New Roman" w:hAnsi="Times New Roman"/>
          <w:sz w:val="24"/>
          <w:szCs w:val="24"/>
        </w:rPr>
        <w:t>was subsequently</w:t>
      </w:r>
      <w:r w:rsidRPr="002F164E">
        <w:rPr>
          <w:rFonts w:ascii="Times New Roman" w:hAnsi="Times New Roman"/>
          <w:sz w:val="24"/>
          <w:szCs w:val="24"/>
        </w:rPr>
        <w:t xml:space="preserve"> varied by num</w:t>
      </w:r>
      <w:r w:rsidR="002F164E">
        <w:rPr>
          <w:rFonts w:ascii="Times New Roman" w:hAnsi="Times New Roman"/>
          <w:sz w:val="24"/>
          <w:szCs w:val="24"/>
        </w:rPr>
        <w:t>erous</w:t>
      </w:r>
      <w:r w:rsidRPr="002F164E">
        <w:rPr>
          <w:rFonts w:ascii="Times New Roman" w:hAnsi="Times New Roman"/>
          <w:sz w:val="24"/>
          <w:szCs w:val="24"/>
        </w:rPr>
        <w:t xml:space="preserve"> amending declarations</w:t>
      </w:r>
      <w:r w:rsidR="002F164E">
        <w:rPr>
          <w:rFonts w:ascii="Times New Roman" w:hAnsi="Times New Roman"/>
          <w:sz w:val="24"/>
          <w:szCs w:val="24"/>
        </w:rPr>
        <w:t xml:space="preserve"> and was due to sunset on on 1 April 2019</w:t>
      </w:r>
      <w:r w:rsidRPr="002F164E">
        <w:rPr>
          <w:rFonts w:ascii="Times New Roman" w:hAnsi="Times New Roman"/>
          <w:sz w:val="24"/>
          <w:szCs w:val="24"/>
        </w:rPr>
        <w:t>.</w:t>
      </w:r>
      <w:r w:rsidR="00880C7F">
        <w:rPr>
          <w:rFonts w:ascii="Times New Roman" w:hAnsi="Times New Roman"/>
          <w:sz w:val="24"/>
          <w:szCs w:val="24"/>
        </w:rPr>
        <w:t xml:space="preserve"> The Government has reviewed the Declaration </w:t>
      </w:r>
      <w:r w:rsidR="00433237">
        <w:rPr>
          <w:rFonts w:ascii="Times New Roman" w:hAnsi="Times New Roman"/>
          <w:sz w:val="24"/>
          <w:szCs w:val="24"/>
        </w:rPr>
        <w:t>and decided that it needs to be remade given the continuing importance of some of the key safeguards and obligations that it contains. The Government also observes that some of the obligations in the Declaration are currently being reviewed, and will make further changes to the Declaration following review if required.</w:t>
      </w:r>
    </w:p>
    <w:p w14:paraId="347A1C59" w14:textId="77777777" w:rsidR="007A2E49" w:rsidRPr="002F164E" w:rsidRDefault="007A2E49" w:rsidP="004D588C">
      <w:pPr>
        <w:spacing w:after="0"/>
        <w:rPr>
          <w:rFonts w:ascii="Times New Roman" w:hAnsi="Times New Roman"/>
          <w:sz w:val="24"/>
          <w:szCs w:val="24"/>
        </w:rPr>
      </w:pPr>
    </w:p>
    <w:p w14:paraId="080D6699" w14:textId="77777777" w:rsidR="00475DFE" w:rsidRPr="007A2E49" w:rsidRDefault="00475DFE" w:rsidP="007A2E49">
      <w:pPr>
        <w:rPr>
          <w:rFonts w:ascii="Times New Roman" w:hAnsi="Times New Roman"/>
          <w:b/>
          <w:sz w:val="24"/>
          <w:szCs w:val="24"/>
        </w:rPr>
      </w:pPr>
      <w:r w:rsidRPr="007A2E49">
        <w:rPr>
          <w:rFonts w:ascii="Times New Roman" w:hAnsi="Times New Roman"/>
          <w:b/>
          <w:sz w:val="24"/>
          <w:szCs w:val="24"/>
        </w:rPr>
        <w:t>Consultation</w:t>
      </w:r>
    </w:p>
    <w:p w14:paraId="0525AE50" w14:textId="02B75391" w:rsidR="00475DFE" w:rsidRPr="00315F60" w:rsidRDefault="00475DFE" w:rsidP="00315F60">
      <w:pPr>
        <w:spacing w:after="0"/>
        <w:rPr>
          <w:rFonts w:ascii="Times New Roman" w:hAnsi="Times New Roman"/>
          <w:sz w:val="24"/>
          <w:szCs w:val="24"/>
        </w:rPr>
      </w:pPr>
      <w:r w:rsidRPr="00315F60">
        <w:rPr>
          <w:rFonts w:ascii="Times New Roman" w:hAnsi="Times New Roman"/>
          <w:sz w:val="24"/>
          <w:szCs w:val="24"/>
        </w:rPr>
        <w:t>Section 64 of the Act provides that before making an instrument under subsection 63(</w:t>
      </w:r>
      <w:r w:rsidR="00433237">
        <w:rPr>
          <w:rFonts w:ascii="Times New Roman" w:hAnsi="Times New Roman"/>
          <w:sz w:val="24"/>
          <w:szCs w:val="24"/>
        </w:rPr>
        <w:t>2</w:t>
      </w:r>
      <w:r w:rsidRPr="00315F60">
        <w:rPr>
          <w:rFonts w:ascii="Times New Roman" w:hAnsi="Times New Roman"/>
          <w:sz w:val="24"/>
          <w:szCs w:val="24"/>
        </w:rPr>
        <w:t xml:space="preserve">) of the Act, the Minister must arrange for a draft version of the instrument to be provided to the licence holder and invite the holder to make a submission to the Minister on the draft. Consistent with this requirement, the Department </w:t>
      </w:r>
      <w:r w:rsidR="005B481E">
        <w:rPr>
          <w:rFonts w:ascii="Times New Roman" w:hAnsi="Times New Roman"/>
          <w:sz w:val="24"/>
          <w:szCs w:val="24"/>
        </w:rPr>
        <w:t xml:space="preserve">of Communications and the Arts (the Department) </w:t>
      </w:r>
      <w:r w:rsidRPr="00315F60">
        <w:rPr>
          <w:rFonts w:ascii="Times New Roman" w:hAnsi="Times New Roman"/>
          <w:sz w:val="24"/>
          <w:szCs w:val="24"/>
        </w:rPr>
        <w:t>wrote</w:t>
      </w:r>
      <w:r w:rsidR="00433237">
        <w:rPr>
          <w:rFonts w:ascii="Times New Roman" w:hAnsi="Times New Roman"/>
          <w:sz w:val="24"/>
          <w:szCs w:val="24"/>
        </w:rPr>
        <w:t>,</w:t>
      </w:r>
      <w:r w:rsidRPr="00315F60">
        <w:rPr>
          <w:rFonts w:ascii="Times New Roman" w:hAnsi="Times New Roman"/>
          <w:sz w:val="24"/>
          <w:szCs w:val="24"/>
        </w:rPr>
        <w:t xml:space="preserve"> on behalf of the Minister</w:t>
      </w:r>
      <w:r w:rsidR="00433237">
        <w:rPr>
          <w:rFonts w:ascii="Times New Roman" w:hAnsi="Times New Roman"/>
          <w:sz w:val="24"/>
          <w:szCs w:val="24"/>
        </w:rPr>
        <w:t>,</w:t>
      </w:r>
      <w:r w:rsidRPr="00315F60">
        <w:rPr>
          <w:rFonts w:ascii="Times New Roman" w:hAnsi="Times New Roman"/>
          <w:sz w:val="24"/>
          <w:szCs w:val="24"/>
        </w:rPr>
        <w:t xml:space="preserve"> to Telstra on</w:t>
      </w:r>
      <w:r w:rsidR="00315F60">
        <w:rPr>
          <w:rFonts w:ascii="Times New Roman" w:hAnsi="Times New Roman"/>
          <w:sz w:val="24"/>
          <w:szCs w:val="24"/>
        </w:rPr>
        <w:t xml:space="preserve"> 6</w:t>
      </w:r>
      <w:r w:rsidRPr="00315F60">
        <w:rPr>
          <w:rFonts w:ascii="Times New Roman" w:hAnsi="Times New Roman"/>
          <w:sz w:val="24"/>
          <w:szCs w:val="24"/>
        </w:rPr>
        <w:t xml:space="preserve"> </w:t>
      </w:r>
      <w:r w:rsidR="00315F60">
        <w:rPr>
          <w:rFonts w:ascii="Times New Roman" w:hAnsi="Times New Roman"/>
          <w:sz w:val="24"/>
          <w:szCs w:val="24"/>
        </w:rPr>
        <w:t>February 2019</w:t>
      </w:r>
      <w:r w:rsidR="008E1297" w:rsidRPr="00315F60">
        <w:rPr>
          <w:rFonts w:ascii="Times New Roman" w:hAnsi="Times New Roman"/>
          <w:sz w:val="24"/>
          <w:szCs w:val="24"/>
        </w:rPr>
        <w:t xml:space="preserve"> </w:t>
      </w:r>
      <w:r w:rsidR="005B481E">
        <w:rPr>
          <w:rFonts w:ascii="Times New Roman" w:hAnsi="Times New Roman"/>
          <w:sz w:val="24"/>
          <w:szCs w:val="24"/>
        </w:rPr>
        <w:t>inviting it to comment on</w:t>
      </w:r>
      <w:r w:rsidR="005B481E" w:rsidRPr="00315F60">
        <w:rPr>
          <w:rFonts w:ascii="Times New Roman" w:hAnsi="Times New Roman"/>
          <w:sz w:val="24"/>
          <w:szCs w:val="24"/>
        </w:rPr>
        <w:t xml:space="preserve"> </w:t>
      </w:r>
      <w:r w:rsidRPr="00315F60">
        <w:rPr>
          <w:rFonts w:ascii="Times New Roman" w:hAnsi="Times New Roman"/>
          <w:sz w:val="24"/>
          <w:szCs w:val="24"/>
        </w:rPr>
        <w:t xml:space="preserve">the proposed Declaration. Telstra </w:t>
      </w:r>
      <w:r w:rsidR="00FF783D">
        <w:rPr>
          <w:rFonts w:ascii="Times New Roman" w:hAnsi="Times New Roman"/>
          <w:sz w:val="24"/>
          <w:szCs w:val="24"/>
        </w:rPr>
        <w:t>prov</w:t>
      </w:r>
      <w:r w:rsidR="000D1A1F">
        <w:rPr>
          <w:rFonts w:ascii="Times New Roman" w:hAnsi="Times New Roman"/>
          <w:sz w:val="24"/>
          <w:szCs w:val="24"/>
        </w:rPr>
        <w:t>i</w:t>
      </w:r>
      <w:r w:rsidR="00FF783D">
        <w:rPr>
          <w:rFonts w:ascii="Times New Roman" w:hAnsi="Times New Roman"/>
          <w:sz w:val="24"/>
          <w:szCs w:val="24"/>
        </w:rPr>
        <w:t xml:space="preserve">ded a </w:t>
      </w:r>
      <w:r w:rsidR="00D91E19">
        <w:rPr>
          <w:rFonts w:ascii="Times New Roman" w:hAnsi="Times New Roman"/>
          <w:sz w:val="24"/>
          <w:szCs w:val="24"/>
        </w:rPr>
        <w:t>submission</w:t>
      </w:r>
      <w:r w:rsidRPr="00315F60">
        <w:rPr>
          <w:rFonts w:ascii="Times New Roman" w:hAnsi="Times New Roman"/>
          <w:sz w:val="24"/>
          <w:szCs w:val="24"/>
        </w:rPr>
        <w:t xml:space="preserve"> on </w:t>
      </w:r>
      <w:r w:rsidR="00D91E19" w:rsidRPr="006C2704">
        <w:rPr>
          <w:rFonts w:ascii="Times New Roman" w:hAnsi="Times New Roman"/>
          <w:sz w:val="24"/>
          <w:szCs w:val="24"/>
        </w:rPr>
        <w:t>1 March 2019</w:t>
      </w:r>
      <w:r w:rsidR="00FF783D">
        <w:rPr>
          <w:rFonts w:ascii="Times New Roman" w:hAnsi="Times New Roman"/>
          <w:sz w:val="24"/>
          <w:szCs w:val="24"/>
        </w:rPr>
        <w:t xml:space="preserve"> and the Minister </w:t>
      </w:r>
      <w:r w:rsidR="000D1A1F">
        <w:rPr>
          <w:rFonts w:ascii="Times New Roman" w:hAnsi="Times New Roman"/>
          <w:sz w:val="24"/>
          <w:szCs w:val="24"/>
        </w:rPr>
        <w:t xml:space="preserve">considered </w:t>
      </w:r>
      <w:r w:rsidR="00FF783D">
        <w:rPr>
          <w:rFonts w:ascii="Times New Roman" w:hAnsi="Times New Roman"/>
          <w:sz w:val="24"/>
          <w:szCs w:val="24"/>
        </w:rPr>
        <w:t>the submission</w:t>
      </w:r>
      <w:r w:rsidRPr="00315F60">
        <w:rPr>
          <w:rFonts w:ascii="Times New Roman" w:hAnsi="Times New Roman"/>
          <w:sz w:val="24"/>
          <w:szCs w:val="24"/>
        </w:rPr>
        <w:t>.</w:t>
      </w:r>
    </w:p>
    <w:p w14:paraId="1121E29F" w14:textId="0CBD5FEE" w:rsidR="008E1297" w:rsidRDefault="00315F60" w:rsidP="008E1297">
      <w:pPr>
        <w:shd w:val="clear" w:color="auto" w:fill="FFFFFF"/>
        <w:spacing w:before="100" w:beforeAutospacing="1" w:after="100" w:afterAutospacing="1" w:line="240" w:lineRule="auto"/>
        <w:rPr>
          <w:rFonts w:ascii="Times New Roman" w:eastAsia="Times New Roman" w:hAnsi="Times New Roman"/>
          <w:noProof w:val="0"/>
          <w:sz w:val="24"/>
          <w:szCs w:val="24"/>
          <w:lang w:eastAsia="en-AU"/>
        </w:rPr>
      </w:pPr>
      <w:r>
        <w:rPr>
          <w:rFonts w:ascii="Times New Roman" w:eastAsia="Times New Roman" w:hAnsi="Times New Roman"/>
          <w:noProof w:val="0"/>
          <w:sz w:val="24"/>
          <w:szCs w:val="24"/>
          <w:lang w:eastAsia="en-AU"/>
        </w:rPr>
        <w:t>The Department commenced a public consultation process on 7 February including the proposed Declaration.</w:t>
      </w:r>
      <w:r w:rsidR="005B481E">
        <w:rPr>
          <w:rFonts w:ascii="Times New Roman" w:eastAsia="Times New Roman" w:hAnsi="Times New Roman"/>
          <w:noProof w:val="0"/>
          <w:sz w:val="24"/>
          <w:szCs w:val="24"/>
          <w:lang w:eastAsia="en-AU"/>
        </w:rPr>
        <w:t xml:space="preserve"> One submission was received, from the Australian Communications Consumer Action Network (ACCAN) and the Minister also considered this submission.</w:t>
      </w:r>
    </w:p>
    <w:p w14:paraId="6868569F" w14:textId="7E36E93B" w:rsidR="005B481E" w:rsidRPr="00475DFE" w:rsidRDefault="005B481E" w:rsidP="008E1297">
      <w:pPr>
        <w:shd w:val="clear" w:color="auto" w:fill="FFFFFF"/>
        <w:spacing w:before="100" w:beforeAutospacing="1" w:after="100" w:afterAutospacing="1" w:line="240" w:lineRule="auto"/>
        <w:rPr>
          <w:rFonts w:ascii="Times New Roman" w:eastAsia="Times New Roman" w:hAnsi="Times New Roman"/>
          <w:noProof w:val="0"/>
          <w:sz w:val="24"/>
          <w:szCs w:val="24"/>
          <w:lang w:val="en-US" w:eastAsia="en-AU"/>
        </w:rPr>
      </w:pPr>
      <w:r>
        <w:rPr>
          <w:rFonts w:ascii="Times New Roman" w:eastAsia="Times New Roman" w:hAnsi="Times New Roman"/>
          <w:noProof w:val="0"/>
          <w:sz w:val="24"/>
          <w:szCs w:val="24"/>
          <w:lang w:eastAsia="en-AU"/>
        </w:rPr>
        <w:t xml:space="preserve">Both Telstra and ACCAN supported remaking the Declaration. They proposed some minor changes to the draft, which have been adopted, and also proposed further areas for review. These proposals are being considered as part of the current review processes. </w:t>
      </w:r>
    </w:p>
    <w:p w14:paraId="4B19EFBF" w14:textId="77777777" w:rsidR="00475DFE" w:rsidRPr="00475DFE" w:rsidRDefault="00475DFE" w:rsidP="00475DFE">
      <w:pPr>
        <w:shd w:val="clear" w:color="auto" w:fill="FFFFFF"/>
        <w:spacing w:before="100" w:beforeAutospacing="1" w:after="100" w:afterAutospacing="1" w:line="240" w:lineRule="auto"/>
        <w:rPr>
          <w:rFonts w:ascii="Times New Roman" w:eastAsia="Times New Roman" w:hAnsi="Times New Roman"/>
          <w:noProof w:val="0"/>
          <w:sz w:val="24"/>
          <w:szCs w:val="24"/>
          <w:lang w:val="en-US" w:eastAsia="en-AU"/>
        </w:rPr>
      </w:pPr>
      <w:r w:rsidRPr="00475DFE">
        <w:rPr>
          <w:rFonts w:ascii="Times New Roman" w:eastAsia="Times New Roman" w:hAnsi="Times New Roman"/>
          <w:b/>
          <w:bCs/>
          <w:noProof w:val="0"/>
          <w:sz w:val="24"/>
          <w:szCs w:val="24"/>
          <w:lang w:eastAsia="en-AU"/>
        </w:rPr>
        <w:t>Regulation Impact</w:t>
      </w:r>
    </w:p>
    <w:p w14:paraId="0C9ED942" w14:textId="7B8CDA6A" w:rsidR="00475DFE" w:rsidRPr="00475DFE" w:rsidRDefault="00D91E19" w:rsidP="00475DFE">
      <w:pPr>
        <w:shd w:val="clear" w:color="auto" w:fill="FFFFFF"/>
        <w:spacing w:before="100" w:beforeAutospacing="1" w:after="100" w:afterAutospacing="1" w:line="240" w:lineRule="auto"/>
        <w:rPr>
          <w:rFonts w:ascii="Times New Roman" w:eastAsia="Times New Roman" w:hAnsi="Times New Roman"/>
          <w:noProof w:val="0"/>
          <w:sz w:val="24"/>
          <w:szCs w:val="24"/>
          <w:lang w:val="en-US" w:eastAsia="en-AU"/>
        </w:rPr>
      </w:pPr>
      <w:r>
        <w:rPr>
          <w:rFonts w:ascii="Times New Roman" w:eastAsia="Times New Roman" w:hAnsi="Times New Roman"/>
          <w:noProof w:val="0"/>
          <w:sz w:val="24"/>
          <w:szCs w:val="24"/>
          <w:lang w:eastAsia="en-AU"/>
        </w:rPr>
        <w:t xml:space="preserve">The Office of Best Practice Regulation </w:t>
      </w:r>
      <w:r w:rsidR="002D400A">
        <w:rPr>
          <w:rFonts w:ascii="Times New Roman" w:eastAsia="Times New Roman" w:hAnsi="Times New Roman"/>
          <w:noProof w:val="0"/>
          <w:sz w:val="24"/>
          <w:szCs w:val="24"/>
          <w:lang w:eastAsia="en-AU"/>
        </w:rPr>
        <w:t xml:space="preserve">has </w:t>
      </w:r>
      <w:r>
        <w:rPr>
          <w:rFonts w:ascii="Times New Roman" w:eastAsia="Times New Roman" w:hAnsi="Times New Roman"/>
          <w:noProof w:val="0"/>
          <w:sz w:val="24"/>
          <w:szCs w:val="24"/>
          <w:lang w:eastAsia="en-AU"/>
        </w:rPr>
        <w:t>agreed that</w:t>
      </w:r>
      <w:r w:rsidR="005B481E">
        <w:rPr>
          <w:rFonts w:ascii="Times New Roman" w:eastAsia="Times New Roman" w:hAnsi="Times New Roman"/>
          <w:noProof w:val="0"/>
          <w:sz w:val="24"/>
          <w:szCs w:val="24"/>
          <w:lang w:eastAsia="en-AU"/>
        </w:rPr>
        <w:t>,</w:t>
      </w:r>
      <w:r>
        <w:rPr>
          <w:rFonts w:ascii="Times New Roman" w:eastAsia="Times New Roman" w:hAnsi="Times New Roman"/>
          <w:noProof w:val="0"/>
          <w:sz w:val="24"/>
          <w:szCs w:val="24"/>
          <w:lang w:eastAsia="en-AU"/>
        </w:rPr>
        <w:t xml:space="preserve"> given no new regulatory requirements were introduced with this remake of the Original Declaration, a Regulation Impact Statement </w:t>
      </w:r>
      <w:r w:rsidR="005B481E">
        <w:rPr>
          <w:rFonts w:ascii="Times New Roman" w:eastAsia="Times New Roman" w:hAnsi="Times New Roman"/>
          <w:noProof w:val="0"/>
          <w:sz w:val="24"/>
          <w:szCs w:val="24"/>
          <w:lang w:eastAsia="en-AU"/>
        </w:rPr>
        <w:t xml:space="preserve">is </w:t>
      </w:r>
      <w:r>
        <w:rPr>
          <w:rFonts w:ascii="Times New Roman" w:eastAsia="Times New Roman" w:hAnsi="Times New Roman"/>
          <w:noProof w:val="0"/>
          <w:sz w:val="24"/>
          <w:szCs w:val="24"/>
          <w:lang w:eastAsia="en-AU"/>
        </w:rPr>
        <w:t>not required.</w:t>
      </w:r>
    </w:p>
    <w:p w14:paraId="25142F0A" w14:textId="77777777" w:rsidR="00475DFE" w:rsidRPr="00475DFE" w:rsidRDefault="00475DFE" w:rsidP="00475DFE">
      <w:pPr>
        <w:shd w:val="clear" w:color="auto" w:fill="FFFFFF"/>
        <w:spacing w:before="100" w:beforeAutospacing="1" w:after="100" w:afterAutospacing="1" w:line="240" w:lineRule="auto"/>
        <w:rPr>
          <w:rFonts w:ascii="Times New Roman" w:eastAsia="Times New Roman" w:hAnsi="Times New Roman"/>
          <w:noProof w:val="0"/>
          <w:sz w:val="24"/>
          <w:szCs w:val="24"/>
          <w:lang w:val="en-US" w:eastAsia="en-AU"/>
        </w:rPr>
      </w:pPr>
      <w:r w:rsidRPr="00475DFE">
        <w:rPr>
          <w:rFonts w:ascii="Times New Roman" w:eastAsia="Times New Roman" w:hAnsi="Times New Roman"/>
          <w:b/>
          <w:bCs/>
          <w:noProof w:val="0"/>
          <w:sz w:val="24"/>
          <w:szCs w:val="24"/>
          <w:lang w:eastAsia="en-AU"/>
        </w:rPr>
        <w:t xml:space="preserve">Other details </w:t>
      </w:r>
    </w:p>
    <w:p w14:paraId="241D1AE2" w14:textId="626ADF7C" w:rsidR="00475DFE" w:rsidRPr="00475DFE" w:rsidRDefault="00475DFE" w:rsidP="00475DFE">
      <w:pPr>
        <w:shd w:val="clear" w:color="auto" w:fill="FFFFFF"/>
        <w:spacing w:before="100" w:beforeAutospacing="1" w:after="100" w:afterAutospacing="1" w:line="240" w:lineRule="auto"/>
        <w:rPr>
          <w:rFonts w:ascii="Times New Roman" w:eastAsia="Times New Roman" w:hAnsi="Times New Roman"/>
          <w:noProof w:val="0"/>
          <w:sz w:val="24"/>
          <w:szCs w:val="24"/>
          <w:lang w:val="en-US" w:eastAsia="en-AU"/>
        </w:rPr>
      </w:pPr>
      <w:r w:rsidRPr="00475DFE">
        <w:rPr>
          <w:rFonts w:ascii="Times New Roman" w:eastAsia="Times New Roman" w:hAnsi="Times New Roman"/>
          <w:noProof w:val="0"/>
          <w:sz w:val="24"/>
          <w:szCs w:val="24"/>
          <w:lang w:eastAsia="en-AU"/>
        </w:rPr>
        <w:t xml:space="preserve">The </w:t>
      </w:r>
      <w:r>
        <w:rPr>
          <w:rFonts w:ascii="Times New Roman" w:eastAsia="Times New Roman" w:hAnsi="Times New Roman"/>
          <w:noProof w:val="0"/>
          <w:sz w:val="24"/>
          <w:szCs w:val="24"/>
          <w:lang w:eastAsia="en-AU"/>
        </w:rPr>
        <w:t xml:space="preserve">Declaration </w:t>
      </w:r>
      <w:r w:rsidRPr="00475DFE">
        <w:rPr>
          <w:rFonts w:ascii="Times New Roman" w:eastAsia="Times New Roman" w:hAnsi="Times New Roman"/>
          <w:noProof w:val="0"/>
          <w:sz w:val="24"/>
          <w:szCs w:val="24"/>
          <w:lang w:eastAsia="en-AU"/>
        </w:rPr>
        <w:t xml:space="preserve">is a legislative instrument for the purposes of the </w:t>
      </w:r>
      <w:r w:rsidRPr="00475DFE">
        <w:rPr>
          <w:rFonts w:ascii="Times New Roman" w:eastAsia="Times New Roman" w:hAnsi="Times New Roman"/>
          <w:i/>
          <w:iCs/>
          <w:noProof w:val="0"/>
          <w:sz w:val="24"/>
          <w:szCs w:val="24"/>
          <w:lang w:eastAsia="en-AU"/>
        </w:rPr>
        <w:t>Legislati</w:t>
      </w:r>
      <w:r w:rsidR="005B481E">
        <w:rPr>
          <w:rFonts w:ascii="Times New Roman" w:eastAsia="Times New Roman" w:hAnsi="Times New Roman"/>
          <w:i/>
          <w:iCs/>
          <w:noProof w:val="0"/>
          <w:sz w:val="24"/>
          <w:szCs w:val="24"/>
          <w:lang w:eastAsia="en-AU"/>
        </w:rPr>
        <w:t xml:space="preserve">on </w:t>
      </w:r>
      <w:r w:rsidRPr="00475DFE">
        <w:rPr>
          <w:rFonts w:ascii="Times New Roman" w:eastAsia="Times New Roman" w:hAnsi="Times New Roman"/>
          <w:i/>
          <w:iCs/>
          <w:noProof w:val="0"/>
          <w:sz w:val="24"/>
          <w:szCs w:val="24"/>
          <w:lang w:eastAsia="en-AU"/>
        </w:rPr>
        <w:t xml:space="preserve"> Act 2003</w:t>
      </w:r>
      <w:r w:rsidRPr="00475DFE">
        <w:rPr>
          <w:rFonts w:ascii="Times New Roman" w:eastAsia="Times New Roman" w:hAnsi="Times New Roman"/>
          <w:noProof w:val="0"/>
          <w:sz w:val="24"/>
          <w:szCs w:val="24"/>
          <w:lang w:eastAsia="en-AU"/>
        </w:rPr>
        <w:t xml:space="preserve"> and commences on</w:t>
      </w:r>
      <w:r w:rsidRPr="00475DFE">
        <w:rPr>
          <w:rFonts w:ascii="Times New Roman" w:eastAsia="Times New Roman" w:hAnsi="Times New Roman"/>
          <w:noProof w:val="0"/>
          <w:color w:val="0000FF"/>
          <w:sz w:val="24"/>
          <w:szCs w:val="24"/>
          <w:lang w:eastAsia="en-AU"/>
        </w:rPr>
        <w:t xml:space="preserve"> </w:t>
      </w:r>
      <w:r w:rsidRPr="00475DFE">
        <w:rPr>
          <w:rFonts w:ascii="Times New Roman" w:eastAsia="Times New Roman" w:hAnsi="Times New Roman"/>
          <w:noProof w:val="0"/>
          <w:sz w:val="24"/>
          <w:szCs w:val="24"/>
          <w:lang w:eastAsia="en-AU"/>
        </w:rPr>
        <w:t xml:space="preserve">the day after it is registered </w:t>
      </w:r>
      <w:r w:rsidR="00FF783D">
        <w:rPr>
          <w:rFonts w:ascii="Times New Roman" w:eastAsia="Times New Roman" w:hAnsi="Times New Roman"/>
          <w:noProof w:val="0"/>
          <w:sz w:val="24"/>
          <w:szCs w:val="24"/>
          <w:lang w:eastAsia="en-AU"/>
        </w:rPr>
        <w:t>o</w:t>
      </w:r>
      <w:r w:rsidRPr="00475DFE">
        <w:rPr>
          <w:rFonts w:ascii="Times New Roman" w:eastAsia="Times New Roman" w:hAnsi="Times New Roman"/>
          <w:noProof w:val="0"/>
          <w:sz w:val="24"/>
          <w:szCs w:val="24"/>
          <w:lang w:eastAsia="en-AU"/>
        </w:rPr>
        <w:t>n the Federal Register of Legislation.</w:t>
      </w:r>
    </w:p>
    <w:p w14:paraId="238AA053" w14:textId="2E66B76D" w:rsidR="00475DFE" w:rsidRPr="00475DFE" w:rsidRDefault="00475DFE" w:rsidP="00475DFE">
      <w:pPr>
        <w:shd w:val="clear" w:color="auto" w:fill="FFFFFF"/>
        <w:spacing w:before="100" w:beforeAutospacing="1" w:after="100" w:afterAutospacing="1" w:line="240" w:lineRule="auto"/>
        <w:rPr>
          <w:rFonts w:ascii="Times New Roman" w:eastAsia="Times New Roman" w:hAnsi="Times New Roman"/>
          <w:noProof w:val="0"/>
          <w:sz w:val="24"/>
          <w:szCs w:val="24"/>
          <w:lang w:val="en-US" w:eastAsia="en-AU"/>
        </w:rPr>
      </w:pPr>
      <w:r w:rsidRPr="00475DFE">
        <w:rPr>
          <w:rFonts w:ascii="Times New Roman" w:eastAsia="Times New Roman" w:hAnsi="Times New Roman"/>
          <w:noProof w:val="0"/>
          <w:sz w:val="24"/>
          <w:szCs w:val="24"/>
          <w:lang w:eastAsia="en-AU"/>
        </w:rPr>
        <w:t xml:space="preserve">Details of the accompanying Declaration are set out in </w:t>
      </w:r>
      <w:r w:rsidRPr="00475DFE">
        <w:rPr>
          <w:rFonts w:ascii="Times New Roman" w:eastAsia="Times New Roman" w:hAnsi="Times New Roman"/>
          <w:b/>
          <w:bCs/>
          <w:noProof w:val="0"/>
          <w:sz w:val="24"/>
          <w:szCs w:val="24"/>
          <w:u w:val="single"/>
          <w:lang w:eastAsia="en-AU"/>
        </w:rPr>
        <w:t>Attachment 1</w:t>
      </w:r>
      <w:r w:rsidRPr="00475DFE">
        <w:rPr>
          <w:rFonts w:ascii="Times New Roman" w:eastAsia="Times New Roman" w:hAnsi="Times New Roman"/>
          <w:noProof w:val="0"/>
          <w:sz w:val="24"/>
          <w:szCs w:val="24"/>
          <w:lang w:eastAsia="en-AU"/>
        </w:rPr>
        <w:t>.</w:t>
      </w:r>
    </w:p>
    <w:p w14:paraId="4AF1789C" w14:textId="6B133327" w:rsidR="00475DFE" w:rsidRDefault="00475DFE" w:rsidP="0019499D">
      <w:pPr>
        <w:rPr>
          <w:rFonts w:ascii="Times New Roman" w:hAnsi="Times New Roman"/>
          <w:b/>
          <w:sz w:val="24"/>
          <w:szCs w:val="24"/>
        </w:rPr>
      </w:pPr>
      <w:r w:rsidRPr="00475DFE">
        <w:rPr>
          <w:rFonts w:ascii="Times New Roman" w:eastAsia="Times New Roman" w:hAnsi="Times New Roman"/>
          <w:noProof w:val="0"/>
          <w:sz w:val="24"/>
          <w:szCs w:val="24"/>
          <w:lang w:eastAsia="en-AU"/>
        </w:rPr>
        <w:t xml:space="preserve">The Statement of Compatibility with Human Rights for the Declaration is set out in </w:t>
      </w:r>
      <w:r w:rsidRPr="00475DFE">
        <w:rPr>
          <w:rFonts w:ascii="Times New Roman" w:eastAsia="Times New Roman" w:hAnsi="Times New Roman"/>
          <w:b/>
          <w:bCs/>
          <w:noProof w:val="0"/>
          <w:sz w:val="24"/>
          <w:szCs w:val="24"/>
          <w:u w:val="single"/>
          <w:lang w:eastAsia="en-AU"/>
        </w:rPr>
        <w:t>Attachment 2</w:t>
      </w:r>
      <w:r w:rsidRPr="00475DFE">
        <w:rPr>
          <w:rFonts w:ascii="Times New Roman" w:eastAsia="Times New Roman" w:hAnsi="Times New Roman"/>
          <w:noProof w:val="0"/>
          <w:sz w:val="24"/>
          <w:szCs w:val="24"/>
          <w:lang w:eastAsia="en-AU"/>
        </w:rPr>
        <w:t>.</w:t>
      </w:r>
      <w:r>
        <w:rPr>
          <w:rFonts w:ascii="Times New Roman" w:hAnsi="Times New Roman"/>
          <w:b/>
          <w:sz w:val="24"/>
          <w:szCs w:val="24"/>
        </w:rPr>
        <w:br w:type="column"/>
      </w:r>
      <w:r>
        <w:rPr>
          <w:rFonts w:ascii="Times New Roman" w:hAnsi="Times New Roman"/>
          <w:b/>
          <w:sz w:val="24"/>
          <w:szCs w:val="24"/>
        </w:rPr>
        <w:lastRenderedPageBreak/>
        <w:t xml:space="preserve">Attachment 1 </w:t>
      </w:r>
    </w:p>
    <w:p w14:paraId="774C16A7" w14:textId="77826DA8" w:rsidR="0019499D" w:rsidRPr="008E1297" w:rsidRDefault="0019499D" w:rsidP="0019499D">
      <w:pPr>
        <w:rPr>
          <w:rFonts w:ascii="Times New Roman" w:hAnsi="Times New Roman"/>
          <w:b/>
          <w:sz w:val="24"/>
          <w:szCs w:val="24"/>
        </w:rPr>
      </w:pPr>
      <w:r w:rsidRPr="002F164E">
        <w:rPr>
          <w:rFonts w:ascii="Times New Roman" w:hAnsi="Times New Roman"/>
          <w:b/>
          <w:sz w:val="24"/>
          <w:szCs w:val="24"/>
        </w:rPr>
        <w:t>Detail</w:t>
      </w:r>
      <w:r w:rsidR="008E1297">
        <w:rPr>
          <w:rFonts w:ascii="Times New Roman" w:hAnsi="Times New Roman"/>
          <w:b/>
          <w:sz w:val="24"/>
          <w:szCs w:val="24"/>
        </w:rPr>
        <w:t xml:space="preserve">ed notes on </w:t>
      </w:r>
      <w:r w:rsidR="008E1297" w:rsidRPr="00734A11">
        <w:rPr>
          <w:rFonts w:ascii="Times New Roman" w:hAnsi="Times New Roman"/>
          <w:b/>
          <w:i/>
          <w:sz w:val="24"/>
          <w:szCs w:val="24"/>
        </w:rPr>
        <w:t>Telecommunications (Carrier Licence Conditions - Telstra Corporation Limited) Declaration 2019</w:t>
      </w:r>
    </w:p>
    <w:p w14:paraId="3D0DF390" w14:textId="61B5B752" w:rsidR="0019499D" w:rsidRPr="002F164E" w:rsidRDefault="008E5BFC" w:rsidP="0019499D">
      <w:pPr>
        <w:rPr>
          <w:rFonts w:ascii="Times New Roman" w:hAnsi="Times New Roman"/>
          <w:b/>
          <w:sz w:val="24"/>
          <w:szCs w:val="24"/>
        </w:rPr>
      </w:pPr>
      <w:r w:rsidRPr="002F164E">
        <w:rPr>
          <w:rFonts w:ascii="Times New Roman" w:hAnsi="Times New Roman"/>
          <w:b/>
          <w:sz w:val="24"/>
          <w:szCs w:val="24"/>
        </w:rPr>
        <w:t>Section</w:t>
      </w:r>
      <w:r w:rsidR="0019499D" w:rsidRPr="002F164E">
        <w:rPr>
          <w:rFonts w:ascii="Times New Roman" w:hAnsi="Times New Roman"/>
          <w:b/>
          <w:sz w:val="24"/>
          <w:szCs w:val="24"/>
        </w:rPr>
        <w:t xml:space="preserve"> 1 – Name of Instrument</w:t>
      </w:r>
    </w:p>
    <w:p w14:paraId="5B45AE8E" w14:textId="764447A1" w:rsidR="0019499D" w:rsidRPr="002F164E" w:rsidRDefault="008E5BFC" w:rsidP="0019499D">
      <w:pPr>
        <w:rPr>
          <w:rFonts w:ascii="Times New Roman" w:hAnsi="Times New Roman"/>
          <w:sz w:val="24"/>
          <w:szCs w:val="24"/>
        </w:rPr>
      </w:pPr>
      <w:r w:rsidRPr="002F164E">
        <w:rPr>
          <w:rFonts w:ascii="Times New Roman" w:hAnsi="Times New Roman"/>
          <w:sz w:val="24"/>
          <w:szCs w:val="24"/>
        </w:rPr>
        <w:t>Section</w:t>
      </w:r>
      <w:r w:rsidR="0019499D" w:rsidRPr="002F164E">
        <w:rPr>
          <w:rFonts w:ascii="Times New Roman" w:hAnsi="Times New Roman"/>
          <w:sz w:val="24"/>
          <w:szCs w:val="24"/>
        </w:rPr>
        <w:t xml:space="preserve"> 1 provides that the name of the </w:t>
      </w:r>
      <w:r w:rsidR="00475DFE">
        <w:rPr>
          <w:rFonts w:ascii="Times New Roman" w:hAnsi="Times New Roman"/>
          <w:sz w:val="24"/>
          <w:szCs w:val="24"/>
        </w:rPr>
        <w:t>i</w:t>
      </w:r>
      <w:r w:rsidR="0019499D" w:rsidRPr="002F164E">
        <w:rPr>
          <w:rFonts w:ascii="Times New Roman" w:hAnsi="Times New Roman"/>
          <w:sz w:val="24"/>
          <w:szCs w:val="24"/>
        </w:rPr>
        <w:t xml:space="preserve">nstrument is the </w:t>
      </w:r>
      <w:r w:rsidR="009C6520" w:rsidRPr="002F164E">
        <w:rPr>
          <w:rFonts w:ascii="Times New Roman" w:hAnsi="Times New Roman"/>
          <w:i/>
          <w:sz w:val="24"/>
          <w:szCs w:val="24"/>
        </w:rPr>
        <w:t>Telecommunications (Carrier Licence Conditions - Telstra Corporation Limited) Declaration 2019</w:t>
      </w:r>
      <w:r w:rsidR="00D871FE">
        <w:rPr>
          <w:rFonts w:ascii="Times New Roman" w:hAnsi="Times New Roman"/>
          <w:sz w:val="24"/>
          <w:szCs w:val="24"/>
        </w:rPr>
        <w:t xml:space="preserve"> (the Declaration)</w:t>
      </w:r>
      <w:r w:rsidR="002F164E">
        <w:rPr>
          <w:rFonts w:ascii="Times New Roman" w:hAnsi="Times New Roman"/>
          <w:i/>
          <w:sz w:val="24"/>
          <w:szCs w:val="24"/>
        </w:rPr>
        <w:t>.</w:t>
      </w:r>
    </w:p>
    <w:p w14:paraId="1B467639" w14:textId="1E2511D7" w:rsidR="0020759A" w:rsidRPr="002F164E" w:rsidRDefault="008E5BFC" w:rsidP="0019499D">
      <w:pPr>
        <w:rPr>
          <w:rFonts w:ascii="Times New Roman" w:hAnsi="Times New Roman"/>
          <w:b/>
          <w:sz w:val="24"/>
          <w:szCs w:val="24"/>
        </w:rPr>
      </w:pPr>
      <w:r w:rsidRPr="002F164E">
        <w:rPr>
          <w:rFonts w:ascii="Times New Roman" w:hAnsi="Times New Roman"/>
          <w:b/>
          <w:sz w:val="24"/>
          <w:szCs w:val="24"/>
        </w:rPr>
        <w:t>Section</w:t>
      </w:r>
      <w:r w:rsidR="0020759A" w:rsidRPr="002F164E">
        <w:rPr>
          <w:rFonts w:ascii="Times New Roman" w:hAnsi="Times New Roman"/>
          <w:b/>
          <w:sz w:val="24"/>
          <w:szCs w:val="24"/>
        </w:rPr>
        <w:t xml:space="preserve"> 2 – Commencement</w:t>
      </w:r>
    </w:p>
    <w:p w14:paraId="79322D1D" w14:textId="2364E262" w:rsidR="0020759A" w:rsidRPr="002F164E" w:rsidRDefault="008E5BFC" w:rsidP="0019499D">
      <w:pPr>
        <w:rPr>
          <w:rFonts w:ascii="Times New Roman" w:hAnsi="Times New Roman"/>
          <w:sz w:val="24"/>
          <w:szCs w:val="24"/>
        </w:rPr>
      </w:pPr>
      <w:r w:rsidRPr="002F164E">
        <w:rPr>
          <w:rFonts w:ascii="Times New Roman" w:hAnsi="Times New Roman"/>
          <w:sz w:val="24"/>
          <w:szCs w:val="24"/>
        </w:rPr>
        <w:t>Section</w:t>
      </w:r>
      <w:r w:rsidR="0033755F" w:rsidRPr="002F164E">
        <w:rPr>
          <w:rFonts w:ascii="Times New Roman" w:hAnsi="Times New Roman"/>
          <w:sz w:val="24"/>
          <w:szCs w:val="24"/>
        </w:rPr>
        <w:t xml:space="preserve"> 2 provides for t</w:t>
      </w:r>
      <w:r w:rsidR="0020759A" w:rsidRPr="002F164E">
        <w:rPr>
          <w:rFonts w:ascii="Times New Roman" w:hAnsi="Times New Roman"/>
          <w:sz w:val="24"/>
          <w:szCs w:val="24"/>
        </w:rPr>
        <w:t xml:space="preserve">he </w:t>
      </w:r>
      <w:r w:rsidR="00475DFE">
        <w:rPr>
          <w:rFonts w:ascii="Times New Roman" w:hAnsi="Times New Roman"/>
          <w:sz w:val="24"/>
          <w:szCs w:val="24"/>
        </w:rPr>
        <w:t xml:space="preserve">Declaration </w:t>
      </w:r>
      <w:r w:rsidR="0033755F" w:rsidRPr="002F164E">
        <w:rPr>
          <w:rFonts w:ascii="Times New Roman" w:hAnsi="Times New Roman"/>
          <w:sz w:val="24"/>
          <w:szCs w:val="24"/>
        </w:rPr>
        <w:t xml:space="preserve">to </w:t>
      </w:r>
      <w:r w:rsidR="002F4CB1">
        <w:rPr>
          <w:rFonts w:ascii="Times New Roman" w:hAnsi="Times New Roman"/>
          <w:sz w:val="24"/>
          <w:szCs w:val="24"/>
        </w:rPr>
        <w:t>commence</w:t>
      </w:r>
      <w:r w:rsidR="0020759A" w:rsidRPr="002F164E">
        <w:rPr>
          <w:rFonts w:ascii="Times New Roman" w:hAnsi="Times New Roman"/>
          <w:sz w:val="24"/>
          <w:szCs w:val="24"/>
        </w:rPr>
        <w:t xml:space="preserve"> on the day </w:t>
      </w:r>
      <w:r w:rsidR="009C6520" w:rsidRPr="002F164E">
        <w:rPr>
          <w:rFonts w:ascii="Times New Roman" w:hAnsi="Times New Roman"/>
          <w:sz w:val="24"/>
          <w:szCs w:val="24"/>
        </w:rPr>
        <w:t>after it is registered</w:t>
      </w:r>
      <w:r w:rsidR="002F164E">
        <w:rPr>
          <w:rFonts w:ascii="Times New Roman" w:hAnsi="Times New Roman"/>
          <w:sz w:val="24"/>
          <w:szCs w:val="24"/>
        </w:rPr>
        <w:t xml:space="preserve"> on the Federal Register of Legislation</w:t>
      </w:r>
      <w:r w:rsidR="0033755F" w:rsidRPr="002F164E">
        <w:rPr>
          <w:rFonts w:ascii="Times New Roman" w:hAnsi="Times New Roman"/>
          <w:sz w:val="24"/>
          <w:szCs w:val="24"/>
        </w:rPr>
        <w:t>.</w:t>
      </w:r>
      <w:r w:rsidR="0020759A" w:rsidRPr="002F164E">
        <w:rPr>
          <w:rFonts w:ascii="Times New Roman" w:hAnsi="Times New Roman"/>
          <w:sz w:val="24"/>
          <w:szCs w:val="24"/>
        </w:rPr>
        <w:t xml:space="preserve"> </w:t>
      </w:r>
    </w:p>
    <w:p w14:paraId="14F9AB85" w14:textId="722348C0" w:rsidR="0019499D" w:rsidRPr="002F164E" w:rsidRDefault="008E5BFC" w:rsidP="00350D5A">
      <w:pPr>
        <w:rPr>
          <w:rFonts w:ascii="Times New Roman" w:hAnsi="Times New Roman"/>
          <w:b/>
          <w:sz w:val="24"/>
          <w:szCs w:val="24"/>
        </w:rPr>
      </w:pPr>
      <w:r w:rsidRPr="002F164E">
        <w:rPr>
          <w:rFonts w:ascii="Times New Roman" w:hAnsi="Times New Roman"/>
          <w:b/>
          <w:sz w:val="24"/>
          <w:szCs w:val="24"/>
        </w:rPr>
        <w:t>Section</w:t>
      </w:r>
      <w:r w:rsidR="0033755F" w:rsidRPr="002F164E">
        <w:rPr>
          <w:rFonts w:ascii="Times New Roman" w:hAnsi="Times New Roman"/>
          <w:b/>
          <w:sz w:val="24"/>
          <w:szCs w:val="24"/>
        </w:rPr>
        <w:t xml:space="preserve"> 3 </w:t>
      </w:r>
      <w:r w:rsidR="00F81E47" w:rsidRPr="002F164E">
        <w:rPr>
          <w:rFonts w:ascii="Times New Roman" w:hAnsi="Times New Roman"/>
          <w:b/>
          <w:sz w:val="24"/>
          <w:szCs w:val="24"/>
        </w:rPr>
        <w:t>-</w:t>
      </w:r>
      <w:r w:rsidR="0033755F" w:rsidRPr="002F164E">
        <w:rPr>
          <w:rFonts w:ascii="Times New Roman" w:hAnsi="Times New Roman"/>
          <w:b/>
          <w:sz w:val="24"/>
          <w:szCs w:val="24"/>
        </w:rPr>
        <w:t xml:space="preserve"> Authority</w:t>
      </w:r>
    </w:p>
    <w:p w14:paraId="4935DC11" w14:textId="3E6C1DF0" w:rsidR="00A80A09" w:rsidRPr="002F164E" w:rsidRDefault="008E5BFC" w:rsidP="00E1702B">
      <w:pPr>
        <w:rPr>
          <w:rFonts w:ascii="Times New Roman" w:hAnsi="Times New Roman"/>
          <w:sz w:val="24"/>
          <w:szCs w:val="24"/>
        </w:rPr>
      </w:pPr>
      <w:r w:rsidRPr="002F164E">
        <w:rPr>
          <w:rFonts w:ascii="Times New Roman" w:hAnsi="Times New Roman"/>
          <w:sz w:val="24"/>
          <w:szCs w:val="24"/>
        </w:rPr>
        <w:t>Section</w:t>
      </w:r>
      <w:r w:rsidR="0033755F" w:rsidRPr="002F164E">
        <w:rPr>
          <w:rFonts w:ascii="Times New Roman" w:hAnsi="Times New Roman"/>
          <w:sz w:val="24"/>
          <w:szCs w:val="24"/>
        </w:rPr>
        <w:t xml:space="preserve"> 3 states that the authority for the </w:t>
      </w:r>
      <w:r w:rsidR="00BF1B66">
        <w:rPr>
          <w:rFonts w:ascii="Times New Roman" w:hAnsi="Times New Roman"/>
          <w:sz w:val="24"/>
          <w:szCs w:val="24"/>
        </w:rPr>
        <w:t xml:space="preserve">Declaration </w:t>
      </w:r>
      <w:r w:rsidR="0033755F" w:rsidRPr="002F164E">
        <w:rPr>
          <w:rFonts w:ascii="Times New Roman" w:hAnsi="Times New Roman"/>
          <w:sz w:val="24"/>
          <w:szCs w:val="24"/>
        </w:rPr>
        <w:t xml:space="preserve">is subsection 63(2) of the </w:t>
      </w:r>
      <w:r w:rsidR="0033755F" w:rsidRPr="002F164E">
        <w:rPr>
          <w:rFonts w:ascii="Times New Roman" w:hAnsi="Times New Roman"/>
          <w:i/>
          <w:sz w:val="24"/>
          <w:szCs w:val="24"/>
        </w:rPr>
        <w:t>Telecommunications Act 1997</w:t>
      </w:r>
      <w:r w:rsidR="00FF783D">
        <w:rPr>
          <w:rFonts w:ascii="Times New Roman" w:hAnsi="Times New Roman"/>
          <w:i/>
          <w:sz w:val="24"/>
          <w:szCs w:val="24"/>
        </w:rPr>
        <w:t xml:space="preserve"> </w:t>
      </w:r>
      <w:r w:rsidR="00FF783D">
        <w:rPr>
          <w:rFonts w:ascii="Times New Roman" w:hAnsi="Times New Roman"/>
          <w:sz w:val="24"/>
          <w:szCs w:val="24"/>
        </w:rPr>
        <w:t>(the Act)</w:t>
      </w:r>
      <w:r w:rsidR="00CC424C" w:rsidRPr="002F164E">
        <w:rPr>
          <w:rFonts w:ascii="Times New Roman" w:hAnsi="Times New Roman"/>
          <w:sz w:val="24"/>
          <w:szCs w:val="24"/>
        </w:rPr>
        <w:t>.</w:t>
      </w:r>
    </w:p>
    <w:p w14:paraId="6FE09F60" w14:textId="60441DF9" w:rsidR="0033755F" w:rsidRPr="002F164E" w:rsidRDefault="008E5BFC" w:rsidP="0033755F">
      <w:pPr>
        <w:rPr>
          <w:rFonts w:ascii="Times New Roman" w:hAnsi="Times New Roman"/>
          <w:b/>
          <w:sz w:val="24"/>
          <w:szCs w:val="24"/>
        </w:rPr>
      </w:pPr>
      <w:r w:rsidRPr="002F164E">
        <w:rPr>
          <w:rFonts w:ascii="Times New Roman" w:hAnsi="Times New Roman"/>
          <w:b/>
          <w:sz w:val="24"/>
          <w:szCs w:val="24"/>
        </w:rPr>
        <w:t>Section</w:t>
      </w:r>
      <w:r w:rsidR="0033755F" w:rsidRPr="002F164E">
        <w:rPr>
          <w:rFonts w:ascii="Times New Roman" w:hAnsi="Times New Roman"/>
          <w:b/>
          <w:sz w:val="24"/>
          <w:szCs w:val="24"/>
        </w:rPr>
        <w:t xml:space="preserve"> 4 </w:t>
      </w:r>
      <w:r w:rsidR="00F81E47" w:rsidRPr="002F164E">
        <w:rPr>
          <w:rFonts w:ascii="Times New Roman" w:hAnsi="Times New Roman"/>
          <w:b/>
          <w:sz w:val="24"/>
          <w:szCs w:val="24"/>
        </w:rPr>
        <w:t xml:space="preserve">– </w:t>
      </w:r>
      <w:r w:rsidR="0033755F" w:rsidRPr="002F164E">
        <w:rPr>
          <w:rFonts w:ascii="Times New Roman" w:hAnsi="Times New Roman"/>
          <w:b/>
          <w:sz w:val="24"/>
          <w:szCs w:val="24"/>
        </w:rPr>
        <w:t>Definitions</w:t>
      </w:r>
    </w:p>
    <w:p w14:paraId="7A9E7832" w14:textId="704D7D99" w:rsidR="0033755F" w:rsidRPr="002F164E" w:rsidRDefault="008E5BFC" w:rsidP="0033755F">
      <w:pPr>
        <w:rPr>
          <w:rFonts w:ascii="Times New Roman" w:hAnsi="Times New Roman"/>
          <w:sz w:val="24"/>
          <w:szCs w:val="24"/>
        </w:rPr>
      </w:pPr>
      <w:r w:rsidRPr="002F164E">
        <w:rPr>
          <w:rFonts w:ascii="Times New Roman" w:hAnsi="Times New Roman"/>
          <w:sz w:val="24"/>
          <w:szCs w:val="24"/>
        </w:rPr>
        <w:t>Section</w:t>
      </w:r>
      <w:r w:rsidR="0033755F" w:rsidRPr="002F164E">
        <w:rPr>
          <w:rFonts w:ascii="Times New Roman" w:hAnsi="Times New Roman"/>
          <w:sz w:val="24"/>
          <w:szCs w:val="24"/>
        </w:rPr>
        <w:t xml:space="preserve"> 4 provides a list of definitions to explain the terminology used in the </w:t>
      </w:r>
      <w:r w:rsidR="00BF1B66">
        <w:rPr>
          <w:rFonts w:ascii="Times New Roman" w:hAnsi="Times New Roman"/>
          <w:sz w:val="24"/>
          <w:szCs w:val="24"/>
        </w:rPr>
        <w:t>Declaration</w:t>
      </w:r>
      <w:r w:rsidR="0033755F" w:rsidRPr="002F164E">
        <w:rPr>
          <w:rFonts w:ascii="Times New Roman" w:hAnsi="Times New Roman"/>
          <w:sz w:val="24"/>
          <w:szCs w:val="24"/>
        </w:rPr>
        <w:t>.</w:t>
      </w:r>
    </w:p>
    <w:p w14:paraId="5D741130" w14:textId="0AE58D9B" w:rsidR="004D6F0B" w:rsidRPr="002F164E" w:rsidRDefault="004D6F0B" w:rsidP="004D6F0B">
      <w:pPr>
        <w:rPr>
          <w:rFonts w:ascii="Times New Roman" w:hAnsi="Times New Roman"/>
          <w:b/>
          <w:sz w:val="24"/>
          <w:szCs w:val="24"/>
        </w:rPr>
      </w:pPr>
      <w:r w:rsidRPr="002F164E">
        <w:rPr>
          <w:rFonts w:ascii="Times New Roman" w:hAnsi="Times New Roman"/>
          <w:b/>
          <w:sz w:val="24"/>
          <w:szCs w:val="24"/>
        </w:rPr>
        <w:t>Section 5 – Repeal</w:t>
      </w:r>
    </w:p>
    <w:p w14:paraId="5A7B3821" w14:textId="5A9E4F7C" w:rsidR="004D6F0B" w:rsidRPr="002F164E" w:rsidRDefault="004D6F0B" w:rsidP="004D6F0B">
      <w:pPr>
        <w:rPr>
          <w:rFonts w:ascii="Times New Roman" w:hAnsi="Times New Roman"/>
          <w:sz w:val="24"/>
          <w:szCs w:val="24"/>
        </w:rPr>
      </w:pPr>
      <w:r w:rsidRPr="006C2704">
        <w:rPr>
          <w:rFonts w:ascii="Times New Roman" w:hAnsi="Times New Roman"/>
          <w:sz w:val="24"/>
          <w:szCs w:val="24"/>
        </w:rPr>
        <w:t xml:space="preserve">Section 5 provides that each instrument that is specified in Schedule 2 to the </w:t>
      </w:r>
      <w:r w:rsidR="00D871FE">
        <w:rPr>
          <w:rFonts w:ascii="Times New Roman" w:hAnsi="Times New Roman"/>
          <w:sz w:val="24"/>
          <w:szCs w:val="24"/>
        </w:rPr>
        <w:t>Declaration</w:t>
      </w:r>
      <w:r w:rsidR="00D871FE" w:rsidRPr="006C2704">
        <w:rPr>
          <w:rFonts w:ascii="Times New Roman" w:hAnsi="Times New Roman"/>
          <w:sz w:val="24"/>
          <w:szCs w:val="24"/>
        </w:rPr>
        <w:t xml:space="preserve"> </w:t>
      </w:r>
      <w:r w:rsidRPr="006C2704">
        <w:rPr>
          <w:rFonts w:ascii="Times New Roman" w:hAnsi="Times New Roman"/>
          <w:sz w:val="24"/>
          <w:szCs w:val="24"/>
        </w:rPr>
        <w:t>is amended or repealed as set out in the applicable items in the Schedule concerned, and any other item in a Schedule to this instrument has effect according to its terms.</w:t>
      </w:r>
      <w:r w:rsidR="00BF1B66" w:rsidRPr="006C2704">
        <w:rPr>
          <w:rFonts w:ascii="Times New Roman" w:hAnsi="Times New Roman"/>
          <w:sz w:val="24"/>
          <w:szCs w:val="24"/>
        </w:rPr>
        <w:t xml:space="preserve"> </w:t>
      </w:r>
      <w:r w:rsidR="007C75DE" w:rsidRPr="006C2704">
        <w:rPr>
          <w:rFonts w:ascii="Times New Roman" w:hAnsi="Times New Roman"/>
          <w:sz w:val="24"/>
          <w:szCs w:val="24"/>
        </w:rPr>
        <w:t xml:space="preserve">Item 1 of Schedule 2 specifies the repeal of </w:t>
      </w:r>
      <w:r w:rsidR="002F4CB1">
        <w:rPr>
          <w:rFonts w:ascii="Times New Roman" w:hAnsi="Times New Roman"/>
          <w:sz w:val="24"/>
          <w:szCs w:val="24"/>
        </w:rPr>
        <w:t xml:space="preserve">the </w:t>
      </w:r>
      <w:r w:rsidR="00BF1B66" w:rsidRPr="0053049B">
        <w:rPr>
          <w:rFonts w:ascii="Times New Roman" w:hAnsi="Times New Roman"/>
          <w:i/>
          <w:sz w:val="24"/>
          <w:szCs w:val="24"/>
        </w:rPr>
        <w:t>Telecommunications (Carrier Licence Conditions - Telstra Corporation Limited) Declaration 1997</w:t>
      </w:r>
      <w:r w:rsidR="00FC3529" w:rsidRPr="00FC3529">
        <w:rPr>
          <w:rFonts w:ascii="Times New Roman" w:hAnsi="Times New Roman"/>
          <w:sz w:val="24"/>
          <w:szCs w:val="24"/>
        </w:rPr>
        <w:t>, which was due to sunset on 1 April 2019</w:t>
      </w:r>
      <w:r w:rsidR="007C75DE" w:rsidRPr="006C2704">
        <w:rPr>
          <w:rFonts w:ascii="Times New Roman" w:hAnsi="Times New Roman"/>
          <w:sz w:val="24"/>
          <w:szCs w:val="24"/>
        </w:rPr>
        <w:t xml:space="preserve">. </w:t>
      </w:r>
    </w:p>
    <w:p w14:paraId="23762669" w14:textId="5A14DF2C" w:rsidR="004D6F0B" w:rsidRPr="002F164E" w:rsidRDefault="004D6F0B" w:rsidP="004D6F0B">
      <w:pPr>
        <w:rPr>
          <w:rFonts w:ascii="Times New Roman" w:hAnsi="Times New Roman"/>
          <w:b/>
          <w:sz w:val="24"/>
          <w:szCs w:val="24"/>
        </w:rPr>
      </w:pPr>
      <w:r w:rsidRPr="002F164E">
        <w:rPr>
          <w:rFonts w:ascii="Times New Roman" w:hAnsi="Times New Roman"/>
          <w:b/>
          <w:sz w:val="24"/>
          <w:szCs w:val="24"/>
        </w:rPr>
        <w:t>Section 6 – Compliance</w:t>
      </w:r>
    </w:p>
    <w:p w14:paraId="1062B328" w14:textId="296A2205" w:rsidR="004D6F0B" w:rsidRPr="002F164E" w:rsidRDefault="00D562FC" w:rsidP="004D6F0B">
      <w:pPr>
        <w:rPr>
          <w:rFonts w:ascii="Times New Roman" w:hAnsi="Times New Roman"/>
          <w:sz w:val="24"/>
          <w:szCs w:val="24"/>
        </w:rPr>
      </w:pPr>
      <w:r w:rsidRPr="002F164E">
        <w:rPr>
          <w:rFonts w:ascii="Times New Roman" w:hAnsi="Times New Roman"/>
          <w:sz w:val="24"/>
          <w:szCs w:val="24"/>
        </w:rPr>
        <w:t xml:space="preserve">This section </w:t>
      </w:r>
      <w:r w:rsidR="006E1F8D" w:rsidRPr="002F164E">
        <w:rPr>
          <w:rFonts w:ascii="Times New Roman" w:hAnsi="Times New Roman"/>
          <w:sz w:val="24"/>
          <w:szCs w:val="24"/>
        </w:rPr>
        <w:t>require</w:t>
      </w:r>
      <w:r w:rsidRPr="002F164E">
        <w:rPr>
          <w:rFonts w:ascii="Times New Roman" w:hAnsi="Times New Roman"/>
          <w:sz w:val="24"/>
          <w:szCs w:val="24"/>
        </w:rPr>
        <w:t>s</w:t>
      </w:r>
      <w:r w:rsidR="006E1F8D" w:rsidRPr="002F164E">
        <w:rPr>
          <w:rFonts w:ascii="Times New Roman" w:hAnsi="Times New Roman"/>
          <w:sz w:val="24"/>
          <w:szCs w:val="24"/>
        </w:rPr>
        <w:t xml:space="preserve"> Telstra to comply with its obligations under </w:t>
      </w:r>
      <w:r w:rsidR="00EF4889">
        <w:rPr>
          <w:rFonts w:ascii="Times New Roman" w:hAnsi="Times New Roman"/>
          <w:sz w:val="24"/>
          <w:szCs w:val="24"/>
        </w:rPr>
        <w:t xml:space="preserve">section </w:t>
      </w:r>
      <w:r w:rsidR="006E1F8D" w:rsidRPr="002F164E">
        <w:rPr>
          <w:rFonts w:ascii="Times New Roman" w:hAnsi="Times New Roman"/>
          <w:sz w:val="24"/>
          <w:szCs w:val="24"/>
        </w:rPr>
        <w:t>7 to 10 of the De</w:t>
      </w:r>
      <w:r w:rsidR="00EF4889">
        <w:rPr>
          <w:rFonts w:ascii="Times New Roman" w:hAnsi="Times New Roman"/>
          <w:sz w:val="24"/>
          <w:szCs w:val="24"/>
        </w:rPr>
        <w:t xml:space="preserve">claration </w:t>
      </w:r>
      <w:r w:rsidR="006E1F8D" w:rsidRPr="002F164E">
        <w:rPr>
          <w:rFonts w:ascii="Times New Roman" w:hAnsi="Times New Roman"/>
          <w:sz w:val="24"/>
          <w:szCs w:val="24"/>
        </w:rPr>
        <w:t xml:space="preserve">to the extent made possible by the information provided by carriage service providers </w:t>
      </w:r>
      <w:r w:rsidR="00D871FE">
        <w:rPr>
          <w:rFonts w:ascii="Times New Roman" w:hAnsi="Times New Roman"/>
          <w:sz w:val="24"/>
          <w:szCs w:val="24"/>
        </w:rPr>
        <w:t xml:space="preserve">(CSPs) </w:t>
      </w:r>
      <w:r w:rsidR="006E1F8D" w:rsidRPr="002F164E">
        <w:rPr>
          <w:rFonts w:ascii="Times New Roman" w:hAnsi="Times New Roman"/>
          <w:sz w:val="24"/>
          <w:szCs w:val="24"/>
        </w:rPr>
        <w:t xml:space="preserve">under clause 10 of Schedule 2 to the Act. Clause 10 of Schedule 2 </w:t>
      </w:r>
      <w:r w:rsidR="00EF4889">
        <w:rPr>
          <w:rFonts w:ascii="Times New Roman" w:hAnsi="Times New Roman"/>
          <w:sz w:val="24"/>
          <w:szCs w:val="24"/>
        </w:rPr>
        <w:t xml:space="preserve">to the Act </w:t>
      </w:r>
      <w:r w:rsidR="006E1F8D" w:rsidRPr="002F164E">
        <w:rPr>
          <w:rFonts w:ascii="Times New Roman" w:hAnsi="Times New Roman"/>
          <w:sz w:val="24"/>
          <w:szCs w:val="24"/>
        </w:rPr>
        <w:t xml:space="preserve">provides that if a </w:t>
      </w:r>
      <w:r w:rsidR="007A2E49">
        <w:rPr>
          <w:rFonts w:ascii="Times New Roman" w:hAnsi="Times New Roman"/>
          <w:sz w:val="24"/>
          <w:szCs w:val="24"/>
        </w:rPr>
        <w:t>Carriage Service Provider (</w:t>
      </w:r>
      <w:r w:rsidR="00D871FE">
        <w:rPr>
          <w:rFonts w:ascii="Times New Roman" w:hAnsi="Times New Roman"/>
          <w:sz w:val="24"/>
          <w:szCs w:val="24"/>
        </w:rPr>
        <w:t>CSP</w:t>
      </w:r>
      <w:r w:rsidR="007A2E49">
        <w:rPr>
          <w:rFonts w:ascii="Times New Roman" w:hAnsi="Times New Roman"/>
          <w:sz w:val="24"/>
          <w:szCs w:val="24"/>
        </w:rPr>
        <w:t>)</w:t>
      </w:r>
      <w:r w:rsidR="006E1F8D" w:rsidRPr="002F164E">
        <w:rPr>
          <w:rFonts w:ascii="Times New Roman" w:hAnsi="Times New Roman"/>
          <w:sz w:val="24"/>
          <w:szCs w:val="24"/>
        </w:rPr>
        <w:t xml:space="preserve"> supplies a carriage service to an end-user and the end-user has a public number (i</w:t>
      </w:r>
      <w:r w:rsidR="007A2E49">
        <w:rPr>
          <w:rFonts w:ascii="Times New Roman" w:hAnsi="Times New Roman"/>
          <w:sz w:val="24"/>
          <w:szCs w:val="24"/>
        </w:rPr>
        <w:t>.</w:t>
      </w:r>
      <w:r w:rsidR="006E1F8D" w:rsidRPr="002F164E">
        <w:rPr>
          <w:rFonts w:ascii="Times New Roman" w:hAnsi="Times New Roman"/>
          <w:sz w:val="24"/>
          <w:szCs w:val="24"/>
        </w:rPr>
        <w:t>e</w:t>
      </w:r>
      <w:r w:rsidR="007A2E49">
        <w:rPr>
          <w:rFonts w:ascii="Times New Roman" w:hAnsi="Times New Roman"/>
          <w:sz w:val="24"/>
          <w:szCs w:val="24"/>
        </w:rPr>
        <w:t>.</w:t>
      </w:r>
      <w:r w:rsidR="006E1F8D" w:rsidRPr="002F164E">
        <w:rPr>
          <w:rFonts w:ascii="Times New Roman" w:hAnsi="Times New Roman"/>
          <w:sz w:val="24"/>
          <w:szCs w:val="24"/>
        </w:rPr>
        <w:t xml:space="preserve"> a number specified in the numbering plan as being for use in connection with the supply of carriage services to the public in Australia) </w:t>
      </w:r>
      <w:r w:rsidR="0048696D">
        <w:rPr>
          <w:rFonts w:ascii="Times New Roman" w:hAnsi="Times New Roman"/>
          <w:sz w:val="24"/>
          <w:szCs w:val="24"/>
        </w:rPr>
        <w:t xml:space="preserve">then </w:t>
      </w:r>
      <w:r w:rsidR="006E1F8D" w:rsidRPr="002F164E">
        <w:rPr>
          <w:rFonts w:ascii="Times New Roman" w:hAnsi="Times New Roman"/>
          <w:sz w:val="24"/>
          <w:szCs w:val="24"/>
        </w:rPr>
        <w:t xml:space="preserve">the </w:t>
      </w:r>
      <w:r w:rsidR="000F16D7">
        <w:rPr>
          <w:rFonts w:ascii="Times New Roman" w:hAnsi="Times New Roman"/>
          <w:sz w:val="24"/>
          <w:szCs w:val="24"/>
        </w:rPr>
        <w:t>CSP</w:t>
      </w:r>
      <w:r w:rsidR="006E1F8D" w:rsidRPr="002F164E">
        <w:rPr>
          <w:rFonts w:ascii="Times New Roman" w:hAnsi="Times New Roman"/>
          <w:sz w:val="24"/>
          <w:szCs w:val="24"/>
        </w:rPr>
        <w:t xml:space="preserve"> must give Telstra such information as Telstra reasonably requires in connection with Telstra’s fulfilment of its obligation to provide and maintain an integrated public number database.</w:t>
      </w:r>
    </w:p>
    <w:p w14:paraId="471D9736" w14:textId="5543EC8B" w:rsidR="00CC424C" w:rsidRPr="002F164E" w:rsidRDefault="002F164E" w:rsidP="0033755F">
      <w:pPr>
        <w:rPr>
          <w:rFonts w:ascii="Times New Roman" w:hAnsi="Times New Roman"/>
          <w:b/>
          <w:sz w:val="24"/>
          <w:szCs w:val="24"/>
        </w:rPr>
      </w:pPr>
      <w:r>
        <w:rPr>
          <w:rFonts w:ascii="Times New Roman" w:hAnsi="Times New Roman"/>
          <w:b/>
          <w:sz w:val="24"/>
          <w:szCs w:val="24"/>
        </w:rPr>
        <w:br w:type="column"/>
      </w:r>
      <w:r w:rsidR="008E5BFC" w:rsidRPr="002F164E">
        <w:rPr>
          <w:rFonts w:ascii="Times New Roman" w:hAnsi="Times New Roman"/>
          <w:b/>
          <w:sz w:val="24"/>
          <w:szCs w:val="24"/>
        </w:rPr>
        <w:t>Section 7</w:t>
      </w:r>
      <w:r w:rsidR="00F81E47" w:rsidRPr="002F164E">
        <w:rPr>
          <w:rFonts w:ascii="Times New Roman" w:hAnsi="Times New Roman"/>
          <w:b/>
          <w:sz w:val="24"/>
          <w:szCs w:val="24"/>
        </w:rPr>
        <w:t xml:space="preserve"> –</w:t>
      </w:r>
      <w:r w:rsidR="008E5BFC" w:rsidRPr="002F164E">
        <w:rPr>
          <w:rFonts w:ascii="Times New Roman" w:hAnsi="Times New Roman"/>
          <w:b/>
          <w:sz w:val="24"/>
          <w:szCs w:val="24"/>
        </w:rPr>
        <w:t xml:space="preserve"> Operator Services</w:t>
      </w:r>
    </w:p>
    <w:p w14:paraId="255A408D" w14:textId="18284F5D" w:rsidR="008E5BFC" w:rsidRPr="002F164E" w:rsidRDefault="008E5BFC" w:rsidP="0033755F">
      <w:pPr>
        <w:rPr>
          <w:rFonts w:ascii="Times New Roman" w:hAnsi="Times New Roman"/>
          <w:sz w:val="24"/>
          <w:szCs w:val="24"/>
        </w:rPr>
      </w:pPr>
      <w:r w:rsidRPr="002F164E">
        <w:rPr>
          <w:rFonts w:ascii="Times New Roman" w:hAnsi="Times New Roman"/>
          <w:sz w:val="24"/>
          <w:szCs w:val="24"/>
        </w:rPr>
        <w:t xml:space="preserve">This section requires Telstra to make operator services available to end-users of its standard telephone services. Part 2 of Schedule 2 to the Act, which establishes standard service provider rules, obliges all </w:t>
      </w:r>
      <w:r w:rsidR="00D871FE">
        <w:rPr>
          <w:rFonts w:ascii="Times New Roman" w:hAnsi="Times New Roman"/>
          <w:sz w:val="24"/>
          <w:szCs w:val="24"/>
        </w:rPr>
        <w:t>CSP</w:t>
      </w:r>
      <w:r w:rsidRPr="002F164E">
        <w:rPr>
          <w:rFonts w:ascii="Times New Roman" w:hAnsi="Times New Roman"/>
          <w:sz w:val="24"/>
          <w:szCs w:val="24"/>
        </w:rPr>
        <w:t>s supplying a standard telephone service to make operator services available to end-users of that standard telephone service. The provider may do this by providing the service itself or arranging with another person for the provision of operator services (</w:t>
      </w:r>
      <w:r w:rsidR="00EF4889">
        <w:rPr>
          <w:rFonts w:ascii="Times New Roman" w:hAnsi="Times New Roman"/>
          <w:sz w:val="24"/>
          <w:szCs w:val="24"/>
        </w:rPr>
        <w:t xml:space="preserve">refer </w:t>
      </w:r>
      <w:r w:rsidRPr="002F164E">
        <w:rPr>
          <w:rFonts w:ascii="Times New Roman" w:hAnsi="Times New Roman"/>
          <w:sz w:val="24"/>
          <w:szCs w:val="24"/>
        </w:rPr>
        <w:t>clause 4</w:t>
      </w:r>
      <w:r w:rsidR="00EF4889">
        <w:rPr>
          <w:rFonts w:ascii="Times New Roman" w:hAnsi="Times New Roman"/>
          <w:sz w:val="24"/>
          <w:szCs w:val="24"/>
        </w:rPr>
        <w:t xml:space="preserve">, </w:t>
      </w:r>
      <w:r w:rsidRPr="002F164E">
        <w:rPr>
          <w:rFonts w:ascii="Times New Roman" w:hAnsi="Times New Roman"/>
          <w:sz w:val="24"/>
          <w:szCs w:val="24"/>
        </w:rPr>
        <w:t>Schedule 2 to the Act).</w:t>
      </w:r>
    </w:p>
    <w:p w14:paraId="60B2E869" w14:textId="4E59AAAF" w:rsidR="00EF4889" w:rsidRDefault="008E5BFC" w:rsidP="0033755F">
      <w:pPr>
        <w:rPr>
          <w:rFonts w:ascii="Times New Roman" w:hAnsi="Times New Roman"/>
          <w:sz w:val="24"/>
          <w:szCs w:val="24"/>
        </w:rPr>
      </w:pPr>
      <w:r w:rsidRPr="002F164E">
        <w:rPr>
          <w:rFonts w:ascii="Times New Roman" w:hAnsi="Times New Roman"/>
          <w:sz w:val="24"/>
          <w:szCs w:val="24"/>
        </w:rPr>
        <w:t xml:space="preserve">This licence condition will ensure that Telstra provides an operator service itself, enabling other </w:t>
      </w:r>
      <w:r w:rsidR="000F16D7">
        <w:rPr>
          <w:rFonts w:ascii="Times New Roman" w:hAnsi="Times New Roman"/>
          <w:sz w:val="24"/>
          <w:szCs w:val="24"/>
        </w:rPr>
        <w:t>CSP</w:t>
      </w:r>
      <w:r w:rsidRPr="002F164E">
        <w:rPr>
          <w:rFonts w:ascii="Times New Roman" w:hAnsi="Times New Roman"/>
          <w:sz w:val="24"/>
          <w:szCs w:val="24"/>
        </w:rPr>
        <w:t>s to seek access to that service in order to fulfil their obligations under the service provider rules (</w:t>
      </w:r>
      <w:r w:rsidR="00EF4889">
        <w:rPr>
          <w:rFonts w:ascii="Times New Roman" w:hAnsi="Times New Roman"/>
          <w:sz w:val="24"/>
          <w:szCs w:val="24"/>
        </w:rPr>
        <w:t xml:space="preserve">refer </w:t>
      </w:r>
      <w:r w:rsidRPr="002F164E">
        <w:rPr>
          <w:rFonts w:ascii="Times New Roman" w:hAnsi="Times New Roman"/>
          <w:sz w:val="24"/>
          <w:szCs w:val="24"/>
        </w:rPr>
        <w:t>clause 5, Schedule 2 to the Act).</w:t>
      </w:r>
    </w:p>
    <w:p w14:paraId="5C399ACC" w14:textId="24B3B053" w:rsidR="008E5BFC" w:rsidRPr="002F164E" w:rsidRDefault="008E5BFC" w:rsidP="0033755F">
      <w:pPr>
        <w:rPr>
          <w:rFonts w:ascii="Times New Roman" w:hAnsi="Times New Roman"/>
          <w:sz w:val="24"/>
          <w:szCs w:val="24"/>
        </w:rPr>
      </w:pPr>
      <w:r w:rsidRPr="002F164E">
        <w:rPr>
          <w:rFonts w:ascii="Times New Roman" w:hAnsi="Times New Roman"/>
          <w:sz w:val="24"/>
          <w:szCs w:val="24"/>
        </w:rPr>
        <w:t>Section 67(2) of the Act provides that a condition of a carrier licence may remove or restrict a right or privilege that the carrier would otherwise have under a provision of the Act</w:t>
      </w:r>
      <w:r w:rsidR="00EF4889">
        <w:rPr>
          <w:rFonts w:ascii="Times New Roman" w:hAnsi="Times New Roman"/>
          <w:sz w:val="24"/>
          <w:szCs w:val="24"/>
        </w:rPr>
        <w:t xml:space="preserve"> (whether or not in the carrier’s capacity as a carrier)</w:t>
      </w:r>
      <w:r w:rsidRPr="002F164E">
        <w:rPr>
          <w:rFonts w:ascii="Times New Roman" w:hAnsi="Times New Roman"/>
          <w:sz w:val="24"/>
          <w:szCs w:val="24"/>
        </w:rPr>
        <w:t>.</w:t>
      </w:r>
    </w:p>
    <w:p w14:paraId="12F578F0" w14:textId="05B6D979" w:rsidR="00F81E47" w:rsidRPr="002F164E" w:rsidRDefault="00D04D25" w:rsidP="00F81E47">
      <w:pPr>
        <w:rPr>
          <w:rFonts w:ascii="Times New Roman" w:hAnsi="Times New Roman"/>
          <w:b/>
          <w:sz w:val="24"/>
          <w:szCs w:val="24"/>
        </w:rPr>
      </w:pPr>
      <w:r w:rsidRPr="002F164E">
        <w:rPr>
          <w:rFonts w:ascii="Times New Roman" w:hAnsi="Times New Roman"/>
          <w:b/>
          <w:sz w:val="24"/>
          <w:szCs w:val="24"/>
        </w:rPr>
        <w:t>Section 8</w:t>
      </w:r>
      <w:r w:rsidR="00F81E47" w:rsidRPr="002F164E">
        <w:rPr>
          <w:rFonts w:ascii="Times New Roman" w:hAnsi="Times New Roman"/>
          <w:b/>
          <w:sz w:val="24"/>
          <w:szCs w:val="24"/>
        </w:rPr>
        <w:t xml:space="preserve"> – Directory Assistance Services</w:t>
      </w:r>
    </w:p>
    <w:p w14:paraId="710D393C" w14:textId="60F5DDA7" w:rsidR="00F81E47" w:rsidRPr="002F164E" w:rsidRDefault="00F81E47" w:rsidP="0033755F">
      <w:pPr>
        <w:rPr>
          <w:rFonts w:ascii="Times New Roman" w:hAnsi="Times New Roman"/>
          <w:sz w:val="24"/>
          <w:szCs w:val="24"/>
        </w:rPr>
      </w:pPr>
      <w:r w:rsidRPr="002F164E">
        <w:rPr>
          <w:rFonts w:ascii="Times New Roman" w:hAnsi="Times New Roman"/>
          <w:sz w:val="24"/>
          <w:szCs w:val="24"/>
        </w:rPr>
        <w:t>This section requires Telstra to make directory assistance services available to end-users of its standard telephone services. Part 3 of Schedule 2 to the Act, which establishes standard service provider rules</w:t>
      </w:r>
      <w:r w:rsidR="00D871FE">
        <w:rPr>
          <w:rFonts w:ascii="Times New Roman" w:hAnsi="Times New Roman"/>
          <w:sz w:val="24"/>
          <w:szCs w:val="24"/>
        </w:rPr>
        <w:t>,</w:t>
      </w:r>
      <w:r w:rsidRPr="002F164E">
        <w:rPr>
          <w:rFonts w:ascii="Times New Roman" w:hAnsi="Times New Roman"/>
          <w:sz w:val="24"/>
          <w:szCs w:val="24"/>
        </w:rPr>
        <w:t xml:space="preserve"> obliges all </w:t>
      </w:r>
      <w:r w:rsidR="00D871FE">
        <w:rPr>
          <w:rFonts w:ascii="Times New Roman" w:hAnsi="Times New Roman"/>
          <w:sz w:val="24"/>
          <w:szCs w:val="24"/>
        </w:rPr>
        <w:t>CSP</w:t>
      </w:r>
      <w:r w:rsidRPr="002F164E">
        <w:rPr>
          <w:rFonts w:ascii="Times New Roman" w:hAnsi="Times New Roman"/>
          <w:sz w:val="24"/>
          <w:szCs w:val="24"/>
        </w:rPr>
        <w:t>s supplying a standard telephone service to make directory assistance serices available to end-users of that standard telephone service. The provider may do this by providing the service itself or arranging with another person for the provision of the directory assistance services (</w:t>
      </w:r>
      <w:r w:rsidR="00EF4889">
        <w:rPr>
          <w:rFonts w:ascii="Times New Roman" w:hAnsi="Times New Roman"/>
          <w:sz w:val="24"/>
          <w:szCs w:val="24"/>
        </w:rPr>
        <w:t xml:space="preserve">refer </w:t>
      </w:r>
      <w:r w:rsidRPr="002F164E">
        <w:rPr>
          <w:rFonts w:ascii="Times New Roman" w:hAnsi="Times New Roman"/>
          <w:sz w:val="24"/>
          <w:szCs w:val="24"/>
        </w:rPr>
        <w:t>clause 7, Schedule 2 to the Act).</w:t>
      </w:r>
    </w:p>
    <w:p w14:paraId="52F7BEB5" w14:textId="534546F4" w:rsidR="00EF4889" w:rsidRDefault="00F81E47" w:rsidP="0033755F">
      <w:pPr>
        <w:rPr>
          <w:rFonts w:ascii="Times New Roman" w:hAnsi="Times New Roman"/>
          <w:sz w:val="24"/>
          <w:szCs w:val="24"/>
        </w:rPr>
      </w:pPr>
      <w:r w:rsidRPr="002F164E">
        <w:rPr>
          <w:rFonts w:ascii="Times New Roman" w:hAnsi="Times New Roman"/>
          <w:sz w:val="24"/>
          <w:szCs w:val="24"/>
        </w:rPr>
        <w:t xml:space="preserve">This licence condition ensures that Telstra provides a directory assistance service enabling other </w:t>
      </w:r>
      <w:r w:rsidR="00D871FE">
        <w:rPr>
          <w:rFonts w:ascii="Times New Roman" w:hAnsi="Times New Roman"/>
          <w:sz w:val="24"/>
          <w:szCs w:val="24"/>
        </w:rPr>
        <w:t>CSP</w:t>
      </w:r>
      <w:r w:rsidRPr="002F164E">
        <w:rPr>
          <w:rFonts w:ascii="Times New Roman" w:hAnsi="Times New Roman"/>
          <w:sz w:val="24"/>
          <w:szCs w:val="24"/>
        </w:rPr>
        <w:t>s to seek access to that service in order to fulfil their obligations under the service provider rules (</w:t>
      </w:r>
      <w:r w:rsidR="00C03B17">
        <w:rPr>
          <w:rFonts w:ascii="Times New Roman" w:hAnsi="Times New Roman"/>
          <w:sz w:val="24"/>
          <w:szCs w:val="24"/>
        </w:rPr>
        <w:t xml:space="preserve">refer </w:t>
      </w:r>
      <w:r w:rsidRPr="002F164E">
        <w:rPr>
          <w:rFonts w:ascii="Times New Roman" w:hAnsi="Times New Roman"/>
          <w:sz w:val="24"/>
          <w:szCs w:val="24"/>
        </w:rPr>
        <w:t xml:space="preserve">clause 8, Schedule 2 to the Act). </w:t>
      </w:r>
    </w:p>
    <w:p w14:paraId="6F8F3999" w14:textId="7EAACDA2" w:rsidR="00F81E47" w:rsidRPr="002F164E" w:rsidRDefault="00EF4889" w:rsidP="0033755F">
      <w:pPr>
        <w:rPr>
          <w:rFonts w:ascii="Times New Roman" w:hAnsi="Times New Roman"/>
          <w:sz w:val="24"/>
          <w:szCs w:val="24"/>
        </w:rPr>
      </w:pPr>
      <w:r>
        <w:rPr>
          <w:rFonts w:ascii="Times New Roman" w:hAnsi="Times New Roman"/>
          <w:sz w:val="24"/>
          <w:szCs w:val="24"/>
        </w:rPr>
        <w:t xml:space="preserve">As noted </w:t>
      </w:r>
      <w:r w:rsidR="00734A11">
        <w:rPr>
          <w:rFonts w:ascii="Times New Roman" w:hAnsi="Times New Roman"/>
          <w:sz w:val="24"/>
          <w:szCs w:val="24"/>
        </w:rPr>
        <w:t>ab</w:t>
      </w:r>
      <w:r>
        <w:rPr>
          <w:rFonts w:ascii="Times New Roman" w:hAnsi="Times New Roman"/>
          <w:sz w:val="24"/>
          <w:szCs w:val="24"/>
        </w:rPr>
        <w:t xml:space="preserve">ove, </w:t>
      </w:r>
      <w:r w:rsidR="004447AD">
        <w:rPr>
          <w:rFonts w:ascii="Times New Roman" w:hAnsi="Times New Roman"/>
          <w:sz w:val="24"/>
          <w:szCs w:val="24"/>
        </w:rPr>
        <w:t>sub</w:t>
      </w:r>
      <w:r>
        <w:rPr>
          <w:rFonts w:ascii="Times New Roman" w:hAnsi="Times New Roman"/>
          <w:sz w:val="24"/>
          <w:szCs w:val="24"/>
        </w:rPr>
        <w:t>s</w:t>
      </w:r>
      <w:r w:rsidR="00F81E47" w:rsidRPr="002F164E">
        <w:rPr>
          <w:rFonts w:ascii="Times New Roman" w:hAnsi="Times New Roman"/>
          <w:sz w:val="24"/>
          <w:szCs w:val="24"/>
        </w:rPr>
        <w:t>ection 67(2) of the Act provides that a condition of a carrier licence may remove or restrict a right or privilege that the carrier would otherwise have under a provision of the Act</w:t>
      </w:r>
      <w:r>
        <w:rPr>
          <w:rFonts w:ascii="Times New Roman" w:hAnsi="Times New Roman"/>
          <w:sz w:val="24"/>
          <w:szCs w:val="24"/>
        </w:rPr>
        <w:t xml:space="preserve"> (whether or not in the carrier’s capacity as a carrier)</w:t>
      </w:r>
      <w:r w:rsidR="00F81E47" w:rsidRPr="002F164E">
        <w:rPr>
          <w:rFonts w:ascii="Times New Roman" w:hAnsi="Times New Roman"/>
          <w:sz w:val="24"/>
          <w:szCs w:val="24"/>
        </w:rPr>
        <w:t>.</w:t>
      </w:r>
    </w:p>
    <w:p w14:paraId="52C1B931" w14:textId="72865C2B" w:rsidR="00D04D25" w:rsidRPr="002F164E" w:rsidRDefault="00D04D25" w:rsidP="00D04D25">
      <w:pPr>
        <w:rPr>
          <w:rFonts w:ascii="Times New Roman" w:hAnsi="Times New Roman"/>
          <w:b/>
          <w:sz w:val="24"/>
          <w:szCs w:val="24"/>
        </w:rPr>
      </w:pPr>
      <w:r w:rsidRPr="002F164E">
        <w:rPr>
          <w:rFonts w:ascii="Times New Roman" w:hAnsi="Times New Roman"/>
          <w:b/>
          <w:sz w:val="24"/>
          <w:szCs w:val="24"/>
        </w:rPr>
        <w:t xml:space="preserve">Section 9 – </w:t>
      </w:r>
      <w:r w:rsidR="006106CB" w:rsidRPr="002F164E">
        <w:rPr>
          <w:rFonts w:ascii="Times New Roman" w:hAnsi="Times New Roman"/>
          <w:b/>
          <w:sz w:val="24"/>
          <w:szCs w:val="24"/>
        </w:rPr>
        <w:t>Alphabetical public number directory</w:t>
      </w:r>
    </w:p>
    <w:p w14:paraId="0333C1E8" w14:textId="10C69226" w:rsidR="00D04D25" w:rsidRPr="002F164E" w:rsidRDefault="00C84136" w:rsidP="0033755F">
      <w:pPr>
        <w:rPr>
          <w:rFonts w:ascii="Times New Roman" w:hAnsi="Times New Roman"/>
          <w:sz w:val="24"/>
          <w:szCs w:val="24"/>
        </w:rPr>
      </w:pPr>
      <w:r w:rsidRPr="002F164E">
        <w:rPr>
          <w:rFonts w:ascii="Times New Roman" w:hAnsi="Times New Roman"/>
          <w:sz w:val="24"/>
          <w:szCs w:val="24"/>
        </w:rPr>
        <w:t>Subsection 9(1)</w:t>
      </w:r>
      <w:r w:rsidR="00EF4889">
        <w:rPr>
          <w:rFonts w:ascii="Times New Roman" w:hAnsi="Times New Roman"/>
          <w:sz w:val="24"/>
          <w:szCs w:val="24"/>
        </w:rPr>
        <w:t xml:space="preserve"> </w:t>
      </w:r>
      <w:r w:rsidR="00246B3E" w:rsidRPr="002F164E">
        <w:rPr>
          <w:rFonts w:ascii="Times New Roman" w:hAnsi="Times New Roman"/>
          <w:sz w:val="24"/>
          <w:szCs w:val="24"/>
        </w:rPr>
        <w:t>requires Telstra to produce, publish and distribute an alphabetical telephone or public number directory. Telstra will be required to produce a directo</w:t>
      </w:r>
      <w:r w:rsidR="00D9162D" w:rsidRPr="002F164E">
        <w:rPr>
          <w:rFonts w:ascii="Times New Roman" w:hAnsi="Times New Roman"/>
          <w:sz w:val="24"/>
          <w:szCs w:val="24"/>
        </w:rPr>
        <w:t>ry:</w:t>
      </w:r>
    </w:p>
    <w:p w14:paraId="01492BDA" w14:textId="67E1B06B" w:rsidR="00D9162D" w:rsidRPr="002F164E" w:rsidRDefault="00D9162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annually;</w:t>
      </w:r>
    </w:p>
    <w:p w14:paraId="2025DED1" w14:textId="42D5E26B" w:rsidR="00D9162D" w:rsidRPr="002F164E" w:rsidRDefault="00D9162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on substantially the same basis as it produced and distributed a public number directory in 1997;</w:t>
      </w:r>
    </w:p>
    <w:p w14:paraId="5839F76C" w14:textId="5CECCA17" w:rsidR="00D9162D" w:rsidRPr="002F164E" w:rsidRDefault="00D9162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in volumes by geographic area; and</w:t>
      </w:r>
    </w:p>
    <w:p w14:paraId="225C0A33" w14:textId="23BFDF13" w:rsidR="00D9162D" w:rsidRPr="002F164E" w:rsidRDefault="00D9162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 xml:space="preserve">that includes all customers of </w:t>
      </w:r>
      <w:r w:rsidR="00D871FE">
        <w:rPr>
          <w:rFonts w:ascii="Times New Roman" w:hAnsi="Times New Roman"/>
          <w:sz w:val="24"/>
          <w:szCs w:val="24"/>
        </w:rPr>
        <w:t>CSP</w:t>
      </w:r>
      <w:r w:rsidRPr="002F164E">
        <w:rPr>
          <w:rFonts w:ascii="Times New Roman" w:hAnsi="Times New Roman"/>
          <w:sz w:val="24"/>
          <w:szCs w:val="24"/>
        </w:rPr>
        <w:t>s</w:t>
      </w:r>
      <w:r w:rsidR="00D871FE">
        <w:rPr>
          <w:rFonts w:ascii="Times New Roman" w:hAnsi="Times New Roman"/>
          <w:sz w:val="24"/>
          <w:szCs w:val="24"/>
        </w:rPr>
        <w:t xml:space="preserve"> supplied with a standard telephone service</w:t>
      </w:r>
      <w:r w:rsidRPr="002F164E">
        <w:rPr>
          <w:rFonts w:ascii="Times New Roman" w:hAnsi="Times New Roman"/>
          <w:sz w:val="24"/>
          <w:szCs w:val="24"/>
        </w:rPr>
        <w:t>, subject to the requirement under subsection 9(7) not to incl</w:t>
      </w:r>
      <w:r w:rsidR="00C84136" w:rsidRPr="002F164E">
        <w:rPr>
          <w:rFonts w:ascii="Times New Roman" w:hAnsi="Times New Roman"/>
          <w:sz w:val="24"/>
          <w:szCs w:val="24"/>
        </w:rPr>
        <w:t>ude details of unlisted numbers.</w:t>
      </w:r>
    </w:p>
    <w:p w14:paraId="1BB59CA9" w14:textId="12DDACFA" w:rsidR="00D9162D" w:rsidRPr="002F164E" w:rsidRDefault="0048696D" w:rsidP="00D9162D">
      <w:pPr>
        <w:rPr>
          <w:rFonts w:ascii="Times New Roman" w:hAnsi="Times New Roman"/>
          <w:sz w:val="24"/>
          <w:szCs w:val="24"/>
        </w:rPr>
      </w:pPr>
      <w:r>
        <w:rPr>
          <w:rFonts w:ascii="Times New Roman" w:hAnsi="Times New Roman"/>
          <w:sz w:val="24"/>
          <w:szCs w:val="24"/>
        </w:rPr>
        <w:t xml:space="preserve">Subsection 9(2) </w:t>
      </w:r>
      <w:r w:rsidR="00D9162D" w:rsidRPr="002F164E">
        <w:rPr>
          <w:rFonts w:ascii="Times New Roman" w:hAnsi="Times New Roman"/>
          <w:sz w:val="24"/>
          <w:szCs w:val="24"/>
        </w:rPr>
        <w:t>require</w:t>
      </w:r>
      <w:r>
        <w:rPr>
          <w:rFonts w:ascii="Times New Roman" w:hAnsi="Times New Roman"/>
          <w:sz w:val="24"/>
          <w:szCs w:val="24"/>
        </w:rPr>
        <w:t>s</w:t>
      </w:r>
      <w:r w:rsidR="00D9162D" w:rsidRPr="002F164E">
        <w:rPr>
          <w:rFonts w:ascii="Times New Roman" w:hAnsi="Times New Roman"/>
          <w:sz w:val="24"/>
          <w:szCs w:val="24"/>
        </w:rPr>
        <w:t xml:space="preserve"> </w:t>
      </w:r>
      <w:r>
        <w:rPr>
          <w:rFonts w:ascii="Times New Roman" w:hAnsi="Times New Roman"/>
          <w:sz w:val="24"/>
          <w:szCs w:val="24"/>
        </w:rPr>
        <w:t xml:space="preserve">Telstra </w:t>
      </w:r>
      <w:r w:rsidR="00D9162D" w:rsidRPr="002F164E">
        <w:rPr>
          <w:rFonts w:ascii="Times New Roman" w:hAnsi="Times New Roman"/>
          <w:sz w:val="24"/>
          <w:szCs w:val="24"/>
        </w:rPr>
        <w:t xml:space="preserve">to arrange to publish and distribute the directory to its own customers and the customers of other </w:t>
      </w:r>
      <w:r w:rsidR="00D871FE">
        <w:rPr>
          <w:rFonts w:ascii="Times New Roman" w:hAnsi="Times New Roman"/>
          <w:sz w:val="24"/>
          <w:szCs w:val="24"/>
        </w:rPr>
        <w:t>CSP</w:t>
      </w:r>
      <w:r w:rsidR="00D9162D" w:rsidRPr="002F164E">
        <w:rPr>
          <w:rFonts w:ascii="Times New Roman" w:hAnsi="Times New Roman"/>
          <w:sz w:val="24"/>
          <w:szCs w:val="24"/>
        </w:rPr>
        <w:t xml:space="preserve">s (or the nominees </w:t>
      </w:r>
      <w:r w:rsidR="00C84136" w:rsidRPr="002F164E">
        <w:rPr>
          <w:rFonts w:ascii="Times New Roman" w:hAnsi="Times New Roman"/>
          <w:sz w:val="24"/>
          <w:szCs w:val="24"/>
        </w:rPr>
        <w:t>of the customers)</w:t>
      </w:r>
      <w:r w:rsidR="00D9162D" w:rsidRPr="002F164E">
        <w:rPr>
          <w:rFonts w:ascii="Times New Roman" w:hAnsi="Times New Roman"/>
          <w:sz w:val="24"/>
          <w:szCs w:val="24"/>
        </w:rPr>
        <w:t>.</w:t>
      </w:r>
    </w:p>
    <w:p w14:paraId="0816F442" w14:textId="326305D9" w:rsidR="00D9162D" w:rsidRPr="002F164E" w:rsidRDefault="00EF4889" w:rsidP="00D9162D">
      <w:pPr>
        <w:rPr>
          <w:rFonts w:ascii="Times New Roman" w:hAnsi="Times New Roman"/>
          <w:sz w:val="24"/>
          <w:szCs w:val="24"/>
        </w:rPr>
      </w:pPr>
      <w:r>
        <w:rPr>
          <w:rFonts w:ascii="Times New Roman" w:hAnsi="Times New Roman"/>
          <w:sz w:val="24"/>
          <w:szCs w:val="24"/>
        </w:rPr>
        <w:t>Under s</w:t>
      </w:r>
      <w:r w:rsidR="00C84136" w:rsidRPr="002F164E">
        <w:rPr>
          <w:rFonts w:ascii="Times New Roman" w:hAnsi="Times New Roman"/>
          <w:sz w:val="24"/>
          <w:szCs w:val="24"/>
        </w:rPr>
        <w:t>ubsections 9(3) and 9(4)</w:t>
      </w:r>
      <w:r>
        <w:rPr>
          <w:rFonts w:ascii="Times New Roman" w:hAnsi="Times New Roman"/>
          <w:sz w:val="24"/>
          <w:szCs w:val="24"/>
        </w:rPr>
        <w:t xml:space="preserve">, </w:t>
      </w:r>
      <w:r w:rsidR="00D9162D" w:rsidRPr="002F164E">
        <w:rPr>
          <w:rFonts w:ascii="Times New Roman" w:hAnsi="Times New Roman"/>
          <w:sz w:val="24"/>
          <w:szCs w:val="24"/>
        </w:rPr>
        <w:t>Telstra is required to include, free of charge to the customer, one standard entry for each customer. That standard entry must include a name and address and one public number. The public number may be either the custo</w:t>
      </w:r>
      <w:r w:rsidR="00515DB8">
        <w:rPr>
          <w:rFonts w:ascii="Times New Roman" w:hAnsi="Times New Roman"/>
          <w:sz w:val="24"/>
          <w:szCs w:val="24"/>
        </w:rPr>
        <w:t>mer’s geographic number (i.e.</w:t>
      </w:r>
      <w:r w:rsidR="00D9162D" w:rsidRPr="002F164E">
        <w:rPr>
          <w:rFonts w:ascii="Times New Roman" w:hAnsi="Times New Roman"/>
          <w:sz w:val="24"/>
          <w:szCs w:val="24"/>
        </w:rPr>
        <w:t xml:space="preserve"> a local telephone number for a service provided across a fixed public network) or, on </w:t>
      </w:r>
      <w:r w:rsidR="00515DB8">
        <w:rPr>
          <w:rFonts w:ascii="Times New Roman" w:hAnsi="Times New Roman"/>
          <w:sz w:val="24"/>
          <w:szCs w:val="24"/>
        </w:rPr>
        <w:t xml:space="preserve">the customer’s </w:t>
      </w:r>
      <w:r w:rsidR="00D9162D" w:rsidRPr="002F164E">
        <w:rPr>
          <w:rFonts w:ascii="Times New Roman" w:hAnsi="Times New Roman"/>
          <w:sz w:val="24"/>
          <w:szCs w:val="24"/>
        </w:rPr>
        <w:t>request, the customer’s mobile n</w:t>
      </w:r>
      <w:r w:rsidR="00C84136" w:rsidRPr="002F164E">
        <w:rPr>
          <w:rFonts w:ascii="Times New Roman" w:hAnsi="Times New Roman"/>
          <w:sz w:val="24"/>
          <w:szCs w:val="24"/>
        </w:rPr>
        <w:t>umber</w:t>
      </w:r>
      <w:r w:rsidR="00246B3E" w:rsidRPr="002F164E">
        <w:rPr>
          <w:rFonts w:ascii="Times New Roman" w:hAnsi="Times New Roman"/>
          <w:sz w:val="24"/>
          <w:szCs w:val="24"/>
        </w:rPr>
        <w:t xml:space="preserve">. </w:t>
      </w:r>
      <w:r>
        <w:rPr>
          <w:rFonts w:ascii="Times New Roman" w:hAnsi="Times New Roman"/>
          <w:sz w:val="24"/>
          <w:szCs w:val="24"/>
        </w:rPr>
        <w:t>A note accompanies subsection 9(4)</w:t>
      </w:r>
      <w:r w:rsidR="00412C06">
        <w:rPr>
          <w:rFonts w:ascii="Times New Roman" w:hAnsi="Times New Roman"/>
          <w:sz w:val="24"/>
          <w:szCs w:val="24"/>
        </w:rPr>
        <w:t xml:space="preserve"> to inform the reader that the Australian Communications and Media Authority (ACMA) may give written directions to Telstra under subsection 581(1) of the Act about complying with subsection 9(4)</w:t>
      </w:r>
      <w:r>
        <w:rPr>
          <w:rFonts w:ascii="Times New Roman" w:hAnsi="Times New Roman"/>
          <w:sz w:val="24"/>
          <w:szCs w:val="24"/>
        </w:rPr>
        <w:t>.</w:t>
      </w:r>
    </w:p>
    <w:p w14:paraId="0A0D895B" w14:textId="460B7323" w:rsidR="00156B85" w:rsidRPr="002F164E" w:rsidRDefault="00077C00" w:rsidP="00D9162D">
      <w:pPr>
        <w:rPr>
          <w:rFonts w:ascii="Times New Roman" w:hAnsi="Times New Roman"/>
          <w:sz w:val="24"/>
          <w:szCs w:val="24"/>
        </w:rPr>
      </w:pPr>
      <w:r>
        <w:rPr>
          <w:rFonts w:ascii="Times New Roman" w:hAnsi="Times New Roman"/>
          <w:sz w:val="24"/>
          <w:szCs w:val="24"/>
        </w:rPr>
        <w:t>S</w:t>
      </w:r>
      <w:r w:rsidRPr="002F164E">
        <w:rPr>
          <w:rFonts w:ascii="Times New Roman" w:hAnsi="Times New Roman"/>
          <w:sz w:val="24"/>
          <w:szCs w:val="24"/>
        </w:rPr>
        <w:t>ubsection 9(5)</w:t>
      </w:r>
      <w:r>
        <w:rPr>
          <w:rFonts w:ascii="Times New Roman" w:hAnsi="Times New Roman"/>
          <w:sz w:val="24"/>
          <w:szCs w:val="24"/>
        </w:rPr>
        <w:t xml:space="preserve"> requires </w:t>
      </w:r>
      <w:r w:rsidR="00246B3E" w:rsidRPr="002F164E">
        <w:rPr>
          <w:rFonts w:ascii="Times New Roman" w:hAnsi="Times New Roman"/>
          <w:sz w:val="24"/>
          <w:szCs w:val="24"/>
        </w:rPr>
        <w:t>Telstra to comply with any request by a customer to include in the directory a customer’</w:t>
      </w:r>
      <w:r w:rsidR="00C84136" w:rsidRPr="002F164E">
        <w:rPr>
          <w:rFonts w:ascii="Times New Roman" w:hAnsi="Times New Roman"/>
          <w:sz w:val="24"/>
          <w:szCs w:val="24"/>
        </w:rPr>
        <w:t>s facsimile number</w:t>
      </w:r>
      <w:r>
        <w:rPr>
          <w:rFonts w:ascii="Times New Roman" w:hAnsi="Times New Roman"/>
          <w:sz w:val="24"/>
          <w:szCs w:val="24"/>
        </w:rPr>
        <w:t>.</w:t>
      </w:r>
    </w:p>
    <w:p w14:paraId="0973DF51" w14:textId="107E6ED4" w:rsidR="00C84136" w:rsidRPr="002F164E" w:rsidRDefault="00077C00" w:rsidP="00D9162D">
      <w:pPr>
        <w:rPr>
          <w:rFonts w:ascii="Times New Roman" w:hAnsi="Times New Roman"/>
          <w:sz w:val="24"/>
          <w:szCs w:val="24"/>
        </w:rPr>
      </w:pPr>
      <w:r>
        <w:rPr>
          <w:rFonts w:ascii="Times New Roman" w:hAnsi="Times New Roman"/>
          <w:sz w:val="24"/>
          <w:szCs w:val="24"/>
        </w:rPr>
        <w:t xml:space="preserve">Subsection 9(6) requires </w:t>
      </w:r>
      <w:r w:rsidR="00C84136" w:rsidRPr="002F164E">
        <w:rPr>
          <w:rFonts w:ascii="Times New Roman" w:hAnsi="Times New Roman"/>
          <w:sz w:val="24"/>
          <w:szCs w:val="24"/>
        </w:rPr>
        <w:t xml:space="preserve">Telstra to provide entries in the directory, </w:t>
      </w:r>
      <w:r w:rsidR="003C1942">
        <w:rPr>
          <w:rFonts w:ascii="Times New Roman" w:hAnsi="Times New Roman"/>
          <w:sz w:val="24"/>
          <w:szCs w:val="24"/>
        </w:rPr>
        <w:t>and services for not including details of a customer in the directory, for a customer of another CSP</w:t>
      </w:r>
      <w:r w:rsidR="00C84136" w:rsidRPr="002F164E">
        <w:rPr>
          <w:rFonts w:ascii="Times New Roman" w:hAnsi="Times New Roman"/>
          <w:sz w:val="24"/>
          <w:szCs w:val="24"/>
        </w:rPr>
        <w:t xml:space="preserve"> on conditions that are no less favourable than for its own customers</w:t>
      </w:r>
      <w:r w:rsidR="00EF4889">
        <w:rPr>
          <w:rFonts w:ascii="Times New Roman" w:hAnsi="Times New Roman"/>
          <w:sz w:val="24"/>
          <w:szCs w:val="24"/>
        </w:rPr>
        <w:t>.</w:t>
      </w:r>
    </w:p>
    <w:p w14:paraId="6DCAEA55" w14:textId="74897F84" w:rsidR="00D41D91" w:rsidRPr="002F164E" w:rsidRDefault="00077C00" w:rsidP="00D9162D">
      <w:pPr>
        <w:rPr>
          <w:rFonts w:ascii="Times New Roman" w:hAnsi="Times New Roman"/>
          <w:sz w:val="24"/>
          <w:szCs w:val="24"/>
        </w:rPr>
      </w:pPr>
      <w:r>
        <w:rPr>
          <w:rFonts w:ascii="Times New Roman" w:hAnsi="Times New Roman"/>
          <w:sz w:val="24"/>
          <w:szCs w:val="24"/>
        </w:rPr>
        <w:t xml:space="preserve">Subsection 9(7) requires </w:t>
      </w:r>
      <w:r w:rsidR="00C84136" w:rsidRPr="002F164E">
        <w:rPr>
          <w:rFonts w:ascii="Times New Roman" w:hAnsi="Times New Roman"/>
          <w:sz w:val="24"/>
          <w:szCs w:val="24"/>
        </w:rPr>
        <w:t>Telstra to</w:t>
      </w:r>
      <w:r w:rsidR="00D41D91" w:rsidRPr="002F164E">
        <w:rPr>
          <w:rFonts w:ascii="Times New Roman" w:hAnsi="Times New Roman"/>
          <w:sz w:val="24"/>
          <w:szCs w:val="24"/>
        </w:rPr>
        <w:t xml:space="preserve"> ensure, to the greatest extent practicable, that the directory does not include details of a customer whose number is an unlisted number.</w:t>
      </w:r>
      <w:r w:rsidR="00C84136" w:rsidRPr="002F164E">
        <w:rPr>
          <w:rFonts w:ascii="Times New Roman" w:hAnsi="Times New Roman"/>
          <w:sz w:val="24"/>
          <w:szCs w:val="24"/>
        </w:rPr>
        <w:t xml:space="preserve"> An unlisted number is a number that has the meaning given in section 4</w:t>
      </w:r>
      <w:r w:rsidR="00EF4889">
        <w:rPr>
          <w:rFonts w:ascii="Times New Roman" w:hAnsi="Times New Roman"/>
          <w:sz w:val="24"/>
          <w:szCs w:val="24"/>
        </w:rPr>
        <w:t>.</w:t>
      </w:r>
    </w:p>
    <w:p w14:paraId="7DFA90F8" w14:textId="3DA79543" w:rsidR="00D41D91" w:rsidRPr="002F164E" w:rsidRDefault="003C1942" w:rsidP="00C84136">
      <w:pPr>
        <w:rPr>
          <w:rFonts w:ascii="Times New Roman" w:hAnsi="Times New Roman"/>
          <w:sz w:val="24"/>
          <w:szCs w:val="24"/>
        </w:rPr>
      </w:pPr>
      <w:r>
        <w:rPr>
          <w:rFonts w:ascii="Times New Roman" w:hAnsi="Times New Roman"/>
          <w:sz w:val="24"/>
          <w:szCs w:val="24"/>
        </w:rPr>
        <w:t>S</w:t>
      </w:r>
      <w:r w:rsidR="007F2B54">
        <w:rPr>
          <w:rFonts w:ascii="Times New Roman" w:hAnsi="Times New Roman"/>
          <w:sz w:val="24"/>
          <w:szCs w:val="24"/>
        </w:rPr>
        <w:t xml:space="preserve">ubsection 9(8) requires </w:t>
      </w:r>
      <w:r w:rsidR="00C84136" w:rsidRPr="002F164E">
        <w:rPr>
          <w:rFonts w:ascii="Times New Roman" w:hAnsi="Times New Roman"/>
          <w:sz w:val="24"/>
          <w:szCs w:val="24"/>
        </w:rPr>
        <w:t xml:space="preserve">Telstra to ensure </w:t>
      </w:r>
      <w:r>
        <w:rPr>
          <w:rFonts w:ascii="Times New Roman" w:hAnsi="Times New Roman"/>
          <w:sz w:val="24"/>
          <w:szCs w:val="24"/>
        </w:rPr>
        <w:t xml:space="preserve">that, </w:t>
      </w:r>
      <w:r w:rsidR="00C84136" w:rsidRPr="002F164E">
        <w:rPr>
          <w:rFonts w:ascii="Times New Roman" w:hAnsi="Times New Roman"/>
          <w:sz w:val="24"/>
          <w:szCs w:val="24"/>
        </w:rPr>
        <w:t>to the greatest exte</w:t>
      </w:r>
      <w:r w:rsidR="007F2B54">
        <w:rPr>
          <w:rFonts w:ascii="Times New Roman" w:hAnsi="Times New Roman"/>
          <w:sz w:val="24"/>
          <w:szCs w:val="24"/>
        </w:rPr>
        <w:t>nt</w:t>
      </w:r>
      <w:r w:rsidR="00C84136" w:rsidRPr="002F164E">
        <w:rPr>
          <w:rFonts w:ascii="Times New Roman" w:hAnsi="Times New Roman"/>
          <w:sz w:val="24"/>
          <w:szCs w:val="24"/>
        </w:rPr>
        <w:t xml:space="preserve"> practicable</w:t>
      </w:r>
      <w:r>
        <w:rPr>
          <w:rFonts w:ascii="Times New Roman" w:hAnsi="Times New Roman"/>
          <w:sz w:val="24"/>
          <w:szCs w:val="24"/>
        </w:rPr>
        <w:t>,</w:t>
      </w:r>
      <w:r w:rsidR="00C84136" w:rsidRPr="002F164E">
        <w:rPr>
          <w:rFonts w:ascii="Times New Roman" w:hAnsi="Times New Roman"/>
          <w:sz w:val="24"/>
          <w:szCs w:val="24"/>
        </w:rPr>
        <w:t xml:space="preserve"> it does not promote its own carriage services or other goods or services unrelated to the directory entry</w:t>
      </w:r>
      <w:r>
        <w:rPr>
          <w:rFonts w:ascii="Times New Roman" w:hAnsi="Times New Roman"/>
          <w:sz w:val="24"/>
          <w:szCs w:val="24"/>
        </w:rPr>
        <w:t xml:space="preserve"> during any contact it has with a customer of another carraige service provider for purposes related to the provision of services in a directory</w:t>
      </w:r>
      <w:r w:rsidRPr="002F164E">
        <w:rPr>
          <w:rFonts w:ascii="Times New Roman" w:hAnsi="Times New Roman"/>
          <w:sz w:val="24"/>
          <w:szCs w:val="24"/>
        </w:rPr>
        <w:t xml:space="preserve">. </w:t>
      </w:r>
      <w:r>
        <w:rPr>
          <w:rFonts w:ascii="Times New Roman" w:hAnsi="Times New Roman"/>
          <w:sz w:val="24"/>
          <w:szCs w:val="24"/>
        </w:rPr>
        <w:t>This provision is designed to ensure that Telstra cannot use its position as a provider of directories to gain a competitve advantage in relation to other goods or services it provides.</w:t>
      </w:r>
    </w:p>
    <w:p w14:paraId="0BD33B6D" w14:textId="5F68F81D" w:rsidR="00D41D91" w:rsidRPr="002F164E" w:rsidRDefault="007F2B54" w:rsidP="00D9162D">
      <w:pPr>
        <w:rPr>
          <w:rFonts w:ascii="Times New Roman" w:hAnsi="Times New Roman"/>
          <w:sz w:val="24"/>
          <w:szCs w:val="24"/>
        </w:rPr>
      </w:pPr>
      <w:r>
        <w:rPr>
          <w:rFonts w:ascii="Times New Roman" w:hAnsi="Times New Roman"/>
          <w:sz w:val="24"/>
          <w:szCs w:val="24"/>
        </w:rPr>
        <w:t>Subsection 9(9) requires that t</w:t>
      </w:r>
      <w:r w:rsidR="00683DBD" w:rsidRPr="002F164E">
        <w:rPr>
          <w:rFonts w:ascii="Times New Roman" w:hAnsi="Times New Roman"/>
          <w:sz w:val="24"/>
          <w:szCs w:val="24"/>
        </w:rPr>
        <w:t>he directory will</w:t>
      </w:r>
      <w:r w:rsidR="00D41D91" w:rsidRPr="002F164E">
        <w:rPr>
          <w:rFonts w:ascii="Times New Roman" w:hAnsi="Times New Roman"/>
          <w:sz w:val="24"/>
          <w:szCs w:val="24"/>
        </w:rPr>
        <w:t xml:space="preserve"> be provided</w:t>
      </w:r>
      <w:r w:rsidR="00683DBD" w:rsidRPr="002F164E">
        <w:rPr>
          <w:rFonts w:ascii="Times New Roman" w:hAnsi="Times New Roman"/>
          <w:sz w:val="24"/>
          <w:szCs w:val="24"/>
        </w:rPr>
        <w:t xml:space="preserve"> to customers free of charge as a book or, if the customer agrees, in another form. It is envisaged that customers</w:t>
      </w:r>
      <w:r w:rsidR="003C1942">
        <w:rPr>
          <w:rFonts w:ascii="Times New Roman" w:hAnsi="Times New Roman"/>
          <w:sz w:val="24"/>
          <w:szCs w:val="24"/>
        </w:rPr>
        <w:t xml:space="preserve"> can</w:t>
      </w:r>
      <w:r w:rsidR="00683DBD" w:rsidRPr="002F164E">
        <w:rPr>
          <w:rFonts w:ascii="Times New Roman" w:hAnsi="Times New Roman"/>
          <w:sz w:val="24"/>
          <w:szCs w:val="24"/>
        </w:rPr>
        <w:t xml:space="preserve"> choose to access to the directory, for example, as an online service</w:t>
      </w:r>
      <w:r w:rsidR="00EF4889">
        <w:rPr>
          <w:rFonts w:ascii="Times New Roman" w:hAnsi="Times New Roman"/>
          <w:sz w:val="24"/>
          <w:szCs w:val="24"/>
        </w:rPr>
        <w:t xml:space="preserve">. A note accompanies </w:t>
      </w:r>
      <w:r>
        <w:rPr>
          <w:rFonts w:ascii="Times New Roman" w:hAnsi="Times New Roman"/>
          <w:sz w:val="24"/>
          <w:szCs w:val="24"/>
        </w:rPr>
        <w:t>sub</w:t>
      </w:r>
      <w:r w:rsidR="00EF4889">
        <w:rPr>
          <w:rFonts w:ascii="Times New Roman" w:hAnsi="Times New Roman"/>
          <w:sz w:val="24"/>
          <w:szCs w:val="24"/>
        </w:rPr>
        <w:t>section</w:t>
      </w:r>
      <w:r>
        <w:rPr>
          <w:rFonts w:ascii="Times New Roman" w:hAnsi="Times New Roman"/>
          <w:sz w:val="24"/>
          <w:szCs w:val="24"/>
        </w:rPr>
        <w:t xml:space="preserve"> 9(9)</w:t>
      </w:r>
      <w:r w:rsidR="00412C06">
        <w:rPr>
          <w:rFonts w:ascii="Times New Roman" w:hAnsi="Times New Roman"/>
          <w:sz w:val="24"/>
          <w:szCs w:val="24"/>
        </w:rPr>
        <w:t xml:space="preserve"> to inform the reader that it is intended that Telstra maintains its White Pages directory and makes this available to its own customers and the customers of other CSPs on substantially the same basis as the White Pages directory has been produced and distributed before Telstra’s licence </w:t>
      </w:r>
      <w:r w:rsidR="00515DB8">
        <w:rPr>
          <w:rFonts w:ascii="Times New Roman" w:hAnsi="Times New Roman"/>
          <w:sz w:val="24"/>
          <w:szCs w:val="24"/>
        </w:rPr>
        <w:t xml:space="preserve">condition </w:t>
      </w:r>
      <w:r w:rsidR="00412C06">
        <w:rPr>
          <w:rFonts w:ascii="Times New Roman" w:hAnsi="Times New Roman"/>
          <w:sz w:val="24"/>
          <w:szCs w:val="24"/>
        </w:rPr>
        <w:t>came into force</w:t>
      </w:r>
      <w:r w:rsidR="00EF4889">
        <w:rPr>
          <w:rFonts w:ascii="Times New Roman" w:hAnsi="Times New Roman"/>
          <w:sz w:val="24"/>
          <w:szCs w:val="24"/>
        </w:rPr>
        <w:t xml:space="preserve">. </w:t>
      </w:r>
    </w:p>
    <w:p w14:paraId="16BFCAFA" w14:textId="0A70FFD0" w:rsidR="00683DBD" w:rsidRPr="002F164E" w:rsidRDefault="002903FB" w:rsidP="00683DBD">
      <w:pPr>
        <w:rPr>
          <w:rFonts w:ascii="Times New Roman" w:hAnsi="Times New Roman"/>
          <w:b/>
          <w:sz w:val="24"/>
          <w:szCs w:val="24"/>
        </w:rPr>
      </w:pPr>
      <w:r w:rsidRPr="002F164E">
        <w:rPr>
          <w:rFonts w:ascii="Times New Roman" w:hAnsi="Times New Roman"/>
          <w:b/>
          <w:sz w:val="24"/>
          <w:szCs w:val="24"/>
        </w:rPr>
        <w:t>Section 10 – Integrated public</w:t>
      </w:r>
      <w:r w:rsidR="00683DBD" w:rsidRPr="002F164E">
        <w:rPr>
          <w:rFonts w:ascii="Times New Roman" w:hAnsi="Times New Roman"/>
          <w:b/>
          <w:sz w:val="24"/>
          <w:szCs w:val="24"/>
        </w:rPr>
        <w:t xml:space="preserve"> number database</w:t>
      </w:r>
    </w:p>
    <w:p w14:paraId="3D260FD7" w14:textId="7C7620EE" w:rsidR="00683DBD" w:rsidRPr="002F164E" w:rsidRDefault="003C1942" w:rsidP="00683DBD">
      <w:pPr>
        <w:rPr>
          <w:rFonts w:ascii="Times New Roman" w:hAnsi="Times New Roman"/>
          <w:sz w:val="24"/>
          <w:szCs w:val="24"/>
        </w:rPr>
      </w:pPr>
      <w:r>
        <w:rPr>
          <w:rFonts w:ascii="Times New Roman" w:hAnsi="Times New Roman"/>
          <w:sz w:val="24"/>
          <w:szCs w:val="24"/>
        </w:rPr>
        <w:t>The effect of s</w:t>
      </w:r>
      <w:r w:rsidR="00017AC5" w:rsidRPr="002F164E">
        <w:rPr>
          <w:rFonts w:ascii="Times New Roman" w:hAnsi="Times New Roman"/>
          <w:sz w:val="24"/>
          <w:szCs w:val="24"/>
        </w:rPr>
        <w:t>ection 472</w:t>
      </w:r>
      <w:r w:rsidR="00683DBD" w:rsidRPr="002F164E">
        <w:rPr>
          <w:rFonts w:ascii="Times New Roman" w:hAnsi="Times New Roman"/>
          <w:sz w:val="24"/>
          <w:szCs w:val="24"/>
        </w:rPr>
        <w:t xml:space="preserve"> of the Act </w:t>
      </w:r>
      <w:r>
        <w:rPr>
          <w:rFonts w:ascii="Times New Roman" w:hAnsi="Times New Roman"/>
          <w:sz w:val="24"/>
          <w:szCs w:val="24"/>
        </w:rPr>
        <w:t>is that</w:t>
      </w:r>
      <w:r w:rsidR="00683DBD" w:rsidRPr="002F164E">
        <w:rPr>
          <w:rFonts w:ascii="Times New Roman" w:hAnsi="Times New Roman"/>
          <w:sz w:val="24"/>
          <w:szCs w:val="24"/>
        </w:rPr>
        <w:t xml:space="preserve"> Telstra must provide and maintain an integrated public number</w:t>
      </w:r>
      <w:r w:rsidR="00EF4889">
        <w:rPr>
          <w:rFonts w:ascii="Times New Roman" w:hAnsi="Times New Roman"/>
          <w:sz w:val="24"/>
          <w:szCs w:val="24"/>
        </w:rPr>
        <w:t xml:space="preserve"> </w:t>
      </w:r>
      <w:r w:rsidR="00683DBD" w:rsidRPr="002F164E">
        <w:rPr>
          <w:rFonts w:ascii="Times New Roman" w:hAnsi="Times New Roman"/>
          <w:sz w:val="24"/>
          <w:szCs w:val="24"/>
        </w:rPr>
        <w:t xml:space="preserve">database </w:t>
      </w:r>
      <w:r w:rsidR="00F854DB">
        <w:rPr>
          <w:rFonts w:ascii="Times New Roman" w:hAnsi="Times New Roman"/>
          <w:sz w:val="24"/>
          <w:szCs w:val="24"/>
        </w:rPr>
        <w:t>(IPND)</w:t>
      </w:r>
      <w:r w:rsidR="00F854DB" w:rsidRPr="002F164E">
        <w:rPr>
          <w:rFonts w:ascii="Times New Roman" w:hAnsi="Times New Roman"/>
          <w:sz w:val="24"/>
          <w:szCs w:val="24"/>
        </w:rPr>
        <w:t xml:space="preserve"> </w:t>
      </w:r>
      <w:r>
        <w:rPr>
          <w:rFonts w:ascii="Times New Roman" w:hAnsi="Times New Roman"/>
          <w:sz w:val="24"/>
          <w:szCs w:val="24"/>
        </w:rPr>
        <w:t>if required by a condition of a carrier licence to do so</w:t>
      </w:r>
      <w:r w:rsidR="00683DBD" w:rsidRPr="002F164E">
        <w:rPr>
          <w:rFonts w:ascii="Times New Roman" w:hAnsi="Times New Roman"/>
          <w:sz w:val="24"/>
          <w:szCs w:val="24"/>
        </w:rPr>
        <w:t>.</w:t>
      </w:r>
    </w:p>
    <w:p w14:paraId="40E83861" w14:textId="779130CC" w:rsidR="00683DBD" w:rsidRPr="002F164E" w:rsidRDefault="00017AC5" w:rsidP="00683DBD">
      <w:pPr>
        <w:rPr>
          <w:rFonts w:ascii="Times New Roman" w:hAnsi="Times New Roman"/>
          <w:sz w:val="24"/>
          <w:szCs w:val="24"/>
        </w:rPr>
      </w:pPr>
      <w:r w:rsidRPr="002F164E">
        <w:rPr>
          <w:rFonts w:ascii="Times New Roman" w:hAnsi="Times New Roman"/>
          <w:sz w:val="24"/>
          <w:szCs w:val="24"/>
        </w:rPr>
        <w:t>S</w:t>
      </w:r>
      <w:r w:rsidR="00723F2F" w:rsidRPr="002F164E">
        <w:rPr>
          <w:rFonts w:ascii="Times New Roman" w:hAnsi="Times New Roman"/>
          <w:sz w:val="24"/>
          <w:szCs w:val="24"/>
        </w:rPr>
        <w:t>ubs</w:t>
      </w:r>
      <w:r w:rsidRPr="002F164E">
        <w:rPr>
          <w:rFonts w:ascii="Times New Roman" w:hAnsi="Times New Roman"/>
          <w:sz w:val="24"/>
          <w:szCs w:val="24"/>
        </w:rPr>
        <w:t xml:space="preserve">ection </w:t>
      </w:r>
      <w:r w:rsidR="00723F2F" w:rsidRPr="002F164E">
        <w:rPr>
          <w:rFonts w:ascii="Times New Roman" w:hAnsi="Times New Roman"/>
          <w:sz w:val="24"/>
          <w:szCs w:val="24"/>
        </w:rPr>
        <w:t>10(1)</w:t>
      </w:r>
      <w:r w:rsidR="00683DBD" w:rsidRPr="002F164E">
        <w:rPr>
          <w:rFonts w:ascii="Times New Roman" w:hAnsi="Times New Roman"/>
          <w:sz w:val="24"/>
          <w:szCs w:val="24"/>
        </w:rPr>
        <w:t xml:space="preserve"> require</w:t>
      </w:r>
      <w:r w:rsidR="00723F2F" w:rsidRPr="002F164E">
        <w:rPr>
          <w:rFonts w:ascii="Times New Roman" w:hAnsi="Times New Roman"/>
          <w:sz w:val="24"/>
          <w:szCs w:val="24"/>
        </w:rPr>
        <w:t>s</w:t>
      </w:r>
      <w:r w:rsidR="00683DBD" w:rsidRPr="002F164E">
        <w:rPr>
          <w:rFonts w:ascii="Times New Roman" w:hAnsi="Times New Roman"/>
          <w:sz w:val="24"/>
          <w:szCs w:val="24"/>
        </w:rPr>
        <w:t xml:space="preserve"> Telstra to establish and maintain an </w:t>
      </w:r>
      <w:r w:rsidR="00747B36">
        <w:rPr>
          <w:rFonts w:ascii="Times New Roman" w:hAnsi="Times New Roman"/>
          <w:sz w:val="24"/>
          <w:szCs w:val="24"/>
        </w:rPr>
        <w:t>IPND</w:t>
      </w:r>
      <w:r w:rsidR="00683DBD" w:rsidRPr="002F164E">
        <w:rPr>
          <w:rFonts w:ascii="Times New Roman" w:hAnsi="Times New Roman"/>
          <w:sz w:val="24"/>
          <w:szCs w:val="24"/>
        </w:rPr>
        <w:t xml:space="preserve"> for the purpose of providing informati</w:t>
      </w:r>
      <w:r w:rsidR="002903FB" w:rsidRPr="002F164E">
        <w:rPr>
          <w:rFonts w:ascii="Times New Roman" w:hAnsi="Times New Roman"/>
          <w:sz w:val="24"/>
          <w:szCs w:val="24"/>
        </w:rPr>
        <w:t>on for purposes connected with:</w:t>
      </w:r>
    </w:p>
    <w:p w14:paraId="32F6903C" w14:textId="708884B6" w:rsidR="00683DBD" w:rsidRPr="002F164E" w:rsidRDefault="00683DB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providing</w:t>
      </w:r>
      <w:r w:rsidR="002903FB" w:rsidRPr="002F164E">
        <w:rPr>
          <w:rFonts w:ascii="Times New Roman" w:hAnsi="Times New Roman"/>
          <w:sz w:val="24"/>
          <w:szCs w:val="24"/>
        </w:rPr>
        <w:t xml:space="preserve"> directory assistance services;</w:t>
      </w:r>
    </w:p>
    <w:p w14:paraId="29280972" w14:textId="5ADA4B90" w:rsidR="00683DBD" w:rsidRPr="002F164E" w:rsidRDefault="00683DB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providing operator services or operator-assistance se</w:t>
      </w:r>
      <w:r w:rsidR="002903FB" w:rsidRPr="002F164E">
        <w:rPr>
          <w:rFonts w:ascii="Times New Roman" w:hAnsi="Times New Roman"/>
          <w:sz w:val="24"/>
          <w:szCs w:val="24"/>
        </w:rPr>
        <w:t>rvices</w:t>
      </w:r>
      <w:r w:rsidR="00EF4889">
        <w:rPr>
          <w:rFonts w:ascii="Times New Roman" w:hAnsi="Times New Roman"/>
          <w:sz w:val="24"/>
          <w:szCs w:val="24"/>
        </w:rPr>
        <w:t xml:space="preserve"> (</w:t>
      </w:r>
      <w:r w:rsidR="002903FB" w:rsidRPr="002F164E">
        <w:rPr>
          <w:rFonts w:ascii="Times New Roman" w:hAnsi="Times New Roman"/>
          <w:sz w:val="24"/>
          <w:szCs w:val="24"/>
        </w:rPr>
        <w:t>as defined in section 4</w:t>
      </w:r>
      <w:r w:rsidR="00EF4889">
        <w:rPr>
          <w:rFonts w:ascii="Times New Roman" w:hAnsi="Times New Roman"/>
          <w:sz w:val="24"/>
          <w:szCs w:val="24"/>
        </w:rPr>
        <w:t>)</w:t>
      </w:r>
      <w:r w:rsidR="002903FB" w:rsidRPr="002F164E">
        <w:rPr>
          <w:rFonts w:ascii="Times New Roman" w:hAnsi="Times New Roman"/>
          <w:sz w:val="24"/>
          <w:szCs w:val="24"/>
        </w:rPr>
        <w:t>;</w:t>
      </w:r>
    </w:p>
    <w:p w14:paraId="77E9E84E" w14:textId="067E84EA" w:rsidR="00683DBD" w:rsidRPr="002F164E" w:rsidRDefault="00683DB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publishing public number directories</w:t>
      </w:r>
      <w:r w:rsidR="002903FB" w:rsidRPr="002F164E">
        <w:rPr>
          <w:rFonts w:ascii="Times New Roman" w:hAnsi="Times New Roman"/>
          <w:sz w:val="24"/>
          <w:szCs w:val="24"/>
        </w:rPr>
        <w:t>;</w:t>
      </w:r>
    </w:p>
    <w:p w14:paraId="0C5695D0" w14:textId="3EBDAD3F" w:rsidR="00683DBD" w:rsidRPr="002F164E" w:rsidRDefault="00683DB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providing location dependent carriage se</w:t>
      </w:r>
      <w:r w:rsidR="002903FB" w:rsidRPr="002F164E">
        <w:rPr>
          <w:rFonts w:ascii="Times New Roman" w:hAnsi="Times New Roman"/>
          <w:sz w:val="24"/>
          <w:szCs w:val="24"/>
        </w:rPr>
        <w:t>rvices</w:t>
      </w:r>
      <w:r w:rsidR="00EF4889">
        <w:rPr>
          <w:rFonts w:ascii="Times New Roman" w:hAnsi="Times New Roman"/>
          <w:sz w:val="24"/>
          <w:szCs w:val="24"/>
        </w:rPr>
        <w:t xml:space="preserve"> (</w:t>
      </w:r>
      <w:r w:rsidR="002903FB" w:rsidRPr="002F164E">
        <w:rPr>
          <w:rFonts w:ascii="Times New Roman" w:hAnsi="Times New Roman"/>
          <w:sz w:val="24"/>
          <w:szCs w:val="24"/>
        </w:rPr>
        <w:t>as defined in section 4</w:t>
      </w:r>
      <w:r w:rsidR="00EF4889">
        <w:rPr>
          <w:rFonts w:ascii="Times New Roman" w:hAnsi="Times New Roman"/>
          <w:sz w:val="24"/>
          <w:szCs w:val="24"/>
        </w:rPr>
        <w:t>)</w:t>
      </w:r>
      <w:r w:rsidR="002903FB" w:rsidRPr="002F164E">
        <w:rPr>
          <w:rFonts w:ascii="Times New Roman" w:hAnsi="Times New Roman"/>
          <w:sz w:val="24"/>
          <w:szCs w:val="24"/>
        </w:rPr>
        <w:t>;</w:t>
      </w:r>
    </w:p>
    <w:p w14:paraId="46AC536E" w14:textId="40A8568E" w:rsidR="00683DBD" w:rsidRPr="002F164E" w:rsidRDefault="00683DB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the operation of em</w:t>
      </w:r>
      <w:r w:rsidR="002903FB" w:rsidRPr="002F164E">
        <w:rPr>
          <w:rFonts w:ascii="Times New Roman" w:hAnsi="Times New Roman"/>
          <w:sz w:val="24"/>
          <w:szCs w:val="24"/>
        </w:rPr>
        <w:t>erge</w:t>
      </w:r>
      <w:r w:rsidRPr="002F164E">
        <w:rPr>
          <w:rFonts w:ascii="Times New Roman" w:hAnsi="Times New Roman"/>
          <w:sz w:val="24"/>
          <w:szCs w:val="24"/>
        </w:rPr>
        <w:t>ncy call services or assisting emergency services</w:t>
      </w:r>
      <w:r w:rsidR="00723F2F" w:rsidRPr="002F164E">
        <w:rPr>
          <w:rFonts w:ascii="Times New Roman" w:hAnsi="Times New Roman"/>
          <w:sz w:val="24"/>
          <w:szCs w:val="24"/>
        </w:rPr>
        <w:t xml:space="preserve"> </w:t>
      </w:r>
      <w:r w:rsidR="002903FB" w:rsidRPr="002F164E">
        <w:rPr>
          <w:rFonts w:ascii="Times New Roman" w:hAnsi="Times New Roman"/>
          <w:sz w:val="24"/>
          <w:szCs w:val="24"/>
        </w:rPr>
        <w:t>under Part 13</w:t>
      </w:r>
      <w:r w:rsidRPr="002F164E">
        <w:rPr>
          <w:rFonts w:ascii="Times New Roman" w:hAnsi="Times New Roman"/>
          <w:sz w:val="24"/>
          <w:szCs w:val="24"/>
        </w:rPr>
        <w:t xml:space="preserve"> of the Act</w:t>
      </w:r>
      <w:r w:rsidR="002903FB" w:rsidRPr="002F164E">
        <w:rPr>
          <w:rFonts w:ascii="Times New Roman" w:hAnsi="Times New Roman"/>
          <w:sz w:val="24"/>
          <w:szCs w:val="24"/>
        </w:rPr>
        <w:t>;</w:t>
      </w:r>
    </w:p>
    <w:p w14:paraId="4D5BEDB4" w14:textId="551354D5" w:rsidR="008D22D5" w:rsidRDefault="00683DB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assisting enforceme</w:t>
      </w:r>
      <w:r w:rsidR="002903FB" w:rsidRPr="002F164E">
        <w:rPr>
          <w:rFonts w:ascii="Times New Roman" w:hAnsi="Times New Roman"/>
          <w:sz w:val="24"/>
          <w:szCs w:val="24"/>
        </w:rPr>
        <w:t xml:space="preserve">nt agencies </w:t>
      </w:r>
      <w:r w:rsidR="008D22D5">
        <w:rPr>
          <w:rFonts w:ascii="Times New Roman" w:hAnsi="Times New Roman"/>
          <w:sz w:val="24"/>
          <w:szCs w:val="24"/>
        </w:rPr>
        <w:t>under Part 13 of the Act</w:t>
      </w:r>
      <w:r w:rsidR="002903FB" w:rsidRPr="002F164E">
        <w:rPr>
          <w:rFonts w:ascii="Times New Roman" w:hAnsi="Times New Roman"/>
          <w:sz w:val="24"/>
          <w:szCs w:val="24"/>
        </w:rPr>
        <w:t>;</w:t>
      </w:r>
    </w:p>
    <w:p w14:paraId="74084A81" w14:textId="22FAB95C" w:rsidR="00683DBD" w:rsidRPr="002F164E" w:rsidRDefault="008D22D5" w:rsidP="003A1E64">
      <w:pPr>
        <w:pStyle w:val="ListParagraph"/>
        <w:numPr>
          <w:ilvl w:val="0"/>
          <w:numId w:val="2"/>
        </w:numPr>
        <w:rPr>
          <w:rFonts w:ascii="Times New Roman" w:hAnsi="Times New Roman"/>
          <w:sz w:val="24"/>
          <w:szCs w:val="24"/>
        </w:rPr>
      </w:pPr>
      <w:r>
        <w:rPr>
          <w:rFonts w:ascii="Times New Roman" w:hAnsi="Times New Roman"/>
          <w:sz w:val="24"/>
          <w:szCs w:val="24"/>
        </w:rPr>
        <w:t>Satisfying its obligations under section 313(3) or (4) of the Act</w:t>
      </w:r>
      <w:r w:rsidR="00515DB8">
        <w:rPr>
          <w:rFonts w:ascii="Times New Roman" w:hAnsi="Times New Roman"/>
          <w:sz w:val="24"/>
          <w:szCs w:val="24"/>
        </w:rPr>
        <w:t xml:space="preserve">; </w:t>
      </w:r>
      <w:r w:rsidR="002903FB" w:rsidRPr="002F164E">
        <w:rPr>
          <w:rFonts w:ascii="Times New Roman" w:hAnsi="Times New Roman"/>
          <w:sz w:val="24"/>
          <w:szCs w:val="24"/>
        </w:rPr>
        <w:t>and</w:t>
      </w:r>
    </w:p>
    <w:p w14:paraId="4C5DDA21" w14:textId="180A084F" w:rsidR="00683DBD" w:rsidRPr="002F164E" w:rsidRDefault="00683DBD" w:rsidP="003A1E64">
      <w:pPr>
        <w:pStyle w:val="ListParagraph"/>
        <w:numPr>
          <w:ilvl w:val="0"/>
          <w:numId w:val="2"/>
        </w:numPr>
        <w:rPr>
          <w:rFonts w:ascii="Times New Roman" w:hAnsi="Times New Roman"/>
          <w:sz w:val="24"/>
          <w:szCs w:val="24"/>
        </w:rPr>
      </w:pPr>
      <w:r w:rsidRPr="002F164E">
        <w:rPr>
          <w:rFonts w:ascii="Times New Roman" w:hAnsi="Times New Roman"/>
          <w:sz w:val="24"/>
          <w:szCs w:val="24"/>
        </w:rPr>
        <w:t>any oth</w:t>
      </w:r>
      <w:r w:rsidR="00723F2F" w:rsidRPr="002F164E">
        <w:rPr>
          <w:rFonts w:ascii="Times New Roman" w:hAnsi="Times New Roman"/>
          <w:sz w:val="24"/>
          <w:szCs w:val="24"/>
        </w:rPr>
        <w:t>er activities specified by the ACMA</w:t>
      </w:r>
      <w:r w:rsidRPr="002F164E">
        <w:rPr>
          <w:rFonts w:ascii="Times New Roman" w:hAnsi="Times New Roman"/>
          <w:sz w:val="24"/>
          <w:szCs w:val="24"/>
        </w:rPr>
        <w:t xml:space="preserve"> in w</w:t>
      </w:r>
      <w:r w:rsidR="00723F2F" w:rsidRPr="002F164E">
        <w:rPr>
          <w:rFonts w:ascii="Times New Roman" w:hAnsi="Times New Roman"/>
          <w:sz w:val="24"/>
          <w:szCs w:val="24"/>
        </w:rPr>
        <w:t>riting to Telstra</w:t>
      </w:r>
      <w:r w:rsidR="00B544E8" w:rsidRPr="002F164E">
        <w:rPr>
          <w:rFonts w:ascii="Times New Roman" w:hAnsi="Times New Roman"/>
          <w:sz w:val="24"/>
          <w:szCs w:val="24"/>
        </w:rPr>
        <w:t>, which</w:t>
      </w:r>
      <w:r w:rsidRPr="002F164E">
        <w:rPr>
          <w:rFonts w:ascii="Times New Roman" w:hAnsi="Times New Roman"/>
          <w:sz w:val="24"/>
          <w:szCs w:val="24"/>
        </w:rPr>
        <w:t xml:space="preserve"> provides scope for additional pur</w:t>
      </w:r>
      <w:r w:rsidR="00B544E8" w:rsidRPr="002F164E">
        <w:rPr>
          <w:rFonts w:ascii="Times New Roman" w:hAnsi="Times New Roman"/>
          <w:sz w:val="24"/>
          <w:szCs w:val="24"/>
        </w:rPr>
        <w:t xml:space="preserve">poses </w:t>
      </w:r>
      <w:r w:rsidRPr="002F164E">
        <w:rPr>
          <w:rFonts w:ascii="Times New Roman" w:hAnsi="Times New Roman"/>
          <w:sz w:val="24"/>
          <w:szCs w:val="24"/>
        </w:rPr>
        <w:t>should the need arise.</w:t>
      </w:r>
    </w:p>
    <w:p w14:paraId="47861042" w14:textId="5E72DCEA" w:rsidR="00683DBD" w:rsidRPr="002F164E" w:rsidRDefault="008D22D5" w:rsidP="00683DBD">
      <w:pPr>
        <w:rPr>
          <w:rFonts w:ascii="Times New Roman" w:hAnsi="Times New Roman"/>
          <w:sz w:val="24"/>
          <w:szCs w:val="24"/>
        </w:rPr>
      </w:pPr>
      <w:r>
        <w:rPr>
          <w:rFonts w:ascii="Times New Roman" w:hAnsi="Times New Roman"/>
          <w:sz w:val="24"/>
          <w:szCs w:val="24"/>
        </w:rPr>
        <w:t>The note provides that a public number directory includes classified business directories like the Yellow Pages and specialist trade directories.</w:t>
      </w:r>
    </w:p>
    <w:p w14:paraId="1E860826" w14:textId="7791E53B" w:rsidR="00683DBD" w:rsidRPr="002F164E" w:rsidRDefault="007F7486" w:rsidP="00683DBD">
      <w:pPr>
        <w:rPr>
          <w:rFonts w:ascii="Times New Roman" w:hAnsi="Times New Roman"/>
          <w:sz w:val="24"/>
          <w:szCs w:val="24"/>
        </w:rPr>
      </w:pPr>
      <w:r w:rsidRPr="002F164E">
        <w:rPr>
          <w:rFonts w:ascii="Times New Roman" w:hAnsi="Times New Roman"/>
          <w:sz w:val="24"/>
          <w:szCs w:val="24"/>
        </w:rPr>
        <w:t>Subsection 10(2) requires that Telstra is</w:t>
      </w:r>
      <w:r w:rsidR="00683DBD" w:rsidRPr="002F164E">
        <w:rPr>
          <w:rFonts w:ascii="Times New Roman" w:hAnsi="Times New Roman"/>
          <w:sz w:val="24"/>
          <w:szCs w:val="24"/>
        </w:rPr>
        <w:t xml:space="preserve"> limited to using the </w:t>
      </w:r>
      <w:r w:rsidR="00F854DB">
        <w:rPr>
          <w:rFonts w:ascii="Times New Roman" w:hAnsi="Times New Roman"/>
          <w:sz w:val="24"/>
          <w:szCs w:val="24"/>
        </w:rPr>
        <w:t>IPND</w:t>
      </w:r>
      <w:r w:rsidR="00F854DB" w:rsidRPr="002F164E">
        <w:rPr>
          <w:rFonts w:ascii="Times New Roman" w:hAnsi="Times New Roman"/>
          <w:sz w:val="24"/>
          <w:szCs w:val="24"/>
        </w:rPr>
        <w:t xml:space="preserve"> </w:t>
      </w:r>
      <w:r w:rsidR="00683DBD" w:rsidRPr="002F164E">
        <w:rPr>
          <w:rFonts w:ascii="Times New Roman" w:hAnsi="Times New Roman"/>
          <w:sz w:val="24"/>
          <w:szCs w:val="24"/>
        </w:rPr>
        <w:t>and any information derived from the database for only those pu</w:t>
      </w:r>
      <w:r w:rsidRPr="002F164E">
        <w:rPr>
          <w:rFonts w:ascii="Times New Roman" w:hAnsi="Times New Roman"/>
          <w:sz w:val="24"/>
          <w:szCs w:val="24"/>
        </w:rPr>
        <w:t>rposes listed above (subsection 10(1</w:t>
      </w:r>
      <w:r w:rsidR="00683DBD" w:rsidRPr="002F164E">
        <w:rPr>
          <w:rFonts w:ascii="Times New Roman" w:hAnsi="Times New Roman"/>
          <w:sz w:val="24"/>
          <w:szCs w:val="24"/>
        </w:rPr>
        <w:t xml:space="preserve">)). </w:t>
      </w:r>
    </w:p>
    <w:p w14:paraId="48B6328B" w14:textId="3313FBAD" w:rsidR="00E62698" w:rsidRDefault="00F854DB" w:rsidP="00683DBD">
      <w:pPr>
        <w:rPr>
          <w:rFonts w:ascii="Times New Roman" w:hAnsi="Times New Roman"/>
          <w:sz w:val="24"/>
          <w:szCs w:val="24"/>
        </w:rPr>
      </w:pPr>
      <w:r>
        <w:rPr>
          <w:rFonts w:ascii="Times New Roman" w:hAnsi="Times New Roman"/>
          <w:sz w:val="24"/>
          <w:szCs w:val="24"/>
        </w:rPr>
        <w:t xml:space="preserve">Telstra is required, in accordance with </w:t>
      </w:r>
      <w:r w:rsidR="007F7486" w:rsidRPr="002F164E">
        <w:rPr>
          <w:rFonts w:ascii="Times New Roman" w:hAnsi="Times New Roman"/>
          <w:sz w:val="24"/>
          <w:szCs w:val="24"/>
        </w:rPr>
        <w:t xml:space="preserve">subsection 10(3), </w:t>
      </w:r>
      <w:r>
        <w:rPr>
          <w:rFonts w:ascii="Times New Roman" w:hAnsi="Times New Roman"/>
          <w:sz w:val="24"/>
          <w:szCs w:val="24"/>
        </w:rPr>
        <w:t xml:space="preserve">to ensure that </w:t>
      </w:r>
      <w:r w:rsidR="007F7486" w:rsidRPr="002F164E">
        <w:rPr>
          <w:rFonts w:ascii="Times New Roman" w:hAnsi="Times New Roman"/>
          <w:sz w:val="24"/>
          <w:szCs w:val="24"/>
        </w:rPr>
        <w:t>t</w:t>
      </w:r>
      <w:r w:rsidR="00683DBD" w:rsidRPr="002F164E">
        <w:rPr>
          <w:rFonts w:ascii="Times New Roman" w:hAnsi="Times New Roman"/>
          <w:sz w:val="24"/>
          <w:szCs w:val="24"/>
        </w:rPr>
        <w:t xml:space="preserve">he </w:t>
      </w:r>
      <w:r>
        <w:rPr>
          <w:rFonts w:ascii="Times New Roman" w:hAnsi="Times New Roman"/>
          <w:sz w:val="24"/>
          <w:szCs w:val="24"/>
        </w:rPr>
        <w:t xml:space="preserve">IPND </w:t>
      </w:r>
      <w:r w:rsidR="00683DBD" w:rsidRPr="002F164E">
        <w:rPr>
          <w:rFonts w:ascii="Times New Roman" w:hAnsi="Times New Roman"/>
          <w:sz w:val="24"/>
          <w:szCs w:val="24"/>
        </w:rPr>
        <w:t>include</w:t>
      </w:r>
      <w:r>
        <w:rPr>
          <w:rFonts w:ascii="Times New Roman" w:hAnsi="Times New Roman"/>
          <w:sz w:val="24"/>
          <w:szCs w:val="24"/>
        </w:rPr>
        <w:t>s</w:t>
      </w:r>
      <w:r w:rsidR="00683DBD" w:rsidRPr="002F164E">
        <w:rPr>
          <w:rFonts w:ascii="Times New Roman" w:hAnsi="Times New Roman"/>
          <w:sz w:val="24"/>
          <w:szCs w:val="24"/>
        </w:rPr>
        <w:t xml:space="preserve"> information relating to each public number of a customer of each </w:t>
      </w:r>
      <w:r w:rsidR="00412C06">
        <w:rPr>
          <w:rFonts w:ascii="Times New Roman" w:hAnsi="Times New Roman"/>
          <w:sz w:val="24"/>
          <w:szCs w:val="24"/>
        </w:rPr>
        <w:t>CSP</w:t>
      </w:r>
      <w:r w:rsidR="00683DBD" w:rsidRPr="002F164E">
        <w:rPr>
          <w:rFonts w:ascii="Times New Roman" w:hAnsi="Times New Roman"/>
          <w:sz w:val="24"/>
          <w:szCs w:val="24"/>
        </w:rPr>
        <w:t>. This information comprises</w:t>
      </w:r>
      <w:r w:rsidR="00E62698">
        <w:rPr>
          <w:rFonts w:ascii="Times New Roman" w:hAnsi="Times New Roman"/>
          <w:sz w:val="24"/>
          <w:szCs w:val="24"/>
        </w:rPr>
        <w:t>:</w:t>
      </w:r>
    </w:p>
    <w:p w14:paraId="3FF2115D" w14:textId="20AADD6A" w:rsidR="00E62698" w:rsidRDefault="00683DBD" w:rsidP="00284BE1">
      <w:pPr>
        <w:pStyle w:val="ListParagraph"/>
        <w:numPr>
          <w:ilvl w:val="0"/>
          <w:numId w:val="20"/>
        </w:numPr>
        <w:rPr>
          <w:rFonts w:ascii="Times New Roman" w:hAnsi="Times New Roman"/>
          <w:sz w:val="24"/>
          <w:szCs w:val="24"/>
        </w:rPr>
      </w:pPr>
      <w:r w:rsidRPr="00284BE1">
        <w:rPr>
          <w:rFonts w:ascii="Times New Roman" w:hAnsi="Times New Roman"/>
          <w:sz w:val="24"/>
          <w:szCs w:val="24"/>
        </w:rPr>
        <w:t>the public number;</w:t>
      </w:r>
    </w:p>
    <w:p w14:paraId="071BB7C5" w14:textId="55FCDC83" w:rsidR="00E62698" w:rsidRDefault="00683DBD" w:rsidP="00284BE1">
      <w:pPr>
        <w:pStyle w:val="ListParagraph"/>
        <w:numPr>
          <w:ilvl w:val="0"/>
          <w:numId w:val="20"/>
        </w:numPr>
        <w:rPr>
          <w:rFonts w:ascii="Times New Roman" w:hAnsi="Times New Roman"/>
          <w:sz w:val="24"/>
          <w:szCs w:val="24"/>
        </w:rPr>
      </w:pPr>
      <w:r w:rsidRPr="00284BE1">
        <w:rPr>
          <w:rFonts w:ascii="Times New Roman" w:hAnsi="Times New Roman"/>
          <w:sz w:val="24"/>
          <w:szCs w:val="24"/>
        </w:rPr>
        <w:t>the name and address of the customer;</w:t>
      </w:r>
    </w:p>
    <w:p w14:paraId="4F5D36D3" w14:textId="60A45F7C" w:rsidR="00E62698" w:rsidRDefault="00683DBD" w:rsidP="00284BE1">
      <w:pPr>
        <w:pStyle w:val="ListParagraph"/>
        <w:numPr>
          <w:ilvl w:val="0"/>
          <w:numId w:val="20"/>
        </w:numPr>
        <w:rPr>
          <w:rFonts w:ascii="Times New Roman" w:hAnsi="Times New Roman"/>
          <w:sz w:val="24"/>
          <w:szCs w:val="24"/>
        </w:rPr>
      </w:pPr>
      <w:r w:rsidRPr="00284BE1">
        <w:rPr>
          <w:rFonts w:ascii="Times New Roman" w:hAnsi="Times New Roman"/>
          <w:sz w:val="24"/>
          <w:szCs w:val="24"/>
        </w:rPr>
        <w:t>the service location, if practicable;</w:t>
      </w:r>
    </w:p>
    <w:p w14:paraId="424E60A2" w14:textId="3441FB42" w:rsidR="00E62698" w:rsidRDefault="00683DBD" w:rsidP="00284BE1">
      <w:pPr>
        <w:pStyle w:val="ListParagraph"/>
        <w:numPr>
          <w:ilvl w:val="0"/>
          <w:numId w:val="20"/>
        </w:numPr>
        <w:rPr>
          <w:rFonts w:ascii="Times New Roman" w:hAnsi="Times New Roman"/>
          <w:sz w:val="24"/>
          <w:szCs w:val="24"/>
        </w:rPr>
      </w:pPr>
      <w:r w:rsidRPr="00284BE1">
        <w:rPr>
          <w:rFonts w:ascii="Times New Roman" w:hAnsi="Times New Roman"/>
          <w:sz w:val="24"/>
          <w:szCs w:val="24"/>
        </w:rPr>
        <w:t>the name of the</w:t>
      </w:r>
      <w:r w:rsidR="00412C06" w:rsidRPr="00284BE1">
        <w:rPr>
          <w:rFonts w:ascii="Times New Roman" w:hAnsi="Times New Roman"/>
          <w:sz w:val="24"/>
          <w:szCs w:val="24"/>
        </w:rPr>
        <w:t xml:space="preserve"> CSP</w:t>
      </w:r>
      <w:r w:rsidRPr="00284BE1">
        <w:rPr>
          <w:rFonts w:ascii="Times New Roman" w:hAnsi="Times New Roman"/>
          <w:sz w:val="24"/>
          <w:szCs w:val="24"/>
        </w:rPr>
        <w:t xml:space="preserve"> that provides </w:t>
      </w:r>
      <w:r w:rsidR="00E62698">
        <w:rPr>
          <w:rFonts w:ascii="Times New Roman" w:hAnsi="Times New Roman"/>
          <w:sz w:val="24"/>
          <w:szCs w:val="24"/>
        </w:rPr>
        <w:t>services for originating and terminating carriage services to the customer</w:t>
      </w:r>
      <w:r w:rsidRPr="00284BE1">
        <w:rPr>
          <w:rFonts w:ascii="Times New Roman" w:hAnsi="Times New Roman"/>
          <w:sz w:val="24"/>
          <w:szCs w:val="24"/>
        </w:rPr>
        <w:t xml:space="preserve"> or public mobile </w:t>
      </w:r>
      <w:r w:rsidR="00412C06" w:rsidRPr="00284BE1">
        <w:rPr>
          <w:rFonts w:ascii="Times New Roman" w:hAnsi="Times New Roman"/>
          <w:sz w:val="24"/>
          <w:szCs w:val="24"/>
        </w:rPr>
        <w:t xml:space="preserve">telecommunications </w:t>
      </w:r>
      <w:r w:rsidRPr="00284BE1">
        <w:rPr>
          <w:rFonts w:ascii="Times New Roman" w:hAnsi="Times New Roman"/>
          <w:sz w:val="24"/>
          <w:szCs w:val="24"/>
        </w:rPr>
        <w:t>services to the customer;</w:t>
      </w:r>
    </w:p>
    <w:p w14:paraId="10E5F017" w14:textId="6250D463" w:rsidR="00E62698" w:rsidRDefault="00683DBD" w:rsidP="00284BE1">
      <w:pPr>
        <w:pStyle w:val="ListParagraph"/>
        <w:numPr>
          <w:ilvl w:val="0"/>
          <w:numId w:val="20"/>
        </w:numPr>
        <w:rPr>
          <w:rFonts w:ascii="Times New Roman" w:hAnsi="Times New Roman"/>
          <w:sz w:val="24"/>
          <w:szCs w:val="24"/>
        </w:rPr>
      </w:pPr>
      <w:r w:rsidRPr="00284BE1">
        <w:rPr>
          <w:rFonts w:ascii="Times New Roman" w:hAnsi="Times New Roman"/>
          <w:sz w:val="24"/>
          <w:szCs w:val="24"/>
        </w:rPr>
        <w:t>whether the telephone is to be used for government, business, charitable or private purposes, if practicable; and</w:t>
      </w:r>
    </w:p>
    <w:p w14:paraId="5F39C7F8" w14:textId="51F0C9C2" w:rsidR="00E62698" w:rsidRPr="00284BE1" w:rsidRDefault="00683DBD" w:rsidP="00284BE1">
      <w:pPr>
        <w:pStyle w:val="ListParagraph"/>
        <w:numPr>
          <w:ilvl w:val="0"/>
          <w:numId w:val="20"/>
        </w:numPr>
        <w:rPr>
          <w:rFonts w:ascii="Times New Roman" w:hAnsi="Times New Roman"/>
          <w:sz w:val="24"/>
          <w:szCs w:val="24"/>
        </w:rPr>
      </w:pPr>
      <w:r w:rsidRPr="00284BE1">
        <w:rPr>
          <w:rFonts w:ascii="Times New Roman" w:hAnsi="Times New Roman"/>
          <w:sz w:val="24"/>
          <w:szCs w:val="24"/>
        </w:rPr>
        <w:t>any other information that the AC</w:t>
      </w:r>
      <w:r w:rsidR="007F7486" w:rsidRPr="00284BE1">
        <w:rPr>
          <w:rFonts w:ascii="Times New Roman" w:hAnsi="Times New Roman"/>
          <w:sz w:val="24"/>
          <w:szCs w:val="24"/>
        </w:rPr>
        <w:t>M</w:t>
      </w:r>
      <w:r w:rsidRPr="00284BE1">
        <w:rPr>
          <w:rFonts w:ascii="Times New Roman" w:hAnsi="Times New Roman"/>
          <w:sz w:val="24"/>
          <w:szCs w:val="24"/>
        </w:rPr>
        <w:t xml:space="preserve">A specifies in a written </w:t>
      </w:r>
      <w:r w:rsidR="00562118" w:rsidRPr="00284BE1">
        <w:rPr>
          <w:rFonts w:ascii="Times New Roman" w:hAnsi="Times New Roman"/>
          <w:sz w:val="24"/>
          <w:szCs w:val="24"/>
        </w:rPr>
        <w:t>notice to Telstra.</w:t>
      </w:r>
    </w:p>
    <w:p w14:paraId="7BBD882B" w14:textId="664AFE33" w:rsidR="009731A6" w:rsidRPr="00284BE1" w:rsidRDefault="00562118" w:rsidP="00E62698">
      <w:pPr>
        <w:rPr>
          <w:rFonts w:ascii="Times New Roman" w:hAnsi="Times New Roman"/>
          <w:sz w:val="24"/>
          <w:szCs w:val="24"/>
        </w:rPr>
      </w:pPr>
      <w:r w:rsidRPr="00284BE1">
        <w:rPr>
          <w:rFonts w:ascii="Times New Roman" w:hAnsi="Times New Roman"/>
          <w:sz w:val="24"/>
          <w:szCs w:val="24"/>
        </w:rPr>
        <w:t>This subsection</w:t>
      </w:r>
      <w:r w:rsidR="00683DBD" w:rsidRPr="00284BE1">
        <w:rPr>
          <w:rFonts w:ascii="Times New Roman" w:hAnsi="Times New Roman"/>
          <w:sz w:val="24"/>
          <w:szCs w:val="24"/>
        </w:rPr>
        <w:t xml:space="preserve"> describes information that </w:t>
      </w:r>
      <w:r w:rsidR="00E62698">
        <w:rPr>
          <w:rFonts w:ascii="Times New Roman" w:hAnsi="Times New Roman"/>
          <w:sz w:val="24"/>
          <w:szCs w:val="24"/>
        </w:rPr>
        <w:t>CSPs (including Telstra, in its capacity as a CSP) are</w:t>
      </w:r>
      <w:r w:rsidR="00683DBD" w:rsidRPr="00284BE1">
        <w:rPr>
          <w:rFonts w:ascii="Times New Roman" w:hAnsi="Times New Roman"/>
          <w:sz w:val="24"/>
          <w:szCs w:val="24"/>
        </w:rPr>
        <w:t xml:space="preserve"> reasonably required to provide to Telstra </w:t>
      </w:r>
      <w:r w:rsidR="005352B4" w:rsidRPr="00284BE1">
        <w:rPr>
          <w:rFonts w:ascii="Times New Roman" w:hAnsi="Times New Roman"/>
          <w:sz w:val="24"/>
          <w:szCs w:val="24"/>
        </w:rPr>
        <w:t xml:space="preserve">under </w:t>
      </w:r>
      <w:r w:rsidR="00515DB8">
        <w:rPr>
          <w:rFonts w:ascii="Times New Roman" w:hAnsi="Times New Roman"/>
          <w:sz w:val="24"/>
          <w:szCs w:val="24"/>
        </w:rPr>
        <w:t>subclause</w:t>
      </w:r>
      <w:r w:rsidR="00683DBD" w:rsidRPr="00284BE1">
        <w:rPr>
          <w:rFonts w:ascii="Times New Roman" w:hAnsi="Times New Roman"/>
          <w:sz w:val="24"/>
          <w:szCs w:val="24"/>
        </w:rPr>
        <w:t xml:space="preserve"> 10(2) of Part 4</w:t>
      </w:r>
      <w:r w:rsidR="009731A6" w:rsidRPr="00284BE1">
        <w:rPr>
          <w:rFonts w:ascii="Times New Roman" w:hAnsi="Times New Roman"/>
          <w:sz w:val="24"/>
          <w:szCs w:val="24"/>
        </w:rPr>
        <w:t xml:space="preserve"> of</w:t>
      </w:r>
      <w:r w:rsidR="00683DBD" w:rsidRPr="00284BE1">
        <w:rPr>
          <w:rFonts w:ascii="Times New Roman" w:hAnsi="Times New Roman"/>
          <w:sz w:val="24"/>
          <w:szCs w:val="24"/>
        </w:rPr>
        <w:t xml:space="preserve"> Schedule 2 to the Act</w:t>
      </w:r>
      <w:r w:rsidR="009731A6" w:rsidRPr="00284BE1">
        <w:rPr>
          <w:rFonts w:ascii="Times New Roman" w:hAnsi="Times New Roman"/>
          <w:sz w:val="24"/>
          <w:szCs w:val="24"/>
        </w:rPr>
        <w:t>.</w:t>
      </w:r>
    </w:p>
    <w:p w14:paraId="1ACFD73A" w14:textId="3B885553" w:rsidR="00683DBD" w:rsidRPr="002F164E" w:rsidRDefault="00683DBD" w:rsidP="00683DBD">
      <w:pPr>
        <w:rPr>
          <w:rFonts w:ascii="Times New Roman" w:hAnsi="Times New Roman"/>
          <w:sz w:val="24"/>
          <w:szCs w:val="24"/>
        </w:rPr>
      </w:pPr>
      <w:r w:rsidRPr="002F164E">
        <w:rPr>
          <w:rFonts w:ascii="Times New Roman" w:hAnsi="Times New Roman"/>
          <w:sz w:val="24"/>
          <w:szCs w:val="24"/>
        </w:rPr>
        <w:t>In order to meet the pu</w:t>
      </w:r>
      <w:r w:rsidR="005352B4" w:rsidRPr="002F164E">
        <w:rPr>
          <w:rFonts w:ascii="Times New Roman" w:hAnsi="Times New Roman"/>
          <w:sz w:val="24"/>
          <w:szCs w:val="24"/>
        </w:rPr>
        <w:t>rposes specified in subsection</w:t>
      </w:r>
      <w:r w:rsidR="00562118" w:rsidRPr="002F164E">
        <w:rPr>
          <w:rFonts w:ascii="Times New Roman" w:hAnsi="Times New Roman"/>
          <w:sz w:val="24"/>
          <w:szCs w:val="24"/>
        </w:rPr>
        <w:t>s 10(1) and 10(6</w:t>
      </w:r>
      <w:r w:rsidRPr="002F164E">
        <w:rPr>
          <w:rFonts w:ascii="Times New Roman" w:hAnsi="Times New Roman"/>
          <w:sz w:val="24"/>
          <w:szCs w:val="24"/>
        </w:rPr>
        <w:t xml:space="preserve">) of the Declaration, the information contained in the </w:t>
      </w:r>
      <w:r w:rsidR="00F854DB">
        <w:rPr>
          <w:rFonts w:ascii="Times New Roman" w:hAnsi="Times New Roman"/>
          <w:sz w:val="24"/>
          <w:szCs w:val="24"/>
        </w:rPr>
        <w:t>IPND</w:t>
      </w:r>
      <w:r w:rsidR="00F854DB" w:rsidRPr="002F164E">
        <w:rPr>
          <w:rFonts w:ascii="Times New Roman" w:hAnsi="Times New Roman"/>
          <w:sz w:val="24"/>
          <w:szCs w:val="24"/>
        </w:rPr>
        <w:t xml:space="preserve"> </w:t>
      </w:r>
      <w:r w:rsidRPr="002F164E">
        <w:rPr>
          <w:rFonts w:ascii="Times New Roman" w:hAnsi="Times New Roman"/>
          <w:sz w:val="24"/>
          <w:szCs w:val="24"/>
        </w:rPr>
        <w:t>must be updated and verified from time to time.</w:t>
      </w:r>
    </w:p>
    <w:p w14:paraId="080E5F80" w14:textId="2D684B3E" w:rsidR="00683DBD" w:rsidRPr="002F164E" w:rsidRDefault="00CB3057" w:rsidP="00683DBD">
      <w:pPr>
        <w:rPr>
          <w:rFonts w:ascii="Times New Roman" w:hAnsi="Times New Roman"/>
          <w:sz w:val="24"/>
          <w:szCs w:val="24"/>
        </w:rPr>
      </w:pPr>
      <w:r w:rsidRPr="002F164E">
        <w:rPr>
          <w:rFonts w:ascii="Times New Roman" w:hAnsi="Times New Roman"/>
          <w:sz w:val="24"/>
          <w:szCs w:val="24"/>
        </w:rPr>
        <w:t xml:space="preserve">The </w:t>
      </w:r>
      <w:r w:rsidR="00F854DB">
        <w:rPr>
          <w:rFonts w:ascii="Times New Roman" w:hAnsi="Times New Roman"/>
          <w:sz w:val="24"/>
          <w:szCs w:val="24"/>
        </w:rPr>
        <w:t xml:space="preserve">IPND </w:t>
      </w:r>
      <w:r w:rsidRPr="002F164E">
        <w:rPr>
          <w:rFonts w:ascii="Times New Roman" w:hAnsi="Times New Roman"/>
          <w:sz w:val="24"/>
          <w:szCs w:val="24"/>
        </w:rPr>
        <w:t xml:space="preserve">is also </w:t>
      </w:r>
      <w:r w:rsidR="00683DBD" w:rsidRPr="002F164E">
        <w:rPr>
          <w:rFonts w:ascii="Times New Roman" w:hAnsi="Times New Roman"/>
          <w:sz w:val="24"/>
          <w:szCs w:val="24"/>
        </w:rPr>
        <w:t>required to include:</w:t>
      </w:r>
    </w:p>
    <w:p w14:paraId="70DA6651" w14:textId="0831666E" w:rsidR="00CB3057" w:rsidRPr="002F164E" w:rsidRDefault="00683DBD" w:rsidP="003A1E64">
      <w:pPr>
        <w:pStyle w:val="ListParagraph"/>
        <w:numPr>
          <w:ilvl w:val="0"/>
          <w:numId w:val="3"/>
        </w:numPr>
        <w:rPr>
          <w:rFonts w:ascii="Times New Roman" w:hAnsi="Times New Roman"/>
          <w:sz w:val="24"/>
          <w:szCs w:val="24"/>
        </w:rPr>
      </w:pPr>
      <w:r w:rsidRPr="002F164E">
        <w:rPr>
          <w:rFonts w:ascii="Times New Roman" w:hAnsi="Times New Roman"/>
          <w:sz w:val="24"/>
          <w:szCs w:val="24"/>
        </w:rPr>
        <w:t>an indication of whether a public number is an unl</w:t>
      </w:r>
      <w:r w:rsidR="00CB3057" w:rsidRPr="002F164E">
        <w:rPr>
          <w:rFonts w:ascii="Times New Roman" w:hAnsi="Times New Roman"/>
          <w:sz w:val="24"/>
          <w:szCs w:val="24"/>
        </w:rPr>
        <w:t>isted number (subsection 10(4)); and</w:t>
      </w:r>
    </w:p>
    <w:p w14:paraId="4AAD4216" w14:textId="085A0806" w:rsidR="00683DBD" w:rsidRPr="002F164E" w:rsidRDefault="00683DBD" w:rsidP="003A1E64">
      <w:pPr>
        <w:pStyle w:val="ListParagraph"/>
        <w:numPr>
          <w:ilvl w:val="0"/>
          <w:numId w:val="3"/>
        </w:numPr>
        <w:rPr>
          <w:rFonts w:ascii="Times New Roman" w:hAnsi="Times New Roman"/>
          <w:sz w:val="24"/>
          <w:szCs w:val="24"/>
        </w:rPr>
      </w:pPr>
      <w:r w:rsidRPr="002F164E">
        <w:rPr>
          <w:rFonts w:ascii="Times New Roman" w:hAnsi="Times New Roman"/>
          <w:sz w:val="24"/>
          <w:szCs w:val="24"/>
        </w:rPr>
        <w:t>information on the public number an</w:t>
      </w:r>
      <w:r w:rsidR="00CB3057" w:rsidRPr="002F164E">
        <w:rPr>
          <w:rFonts w:ascii="Times New Roman" w:hAnsi="Times New Roman"/>
          <w:sz w:val="24"/>
          <w:szCs w:val="24"/>
        </w:rPr>
        <w:t>d location of payphones (subsection 10(5</w:t>
      </w:r>
      <w:r w:rsidRPr="002F164E">
        <w:rPr>
          <w:rFonts w:ascii="Times New Roman" w:hAnsi="Times New Roman"/>
          <w:sz w:val="24"/>
          <w:szCs w:val="24"/>
        </w:rPr>
        <w:t>)).</w:t>
      </w:r>
    </w:p>
    <w:p w14:paraId="6203FE19" w14:textId="783E2A04" w:rsidR="00E62698" w:rsidRDefault="00CB3057" w:rsidP="00683DBD">
      <w:pPr>
        <w:rPr>
          <w:rFonts w:ascii="Times New Roman" w:hAnsi="Times New Roman"/>
          <w:sz w:val="24"/>
          <w:szCs w:val="24"/>
        </w:rPr>
      </w:pPr>
      <w:r w:rsidRPr="002F164E">
        <w:rPr>
          <w:rFonts w:ascii="Times New Roman" w:hAnsi="Times New Roman"/>
          <w:sz w:val="24"/>
          <w:szCs w:val="24"/>
        </w:rPr>
        <w:t xml:space="preserve">Under subsection 10(6), </w:t>
      </w:r>
      <w:r w:rsidR="00683DBD" w:rsidRPr="002F164E">
        <w:rPr>
          <w:rFonts w:ascii="Times New Roman" w:hAnsi="Times New Roman"/>
          <w:sz w:val="24"/>
          <w:szCs w:val="24"/>
        </w:rPr>
        <w:t>T</w:t>
      </w:r>
      <w:r w:rsidRPr="002F164E">
        <w:rPr>
          <w:rFonts w:ascii="Times New Roman" w:hAnsi="Times New Roman"/>
          <w:sz w:val="24"/>
          <w:szCs w:val="24"/>
        </w:rPr>
        <w:t>elstra is</w:t>
      </w:r>
      <w:r w:rsidR="00683DBD" w:rsidRPr="002F164E">
        <w:rPr>
          <w:rFonts w:ascii="Times New Roman" w:hAnsi="Times New Roman"/>
          <w:sz w:val="24"/>
          <w:szCs w:val="24"/>
        </w:rPr>
        <w:t xml:space="preserve"> required to provide access to information from the database to any </w:t>
      </w:r>
      <w:r w:rsidR="000F16D7">
        <w:rPr>
          <w:rFonts w:ascii="Times New Roman" w:hAnsi="Times New Roman"/>
          <w:sz w:val="24"/>
          <w:szCs w:val="24"/>
        </w:rPr>
        <w:t>CSP</w:t>
      </w:r>
      <w:r w:rsidR="00683DBD" w:rsidRPr="002F164E">
        <w:rPr>
          <w:rFonts w:ascii="Times New Roman" w:hAnsi="Times New Roman"/>
          <w:sz w:val="24"/>
          <w:szCs w:val="24"/>
        </w:rPr>
        <w:t xml:space="preserve"> which makes a request for such access where that information is to be used only for the purpose of helping the provider to</w:t>
      </w:r>
      <w:r w:rsidR="00E62698">
        <w:rPr>
          <w:rFonts w:ascii="Times New Roman" w:hAnsi="Times New Roman"/>
          <w:sz w:val="24"/>
          <w:szCs w:val="24"/>
        </w:rPr>
        <w:t>:</w:t>
      </w:r>
    </w:p>
    <w:p w14:paraId="2EF6369F" w14:textId="61B46426" w:rsidR="00E62698" w:rsidRPr="00284BE1" w:rsidRDefault="00E62698" w:rsidP="00284BE1">
      <w:pPr>
        <w:pStyle w:val="ListParagraph"/>
        <w:numPr>
          <w:ilvl w:val="0"/>
          <w:numId w:val="3"/>
        </w:numPr>
        <w:rPr>
          <w:sz w:val="24"/>
          <w:szCs w:val="24"/>
        </w:rPr>
      </w:pPr>
      <w:r w:rsidRPr="00284BE1">
        <w:rPr>
          <w:rFonts w:ascii="Times New Roman" w:hAnsi="Times New Roman"/>
          <w:sz w:val="24"/>
          <w:szCs w:val="24"/>
        </w:rPr>
        <w:t>provide its own directory assistance services</w:t>
      </w:r>
      <w:r w:rsidR="00515DB8">
        <w:rPr>
          <w:rFonts w:ascii="Times New Roman" w:hAnsi="Times New Roman"/>
          <w:sz w:val="24"/>
          <w:szCs w:val="24"/>
        </w:rPr>
        <w:t>;</w:t>
      </w:r>
    </w:p>
    <w:p w14:paraId="369A2C82" w14:textId="2EE12ABB" w:rsidR="00E62698" w:rsidRPr="00284BE1" w:rsidRDefault="00E62698" w:rsidP="00284BE1">
      <w:pPr>
        <w:pStyle w:val="ListParagraph"/>
        <w:numPr>
          <w:ilvl w:val="0"/>
          <w:numId w:val="3"/>
        </w:numPr>
        <w:rPr>
          <w:sz w:val="24"/>
          <w:szCs w:val="24"/>
        </w:rPr>
      </w:pPr>
      <w:r w:rsidRPr="00284BE1">
        <w:rPr>
          <w:rFonts w:ascii="Times New Roman" w:hAnsi="Times New Roman"/>
          <w:sz w:val="24"/>
          <w:szCs w:val="24"/>
        </w:rPr>
        <w:t>provide its own operator services or operator assistance services</w:t>
      </w:r>
      <w:r w:rsidR="00515DB8">
        <w:rPr>
          <w:rFonts w:ascii="Times New Roman" w:hAnsi="Times New Roman"/>
          <w:sz w:val="24"/>
          <w:szCs w:val="24"/>
        </w:rPr>
        <w:t>;</w:t>
      </w:r>
    </w:p>
    <w:p w14:paraId="53AA3A49" w14:textId="60F797C5" w:rsidR="00E62698" w:rsidRPr="00284BE1" w:rsidRDefault="00E62698" w:rsidP="00284BE1">
      <w:pPr>
        <w:pStyle w:val="ListParagraph"/>
        <w:numPr>
          <w:ilvl w:val="0"/>
          <w:numId w:val="3"/>
        </w:numPr>
        <w:rPr>
          <w:sz w:val="24"/>
          <w:szCs w:val="24"/>
        </w:rPr>
      </w:pPr>
      <w:r w:rsidRPr="00284BE1">
        <w:rPr>
          <w:rFonts w:ascii="Times New Roman" w:hAnsi="Times New Roman"/>
          <w:sz w:val="24"/>
          <w:szCs w:val="24"/>
        </w:rPr>
        <w:t>produce a public number directory</w:t>
      </w:r>
      <w:r w:rsidR="00515DB8">
        <w:rPr>
          <w:rFonts w:ascii="Times New Roman" w:hAnsi="Times New Roman"/>
          <w:sz w:val="24"/>
          <w:szCs w:val="24"/>
        </w:rPr>
        <w:t>;</w:t>
      </w:r>
    </w:p>
    <w:p w14:paraId="448AF22A" w14:textId="09E6FF94" w:rsidR="00E62698" w:rsidRPr="00284BE1" w:rsidRDefault="00E62698" w:rsidP="00284BE1">
      <w:pPr>
        <w:pStyle w:val="ListParagraph"/>
        <w:numPr>
          <w:ilvl w:val="0"/>
          <w:numId w:val="3"/>
        </w:numPr>
        <w:rPr>
          <w:sz w:val="24"/>
          <w:szCs w:val="24"/>
        </w:rPr>
      </w:pPr>
      <w:r w:rsidRPr="00284BE1">
        <w:rPr>
          <w:rFonts w:ascii="Times New Roman" w:hAnsi="Times New Roman"/>
          <w:sz w:val="24"/>
          <w:szCs w:val="24"/>
        </w:rPr>
        <w:t>provide its own location dependent carriage services</w:t>
      </w:r>
      <w:r w:rsidR="00515DB8">
        <w:rPr>
          <w:rFonts w:ascii="Times New Roman" w:hAnsi="Times New Roman"/>
          <w:sz w:val="24"/>
          <w:szCs w:val="24"/>
        </w:rPr>
        <w:t>;</w:t>
      </w:r>
    </w:p>
    <w:p w14:paraId="21790176" w14:textId="77777777" w:rsidR="00E62698" w:rsidRPr="00284BE1" w:rsidRDefault="00E62698" w:rsidP="00284BE1">
      <w:pPr>
        <w:pStyle w:val="ListParagraph"/>
        <w:numPr>
          <w:ilvl w:val="0"/>
          <w:numId w:val="3"/>
        </w:numPr>
        <w:rPr>
          <w:sz w:val="24"/>
          <w:szCs w:val="24"/>
        </w:rPr>
      </w:pPr>
      <w:r w:rsidRPr="00284BE1">
        <w:rPr>
          <w:rFonts w:ascii="Times New Roman" w:hAnsi="Times New Roman"/>
          <w:sz w:val="24"/>
          <w:szCs w:val="24"/>
        </w:rPr>
        <w:t>provide information for the operation of emergency call services or assisting emergency services or emergency warnings under Part 13 of the Act; or</w:t>
      </w:r>
    </w:p>
    <w:p w14:paraId="3A39DB4B" w14:textId="77777777" w:rsidR="00E62698" w:rsidRPr="00284BE1" w:rsidRDefault="00E62698" w:rsidP="00284BE1">
      <w:pPr>
        <w:pStyle w:val="ListParagraph"/>
        <w:numPr>
          <w:ilvl w:val="0"/>
          <w:numId w:val="3"/>
        </w:numPr>
        <w:rPr>
          <w:sz w:val="24"/>
          <w:szCs w:val="24"/>
        </w:rPr>
      </w:pPr>
      <w:r w:rsidRPr="00284BE1">
        <w:rPr>
          <w:rFonts w:ascii="Times New Roman" w:hAnsi="Times New Roman"/>
          <w:sz w:val="24"/>
          <w:szCs w:val="24"/>
        </w:rPr>
        <w:t>to satisfy its obligations under section 313(3) or (4) of Part 14 of the Act.</w:t>
      </w:r>
    </w:p>
    <w:p w14:paraId="73CD2FF0" w14:textId="153D1429" w:rsidR="00683DBD" w:rsidRPr="002F164E" w:rsidRDefault="004769D6" w:rsidP="00683DBD">
      <w:pPr>
        <w:rPr>
          <w:rFonts w:ascii="Times New Roman" w:hAnsi="Times New Roman"/>
          <w:sz w:val="24"/>
          <w:szCs w:val="24"/>
        </w:rPr>
      </w:pPr>
      <w:r w:rsidRPr="006C2704">
        <w:rPr>
          <w:rFonts w:ascii="Times New Roman" w:hAnsi="Times New Roman"/>
          <w:sz w:val="24"/>
          <w:szCs w:val="24"/>
        </w:rPr>
        <w:t xml:space="preserve">In addition, Telstra is required to provide access to information </w:t>
      </w:r>
      <w:r w:rsidR="00A74A1F">
        <w:rPr>
          <w:rFonts w:ascii="Times New Roman" w:hAnsi="Times New Roman"/>
          <w:sz w:val="24"/>
          <w:szCs w:val="24"/>
        </w:rPr>
        <w:t xml:space="preserve">to </w:t>
      </w:r>
      <w:r w:rsidR="00E62698">
        <w:rPr>
          <w:rFonts w:ascii="Times New Roman" w:hAnsi="Times New Roman"/>
          <w:sz w:val="24"/>
          <w:szCs w:val="24"/>
        </w:rPr>
        <w:t xml:space="preserve">CSPs </w:t>
      </w:r>
      <w:r w:rsidRPr="006C2704">
        <w:rPr>
          <w:rFonts w:ascii="Times New Roman" w:hAnsi="Times New Roman"/>
          <w:sz w:val="24"/>
          <w:szCs w:val="24"/>
        </w:rPr>
        <w:t>connected to the matters mentioned in paragraphs 11(7</w:t>
      </w:r>
      <w:r w:rsidR="00F854DB" w:rsidRPr="006C2704">
        <w:rPr>
          <w:rFonts w:ascii="Times New Roman" w:hAnsi="Times New Roman"/>
          <w:sz w:val="24"/>
          <w:szCs w:val="24"/>
        </w:rPr>
        <w:t>)(</w:t>
      </w:r>
      <w:r w:rsidRPr="006C2704">
        <w:rPr>
          <w:rFonts w:ascii="Times New Roman" w:hAnsi="Times New Roman"/>
          <w:sz w:val="24"/>
          <w:szCs w:val="24"/>
        </w:rPr>
        <w:t>a), 11(7</w:t>
      </w:r>
      <w:r w:rsidR="00F854DB" w:rsidRPr="006C2704">
        <w:rPr>
          <w:rFonts w:ascii="Times New Roman" w:hAnsi="Times New Roman"/>
          <w:sz w:val="24"/>
          <w:szCs w:val="24"/>
        </w:rPr>
        <w:t>)(</w:t>
      </w:r>
      <w:r w:rsidRPr="006C2704">
        <w:rPr>
          <w:rFonts w:ascii="Times New Roman" w:hAnsi="Times New Roman"/>
          <w:sz w:val="24"/>
          <w:szCs w:val="24"/>
        </w:rPr>
        <w:t>b), 11(7</w:t>
      </w:r>
      <w:r w:rsidR="00F854DB" w:rsidRPr="006C2704">
        <w:rPr>
          <w:rFonts w:ascii="Times New Roman" w:hAnsi="Times New Roman"/>
          <w:sz w:val="24"/>
          <w:szCs w:val="24"/>
        </w:rPr>
        <w:t>)(</w:t>
      </w:r>
      <w:r w:rsidRPr="006C2704">
        <w:rPr>
          <w:rFonts w:ascii="Times New Roman" w:hAnsi="Times New Roman"/>
          <w:sz w:val="24"/>
          <w:szCs w:val="24"/>
        </w:rPr>
        <w:t>c) and 11(7</w:t>
      </w:r>
      <w:r w:rsidR="00F854DB" w:rsidRPr="006C2704">
        <w:rPr>
          <w:rFonts w:ascii="Times New Roman" w:hAnsi="Times New Roman"/>
          <w:sz w:val="24"/>
          <w:szCs w:val="24"/>
        </w:rPr>
        <w:t>)(</w:t>
      </w:r>
      <w:r w:rsidRPr="006C2704">
        <w:rPr>
          <w:rFonts w:ascii="Times New Roman" w:hAnsi="Times New Roman"/>
          <w:sz w:val="24"/>
          <w:szCs w:val="24"/>
        </w:rPr>
        <w:t xml:space="preserve">d) of the </w:t>
      </w:r>
      <w:r w:rsidR="00F854DB" w:rsidRPr="006C2704">
        <w:rPr>
          <w:rFonts w:ascii="Times New Roman" w:hAnsi="Times New Roman"/>
          <w:sz w:val="24"/>
          <w:szCs w:val="24"/>
        </w:rPr>
        <w:t xml:space="preserve">Declaration </w:t>
      </w:r>
      <w:r w:rsidRPr="006C2704">
        <w:rPr>
          <w:rFonts w:ascii="Times New Roman" w:hAnsi="Times New Roman"/>
          <w:sz w:val="24"/>
          <w:szCs w:val="24"/>
        </w:rPr>
        <w:t>that relate to the disclosure of specified premises location information to NBN Co</w:t>
      </w:r>
      <w:r w:rsidR="00B30D57" w:rsidRPr="006C2704">
        <w:rPr>
          <w:rFonts w:ascii="Times New Roman" w:hAnsi="Times New Roman"/>
          <w:sz w:val="24"/>
          <w:szCs w:val="24"/>
        </w:rPr>
        <w:t xml:space="preserve"> Limited (NBN Co)</w:t>
      </w:r>
      <w:r w:rsidR="00E62698">
        <w:rPr>
          <w:rFonts w:ascii="Times New Roman" w:hAnsi="Times New Roman"/>
          <w:sz w:val="24"/>
          <w:szCs w:val="24"/>
        </w:rPr>
        <w:t>, or undertake any other activities specified by the ACMA by written notice to Telstra</w:t>
      </w:r>
      <w:r w:rsidRPr="006C2704">
        <w:rPr>
          <w:rFonts w:ascii="Times New Roman" w:hAnsi="Times New Roman"/>
          <w:sz w:val="24"/>
          <w:szCs w:val="24"/>
        </w:rPr>
        <w:t>.</w:t>
      </w:r>
    </w:p>
    <w:p w14:paraId="57B67E3A" w14:textId="10BF8BBB" w:rsidR="00683DBD" w:rsidRPr="001A3B57" w:rsidRDefault="008C00CC" w:rsidP="00683DBD">
      <w:pPr>
        <w:rPr>
          <w:rFonts w:ascii="Times New Roman" w:hAnsi="Times New Roman"/>
          <w:sz w:val="24"/>
          <w:szCs w:val="24"/>
        </w:rPr>
      </w:pPr>
      <w:r w:rsidRPr="001A3B57">
        <w:rPr>
          <w:rFonts w:ascii="Times New Roman" w:hAnsi="Times New Roman"/>
          <w:sz w:val="24"/>
          <w:szCs w:val="24"/>
        </w:rPr>
        <w:t>Subsection 10(7)</w:t>
      </w:r>
      <w:r w:rsidR="00683DBD" w:rsidRPr="001A3B57">
        <w:rPr>
          <w:rFonts w:ascii="Times New Roman" w:hAnsi="Times New Roman"/>
          <w:sz w:val="24"/>
          <w:szCs w:val="24"/>
        </w:rPr>
        <w:t xml:space="preserve"> makes clear that</w:t>
      </w:r>
      <w:r w:rsidRPr="001A3B57">
        <w:rPr>
          <w:rFonts w:ascii="Times New Roman" w:hAnsi="Times New Roman"/>
          <w:sz w:val="24"/>
          <w:szCs w:val="24"/>
        </w:rPr>
        <w:t xml:space="preserve"> Telstra is</w:t>
      </w:r>
      <w:r w:rsidR="00683DBD" w:rsidRPr="001A3B57">
        <w:rPr>
          <w:rFonts w:ascii="Times New Roman" w:hAnsi="Times New Roman"/>
          <w:sz w:val="24"/>
          <w:szCs w:val="24"/>
        </w:rPr>
        <w:t xml:space="preserve"> required to give information from the database about its own and other </w:t>
      </w:r>
      <w:r w:rsidR="009731A6">
        <w:rPr>
          <w:rFonts w:ascii="Times New Roman" w:hAnsi="Times New Roman"/>
          <w:sz w:val="24"/>
          <w:szCs w:val="24"/>
        </w:rPr>
        <w:t>CSP</w:t>
      </w:r>
      <w:r w:rsidR="00683DBD" w:rsidRPr="001A3B57">
        <w:rPr>
          <w:rFonts w:ascii="Times New Roman" w:hAnsi="Times New Roman"/>
          <w:sz w:val="24"/>
          <w:szCs w:val="24"/>
        </w:rPr>
        <w:t xml:space="preserve">s' customers where this is necessary to comply with requirements under </w:t>
      </w:r>
      <w:r w:rsidR="00A74A1F">
        <w:rPr>
          <w:rFonts w:ascii="Times New Roman" w:hAnsi="Times New Roman"/>
          <w:sz w:val="24"/>
          <w:szCs w:val="24"/>
        </w:rPr>
        <w:t>subsection 313(3) and (4) of the Act, that is,</w:t>
      </w:r>
      <w:r w:rsidR="00683DBD" w:rsidRPr="001A3B57">
        <w:rPr>
          <w:rFonts w:ascii="Times New Roman" w:hAnsi="Times New Roman"/>
          <w:sz w:val="24"/>
          <w:szCs w:val="24"/>
        </w:rPr>
        <w:t xml:space="preserve"> to give officers and authorities of the Commonwealth, States and Territories reasonably necessary assistance for the purposes of enforcing the criminal law and laws imposing pecuniary penalties; </w:t>
      </w:r>
      <w:r w:rsidR="00A74A1F">
        <w:rPr>
          <w:rFonts w:ascii="Times New Roman" w:hAnsi="Times New Roman"/>
          <w:sz w:val="24"/>
          <w:szCs w:val="24"/>
        </w:rPr>
        <w:t xml:space="preserve">assisting the investigation and prosecution of crimes within the jurisdiction of the International Criminal Court and Tribunal offices within the meaning of the </w:t>
      </w:r>
      <w:r w:rsidR="00A74A1F" w:rsidRPr="007E63E2">
        <w:rPr>
          <w:rFonts w:ascii="Times New Roman" w:hAnsi="Times New Roman"/>
          <w:i/>
          <w:sz w:val="24"/>
          <w:szCs w:val="24"/>
        </w:rPr>
        <w:t>International War Crimes Tribunals Act 1995</w:t>
      </w:r>
      <w:r w:rsidR="00A74A1F">
        <w:rPr>
          <w:rFonts w:ascii="Times New Roman" w:hAnsi="Times New Roman"/>
          <w:i/>
          <w:sz w:val="24"/>
          <w:szCs w:val="24"/>
        </w:rPr>
        <w:t xml:space="preserve">; </w:t>
      </w:r>
      <w:r w:rsidR="00683DBD" w:rsidRPr="001A3B57">
        <w:rPr>
          <w:rFonts w:ascii="Times New Roman" w:hAnsi="Times New Roman"/>
          <w:sz w:val="24"/>
          <w:szCs w:val="24"/>
        </w:rPr>
        <w:t>protecting the public revenue; or safeguarding national security.</w:t>
      </w:r>
      <w:r w:rsidR="00A74A1F" w:rsidRPr="001A3B57" w:rsidDel="00A74A1F">
        <w:rPr>
          <w:rFonts w:ascii="Times New Roman" w:hAnsi="Times New Roman"/>
          <w:sz w:val="24"/>
          <w:szCs w:val="24"/>
        </w:rPr>
        <w:t xml:space="preserve"> </w:t>
      </w:r>
    </w:p>
    <w:p w14:paraId="3E975A49" w14:textId="1D8CD90C" w:rsidR="00683DBD" w:rsidRPr="002F164E" w:rsidRDefault="00A74A1F" w:rsidP="00683DBD">
      <w:pPr>
        <w:rPr>
          <w:rFonts w:ascii="Times New Roman" w:hAnsi="Times New Roman"/>
          <w:sz w:val="24"/>
          <w:szCs w:val="24"/>
        </w:rPr>
      </w:pPr>
      <w:r>
        <w:rPr>
          <w:rFonts w:ascii="Times New Roman" w:hAnsi="Times New Roman"/>
          <w:sz w:val="24"/>
          <w:szCs w:val="24"/>
        </w:rPr>
        <w:t>Under subsection 10(8), t</w:t>
      </w:r>
      <w:r w:rsidR="00683DBD" w:rsidRPr="002F164E">
        <w:rPr>
          <w:rFonts w:ascii="Times New Roman" w:hAnsi="Times New Roman"/>
          <w:sz w:val="24"/>
          <w:szCs w:val="24"/>
        </w:rPr>
        <w:t>he terms and conditions on which access</w:t>
      </w:r>
      <w:r w:rsidR="005352B4" w:rsidRPr="002F164E">
        <w:rPr>
          <w:rFonts w:ascii="Times New Roman" w:hAnsi="Times New Roman"/>
          <w:sz w:val="24"/>
          <w:szCs w:val="24"/>
        </w:rPr>
        <w:t xml:space="preserve"> is provided under subsection</w:t>
      </w:r>
      <w:r w:rsidR="008C00CC" w:rsidRPr="002F164E">
        <w:rPr>
          <w:rFonts w:ascii="Times New Roman" w:hAnsi="Times New Roman"/>
          <w:sz w:val="24"/>
          <w:szCs w:val="24"/>
        </w:rPr>
        <w:t xml:space="preserve"> 10(</w:t>
      </w:r>
      <w:r>
        <w:rPr>
          <w:rFonts w:ascii="Times New Roman" w:hAnsi="Times New Roman"/>
          <w:sz w:val="24"/>
          <w:szCs w:val="24"/>
        </w:rPr>
        <w:t>6</w:t>
      </w:r>
      <w:r w:rsidR="008C00CC" w:rsidRPr="002F164E">
        <w:rPr>
          <w:rFonts w:ascii="Times New Roman" w:hAnsi="Times New Roman"/>
          <w:sz w:val="24"/>
          <w:szCs w:val="24"/>
        </w:rPr>
        <w:t>)</w:t>
      </w:r>
      <w:r w:rsidR="00683DBD" w:rsidRPr="002F164E">
        <w:rPr>
          <w:rFonts w:ascii="Times New Roman" w:hAnsi="Times New Roman"/>
          <w:sz w:val="24"/>
          <w:szCs w:val="24"/>
        </w:rPr>
        <w:t xml:space="preserve"> are to be agreed between the parties or, failing agreement, as determined by an arbitrator or the </w:t>
      </w:r>
      <w:r w:rsidR="00CC2C5E">
        <w:rPr>
          <w:rFonts w:ascii="Times New Roman" w:hAnsi="Times New Roman"/>
          <w:sz w:val="24"/>
          <w:szCs w:val="24"/>
        </w:rPr>
        <w:t>ACCC</w:t>
      </w:r>
      <w:r w:rsidR="00683DBD" w:rsidRPr="002F164E">
        <w:rPr>
          <w:rFonts w:ascii="Times New Roman" w:hAnsi="Times New Roman"/>
          <w:sz w:val="24"/>
          <w:szCs w:val="24"/>
        </w:rPr>
        <w:t xml:space="preserve">. Access to the database is also to be subject to the privacy </w:t>
      </w:r>
      <w:r w:rsidR="004769D6" w:rsidRPr="002F164E">
        <w:rPr>
          <w:rFonts w:ascii="Times New Roman" w:hAnsi="Times New Roman"/>
          <w:sz w:val="24"/>
          <w:szCs w:val="24"/>
        </w:rPr>
        <w:t>provisions included</w:t>
      </w:r>
      <w:r w:rsidR="00683DBD" w:rsidRPr="002F164E">
        <w:rPr>
          <w:rFonts w:ascii="Times New Roman" w:hAnsi="Times New Roman"/>
          <w:sz w:val="24"/>
          <w:szCs w:val="24"/>
        </w:rPr>
        <w:t xml:space="preserve"> in P</w:t>
      </w:r>
      <w:r w:rsidR="00515DB8">
        <w:rPr>
          <w:rFonts w:ascii="Times New Roman" w:hAnsi="Times New Roman"/>
          <w:sz w:val="24"/>
          <w:szCs w:val="24"/>
        </w:rPr>
        <w:t xml:space="preserve">art 13 </w:t>
      </w:r>
      <w:r w:rsidR="004769D6" w:rsidRPr="002F164E">
        <w:rPr>
          <w:rFonts w:ascii="Times New Roman" w:hAnsi="Times New Roman"/>
          <w:sz w:val="24"/>
          <w:szCs w:val="24"/>
        </w:rPr>
        <w:t>and Part 14 of the Act</w:t>
      </w:r>
      <w:r w:rsidR="00683DBD" w:rsidRPr="002F164E">
        <w:rPr>
          <w:rFonts w:ascii="Times New Roman" w:hAnsi="Times New Roman"/>
          <w:sz w:val="24"/>
          <w:szCs w:val="24"/>
        </w:rPr>
        <w:t>.</w:t>
      </w:r>
    </w:p>
    <w:p w14:paraId="220E4012" w14:textId="5BA2F5CA" w:rsidR="00683DBD" w:rsidRPr="002F164E" w:rsidRDefault="00EF7A08" w:rsidP="00683DBD">
      <w:pPr>
        <w:rPr>
          <w:rFonts w:ascii="Times New Roman" w:hAnsi="Times New Roman"/>
          <w:sz w:val="24"/>
          <w:szCs w:val="24"/>
        </w:rPr>
      </w:pPr>
      <w:r w:rsidRPr="002F164E">
        <w:rPr>
          <w:rFonts w:ascii="Times New Roman" w:hAnsi="Times New Roman"/>
          <w:sz w:val="24"/>
          <w:szCs w:val="24"/>
        </w:rPr>
        <w:t>Under subsection 10(9), i</w:t>
      </w:r>
      <w:r w:rsidR="004769D6" w:rsidRPr="002F164E">
        <w:rPr>
          <w:rFonts w:ascii="Times New Roman" w:hAnsi="Times New Roman"/>
          <w:sz w:val="24"/>
          <w:szCs w:val="24"/>
        </w:rPr>
        <w:t xml:space="preserve">n determining </w:t>
      </w:r>
      <w:r w:rsidR="00683DBD" w:rsidRPr="002F164E">
        <w:rPr>
          <w:rFonts w:ascii="Times New Roman" w:hAnsi="Times New Roman"/>
          <w:sz w:val="24"/>
          <w:szCs w:val="24"/>
        </w:rPr>
        <w:t>the price or price-relate</w:t>
      </w:r>
      <w:r w:rsidR="004769D6" w:rsidRPr="002F164E">
        <w:rPr>
          <w:rFonts w:ascii="Times New Roman" w:hAnsi="Times New Roman"/>
          <w:sz w:val="24"/>
          <w:szCs w:val="24"/>
        </w:rPr>
        <w:t>d conditions of access</w:t>
      </w:r>
      <w:r w:rsidR="00A74A1F">
        <w:rPr>
          <w:rFonts w:ascii="Times New Roman" w:hAnsi="Times New Roman"/>
          <w:sz w:val="24"/>
          <w:szCs w:val="24"/>
        </w:rPr>
        <w:t xml:space="preserve"> under subparagraph 19(8)(a)(ii) or (iii), an arbitrator or</w:t>
      </w:r>
      <w:r w:rsidR="004769D6" w:rsidRPr="002F164E">
        <w:rPr>
          <w:rFonts w:ascii="Times New Roman" w:hAnsi="Times New Roman"/>
          <w:sz w:val="24"/>
          <w:szCs w:val="24"/>
        </w:rPr>
        <w:t xml:space="preserve"> the </w:t>
      </w:r>
      <w:r w:rsidR="00CC2C5E">
        <w:rPr>
          <w:rFonts w:ascii="Times New Roman" w:hAnsi="Times New Roman"/>
          <w:sz w:val="24"/>
          <w:szCs w:val="24"/>
        </w:rPr>
        <w:t>ACCC</w:t>
      </w:r>
      <w:r w:rsidRPr="002F164E">
        <w:rPr>
          <w:rFonts w:ascii="Times New Roman" w:hAnsi="Times New Roman"/>
          <w:sz w:val="24"/>
          <w:szCs w:val="24"/>
        </w:rPr>
        <w:t xml:space="preserve"> is</w:t>
      </w:r>
      <w:r w:rsidR="00683DBD" w:rsidRPr="002F164E">
        <w:rPr>
          <w:rFonts w:ascii="Times New Roman" w:hAnsi="Times New Roman"/>
          <w:sz w:val="24"/>
          <w:szCs w:val="24"/>
        </w:rPr>
        <w:t xml:space="preserve"> required to consider only the direct costs (including labour and direct administration costs) in</w:t>
      </w:r>
      <w:r w:rsidR="004769D6" w:rsidRPr="002F164E">
        <w:rPr>
          <w:rFonts w:ascii="Times New Roman" w:hAnsi="Times New Roman"/>
          <w:sz w:val="24"/>
          <w:szCs w:val="24"/>
        </w:rPr>
        <w:t xml:space="preserve">curred by </w:t>
      </w:r>
      <w:r w:rsidR="005352B4" w:rsidRPr="002F164E">
        <w:rPr>
          <w:rFonts w:ascii="Times New Roman" w:hAnsi="Times New Roman"/>
          <w:sz w:val="24"/>
          <w:szCs w:val="24"/>
        </w:rPr>
        <w:t>Telstra in complying with subsection</w:t>
      </w:r>
      <w:r w:rsidR="004769D6" w:rsidRPr="002F164E">
        <w:rPr>
          <w:rFonts w:ascii="Times New Roman" w:hAnsi="Times New Roman"/>
          <w:sz w:val="24"/>
          <w:szCs w:val="24"/>
        </w:rPr>
        <w:t xml:space="preserve"> 10(</w:t>
      </w:r>
      <w:r w:rsidR="001A3B57">
        <w:rPr>
          <w:rFonts w:ascii="Times New Roman" w:hAnsi="Times New Roman"/>
          <w:sz w:val="24"/>
          <w:szCs w:val="24"/>
        </w:rPr>
        <w:t>7</w:t>
      </w:r>
      <w:r w:rsidR="00683DBD" w:rsidRPr="002F164E">
        <w:rPr>
          <w:rFonts w:ascii="Times New Roman" w:hAnsi="Times New Roman"/>
          <w:sz w:val="24"/>
          <w:szCs w:val="24"/>
        </w:rPr>
        <w:t xml:space="preserve">) and a reasonable contribution to </w:t>
      </w:r>
      <w:r w:rsidR="004769D6" w:rsidRPr="002F164E">
        <w:rPr>
          <w:rFonts w:ascii="Times New Roman" w:hAnsi="Times New Roman"/>
          <w:sz w:val="24"/>
          <w:szCs w:val="24"/>
        </w:rPr>
        <w:t>a normal return of the capital expended</w:t>
      </w:r>
      <w:r w:rsidRPr="002F164E">
        <w:rPr>
          <w:rFonts w:ascii="Times New Roman" w:hAnsi="Times New Roman"/>
          <w:sz w:val="24"/>
          <w:szCs w:val="24"/>
        </w:rPr>
        <w:t xml:space="preserve"> in establishing</w:t>
      </w:r>
      <w:r w:rsidR="00683DBD" w:rsidRPr="002F164E">
        <w:rPr>
          <w:rFonts w:ascii="Times New Roman" w:hAnsi="Times New Roman"/>
          <w:sz w:val="24"/>
          <w:szCs w:val="24"/>
        </w:rPr>
        <w:t xml:space="preserve"> and maintainin</w:t>
      </w:r>
      <w:r w:rsidRPr="002F164E">
        <w:rPr>
          <w:rFonts w:ascii="Times New Roman" w:hAnsi="Times New Roman"/>
          <w:sz w:val="24"/>
          <w:szCs w:val="24"/>
        </w:rPr>
        <w:t>g the database.</w:t>
      </w:r>
    </w:p>
    <w:p w14:paraId="17BCBED2" w14:textId="3F6F55F6" w:rsidR="00683DBD" w:rsidRPr="002F164E" w:rsidRDefault="00EF7A08" w:rsidP="00683DBD">
      <w:pPr>
        <w:rPr>
          <w:rFonts w:ascii="Times New Roman" w:hAnsi="Times New Roman"/>
          <w:sz w:val="24"/>
          <w:szCs w:val="24"/>
        </w:rPr>
      </w:pPr>
      <w:r w:rsidRPr="002F164E">
        <w:rPr>
          <w:rFonts w:ascii="Times New Roman" w:hAnsi="Times New Roman"/>
          <w:sz w:val="24"/>
          <w:szCs w:val="24"/>
        </w:rPr>
        <w:t xml:space="preserve">Under subsections 10(10) and 10(11), a </w:t>
      </w:r>
      <w:r w:rsidR="00683DBD" w:rsidRPr="002F164E">
        <w:rPr>
          <w:rFonts w:ascii="Times New Roman" w:hAnsi="Times New Roman"/>
          <w:sz w:val="24"/>
          <w:szCs w:val="24"/>
        </w:rPr>
        <w:t>re</w:t>
      </w:r>
      <w:r w:rsidR="005352B4" w:rsidRPr="002F164E">
        <w:rPr>
          <w:rFonts w:ascii="Times New Roman" w:hAnsi="Times New Roman"/>
          <w:sz w:val="24"/>
          <w:szCs w:val="24"/>
        </w:rPr>
        <w:t>quest for access under subsection</w:t>
      </w:r>
      <w:r w:rsidRPr="002F164E">
        <w:rPr>
          <w:rFonts w:ascii="Times New Roman" w:hAnsi="Times New Roman"/>
          <w:sz w:val="24"/>
          <w:szCs w:val="24"/>
        </w:rPr>
        <w:t xml:space="preserve"> 10(6</w:t>
      </w:r>
      <w:r w:rsidR="00683DBD" w:rsidRPr="002F164E">
        <w:rPr>
          <w:rFonts w:ascii="Times New Roman" w:hAnsi="Times New Roman"/>
          <w:sz w:val="24"/>
          <w:szCs w:val="24"/>
        </w:rPr>
        <w:t>)</w:t>
      </w:r>
      <w:r w:rsidR="005352B4" w:rsidRPr="002F164E">
        <w:rPr>
          <w:rFonts w:ascii="Times New Roman" w:hAnsi="Times New Roman"/>
          <w:sz w:val="24"/>
          <w:szCs w:val="24"/>
        </w:rPr>
        <w:t xml:space="preserve"> or assistance under subsection 10</w:t>
      </w:r>
      <w:r w:rsidRPr="002F164E">
        <w:rPr>
          <w:rFonts w:ascii="Times New Roman" w:hAnsi="Times New Roman"/>
          <w:sz w:val="24"/>
          <w:szCs w:val="24"/>
        </w:rPr>
        <w:t>(7</w:t>
      </w:r>
      <w:r w:rsidR="00683DBD" w:rsidRPr="002F164E">
        <w:rPr>
          <w:rFonts w:ascii="Times New Roman" w:hAnsi="Times New Roman"/>
          <w:sz w:val="24"/>
          <w:szCs w:val="24"/>
        </w:rPr>
        <w:t xml:space="preserve">) may be a single request or part of a continuing arrangement between Telstra and the requesting </w:t>
      </w:r>
      <w:r w:rsidR="00B8651A">
        <w:rPr>
          <w:rFonts w:ascii="Times New Roman" w:hAnsi="Times New Roman"/>
          <w:sz w:val="24"/>
          <w:szCs w:val="24"/>
        </w:rPr>
        <w:t>CSP</w:t>
      </w:r>
      <w:r w:rsidRPr="002F164E">
        <w:rPr>
          <w:rFonts w:ascii="Times New Roman" w:hAnsi="Times New Roman"/>
          <w:sz w:val="24"/>
          <w:szCs w:val="24"/>
        </w:rPr>
        <w:t xml:space="preserve"> or officer or authority</w:t>
      </w:r>
      <w:r w:rsidR="00515DB8">
        <w:rPr>
          <w:rFonts w:ascii="Times New Roman" w:hAnsi="Times New Roman"/>
          <w:sz w:val="24"/>
          <w:szCs w:val="24"/>
        </w:rPr>
        <w:t>.</w:t>
      </w:r>
    </w:p>
    <w:p w14:paraId="5BE62493" w14:textId="28C1F14A" w:rsidR="00EF7A08" w:rsidRPr="002F164E" w:rsidRDefault="00FC3529" w:rsidP="006C2704">
      <w:pPr>
        <w:keepNext/>
        <w:rPr>
          <w:rFonts w:ascii="Times New Roman" w:hAnsi="Times New Roman"/>
          <w:b/>
          <w:sz w:val="24"/>
          <w:szCs w:val="24"/>
        </w:rPr>
      </w:pPr>
      <w:r>
        <w:rPr>
          <w:rFonts w:ascii="Times New Roman" w:hAnsi="Times New Roman"/>
          <w:b/>
          <w:sz w:val="24"/>
          <w:szCs w:val="24"/>
        </w:rPr>
        <w:br w:type="column"/>
      </w:r>
      <w:r w:rsidR="00EF7A08" w:rsidRPr="002F164E">
        <w:rPr>
          <w:rFonts w:ascii="Times New Roman" w:hAnsi="Times New Roman"/>
          <w:b/>
          <w:sz w:val="24"/>
          <w:szCs w:val="24"/>
        </w:rPr>
        <w:t>Section 11 – Disclosure of Specified Premises Location Information to NBN Co</w:t>
      </w:r>
    </w:p>
    <w:p w14:paraId="3FFD6FF9" w14:textId="7886700C" w:rsidR="00694736" w:rsidRPr="002F164E" w:rsidRDefault="00694736" w:rsidP="00694736">
      <w:pPr>
        <w:rPr>
          <w:rFonts w:ascii="Times New Roman" w:hAnsi="Times New Roman"/>
          <w:sz w:val="24"/>
          <w:szCs w:val="24"/>
        </w:rPr>
      </w:pPr>
      <w:r w:rsidRPr="002F164E">
        <w:rPr>
          <w:rFonts w:ascii="Times New Roman" w:hAnsi="Times New Roman"/>
          <w:sz w:val="24"/>
          <w:szCs w:val="24"/>
        </w:rPr>
        <w:t>Subsection 11(</w:t>
      </w:r>
      <w:r w:rsidR="00931793" w:rsidRPr="002F164E">
        <w:rPr>
          <w:rFonts w:ascii="Times New Roman" w:hAnsi="Times New Roman"/>
          <w:sz w:val="24"/>
          <w:szCs w:val="24"/>
        </w:rPr>
        <w:t>1</w:t>
      </w:r>
      <w:r w:rsidRPr="002F164E">
        <w:rPr>
          <w:rFonts w:ascii="Times New Roman" w:hAnsi="Times New Roman"/>
          <w:sz w:val="24"/>
          <w:szCs w:val="24"/>
        </w:rPr>
        <w:t>) sets out the key def</w:t>
      </w:r>
      <w:r w:rsidR="005352B4" w:rsidRPr="002F164E">
        <w:rPr>
          <w:rFonts w:ascii="Times New Roman" w:hAnsi="Times New Roman"/>
          <w:sz w:val="24"/>
          <w:szCs w:val="24"/>
        </w:rPr>
        <w:t>initions used in subsections</w:t>
      </w:r>
      <w:r w:rsidRPr="002F164E">
        <w:rPr>
          <w:rFonts w:ascii="Times New Roman" w:hAnsi="Times New Roman"/>
          <w:sz w:val="24"/>
          <w:szCs w:val="24"/>
        </w:rPr>
        <w:t xml:space="preserve"> 11(2) to (8) inclusive. These are discussed in detail below.</w:t>
      </w:r>
    </w:p>
    <w:p w14:paraId="76E9B915" w14:textId="056050ED" w:rsidR="00694736" w:rsidRPr="002F164E" w:rsidRDefault="00BB2DA4" w:rsidP="00694736">
      <w:pPr>
        <w:spacing w:after="120"/>
        <w:rPr>
          <w:rFonts w:ascii="Times New Roman" w:hAnsi="Times New Roman"/>
          <w:i/>
          <w:sz w:val="24"/>
          <w:szCs w:val="24"/>
        </w:rPr>
      </w:pPr>
      <w:r w:rsidRPr="006C2704">
        <w:rPr>
          <w:rFonts w:ascii="Times New Roman" w:hAnsi="Times New Roman"/>
          <w:i/>
          <w:sz w:val="24"/>
          <w:szCs w:val="24"/>
        </w:rPr>
        <w:t>A</w:t>
      </w:r>
      <w:r w:rsidR="00694736" w:rsidRPr="006C2704">
        <w:rPr>
          <w:rFonts w:ascii="Times New Roman" w:hAnsi="Times New Roman"/>
          <w:i/>
          <w:sz w:val="24"/>
          <w:szCs w:val="24"/>
        </w:rPr>
        <w:t>ccess Technology</w:t>
      </w:r>
    </w:p>
    <w:p w14:paraId="352139D2" w14:textId="5118EE6F" w:rsidR="00080C76" w:rsidRPr="002F164E" w:rsidRDefault="00080C76" w:rsidP="00080C76">
      <w:pPr>
        <w:spacing w:after="120"/>
        <w:rPr>
          <w:rFonts w:ascii="Times New Roman" w:hAnsi="Times New Roman"/>
          <w:sz w:val="24"/>
          <w:szCs w:val="24"/>
        </w:rPr>
      </w:pPr>
      <w:r w:rsidRPr="002F164E">
        <w:rPr>
          <w:rFonts w:ascii="Times New Roman" w:hAnsi="Times New Roman"/>
          <w:sz w:val="24"/>
          <w:szCs w:val="24"/>
        </w:rPr>
        <w:t xml:space="preserve">This expression is defined by reference to the </w:t>
      </w:r>
      <w:r w:rsidRPr="00D37A9B">
        <w:rPr>
          <w:rFonts w:ascii="Times New Roman" w:hAnsi="Times New Roman"/>
          <w:i/>
          <w:sz w:val="24"/>
          <w:szCs w:val="24"/>
        </w:rPr>
        <w:t xml:space="preserve">Telecommunications (Migration Plan Principles) Determination 2015 </w:t>
      </w:r>
      <w:r w:rsidRPr="002F164E">
        <w:rPr>
          <w:rFonts w:ascii="Times New Roman" w:hAnsi="Times New Roman"/>
          <w:sz w:val="24"/>
          <w:szCs w:val="24"/>
        </w:rPr>
        <w:t>(MPP</w:t>
      </w:r>
      <w:r w:rsidR="00E16F7B">
        <w:rPr>
          <w:rFonts w:ascii="Times New Roman" w:hAnsi="Times New Roman"/>
          <w:sz w:val="24"/>
          <w:szCs w:val="24"/>
        </w:rPr>
        <w:t>s</w:t>
      </w:r>
      <w:r w:rsidRPr="002F164E">
        <w:rPr>
          <w:rFonts w:ascii="Times New Roman" w:hAnsi="Times New Roman"/>
          <w:sz w:val="24"/>
          <w:szCs w:val="24"/>
        </w:rPr>
        <w:t>). The MPP</w:t>
      </w:r>
      <w:r w:rsidR="00E16F7B">
        <w:rPr>
          <w:rFonts w:ascii="Times New Roman" w:hAnsi="Times New Roman"/>
          <w:sz w:val="24"/>
          <w:szCs w:val="24"/>
        </w:rPr>
        <w:t xml:space="preserve">s </w:t>
      </w:r>
      <w:r w:rsidRPr="002F164E">
        <w:rPr>
          <w:rFonts w:ascii="Times New Roman" w:hAnsi="Times New Roman"/>
          <w:sz w:val="24"/>
          <w:szCs w:val="24"/>
        </w:rPr>
        <w:t>define an access technology as an access technology used by NBN Co to connect a premises or a location to the NBN Co fixed-line network, which may include the following access technologies:</w:t>
      </w:r>
    </w:p>
    <w:p w14:paraId="54AA6157" w14:textId="448004BF" w:rsidR="00080C76" w:rsidRPr="00284BE1" w:rsidRDefault="00080C76" w:rsidP="00284BE1">
      <w:pPr>
        <w:pStyle w:val="ListParagraph"/>
        <w:numPr>
          <w:ilvl w:val="0"/>
          <w:numId w:val="17"/>
        </w:numPr>
        <w:spacing w:after="120"/>
        <w:rPr>
          <w:rFonts w:ascii="Times New Roman" w:hAnsi="Times New Roman"/>
          <w:sz w:val="24"/>
          <w:szCs w:val="24"/>
        </w:rPr>
      </w:pPr>
      <w:r w:rsidRPr="00284BE1">
        <w:rPr>
          <w:rFonts w:ascii="Times New Roman" w:hAnsi="Times New Roman"/>
          <w:sz w:val="24"/>
          <w:szCs w:val="24"/>
        </w:rPr>
        <w:t>fibre-to-the-premises;</w:t>
      </w:r>
    </w:p>
    <w:p w14:paraId="6D2A6C21" w14:textId="7E42E6DA" w:rsidR="00080C76" w:rsidRPr="00284BE1" w:rsidRDefault="00080C76" w:rsidP="00284BE1">
      <w:pPr>
        <w:pStyle w:val="ListParagraph"/>
        <w:numPr>
          <w:ilvl w:val="0"/>
          <w:numId w:val="17"/>
        </w:numPr>
        <w:spacing w:after="120"/>
        <w:rPr>
          <w:rFonts w:ascii="Times New Roman" w:hAnsi="Times New Roman"/>
          <w:sz w:val="24"/>
          <w:szCs w:val="24"/>
        </w:rPr>
      </w:pPr>
      <w:r w:rsidRPr="00284BE1">
        <w:rPr>
          <w:rFonts w:ascii="Times New Roman" w:hAnsi="Times New Roman"/>
          <w:sz w:val="24"/>
          <w:szCs w:val="24"/>
        </w:rPr>
        <w:t>fibre-to-the-node;</w:t>
      </w:r>
    </w:p>
    <w:p w14:paraId="31D5B612" w14:textId="679F46BC" w:rsidR="00080C76" w:rsidRPr="00284BE1" w:rsidRDefault="00080C76" w:rsidP="00284BE1">
      <w:pPr>
        <w:pStyle w:val="ListParagraph"/>
        <w:numPr>
          <w:ilvl w:val="0"/>
          <w:numId w:val="17"/>
        </w:numPr>
        <w:spacing w:after="120"/>
        <w:rPr>
          <w:rFonts w:ascii="Times New Roman" w:hAnsi="Times New Roman"/>
          <w:sz w:val="24"/>
          <w:szCs w:val="24"/>
        </w:rPr>
      </w:pPr>
      <w:r w:rsidRPr="00284BE1">
        <w:rPr>
          <w:rFonts w:ascii="Times New Roman" w:hAnsi="Times New Roman"/>
          <w:sz w:val="24"/>
          <w:szCs w:val="24"/>
        </w:rPr>
        <w:t>fibre-to-the-basement; or</w:t>
      </w:r>
    </w:p>
    <w:p w14:paraId="6E4358F9" w14:textId="646978C8" w:rsidR="00080C76" w:rsidRPr="00284BE1" w:rsidRDefault="00080C76" w:rsidP="00284BE1">
      <w:pPr>
        <w:pStyle w:val="ListParagraph"/>
        <w:numPr>
          <w:ilvl w:val="0"/>
          <w:numId w:val="17"/>
        </w:numPr>
        <w:spacing w:after="120"/>
        <w:rPr>
          <w:rFonts w:ascii="Times New Roman" w:hAnsi="Times New Roman"/>
          <w:sz w:val="24"/>
          <w:szCs w:val="24"/>
        </w:rPr>
      </w:pPr>
      <w:r w:rsidRPr="00284BE1">
        <w:rPr>
          <w:rFonts w:ascii="Times New Roman" w:hAnsi="Times New Roman"/>
          <w:sz w:val="24"/>
          <w:szCs w:val="24"/>
        </w:rPr>
        <w:t>hybrid fibre-coaxial cable.</w:t>
      </w:r>
    </w:p>
    <w:p w14:paraId="47E18C3A" w14:textId="74DE9575" w:rsidR="00694736" w:rsidRPr="002F164E" w:rsidRDefault="00080C76" w:rsidP="006C2704">
      <w:pPr>
        <w:rPr>
          <w:rFonts w:ascii="Times New Roman" w:hAnsi="Times New Roman"/>
          <w:sz w:val="24"/>
          <w:szCs w:val="24"/>
        </w:rPr>
      </w:pPr>
      <w:r w:rsidRPr="002F164E">
        <w:rPr>
          <w:rFonts w:ascii="Times New Roman" w:hAnsi="Times New Roman"/>
          <w:sz w:val="24"/>
          <w:szCs w:val="24"/>
        </w:rPr>
        <w:t xml:space="preserve">This expression is used in the definition of </w:t>
      </w:r>
      <w:r w:rsidR="00F854DB">
        <w:rPr>
          <w:rFonts w:ascii="Times New Roman" w:hAnsi="Times New Roman"/>
          <w:sz w:val="24"/>
          <w:szCs w:val="24"/>
        </w:rPr>
        <w:t>‘</w:t>
      </w:r>
      <w:r w:rsidRPr="002F164E">
        <w:rPr>
          <w:rFonts w:ascii="Times New Roman" w:hAnsi="Times New Roman"/>
          <w:sz w:val="24"/>
          <w:szCs w:val="24"/>
        </w:rPr>
        <w:t>Changed Technology Extension Date</w:t>
      </w:r>
      <w:r w:rsidR="00F854DB">
        <w:rPr>
          <w:rFonts w:ascii="Times New Roman" w:hAnsi="Times New Roman"/>
          <w:sz w:val="24"/>
          <w:szCs w:val="24"/>
        </w:rPr>
        <w:t xml:space="preserve">’ </w:t>
      </w:r>
      <w:r w:rsidRPr="002F164E">
        <w:rPr>
          <w:rFonts w:ascii="Times New Roman" w:hAnsi="Times New Roman"/>
          <w:sz w:val="24"/>
          <w:szCs w:val="24"/>
        </w:rPr>
        <w:t xml:space="preserve">and the definition of </w:t>
      </w:r>
      <w:r w:rsidR="00F854DB">
        <w:rPr>
          <w:rFonts w:ascii="Times New Roman" w:hAnsi="Times New Roman"/>
          <w:sz w:val="24"/>
          <w:szCs w:val="24"/>
        </w:rPr>
        <w:t>‘</w:t>
      </w:r>
      <w:r w:rsidRPr="002F164E">
        <w:rPr>
          <w:rFonts w:ascii="Times New Roman" w:hAnsi="Times New Roman"/>
          <w:sz w:val="24"/>
          <w:szCs w:val="24"/>
        </w:rPr>
        <w:t>Eligible Premises</w:t>
      </w:r>
      <w:r w:rsidR="00F854DB">
        <w:rPr>
          <w:rFonts w:ascii="Times New Roman" w:hAnsi="Times New Roman"/>
          <w:sz w:val="24"/>
          <w:szCs w:val="24"/>
        </w:rPr>
        <w:t>’</w:t>
      </w:r>
      <w:r w:rsidRPr="002F164E">
        <w:rPr>
          <w:rFonts w:ascii="Times New Roman" w:hAnsi="Times New Roman"/>
          <w:sz w:val="24"/>
          <w:szCs w:val="24"/>
        </w:rPr>
        <w:t>.</w:t>
      </w:r>
    </w:p>
    <w:p w14:paraId="78BD8815" w14:textId="7F6E5C8D" w:rsidR="00694736" w:rsidRPr="002F164E" w:rsidRDefault="00694736" w:rsidP="00694736">
      <w:pPr>
        <w:spacing w:after="120"/>
        <w:rPr>
          <w:rFonts w:ascii="Times New Roman" w:hAnsi="Times New Roman"/>
          <w:i/>
          <w:sz w:val="24"/>
          <w:szCs w:val="24"/>
        </w:rPr>
      </w:pPr>
      <w:r w:rsidRPr="002F164E">
        <w:rPr>
          <w:rFonts w:ascii="Times New Roman" w:hAnsi="Times New Roman"/>
          <w:i/>
          <w:sz w:val="24"/>
          <w:szCs w:val="24"/>
        </w:rPr>
        <w:t>Active service</w:t>
      </w:r>
    </w:p>
    <w:p w14:paraId="076C99F4" w14:textId="07FF5694" w:rsidR="00694736" w:rsidRPr="002F164E" w:rsidRDefault="00694736" w:rsidP="006C2704">
      <w:pPr>
        <w:rPr>
          <w:rFonts w:ascii="Times New Roman" w:hAnsi="Times New Roman"/>
          <w:sz w:val="24"/>
          <w:szCs w:val="24"/>
        </w:rPr>
      </w:pPr>
      <w:r w:rsidRPr="002F164E">
        <w:rPr>
          <w:rFonts w:ascii="Times New Roman" w:hAnsi="Times New Roman"/>
          <w:sz w:val="24"/>
          <w:szCs w:val="24"/>
        </w:rPr>
        <w:t>The term, ‘active service’ is central to the concept of Specified Premises Location Information. It is defined to mean a copper-based wholesale carriage service which Telstra supplies to its wholesale customers (who are also retail service providers (RSPs)) where that carriage service is used by those providers to supply services to end-users at the ta</w:t>
      </w:r>
      <w:r w:rsidR="00CB3F34" w:rsidRPr="002F164E">
        <w:rPr>
          <w:rFonts w:ascii="Times New Roman" w:hAnsi="Times New Roman"/>
          <w:sz w:val="24"/>
          <w:szCs w:val="24"/>
        </w:rPr>
        <w:t>rget premises</w:t>
      </w:r>
      <w:r w:rsidRPr="002F164E">
        <w:rPr>
          <w:rFonts w:ascii="Times New Roman" w:hAnsi="Times New Roman"/>
          <w:sz w:val="24"/>
          <w:szCs w:val="24"/>
        </w:rPr>
        <w:t xml:space="preserve"> and which has not been disconnected from Telstra's copper network.</w:t>
      </w:r>
    </w:p>
    <w:p w14:paraId="6C5AEB06" w14:textId="155EFE23" w:rsidR="00694736" w:rsidRPr="002F164E" w:rsidRDefault="00694736" w:rsidP="00694736">
      <w:pPr>
        <w:spacing w:after="120"/>
        <w:rPr>
          <w:rFonts w:ascii="Times New Roman" w:hAnsi="Times New Roman"/>
          <w:i/>
          <w:sz w:val="24"/>
          <w:szCs w:val="24"/>
        </w:rPr>
      </w:pPr>
      <w:r w:rsidRPr="002F164E">
        <w:rPr>
          <w:rFonts w:ascii="Times New Roman" w:hAnsi="Times New Roman"/>
          <w:i/>
          <w:sz w:val="24"/>
          <w:szCs w:val="24"/>
        </w:rPr>
        <w:t>Australian Consumer Law</w:t>
      </w:r>
    </w:p>
    <w:p w14:paraId="76F726A9" w14:textId="0A9EBF1A" w:rsidR="00694736" w:rsidRPr="002F164E" w:rsidRDefault="005352B4" w:rsidP="00694736">
      <w:pPr>
        <w:rPr>
          <w:rFonts w:ascii="Times New Roman" w:hAnsi="Times New Roman"/>
          <w:sz w:val="24"/>
          <w:szCs w:val="24"/>
        </w:rPr>
      </w:pPr>
      <w:r w:rsidRPr="002F164E">
        <w:rPr>
          <w:rFonts w:ascii="Times New Roman" w:hAnsi="Times New Roman"/>
          <w:sz w:val="24"/>
          <w:szCs w:val="24"/>
        </w:rPr>
        <w:t>This is a term used in subsection</w:t>
      </w:r>
      <w:r w:rsidR="00694736" w:rsidRPr="002F164E">
        <w:rPr>
          <w:rFonts w:ascii="Times New Roman" w:hAnsi="Times New Roman"/>
          <w:sz w:val="24"/>
          <w:szCs w:val="24"/>
        </w:rPr>
        <w:t xml:space="preserve"> 11(7) and simply describes the law by the same name under Schedule 2 to the </w:t>
      </w:r>
      <w:r w:rsidR="00694736" w:rsidRPr="00F854DB">
        <w:rPr>
          <w:rFonts w:ascii="Times New Roman" w:hAnsi="Times New Roman"/>
          <w:i/>
          <w:sz w:val="24"/>
          <w:szCs w:val="24"/>
        </w:rPr>
        <w:t>Competition and Consumer Act 2010</w:t>
      </w:r>
      <w:r w:rsidR="00694736" w:rsidRPr="002F164E">
        <w:rPr>
          <w:rFonts w:ascii="Times New Roman" w:hAnsi="Times New Roman"/>
          <w:sz w:val="24"/>
          <w:szCs w:val="24"/>
        </w:rPr>
        <w:t>.</w:t>
      </w:r>
    </w:p>
    <w:p w14:paraId="78483916" w14:textId="4ACCE9FB" w:rsidR="00694736" w:rsidRPr="006C2704" w:rsidRDefault="00694736" w:rsidP="00694736">
      <w:pPr>
        <w:rPr>
          <w:rFonts w:ascii="Times New Roman" w:hAnsi="Times New Roman"/>
          <w:i/>
          <w:sz w:val="24"/>
          <w:szCs w:val="24"/>
        </w:rPr>
      </w:pPr>
      <w:r w:rsidRPr="006C2704">
        <w:rPr>
          <w:rFonts w:ascii="Times New Roman" w:hAnsi="Times New Roman"/>
          <w:i/>
          <w:sz w:val="24"/>
          <w:szCs w:val="24"/>
        </w:rPr>
        <w:t>Australian Address Reference File</w:t>
      </w:r>
      <w:r w:rsidR="00F854DB" w:rsidRPr="006C2704">
        <w:rPr>
          <w:rFonts w:ascii="Times New Roman" w:hAnsi="Times New Roman"/>
          <w:i/>
          <w:sz w:val="24"/>
          <w:szCs w:val="24"/>
        </w:rPr>
        <w:t xml:space="preserve"> </w:t>
      </w:r>
    </w:p>
    <w:p w14:paraId="0D4B6D1E" w14:textId="07BC1C47" w:rsidR="00F854DB" w:rsidRPr="00F854DB" w:rsidRDefault="00F854DB" w:rsidP="00694736">
      <w:pPr>
        <w:rPr>
          <w:rFonts w:ascii="Times New Roman" w:hAnsi="Times New Roman"/>
          <w:sz w:val="24"/>
          <w:szCs w:val="24"/>
        </w:rPr>
      </w:pPr>
      <w:r>
        <w:rPr>
          <w:rFonts w:ascii="Times New Roman" w:hAnsi="Times New Roman"/>
          <w:sz w:val="24"/>
          <w:szCs w:val="24"/>
        </w:rPr>
        <w:t xml:space="preserve">This term </w:t>
      </w:r>
      <w:r w:rsidRPr="00F854DB">
        <w:rPr>
          <w:rFonts w:ascii="Times New Roman" w:hAnsi="Times New Roman"/>
          <w:sz w:val="24"/>
          <w:szCs w:val="24"/>
        </w:rPr>
        <w:t>means the dataset or addresses, information related to those addresses, and other address’ related information, compiled and maintained by Australia Post.</w:t>
      </w:r>
    </w:p>
    <w:p w14:paraId="05C2FFED" w14:textId="5F791EBB" w:rsidR="00694736" w:rsidRPr="002F164E" w:rsidRDefault="00694736" w:rsidP="00694736">
      <w:pPr>
        <w:rPr>
          <w:rFonts w:ascii="Times New Roman" w:hAnsi="Times New Roman"/>
          <w:i/>
          <w:sz w:val="24"/>
          <w:szCs w:val="24"/>
        </w:rPr>
      </w:pPr>
      <w:r w:rsidRPr="002F164E">
        <w:rPr>
          <w:rFonts w:ascii="Times New Roman" w:hAnsi="Times New Roman"/>
          <w:i/>
          <w:sz w:val="24"/>
          <w:szCs w:val="24"/>
        </w:rPr>
        <w:t>Changed Technology Extension Date</w:t>
      </w:r>
    </w:p>
    <w:p w14:paraId="18935A06" w14:textId="766C0B6B" w:rsidR="00CB3F34" w:rsidRPr="002F164E" w:rsidRDefault="00CB3F34" w:rsidP="00694736">
      <w:pPr>
        <w:rPr>
          <w:rFonts w:ascii="Times New Roman" w:hAnsi="Times New Roman"/>
          <w:sz w:val="24"/>
          <w:szCs w:val="24"/>
        </w:rPr>
      </w:pPr>
      <w:r w:rsidRPr="002F164E">
        <w:rPr>
          <w:rFonts w:ascii="Times New Roman" w:hAnsi="Times New Roman"/>
          <w:sz w:val="24"/>
          <w:szCs w:val="24"/>
        </w:rPr>
        <w:t>This definition relates to the provisions in the migration plan providing for deviation of the disconnection of special services from the special services disconnection date determined by NBN Co’s white paper for disconnection of the relevant class of special services. Where Telstra expects an Eligible Special Service to be disconnected in accordance with those provisions of the migration plan, the relevant Report Dates will differ accordingly.</w:t>
      </w:r>
    </w:p>
    <w:p w14:paraId="02930760" w14:textId="77777777" w:rsidR="00694736" w:rsidRPr="002F164E" w:rsidRDefault="00694736" w:rsidP="00694736">
      <w:pPr>
        <w:spacing w:after="120"/>
        <w:rPr>
          <w:rFonts w:ascii="Times New Roman" w:hAnsi="Times New Roman"/>
          <w:i/>
          <w:sz w:val="24"/>
          <w:szCs w:val="24"/>
        </w:rPr>
      </w:pPr>
      <w:r w:rsidRPr="002F164E">
        <w:rPr>
          <w:rFonts w:ascii="Times New Roman" w:hAnsi="Times New Roman"/>
          <w:i/>
          <w:sz w:val="24"/>
          <w:szCs w:val="24"/>
        </w:rPr>
        <w:t>Copper Path</w:t>
      </w:r>
    </w:p>
    <w:p w14:paraId="5D8EA997" w14:textId="37A0CA53"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The term ‘Copper Path’ is used in the definition of </w:t>
      </w:r>
      <w:r w:rsidR="0055151A">
        <w:rPr>
          <w:rFonts w:ascii="Times New Roman" w:hAnsi="Times New Roman"/>
          <w:sz w:val="24"/>
          <w:szCs w:val="24"/>
        </w:rPr>
        <w:t>‘</w:t>
      </w:r>
      <w:r w:rsidRPr="002F164E">
        <w:rPr>
          <w:rFonts w:ascii="Times New Roman" w:hAnsi="Times New Roman"/>
          <w:sz w:val="24"/>
          <w:szCs w:val="24"/>
        </w:rPr>
        <w:t>active service</w:t>
      </w:r>
      <w:r w:rsidR="0055151A">
        <w:rPr>
          <w:rFonts w:ascii="Times New Roman" w:hAnsi="Times New Roman"/>
          <w:sz w:val="24"/>
          <w:szCs w:val="24"/>
        </w:rPr>
        <w:t>’</w:t>
      </w:r>
      <w:r w:rsidRPr="002F164E">
        <w:rPr>
          <w:rFonts w:ascii="Times New Roman" w:hAnsi="Times New Roman"/>
          <w:sz w:val="24"/>
          <w:szCs w:val="24"/>
        </w:rPr>
        <w:t>. It describes the logical path used to provide a carriage service at a premises where that path is over one or more copper lines. A logical path is a virtual circuit or path between two or more line link points. By definition, an active service cannot cover carriage services supplied using the national broadband network (NBN). This clarification is included for the avoidance of doubt; to clearly delineate between wholesale carriage services using Telstra’s owned and operated network and the NBN Co operated NBN.</w:t>
      </w:r>
    </w:p>
    <w:p w14:paraId="450CFD25" w14:textId="77777777" w:rsidR="00694736" w:rsidRPr="002F164E" w:rsidRDefault="00694736" w:rsidP="00694736">
      <w:pPr>
        <w:spacing w:after="120"/>
        <w:rPr>
          <w:rFonts w:ascii="Times New Roman" w:hAnsi="Times New Roman"/>
          <w:i/>
          <w:sz w:val="24"/>
          <w:szCs w:val="24"/>
        </w:rPr>
      </w:pPr>
      <w:r w:rsidRPr="002F164E">
        <w:rPr>
          <w:rFonts w:ascii="Times New Roman" w:hAnsi="Times New Roman"/>
          <w:i/>
          <w:sz w:val="24"/>
          <w:szCs w:val="24"/>
        </w:rPr>
        <w:t>Copper Service</w:t>
      </w:r>
    </w:p>
    <w:p w14:paraId="1E584584" w14:textId="62E2950B" w:rsidR="00694736" w:rsidRPr="002F164E" w:rsidRDefault="00694736" w:rsidP="00694736">
      <w:pPr>
        <w:rPr>
          <w:rFonts w:ascii="Times New Roman" w:hAnsi="Times New Roman"/>
          <w:sz w:val="24"/>
          <w:szCs w:val="24"/>
        </w:rPr>
      </w:pPr>
      <w:r w:rsidRPr="002F164E">
        <w:rPr>
          <w:rFonts w:ascii="Times New Roman" w:hAnsi="Times New Roman"/>
          <w:sz w:val="24"/>
          <w:szCs w:val="24"/>
        </w:rPr>
        <w:t>The data which is at the h</w:t>
      </w:r>
      <w:r w:rsidR="007B2E86">
        <w:rPr>
          <w:rFonts w:ascii="Times New Roman" w:hAnsi="Times New Roman"/>
          <w:sz w:val="24"/>
          <w:szCs w:val="24"/>
        </w:rPr>
        <w:t>eart of this</w:t>
      </w:r>
      <w:r w:rsidRPr="002F164E">
        <w:rPr>
          <w:rFonts w:ascii="Times New Roman" w:hAnsi="Times New Roman"/>
          <w:sz w:val="24"/>
          <w:szCs w:val="24"/>
        </w:rPr>
        <w:t xml:space="preserve"> licence condition relates to active copper services. The concept of ‘copper service’ is given the same meaning as in the MPPs. In general terms </w:t>
      </w:r>
      <w:r w:rsidR="00B8651A">
        <w:rPr>
          <w:rFonts w:ascii="Times New Roman" w:hAnsi="Times New Roman"/>
          <w:sz w:val="24"/>
          <w:szCs w:val="24"/>
        </w:rPr>
        <w:t>the term</w:t>
      </w:r>
      <w:r w:rsidR="00B8651A" w:rsidRPr="002F164E">
        <w:rPr>
          <w:rFonts w:ascii="Times New Roman" w:hAnsi="Times New Roman"/>
          <w:sz w:val="24"/>
          <w:szCs w:val="24"/>
        </w:rPr>
        <w:t xml:space="preserve"> </w:t>
      </w:r>
      <w:r w:rsidRPr="002F164E">
        <w:rPr>
          <w:rFonts w:ascii="Times New Roman" w:hAnsi="Times New Roman"/>
          <w:sz w:val="24"/>
          <w:szCs w:val="24"/>
        </w:rPr>
        <w:t>covers fixed-line copper services supplied by Telstra over its copper network, the unconditioned local loop service, line sharing services and all other wholesale copper-based carriage services.</w:t>
      </w:r>
    </w:p>
    <w:p w14:paraId="3B6FA0F6" w14:textId="77777777" w:rsidR="00694736" w:rsidRPr="002F164E" w:rsidRDefault="00694736" w:rsidP="00694736">
      <w:pPr>
        <w:spacing w:after="120"/>
        <w:rPr>
          <w:rFonts w:ascii="Times New Roman" w:hAnsi="Times New Roman"/>
          <w:i/>
          <w:sz w:val="24"/>
          <w:szCs w:val="24"/>
        </w:rPr>
      </w:pPr>
      <w:r w:rsidRPr="002F164E">
        <w:rPr>
          <w:rFonts w:ascii="Times New Roman" w:hAnsi="Times New Roman"/>
          <w:i/>
          <w:sz w:val="24"/>
          <w:szCs w:val="24"/>
        </w:rPr>
        <w:t>Definitive Agreements</w:t>
      </w:r>
    </w:p>
    <w:p w14:paraId="447EC633" w14:textId="31B1593E"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Definitive Agreements are defined by reference to </w:t>
      </w:r>
      <w:r w:rsidRPr="0055151A">
        <w:rPr>
          <w:rFonts w:ascii="Times New Roman" w:hAnsi="Times New Roman"/>
          <w:sz w:val="24"/>
          <w:szCs w:val="24"/>
        </w:rPr>
        <w:t>the MPPs</w:t>
      </w:r>
      <w:r w:rsidRPr="006C2704">
        <w:rPr>
          <w:rFonts w:ascii="Times New Roman" w:hAnsi="Times New Roman"/>
          <w:sz w:val="24"/>
          <w:szCs w:val="24"/>
        </w:rPr>
        <w:t xml:space="preserve">. </w:t>
      </w:r>
      <w:r w:rsidR="00B8651A">
        <w:rPr>
          <w:rFonts w:ascii="Times New Roman" w:hAnsi="Times New Roman"/>
          <w:sz w:val="24"/>
          <w:szCs w:val="24"/>
        </w:rPr>
        <w:t>The term</w:t>
      </w:r>
      <w:r w:rsidR="00B8651A" w:rsidRPr="006C2704">
        <w:rPr>
          <w:rFonts w:ascii="Times New Roman" w:hAnsi="Times New Roman"/>
          <w:sz w:val="24"/>
          <w:szCs w:val="24"/>
        </w:rPr>
        <w:t xml:space="preserve"> </w:t>
      </w:r>
      <w:r w:rsidRPr="006C2704">
        <w:rPr>
          <w:rFonts w:ascii="Times New Roman" w:hAnsi="Times New Roman"/>
          <w:sz w:val="24"/>
          <w:szCs w:val="24"/>
        </w:rPr>
        <w:t xml:space="preserve">is used in </w:t>
      </w:r>
      <w:r w:rsidR="00C15BCB" w:rsidRPr="006C2704">
        <w:rPr>
          <w:rFonts w:ascii="Times New Roman" w:hAnsi="Times New Roman"/>
          <w:sz w:val="24"/>
          <w:szCs w:val="24"/>
        </w:rPr>
        <w:t>the defintion of ‘in train order list’</w:t>
      </w:r>
      <w:r w:rsidRPr="006C2704">
        <w:rPr>
          <w:rFonts w:ascii="Times New Roman" w:hAnsi="Times New Roman"/>
          <w:sz w:val="24"/>
          <w:szCs w:val="24"/>
        </w:rPr>
        <w:t>.</w:t>
      </w:r>
      <w:r w:rsidRPr="002F164E">
        <w:rPr>
          <w:rFonts w:ascii="Times New Roman" w:hAnsi="Times New Roman"/>
          <w:sz w:val="24"/>
          <w:szCs w:val="24"/>
        </w:rPr>
        <w:t xml:space="preserve"> It covers several existing commercial agreements between NBN Co and Telstra and any other future document agreed by the Minister, NBN Co and Telstra to be a ‘Definitive Agreement’. The Definitive Agreements comprise a number of separate but interdependent documents signed by Telstra and NBN Co that</w:t>
      </w:r>
      <w:r w:rsidR="00ED5824">
        <w:rPr>
          <w:rFonts w:ascii="Times New Roman" w:hAnsi="Times New Roman"/>
          <w:sz w:val="24"/>
          <w:szCs w:val="24"/>
        </w:rPr>
        <w:t>,</w:t>
      </w:r>
      <w:r w:rsidRPr="002F164E">
        <w:rPr>
          <w:rFonts w:ascii="Times New Roman" w:hAnsi="Times New Roman"/>
          <w:sz w:val="24"/>
          <w:szCs w:val="24"/>
        </w:rPr>
        <w:t xml:space="preserve"> together with Telstra’s Structural Separation Undertaking and Final Migration Plan under Part 33 of the Act, create a framework for Telstra’s participation in the rollout of the NBN.</w:t>
      </w:r>
    </w:p>
    <w:p w14:paraId="4E865B48" w14:textId="77777777" w:rsidR="00694736" w:rsidRPr="002F164E" w:rsidRDefault="00694736" w:rsidP="00694736">
      <w:pPr>
        <w:spacing w:after="120"/>
        <w:rPr>
          <w:rFonts w:ascii="Times New Roman" w:hAnsi="Times New Roman"/>
          <w:i/>
          <w:sz w:val="24"/>
          <w:szCs w:val="24"/>
        </w:rPr>
      </w:pPr>
      <w:r w:rsidRPr="002F164E">
        <w:rPr>
          <w:rFonts w:ascii="Times New Roman" w:hAnsi="Times New Roman"/>
          <w:i/>
          <w:sz w:val="24"/>
          <w:szCs w:val="24"/>
        </w:rPr>
        <w:t>Disconnection date</w:t>
      </w:r>
    </w:p>
    <w:p w14:paraId="34CCB99C" w14:textId="65778B22" w:rsidR="00694736" w:rsidRPr="002F164E" w:rsidRDefault="00694736" w:rsidP="00694736">
      <w:pPr>
        <w:rPr>
          <w:rFonts w:ascii="Times New Roman" w:hAnsi="Times New Roman"/>
          <w:sz w:val="24"/>
          <w:szCs w:val="24"/>
        </w:rPr>
      </w:pPr>
      <w:r w:rsidRPr="002F164E">
        <w:rPr>
          <w:rFonts w:ascii="Times New Roman" w:hAnsi="Times New Roman"/>
          <w:sz w:val="24"/>
          <w:szCs w:val="24"/>
        </w:rPr>
        <w:t>The term ‘disconnection date’ is used in the definition of ‘Eligible Premises’. It is given the same meaning as given in the MPPs. This is the date when the old fixed-line network in a region declared ready for service by NBN Co will be switched off (and the related services supplied over that old network will be permanently disconnected).</w:t>
      </w:r>
    </w:p>
    <w:p w14:paraId="2CF95B35" w14:textId="77777777" w:rsidR="00694736" w:rsidRPr="002F164E" w:rsidRDefault="00694736" w:rsidP="00E400E2">
      <w:pPr>
        <w:spacing w:after="120"/>
        <w:rPr>
          <w:rFonts w:ascii="Times New Roman" w:hAnsi="Times New Roman"/>
          <w:i/>
          <w:sz w:val="24"/>
          <w:szCs w:val="24"/>
        </w:rPr>
      </w:pPr>
      <w:r w:rsidRPr="002F164E">
        <w:rPr>
          <w:rFonts w:ascii="Times New Roman" w:hAnsi="Times New Roman"/>
          <w:i/>
          <w:sz w:val="24"/>
          <w:szCs w:val="24"/>
        </w:rPr>
        <w:t>Eligible Premises</w:t>
      </w:r>
    </w:p>
    <w:p w14:paraId="339CADCC" w14:textId="04775EA5" w:rsidR="00AB3934" w:rsidRPr="002F164E" w:rsidRDefault="00AB3934" w:rsidP="00AB3934">
      <w:pPr>
        <w:rPr>
          <w:rFonts w:ascii="Times New Roman" w:hAnsi="Times New Roman"/>
          <w:sz w:val="24"/>
          <w:szCs w:val="24"/>
        </w:rPr>
      </w:pPr>
      <w:r w:rsidRPr="002F164E">
        <w:rPr>
          <w:rFonts w:ascii="Times New Roman" w:hAnsi="Times New Roman"/>
          <w:sz w:val="24"/>
          <w:szCs w:val="24"/>
        </w:rPr>
        <w:t>Telstra is only required to report on active services that are supplied to Eligible Premises. This concept ensures that Telstra is only required to report on active services that are expected to be disconnected. This includes the requirement for Eligible Special Services that NBN Co has notified Telstra of the access technology that it has used or intends to use to make the premises NBN Serviceable.</w:t>
      </w:r>
    </w:p>
    <w:p w14:paraId="72768122" w14:textId="387C5DB7" w:rsidR="00AB3934" w:rsidRPr="002F164E" w:rsidRDefault="00AB3934" w:rsidP="00E400E2">
      <w:pPr>
        <w:spacing w:after="120"/>
        <w:rPr>
          <w:rFonts w:ascii="Times New Roman" w:hAnsi="Times New Roman"/>
          <w:i/>
          <w:sz w:val="24"/>
          <w:szCs w:val="24"/>
        </w:rPr>
      </w:pPr>
      <w:r w:rsidRPr="002F164E">
        <w:rPr>
          <w:rFonts w:ascii="Times New Roman" w:hAnsi="Times New Roman"/>
          <w:i/>
          <w:sz w:val="24"/>
          <w:szCs w:val="24"/>
        </w:rPr>
        <w:t>Eligible Special Service</w:t>
      </w:r>
    </w:p>
    <w:p w14:paraId="4744E119" w14:textId="4F53F54E" w:rsidR="00AB3934" w:rsidRPr="002F164E" w:rsidRDefault="00AB3934" w:rsidP="00AB3934">
      <w:pPr>
        <w:rPr>
          <w:rFonts w:ascii="Times New Roman" w:hAnsi="Times New Roman"/>
          <w:sz w:val="24"/>
          <w:szCs w:val="24"/>
        </w:rPr>
      </w:pPr>
      <w:r w:rsidRPr="002F164E">
        <w:rPr>
          <w:rFonts w:ascii="Times New Roman" w:hAnsi="Times New Roman"/>
          <w:sz w:val="24"/>
          <w:szCs w:val="24"/>
        </w:rPr>
        <w:t xml:space="preserve">The definition of Eligible Special Service sets the classes of special services, and special service inputs, in relation to which Telstra is required to provide Specified Premises Location Information. Broadly speaking, these are special services in relation to which disconnection arrangements have been determined, because they are covered by a white paper (see also paragraph (b) of the definition of </w:t>
      </w:r>
      <w:r w:rsidR="00C03B17">
        <w:rPr>
          <w:rFonts w:ascii="Times New Roman" w:hAnsi="Times New Roman"/>
          <w:sz w:val="24"/>
          <w:szCs w:val="24"/>
        </w:rPr>
        <w:t>‘</w:t>
      </w:r>
      <w:r w:rsidRPr="002F164E">
        <w:rPr>
          <w:rFonts w:ascii="Times New Roman" w:hAnsi="Times New Roman"/>
          <w:sz w:val="24"/>
          <w:szCs w:val="24"/>
        </w:rPr>
        <w:t>Eligible Premises</w:t>
      </w:r>
      <w:r w:rsidR="00C03B17">
        <w:rPr>
          <w:rFonts w:ascii="Times New Roman" w:hAnsi="Times New Roman"/>
          <w:sz w:val="24"/>
          <w:szCs w:val="24"/>
        </w:rPr>
        <w:t>’</w:t>
      </w:r>
      <w:r w:rsidRPr="002F164E">
        <w:rPr>
          <w:rFonts w:ascii="Times New Roman" w:hAnsi="Times New Roman"/>
          <w:sz w:val="24"/>
          <w:szCs w:val="24"/>
        </w:rPr>
        <w:t>).</w:t>
      </w:r>
    </w:p>
    <w:p w14:paraId="7AA6F05F" w14:textId="33527721" w:rsidR="00CC2C5E" w:rsidRPr="00E5276B" w:rsidRDefault="00FC3529" w:rsidP="00C15BCB">
      <w:pPr>
        <w:rPr>
          <w:rFonts w:ascii="Times New Roman" w:hAnsi="Times New Roman"/>
          <w:b/>
          <w:bCs/>
          <w:i/>
          <w:iCs/>
          <w:sz w:val="24"/>
          <w:szCs w:val="24"/>
        </w:rPr>
      </w:pPr>
      <w:r>
        <w:rPr>
          <w:rFonts w:ascii="Times New Roman" w:hAnsi="Times New Roman"/>
          <w:i/>
          <w:sz w:val="24"/>
          <w:szCs w:val="24"/>
        </w:rPr>
        <w:br w:type="column"/>
      </w:r>
      <w:r w:rsidR="00CC2C5E">
        <w:rPr>
          <w:rFonts w:ascii="Times New Roman" w:hAnsi="Times New Roman"/>
          <w:i/>
          <w:sz w:val="24"/>
          <w:szCs w:val="24"/>
        </w:rPr>
        <w:t xml:space="preserve">Fixed footprint </w:t>
      </w:r>
      <w:r w:rsidR="00CC2C5E" w:rsidRPr="002F164E">
        <w:rPr>
          <w:rFonts w:ascii="Times New Roman" w:hAnsi="Times New Roman"/>
          <w:i/>
          <w:sz w:val="24"/>
          <w:szCs w:val="24"/>
        </w:rPr>
        <w:t>list</w:t>
      </w:r>
      <w:r w:rsidR="00CC2C5E" w:rsidRPr="00C15BCB">
        <w:rPr>
          <w:rFonts w:ascii="Times New Roman" w:hAnsi="Times New Roman"/>
          <w:b/>
          <w:bCs/>
          <w:i/>
          <w:iCs/>
        </w:rPr>
        <w:t xml:space="preserve"> </w:t>
      </w:r>
    </w:p>
    <w:p w14:paraId="6BBFABAE" w14:textId="498D5BEB" w:rsidR="00C15BCB" w:rsidRPr="00E5276B" w:rsidRDefault="00E5276B" w:rsidP="00C15BCB">
      <w:pPr>
        <w:rPr>
          <w:rFonts w:ascii="Times New Roman" w:hAnsi="Times New Roman"/>
          <w:sz w:val="24"/>
          <w:szCs w:val="24"/>
        </w:rPr>
      </w:pPr>
      <w:r w:rsidRPr="00E5276B">
        <w:rPr>
          <w:rFonts w:ascii="Times New Roman" w:hAnsi="Times New Roman"/>
          <w:bCs/>
          <w:iCs/>
          <w:sz w:val="24"/>
          <w:szCs w:val="24"/>
        </w:rPr>
        <w:t xml:space="preserve">This term </w:t>
      </w:r>
      <w:r w:rsidR="00C15BCB" w:rsidRPr="00E5276B">
        <w:rPr>
          <w:rFonts w:ascii="Times New Roman" w:hAnsi="Times New Roman"/>
          <w:sz w:val="24"/>
          <w:szCs w:val="24"/>
        </w:rPr>
        <w:t xml:space="preserve">is defined by reference to the MPPs. </w:t>
      </w:r>
    </w:p>
    <w:p w14:paraId="49799296" w14:textId="4C5AA7F6" w:rsidR="00694736" w:rsidRPr="002F164E" w:rsidRDefault="00694736" w:rsidP="00E400E2">
      <w:pPr>
        <w:spacing w:after="120"/>
        <w:rPr>
          <w:rFonts w:ascii="Times New Roman" w:hAnsi="Times New Roman"/>
          <w:i/>
          <w:sz w:val="24"/>
          <w:szCs w:val="24"/>
        </w:rPr>
      </w:pPr>
      <w:r w:rsidRPr="002F164E">
        <w:rPr>
          <w:rFonts w:ascii="Times New Roman" w:hAnsi="Times New Roman"/>
          <w:i/>
          <w:sz w:val="24"/>
          <w:szCs w:val="24"/>
        </w:rPr>
        <w:t>Historical footprint list</w:t>
      </w:r>
    </w:p>
    <w:p w14:paraId="57F960BA" w14:textId="77777777" w:rsidR="00694736" w:rsidRPr="002F164E" w:rsidRDefault="00694736" w:rsidP="00694736">
      <w:pPr>
        <w:rPr>
          <w:rFonts w:ascii="Times New Roman" w:hAnsi="Times New Roman"/>
          <w:sz w:val="24"/>
          <w:szCs w:val="24"/>
        </w:rPr>
      </w:pPr>
      <w:r w:rsidRPr="002F164E">
        <w:rPr>
          <w:rFonts w:ascii="Times New Roman" w:hAnsi="Times New Roman"/>
          <w:sz w:val="24"/>
          <w:szCs w:val="24"/>
        </w:rPr>
        <w:t>This term is used in paragraph 11(7)(e) in defining the exclusions to ‘Permitted Purpose’. It covers an address list provided by NBN Co to RSPs that details the then current rollout regions, including the address information and the service class for each premises included in that list.</w:t>
      </w:r>
    </w:p>
    <w:p w14:paraId="1500B06A" w14:textId="3550F29E" w:rsidR="00694736" w:rsidRPr="002F164E" w:rsidRDefault="00E400E2" w:rsidP="00E400E2">
      <w:pPr>
        <w:spacing w:after="120"/>
        <w:rPr>
          <w:rFonts w:ascii="Times New Roman" w:hAnsi="Times New Roman"/>
          <w:i/>
          <w:sz w:val="24"/>
          <w:szCs w:val="24"/>
        </w:rPr>
      </w:pPr>
      <w:r w:rsidRPr="002F164E">
        <w:rPr>
          <w:rFonts w:ascii="Times New Roman" w:hAnsi="Times New Roman"/>
          <w:i/>
          <w:sz w:val="24"/>
          <w:szCs w:val="24"/>
        </w:rPr>
        <w:t>In train order premises</w:t>
      </w:r>
    </w:p>
    <w:p w14:paraId="567C9B1D" w14:textId="57C3F4F7"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‘In train order premises’ is defined by reference to the MPPs. </w:t>
      </w:r>
    </w:p>
    <w:p w14:paraId="7D78683E" w14:textId="4180DC0A" w:rsidR="00E400E2" w:rsidRPr="002F164E" w:rsidRDefault="00E400E2" w:rsidP="00BB2DA4">
      <w:pPr>
        <w:spacing w:after="120"/>
        <w:rPr>
          <w:rFonts w:ascii="Times New Roman" w:hAnsi="Times New Roman"/>
          <w:i/>
          <w:sz w:val="24"/>
          <w:szCs w:val="24"/>
        </w:rPr>
      </w:pPr>
      <w:r w:rsidRPr="002F164E">
        <w:rPr>
          <w:rFonts w:ascii="Times New Roman" w:hAnsi="Times New Roman"/>
          <w:i/>
          <w:sz w:val="24"/>
          <w:szCs w:val="24"/>
        </w:rPr>
        <w:t>In train order list</w:t>
      </w:r>
    </w:p>
    <w:p w14:paraId="13998013" w14:textId="02D3124D" w:rsidR="00BB2DA4" w:rsidRPr="002F164E" w:rsidRDefault="00BB2DA4" w:rsidP="00694736">
      <w:pPr>
        <w:rPr>
          <w:rFonts w:ascii="Times New Roman" w:hAnsi="Times New Roman"/>
          <w:sz w:val="24"/>
          <w:szCs w:val="24"/>
        </w:rPr>
      </w:pPr>
      <w:r w:rsidRPr="002F164E">
        <w:rPr>
          <w:rFonts w:ascii="Times New Roman" w:hAnsi="Times New Roman"/>
          <w:sz w:val="24"/>
          <w:szCs w:val="24"/>
        </w:rPr>
        <w:t>The related term, ‘in train order list’ refers to the list of in train order premises prepared by NBN Co and notified to Telstra in accordance with the Definitive Agreements.</w:t>
      </w:r>
    </w:p>
    <w:p w14:paraId="055781C1" w14:textId="77777777" w:rsidR="00694736" w:rsidRPr="002F164E" w:rsidRDefault="00694736" w:rsidP="00E400E2">
      <w:pPr>
        <w:spacing w:after="120"/>
        <w:rPr>
          <w:rFonts w:ascii="Times New Roman" w:hAnsi="Times New Roman"/>
          <w:i/>
          <w:sz w:val="24"/>
          <w:szCs w:val="24"/>
        </w:rPr>
      </w:pPr>
      <w:r w:rsidRPr="002F164E">
        <w:rPr>
          <w:rFonts w:ascii="Times New Roman" w:hAnsi="Times New Roman"/>
          <w:i/>
          <w:sz w:val="24"/>
          <w:szCs w:val="24"/>
        </w:rPr>
        <w:t>Information Campaign and Migration Deed</w:t>
      </w:r>
    </w:p>
    <w:p w14:paraId="091970E7" w14:textId="77777777" w:rsidR="00694736" w:rsidRPr="002F164E" w:rsidRDefault="00694736" w:rsidP="00694736">
      <w:pPr>
        <w:rPr>
          <w:rFonts w:ascii="Times New Roman" w:hAnsi="Times New Roman"/>
          <w:sz w:val="24"/>
          <w:szCs w:val="24"/>
        </w:rPr>
      </w:pPr>
      <w:r w:rsidRPr="002F164E">
        <w:rPr>
          <w:rFonts w:ascii="Times New Roman" w:hAnsi="Times New Roman"/>
          <w:sz w:val="24"/>
          <w:szCs w:val="24"/>
        </w:rPr>
        <w:t>This term is used in paragraph 11(6)(d) in describing a Restricted Permitted Purpose.</w:t>
      </w:r>
    </w:p>
    <w:p w14:paraId="300D12B4" w14:textId="77777777" w:rsidR="00694736" w:rsidRPr="002F164E" w:rsidRDefault="00694736" w:rsidP="00694736">
      <w:pPr>
        <w:rPr>
          <w:rFonts w:ascii="Times New Roman" w:hAnsi="Times New Roman"/>
          <w:sz w:val="24"/>
          <w:szCs w:val="24"/>
        </w:rPr>
      </w:pPr>
      <w:r w:rsidRPr="002F164E">
        <w:rPr>
          <w:rFonts w:ascii="Times New Roman" w:hAnsi="Times New Roman"/>
          <w:sz w:val="24"/>
          <w:szCs w:val="24"/>
        </w:rPr>
        <w:t>It refers to the deed entered into between Telstra and the Commonwealth, as amended in December 2014. This Deed sets out commitments by the Commonwealth relating to the migration of customers to the NBN. Under this Deed, the Commonwealth has agreed to arrange for a public education campaign to be run by NBN Co to inform end users that Telstra may disconnect services from the copper network as part of migration to the NBN and that the end user is responsible for customer migration costs, and conduct a public education campaign regarding NBN migration generally.</w:t>
      </w:r>
    </w:p>
    <w:p w14:paraId="1AB9F21D" w14:textId="77777777" w:rsidR="00BB2DA4" w:rsidRPr="002F164E" w:rsidRDefault="00BB2DA4" w:rsidP="00BB2DA4">
      <w:pPr>
        <w:spacing w:after="120"/>
        <w:rPr>
          <w:rFonts w:ascii="Times New Roman" w:hAnsi="Times New Roman"/>
          <w:i/>
          <w:sz w:val="24"/>
          <w:szCs w:val="24"/>
        </w:rPr>
      </w:pPr>
      <w:r w:rsidRPr="002F164E">
        <w:rPr>
          <w:rFonts w:ascii="Times New Roman" w:hAnsi="Times New Roman"/>
          <w:i/>
          <w:sz w:val="24"/>
          <w:szCs w:val="24"/>
        </w:rPr>
        <w:t>MDU Common Area</w:t>
      </w:r>
    </w:p>
    <w:p w14:paraId="5B2DC68A" w14:textId="41C0A1D8" w:rsidR="00337E80" w:rsidRPr="002F164E" w:rsidRDefault="00337E80" w:rsidP="00BB2DA4">
      <w:pPr>
        <w:spacing w:after="120"/>
        <w:rPr>
          <w:rFonts w:ascii="Times New Roman" w:hAnsi="Times New Roman"/>
          <w:i/>
          <w:sz w:val="24"/>
          <w:szCs w:val="24"/>
        </w:rPr>
      </w:pPr>
      <w:r w:rsidRPr="002F164E">
        <w:rPr>
          <w:rFonts w:ascii="Times New Roman" w:hAnsi="Times New Roman"/>
          <w:sz w:val="24"/>
          <w:szCs w:val="24"/>
        </w:rPr>
        <w:t xml:space="preserve">The definition of </w:t>
      </w:r>
      <w:r w:rsidR="00FC3529">
        <w:rPr>
          <w:rFonts w:ascii="Times New Roman" w:hAnsi="Times New Roman"/>
          <w:sz w:val="24"/>
          <w:szCs w:val="24"/>
        </w:rPr>
        <w:t>‘</w:t>
      </w:r>
      <w:r w:rsidRPr="00284BE1">
        <w:rPr>
          <w:rFonts w:ascii="Times New Roman" w:hAnsi="Times New Roman"/>
          <w:bCs/>
          <w:iCs/>
          <w:sz w:val="24"/>
          <w:szCs w:val="24"/>
        </w:rPr>
        <w:t>MDU common area</w:t>
      </w:r>
      <w:r w:rsidR="00FC3529">
        <w:rPr>
          <w:rFonts w:ascii="Times New Roman" w:hAnsi="Times New Roman"/>
          <w:bCs/>
          <w:iCs/>
          <w:sz w:val="24"/>
          <w:szCs w:val="24"/>
        </w:rPr>
        <w:t>’</w:t>
      </w:r>
      <w:r w:rsidRPr="002F164E">
        <w:rPr>
          <w:rFonts w:ascii="Times New Roman" w:hAnsi="Times New Roman"/>
          <w:sz w:val="24"/>
          <w:szCs w:val="24"/>
        </w:rPr>
        <w:t xml:space="preserve"> has the same meaning as in the </w:t>
      </w:r>
      <w:r w:rsidR="00CC2C5E" w:rsidRPr="00DE4768">
        <w:rPr>
          <w:rFonts w:ascii="Times New Roman" w:hAnsi="Times New Roman"/>
          <w:iCs/>
          <w:sz w:val="24"/>
          <w:szCs w:val="24"/>
        </w:rPr>
        <w:t>MPPs</w:t>
      </w:r>
      <w:r w:rsidRPr="002F164E">
        <w:rPr>
          <w:rFonts w:ascii="Times New Roman" w:hAnsi="Times New Roman"/>
          <w:sz w:val="24"/>
          <w:szCs w:val="24"/>
        </w:rPr>
        <w:t>. That definition refers to all of the areas within the property boundary of the parcel of land on which an MDU building is located which are outside of the area occupied by the other locations that are separate premises within that MDU building; or a common area within a single dwelling unit that NBN Co has notified to Telstra under and in accordance with the Definitive Agreements as being deemed an MDU common area.</w:t>
      </w:r>
    </w:p>
    <w:p w14:paraId="0093537E" w14:textId="6A8A0871" w:rsidR="00694736" w:rsidRPr="002F164E" w:rsidRDefault="00694736" w:rsidP="00BB2DA4">
      <w:pPr>
        <w:spacing w:after="120"/>
        <w:rPr>
          <w:rFonts w:ascii="Times New Roman" w:hAnsi="Times New Roman"/>
          <w:i/>
          <w:sz w:val="24"/>
          <w:szCs w:val="24"/>
        </w:rPr>
      </w:pPr>
      <w:r w:rsidRPr="002F164E">
        <w:rPr>
          <w:rFonts w:ascii="Times New Roman" w:hAnsi="Times New Roman"/>
          <w:i/>
          <w:sz w:val="24"/>
          <w:szCs w:val="24"/>
        </w:rPr>
        <w:t>Migration</w:t>
      </w:r>
    </w:p>
    <w:p w14:paraId="2EF6C2EB" w14:textId="77777777" w:rsidR="00694736" w:rsidRPr="002F164E" w:rsidRDefault="00694736" w:rsidP="00694736">
      <w:pPr>
        <w:rPr>
          <w:rFonts w:ascii="Times New Roman" w:hAnsi="Times New Roman"/>
          <w:sz w:val="24"/>
          <w:szCs w:val="24"/>
        </w:rPr>
      </w:pPr>
      <w:r w:rsidRPr="002F164E">
        <w:rPr>
          <w:rFonts w:ascii="Times New Roman" w:hAnsi="Times New Roman"/>
          <w:sz w:val="24"/>
          <w:szCs w:val="24"/>
        </w:rPr>
        <w:t>The term, ‘migration’ is defined by reference to the MPPs and means the process of disconnecting copper services or hybrid fibre-coaxial carriage services at a premises and connection to the NBN Co fixed-line network at the same premises.</w:t>
      </w:r>
    </w:p>
    <w:p w14:paraId="24AE2489" w14:textId="47BC73BC" w:rsidR="00BB2DA4" w:rsidRPr="002F164E" w:rsidRDefault="00BB2DA4" w:rsidP="00BB2DA4">
      <w:pPr>
        <w:spacing w:after="120"/>
        <w:rPr>
          <w:rFonts w:ascii="Times New Roman" w:hAnsi="Times New Roman"/>
          <w:i/>
          <w:sz w:val="24"/>
          <w:szCs w:val="24"/>
        </w:rPr>
      </w:pPr>
      <w:r w:rsidRPr="002F164E">
        <w:rPr>
          <w:rFonts w:ascii="Times New Roman" w:hAnsi="Times New Roman"/>
          <w:i/>
          <w:sz w:val="24"/>
          <w:szCs w:val="24"/>
        </w:rPr>
        <w:t>Migration Plan</w:t>
      </w:r>
    </w:p>
    <w:p w14:paraId="691978F4" w14:textId="4EDFC8B0" w:rsidR="00337E80" w:rsidRPr="002F164E" w:rsidRDefault="00337E80" w:rsidP="001F1750">
      <w:pPr>
        <w:rPr>
          <w:rFonts w:ascii="Times New Roman" w:hAnsi="Times New Roman"/>
          <w:sz w:val="24"/>
          <w:szCs w:val="24"/>
        </w:rPr>
      </w:pPr>
      <w:r w:rsidRPr="002F164E">
        <w:rPr>
          <w:rFonts w:ascii="Times New Roman" w:hAnsi="Times New Roman"/>
          <w:sz w:val="24"/>
          <w:szCs w:val="24"/>
        </w:rPr>
        <w:t xml:space="preserve">The definition of </w:t>
      </w:r>
      <w:r w:rsidR="00FC3529">
        <w:rPr>
          <w:rFonts w:ascii="Times New Roman" w:hAnsi="Times New Roman"/>
          <w:sz w:val="24"/>
          <w:szCs w:val="24"/>
        </w:rPr>
        <w:t>‘</w:t>
      </w:r>
      <w:r w:rsidRPr="002F164E">
        <w:rPr>
          <w:rFonts w:ascii="Times New Roman" w:hAnsi="Times New Roman"/>
          <w:sz w:val="24"/>
          <w:szCs w:val="24"/>
        </w:rPr>
        <w:t>migration plan</w:t>
      </w:r>
      <w:r w:rsidR="00FC3529">
        <w:rPr>
          <w:rFonts w:ascii="Times New Roman" w:hAnsi="Times New Roman"/>
          <w:sz w:val="24"/>
          <w:szCs w:val="24"/>
        </w:rPr>
        <w:t>’</w:t>
      </w:r>
      <w:r w:rsidRPr="002F164E">
        <w:rPr>
          <w:rFonts w:ascii="Times New Roman" w:hAnsi="Times New Roman"/>
          <w:sz w:val="24"/>
          <w:szCs w:val="24"/>
        </w:rPr>
        <w:t xml:space="preserve"> is defined as the final migration plan that is in force at the commencement of this instrument. Provisions relating to final migration plans are located in Subdivision B of Division 2 of Part 33 of the Act. The current final migration plan is available on the </w:t>
      </w:r>
      <w:r w:rsidR="00CC2C5E">
        <w:rPr>
          <w:rFonts w:ascii="Times New Roman" w:hAnsi="Times New Roman"/>
          <w:sz w:val="24"/>
          <w:szCs w:val="24"/>
        </w:rPr>
        <w:t xml:space="preserve">ACCC’s </w:t>
      </w:r>
      <w:r w:rsidRPr="002F164E">
        <w:rPr>
          <w:rFonts w:ascii="Times New Roman" w:hAnsi="Times New Roman"/>
          <w:sz w:val="24"/>
          <w:szCs w:val="24"/>
        </w:rPr>
        <w:t>website.</w:t>
      </w:r>
    </w:p>
    <w:p w14:paraId="4BC6D508" w14:textId="2F5BE73F" w:rsidR="00337E80" w:rsidRPr="002F164E" w:rsidRDefault="00337E80" w:rsidP="001F1750">
      <w:pPr>
        <w:rPr>
          <w:rFonts w:ascii="Times New Roman" w:hAnsi="Times New Roman"/>
          <w:sz w:val="24"/>
          <w:szCs w:val="24"/>
        </w:rPr>
      </w:pPr>
      <w:r w:rsidRPr="002F164E">
        <w:rPr>
          <w:rFonts w:ascii="Times New Roman" w:hAnsi="Times New Roman"/>
          <w:sz w:val="24"/>
          <w:szCs w:val="24"/>
        </w:rPr>
        <w:t xml:space="preserve">The definition of migration plan includes any variations made to that instrument from time to time. Section 589 of the </w:t>
      </w:r>
      <w:r w:rsidR="002F164E">
        <w:rPr>
          <w:rFonts w:ascii="Times New Roman" w:hAnsi="Times New Roman"/>
          <w:sz w:val="24"/>
          <w:szCs w:val="24"/>
        </w:rPr>
        <w:t xml:space="preserve">Act </w:t>
      </w:r>
      <w:r w:rsidRPr="002F164E">
        <w:rPr>
          <w:rFonts w:ascii="Times New Roman" w:hAnsi="Times New Roman"/>
          <w:sz w:val="24"/>
          <w:szCs w:val="24"/>
        </w:rPr>
        <w:t>allows instruments to make provision in relation to a matter by applying, adopting or incorporating matter contained in any other instrument as in force or existing from time to time. The migration plan is incorporated as varied from time to time because the relevant provisions of the migration plan referred to in section 11 are likely to be updated over time, and section 11 needs to continue to refer to the current version of those provisions. The relevant parties will be aware when changes are made to the migration plan.</w:t>
      </w:r>
    </w:p>
    <w:p w14:paraId="4BA0896A" w14:textId="77777777" w:rsidR="00694736" w:rsidRPr="002F164E" w:rsidRDefault="00694736" w:rsidP="00BB2DA4">
      <w:pPr>
        <w:spacing w:after="120"/>
        <w:rPr>
          <w:rFonts w:ascii="Times New Roman" w:hAnsi="Times New Roman"/>
          <w:i/>
          <w:sz w:val="24"/>
          <w:szCs w:val="24"/>
        </w:rPr>
      </w:pPr>
      <w:r w:rsidRPr="002F164E">
        <w:rPr>
          <w:rFonts w:ascii="Times New Roman" w:hAnsi="Times New Roman"/>
          <w:i/>
          <w:sz w:val="24"/>
          <w:szCs w:val="24"/>
        </w:rPr>
        <w:t>NBN based service and NBN Service</w:t>
      </w:r>
    </w:p>
    <w:p w14:paraId="68C476E4" w14:textId="5224B917" w:rsidR="00694736" w:rsidRPr="002F164E" w:rsidRDefault="00BB2DA4" w:rsidP="00694736">
      <w:pPr>
        <w:rPr>
          <w:rFonts w:ascii="Times New Roman" w:hAnsi="Times New Roman"/>
          <w:sz w:val="24"/>
          <w:szCs w:val="24"/>
        </w:rPr>
      </w:pPr>
      <w:r w:rsidRPr="002F164E">
        <w:rPr>
          <w:rFonts w:ascii="Times New Roman" w:hAnsi="Times New Roman"/>
          <w:sz w:val="24"/>
          <w:szCs w:val="24"/>
        </w:rPr>
        <w:t>This term is</w:t>
      </w:r>
      <w:r w:rsidR="00694736" w:rsidRPr="002F164E">
        <w:rPr>
          <w:rFonts w:ascii="Times New Roman" w:hAnsi="Times New Roman"/>
          <w:sz w:val="24"/>
          <w:szCs w:val="24"/>
        </w:rPr>
        <w:t xml:space="preserve"> defined by reference to the MPPs. NBN based service covers a carriage service supplied by a retail service provider using an NBN Service. In turn, NBN Service covers any service provided by NBN Co or a related entity of NBN Co over the NBN Co fixed-line network.</w:t>
      </w:r>
    </w:p>
    <w:p w14:paraId="54120702" w14:textId="77777777" w:rsidR="00694736" w:rsidRPr="002F164E" w:rsidRDefault="00694736" w:rsidP="00BB2DA4">
      <w:pPr>
        <w:spacing w:after="120"/>
        <w:rPr>
          <w:rFonts w:ascii="Times New Roman" w:hAnsi="Times New Roman"/>
          <w:i/>
          <w:sz w:val="24"/>
          <w:szCs w:val="24"/>
        </w:rPr>
      </w:pPr>
      <w:r w:rsidRPr="002F164E">
        <w:rPr>
          <w:rFonts w:ascii="Times New Roman" w:hAnsi="Times New Roman"/>
          <w:i/>
          <w:sz w:val="24"/>
          <w:szCs w:val="24"/>
        </w:rPr>
        <w:t>NBN Co</w:t>
      </w:r>
    </w:p>
    <w:p w14:paraId="52A3AD12" w14:textId="57E3CAAF" w:rsidR="00694736" w:rsidRPr="002F164E" w:rsidRDefault="00FC3529" w:rsidP="00694736">
      <w:pPr>
        <w:rPr>
          <w:rFonts w:ascii="Times New Roman" w:hAnsi="Times New Roman"/>
          <w:sz w:val="24"/>
          <w:szCs w:val="24"/>
        </w:rPr>
      </w:pPr>
      <w:r>
        <w:rPr>
          <w:rFonts w:ascii="Times New Roman" w:hAnsi="Times New Roman"/>
          <w:sz w:val="24"/>
          <w:szCs w:val="24"/>
        </w:rPr>
        <w:t>‘</w:t>
      </w:r>
      <w:r w:rsidR="00694736" w:rsidRPr="002F164E">
        <w:rPr>
          <w:rFonts w:ascii="Times New Roman" w:hAnsi="Times New Roman"/>
          <w:sz w:val="24"/>
          <w:szCs w:val="24"/>
        </w:rPr>
        <w:t>NBN Co</w:t>
      </w:r>
      <w:r>
        <w:rPr>
          <w:rFonts w:ascii="Times New Roman" w:hAnsi="Times New Roman"/>
          <w:sz w:val="24"/>
          <w:szCs w:val="24"/>
        </w:rPr>
        <w:t>’</w:t>
      </w:r>
      <w:r w:rsidR="00694736" w:rsidRPr="002F164E">
        <w:rPr>
          <w:rFonts w:ascii="Times New Roman" w:hAnsi="Times New Roman"/>
          <w:sz w:val="24"/>
          <w:szCs w:val="24"/>
        </w:rPr>
        <w:t xml:space="preserve"> means NBN Co Limited (ACN 136 533 741) as the company exists</w:t>
      </w:r>
      <w:r w:rsidR="00ED5824">
        <w:rPr>
          <w:rFonts w:ascii="Times New Roman" w:hAnsi="Times New Roman"/>
          <w:sz w:val="24"/>
          <w:szCs w:val="24"/>
        </w:rPr>
        <w:t xml:space="preserve"> from time to time</w:t>
      </w:r>
      <w:r w:rsidR="00694736" w:rsidRPr="002F164E">
        <w:rPr>
          <w:rFonts w:ascii="Times New Roman" w:hAnsi="Times New Roman"/>
          <w:sz w:val="24"/>
          <w:szCs w:val="24"/>
        </w:rPr>
        <w:t>, even if there is a change in company name.</w:t>
      </w:r>
    </w:p>
    <w:p w14:paraId="6C33611B" w14:textId="77777777" w:rsidR="00694736" w:rsidRPr="002F164E" w:rsidRDefault="00694736" w:rsidP="00BB2DA4">
      <w:pPr>
        <w:spacing w:after="120"/>
        <w:rPr>
          <w:rFonts w:ascii="Times New Roman" w:hAnsi="Times New Roman"/>
          <w:i/>
          <w:sz w:val="24"/>
          <w:szCs w:val="24"/>
        </w:rPr>
      </w:pPr>
      <w:r w:rsidRPr="002F164E">
        <w:rPr>
          <w:rFonts w:ascii="Times New Roman" w:hAnsi="Times New Roman"/>
          <w:i/>
          <w:sz w:val="24"/>
          <w:szCs w:val="24"/>
        </w:rPr>
        <w:t>NBN Co Communications Policies</w:t>
      </w:r>
    </w:p>
    <w:p w14:paraId="0A213349" w14:textId="7BB96E02"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These are NBN </w:t>
      </w:r>
      <w:r w:rsidR="00ED5824" w:rsidRPr="002F164E">
        <w:rPr>
          <w:rFonts w:ascii="Times New Roman" w:hAnsi="Times New Roman"/>
          <w:sz w:val="24"/>
          <w:szCs w:val="24"/>
        </w:rPr>
        <w:t>Co</w:t>
      </w:r>
      <w:r w:rsidR="00ED5824">
        <w:rPr>
          <w:rFonts w:ascii="Times New Roman" w:hAnsi="Times New Roman"/>
          <w:sz w:val="24"/>
          <w:szCs w:val="24"/>
        </w:rPr>
        <w:t>-</w:t>
      </w:r>
      <w:r w:rsidRPr="002F164E">
        <w:rPr>
          <w:rFonts w:ascii="Times New Roman" w:hAnsi="Times New Roman"/>
          <w:sz w:val="24"/>
          <w:szCs w:val="24"/>
        </w:rPr>
        <w:t>specific business rules, codes of practice and policies relating to marketing and communications with end users.</w:t>
      </w:r>
    </w:p>
    <w:p w14:paraId="36B92F58" w14:textId="77777777" w:rsidR="00694736" w:rsidRPr="002F164E" w:rsidRDefault="00694736" w:rsidP="00BB2DA4">
      <w:pPr>
        <w:spacing w:after="120"/>
        <w:rPr>
          <w:rFonts w:ascii="Times New Roman" w:hAnsi="Times New Roman"/>
          <w:i/>
          <w:sz w:val="24"/>
          <w:szCs w:val="24"/>
        </w:rPr>
      </w:pPr>
      <w:r w:rsidRPr="002F164E">
        <w:rPr>
          <w:rFonts w:ascii="Times New Roman" w:hAnsi="Times New Roman"/>
          <w:i/>
          <w:sz w:val="24"/>
          <w:szCs w:val="24"/>
        </w:rPr>
        <w:t>NBN Connected</w:t>
      </w:r>
    </w:p>
    <w:p w14:paraId="795A02CE" w14:textId="03C5D593"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The term ‘NBN Connected’ covers: FTTB-Connected Premises; FTTN-Connected Premises; FTTP-Connected Premises; and HFC-Connected Premises. These terms are separately defined in the MPPs and refer to the technology platform by which premises </w:t>
      </w:r>
      <w:r w:rsidR="00ED5824">
        <w:rPr>
          <w:rFonts w:ascii="Times New Roman" w:hAnsi="Times New Roman"/>
          <w:sz w:val="24"/>
          <w:szCs w:val="24"/>
        </w:rPr>
        <w:t>are</w:t>
      </w:r>
      <w:r w:rsidR="00ED5824" w:rsidRPr="002F164E">
        <w:rPr>
          <w:rFonts w:ascii="Times New Roman" w:hAnsi="Times New Roman"/>
          <w:sz w:val="24"/>
          <w:szCs w:val="24"/>
        </w:rPr>
        <w:t xml:space="preserve"> </w:t>
      </w:r>
      <w:r w:rsidRPr="002F164E">
        <w:rPr>
          <w:rFonts w:ascii="Times New Roman" w:hAnsi="Times New Roman"/>
          <w:sz w:val="24"/>
          <w:szCs w:val="24"/>
        </w:rPr>
        <w:t>(or will be) connected to the NBN.</w:t>
      </w:r>
    </w:p>
    <w:p w14:paraId="0D2A8FC0" w14:textId="4BB999FE" w:rsidR="00694736" w:rsidRPr="002F164E" w:rsidRDefault="00694736" w:rsidP="00BB2DA4">
      <w:pPr>
        <w:spacing w:after="120"/>
        <w:rPr>
          <w:rFonts w:ascii="Times New Roman" w:hAnsi="Times New Roman"/>
          <w:i/>
          <w:sz w:val="24"/>
          <w:szCs w:val="24"/>
        </w:rPr>
      </w:pPr>
      <w:r w:rsidRPr="002F164E">
        <w:rPr>
          <w:rFonts w:ascii="Times New Roman" w:hAnsi="Times New Roman"/>
          <w:i/>
          <w:sz w:val="24"/>
          <w:szCs w:val="24"/>
        </w:rPr>
        <w:t>NBN Co fixed-line network</w:t>
      </w:r>
    </w:p>
    <w:p w14:paraId="34D9766B" w14:textId="77777777" w:rsidR="00694736" w:rsidRPr="002F164E" w:rsidRDefault="00694736" w:rsidP="00694736">
      <w:pPr>
        <w:rPr>
          <w:rFonts w:ascii="Times New Roman" w:hAnsi="Times New Roman"/>
          <w:sz w:val="24"/>
          <w:szCs w:val="24"/>
        </w:rPr>
      </w:pPr>
      <w:r w:rsidRPr="002F164E">
        <w:rPr>
          <w:rFonts w:ascii="Times New Roman" w:hAnsi="Times New Roman"/>
          <w:sz w:val="24"/>
          <w:szCs w:val="24"/>
        </w:rPr>
        <w:t>This term is defined by reference to the MPPs. It is the fixed-line telecommunications network that is owned or controlled by, or operated by or on behalf of, NBN Co or a related entity of NBN Co including via FTTP, FTTB, FTTN and hybrid fibre-coaxial cable access technologies, but excluding any telecommunications network deemed under the MPPs to form part of Telstra’s copper or hybrid fibre-coaxial networks.</w:t>
      </w:r>
    </w:p>
    <w:p w14:paraId="31CE809F" w14:textId="77777777" w:rsidR="00BB2DA4" w:rsidRPr="002F164E" w:rsidRDefault="00BB2DA4" w:rsidP="00BB2DA4">
      <w:pPr>
        <w:spacing w:after="120"/>
        <w:rPr>
          <w:rFonts w:ascii="Times New Roman" w:hAnsi="Times New Roman"/>
          <w:i/>
          <w:sz w:val="24"/>
          <w:szCs w:val="24"/>
        </w:rPr>
      </w:pPr>
      <w:r w:rsidRPr="002F164E">
        <w:rPr>
          <w:rFonts w:ascii="Times New Roman" w:hAnsi="Times New Roman"/>
          <w:i/>
          <w:sz w:val="24"/>
          <w:szCs w:val="24"/>
        </w:rPr>
        <w:t>NBN Service</w:t>
      </w:r>
    </w:p>
    <w:p w14:paraId="48BC9123" w14:textId="77777777" w:rsidR="00BB2DA4" w:rsidRPr="002F164E" w:rsidRDefault="00BB2DA4" w:rsidP="00694736">
      <w:pPr>
        <w:rPr>
          <w:rFonts w:ascii="Times New Roman" w:hAnsi="Times New Roman"/>
          <w:sz w:val="24"/>
          <w:szCs w:val="24"/>
        </w:rPr>
      </w:pPr>
      <w:r w:rsidRPr="002F164E">
        <w:rPr>
          <w:rFonts w:ascii="Times New Roman" w:hAnsi="Times New Roman"/>
          <w:sz w:val="24"/>
          <w:szCs w:val="24"/>
        </w:rPr>
        <w:t>This term is defined by reference to the MPPs. NBN Service covers any service provided by NBN Co or a related entity of NBN Co over the NBN Co fixed-line network.</w:t>
      </w:r>
    </w:p>
    <w:p w14:paraId="3781F7C1" w14:textId="7DB0FF42" w:rsidR="00BB2DA4" w:rsidRPr="002F164E" w:rsidRDefault="00FC3529" w:rsidP="00BB2DA4">
      <w:pPr>
        <w:spacing w:after="120"/>
        <w:rPr>
          <w:rFonts w:ascii="Times New Roman" w:hAnsi="Times New Roman"/>
          <w:i/>
          <w:sz w:val="24"/>
          <w:szCs w:val="24"/>
        </w:rPr>
      </w:pPr>
      <w:r>
        <w:rPr>
          <w:rFonts w:ascii="Times New Roman" w:hAnsi="Times New Roman"/>
          <w:i/>
          <w:sz w:val="24"/>
          <w:szCs w:val="24"/>
        </w:rPr>
        <w:br w:type="column"/>
      </w:r>
      <w:r w:rsidR="00BB2DA4" w:rsidRPr="002F164E">
        <w:rPr>
          <w:rFonts w:ascii="Times New Roman" w:hAnsi="Times New Roman"/>
          <w:i/>
          <w:sz w:val="24"/>
          <w:szCs w:val="24"/>
        </w:rPr>
        <w:t>NBN Serviceable</w:t>
      </w:r>
    </w:p>
    <w:p w14:paraId="429977BF" w14:textId="3B3DFADE" w:rsidR="004C3663" w:rsidRPr="002F164E" w:rsidRDefault="004C3663" w:rsidP="00BB2DA4">
      <w:pPr>
        <w:spacing w:after="120"/>
        <w:rPr>
          <w:rFonts w:ascii="Times New Roman" w:hAnsi="Times New Roman"/>
          <w:i/>
          <w:sz w:val="24"/>
          <w:szCs w:val="24"/>
        </w:rPr>
      </w:pPr>
      <w:r w:rsidRPr="002F164E">
        <w:rPr>
          <w:rFonts w:ascii="Times New Roman" w:hAnsi="Times New Roman"/>
          <w:sz w:val="24"/>
          <w:szCs w:val="24"/>
        </w:rPr>
        <w:t xml:space="preserve">The definition of </w:t>
      </w:r>
      <w:r w:rsidR="00FC3529">
        <w:rPr>
          <w:rFonts w:ascii="Times New Roman" w:hAnsi="Times New Roman"/>
          <w:sz w:val="24"/>
          <w:szCs w:val="24"/>
        </w:rPr>
        <w:t>‘</w:t>
      </w:r>
      <w:r w:rsidRPr="002F164E">
        <w:rPr>
          <w:rFonts w:ascii="Times New Roman" w:hAnsi="Times New Roman"/>
          <w:bCs/>
          <w:iCs/>
          <w:sz w:val="24"/>
          <w:szCs w:val="24"/>
        </w:rPr>
        <w:t>NBN Serviceable</w:t>
      </w:r>
      <w:r w:rsidR="00FC3529">
        <w:rPr>
          <w:rFonts w:ascii="Times New Roman" w:hAnsi="Times New Roman"/>
          <w:bCs/>
          <w:iCs/>
          <w:sz w:val="24"/>
          <w:szCs w:val="24"/>
        </w:rPr>
        <w:t>’</w:t>
      </w:r>
      <w:r w:rsidRPr="002F164E">
        <w:rPr>
          <w:rFonts w:ascii="Times New Roman" w:hAnsi="Times New Roman"/>
          <w:b/>
          <w:bCs/>
          <w:iCs/>
          <w:sz w:val="24"/>
          <w:szCs w:val="24"/>
        </w:rPr>
        <w:t xml:space="preserve"> </w:t>
      </w:r>
      <w:r w:rsidRPr="002F164E">
        <w:rPr>
          <w:rFonts w:ascii="Times New Roman" w:hAnsi="Times New Roman"/>
          <w:sz w:val="24"/>
          <w:szCs w:val="24"/>
        </w:rPr>
        <w:t xml:space="preserve">has the same meaning as in the </w:t>
      </w:r>
      <w:r w:rsidR="00E16F7B" w:rsidRPr="00DE4768">
        <w:rPr>
          <w:rFonts w:ascii="Times New Roman" w:hAnsi="Times New Roman"/>
          <w:iCs/>
          <w:sz w:val="24"/>
          <w:szCs w:val="24"/>
        </w:rPr>
        <w:t>MPP</w:t>
      </w:r>
      <w:r w:rsidR="00E16F7B">
        <w:rPr>
          <w:rFonts w:ascii="Times New Roman" w:hAnsi="Times New Roman"/>
          <w:sz w:val="24"/>
          <w:szCs w:val="24"/>
        </w:rPr>
        <w:t>s</w:t>
      </w:r>
      <w:r w:rsidRPr="002F164E">
        <w:rPr>
          <w:rFonts w:ascii="Times New Roman" w:hAnsi="Times New Roman"/>
          <w:sz w:val="24"/>
          <w:szCs w:val="24"/>
        </w:rPr>
        <w:t>. This means a premises within the fixed footprint list for a rollout region that NBN Co has determined is serviceable by the NBN Co fixed-line network for the provision of an NBN Service, as shown in the NBN Co service qualification system (for clarity, premises which are identified as "Service Class 0" in the NBN Co service qualification system are not NBN Serviceable).</w:t>
      </w:r>
    </w:p>
    <w:p w14:paraId="15A0AD28" w14:textId="100A769E" w:rsidR="00694736" w:rsidRPr="002F164E" w:rsidRDefault="00BB2DA4" w:rsidP="00BB2DA4">
      <w:pPr>
        <w:spacing w:after="120"/>
        <w:rPr>
          <w:rFonts w:ascii="Times New Roman" w:hAnsi="Times New Roman"/>
          <w:i/>
          <w:sz w:val="24"/>
          <w:szCs w:val="24"/>
        </w:rPr>
      </w:pPr>
      <w:r w:rsidRPr="002F164E">
        <w:rPr>
          <w:rFonts w:ascii="Times New Roman" w:hAnsi="Times New Roman"/>
          <w:i/>
          <w:sz w:val="24"/>
          <w:szCs w:val="24"/>
        </w:rPr>
        <w:t>N</w:t>
      </w:r>
      <w:r w:rsidR="00694736" w:rsidRPr="002F164E">
        <w:rPr>
          <w:rFonts w:ascii="Times New Roman" w:hAnsi="Times New Roman"/>
          <w:i/>
          <w:sz w:val="24"/>
          <w:szCs w:val="24"/>
        </w:rPr>
        <w:t>ational broadband network</w:t>
      </w:r>
    </w:p>
    <w:p w14:paraId="501F998B" w14:textId="77777777"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The term, ‘national broadband network’ is given the same meaning as in </w:t>
      </w:r>
      <w:r w:rsidRPr="00DE4768">
        <w:rPr>
          <w:rFonts w:ascii="Times New Roman" w:hAnsi="Times New Roman"/>
          <w:i/>
          <w:sz w:val="24"/>
          <w:szCs w:val="24"/>
        </w:rPr>
        <w:t>the National Broadband Network Companies Act 2011</w:t>
      </w:r>
      <w:r w:rsidRPr="002F164E">
        <w:rPr>
          <w:rFonts w:ascii="Times New Roman" w:hAnsi="Times New Roman"/>
          <w:sz w:val="24"/>
          <w:szCs w:val="24"/>
        </w:rPr>
        <w:t xml:space="preserve"> (NBN Companies Act), which means a national telecommunications network for the high speed carriage of communications, where an NBN corporation is involved in the creation or development of the network.</w:t>
      </w:r>
    </w:p>
    <w:p w14:paraId="6752444F" w14:textId="77777777"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Permitted Purpose</w:t>
      </w:r>
    </w:p>
    <w:p w14:paraId="5A136A3B" w14:textId="5005FDFB" w:rsidR="00694736" w:rsidRPr="002F164E" w:rsidRDefault="005352B4" w:rsidP="00694736">
      <w:pPr>
        <w:rPr>
          <w:rFonts w:ascii="Times New Roman" w:hAnsi="Times New Roman"/>
          <w:sz w:val="24"/>
          <w:szCs w:val="24"/>
        </w:rPr>
      </w:pPr>
      <w:r w:rsidRPr="002F164E">
        <w:rPr>
          <w:rFonts w:ascii="Times New Roman" w:hAnsi="Times New Roman"/>
          <w:sz w:val="24"/>
          <w:szCs w:val="24"/>
        </w:rPr>
        <w:t xml:space="preserve">In accordance with the </w:t>
      </w:r>
      <w:r w:rsidR="00694736" w:rsidRPr="002F164E">
        <w:rPr>
          <w:rFonts w:ascii="Times New Roman" w:hAnsi="Times New Roman"/>
          <w:sz w:val="24"/>
          <w:szCs w:val="24"/>
        </w:rPr>
        <w:t xml:space="preserve">information disclosure </w:t>
      </w:r>
      <w:r w:rsidRPr="002F164E">
        <w:rPr>
          <w:rFonts w:ascii="Times New Roman" w:hAnsi="Times New Roman"/>
          <w:sz w:val="24"/>
          <w:szCs w:val="24"/>
        </w:rPr>
        <w:t>requirement under subsection</w:t>
      </w:r>
      <w:r w:rsidR="00BB2DA4" w:rsidRPr="002F164E">
        <w:rPr>
          <w:rFonts w:ascii="Times New Roman" w:hAnsi="Times New Roman"/>
          <w:sz w:val="24"/>
          <w:szCs w:val="24"/>
        </w:rPr>
        <w:t xml:space="preserve"> 11(2</w:t>
      </w:r>
      <w:r w:rsidR="00694736" w:rsidRPr="002F164E">
        <w:rPr>
          <w:rFonts w:ascii="Times New Roman" w:hAnsi="Times New Roman"/>
          <w:sz w:val="24"/>
          <w:szCs w:val="24"/>
        </w:rPr>
        <w:t xml:space="preserve">), Telstra must disclose the Specified Premises Location Information to NBN Co to enable NBN Co to use it for a Permitted Purpose. The </w:t>
      </w:r>
      <w:r w:rsidR="00ED5824">
        <w:rPr>
          <w:rFonts w:ascii="Times New Roman" w:hAnsi="Times New Roman"/>
          <w:sz w:val="24"/>
          <w:szCs w:val="24"/>
        </w:rPr>
        <w:t>term</w:t>
      </w:r>
      <w:r w:rsidR="00694736" w:rsidRPr="002F164E">
        <w:rPr>
          <w:rFonts w:ascii="Times New Roman" w:hAnsi="Times New Roman"/>
          <w:sz w:val="24"/>
          <w:szCs w:val="24"/>
        </w:rPr>
        <w:t xml:space="preserve">‘Permitted Purpose’ </w:t>
      </w:r>
      <w:r w:rsidR="00FC3529">
        <w:rPr>
          <w:rFonts w:ascii="Times New Roman" w:hAnsi="Times New Roman"/>
          <w:sz w:val="24"/>
          <w:szCs w:val="24"/>
        </w:rPr>
        <w:t xml:space="preserve">means a purpose permitted under </w:t>
      </w:r>
      <w:r w:rsidRPr="002F164E">
        <w:rPr>
          <w:rFonts w:ascii="Times New Roman" w:hAnsi="Times New Roman"/>
          <w:sz w:val="24"/>
          <w:szCs w:val="24"/>
        </w:rPr>
        <w:t>subsection</w:t>
      </w:r>
      <w:r w:rsidR="00694736" w:rsidRPr="002F164E">
        <w:rPr>
          <w:rFonts w:ascii="Times New Roman" w:hAnsi="Times New Roman"/>
          <w:sz w:val="24"/>
          <w:szCs w:val="24"/>
        </w:rPr>
        <w:t xml:space="preserve"> </w:t>
      </w:r>
      <w:r w:rsidR="00626D1F" w:rsidRPr="00284BE1">
        <w:rPr>
          <w:rFonts w:ascii="Times New Roman" w:hAnsi="Times New Roman"/>
          <w:sz w:val="24"/>
          <w:szCs w:val="24"/>
        </w:rPr>
        <w:t>11(7</w:t>
      </w:r>
      <w:r w:rsidR="00694736" w:rsidRPr="00284BE1">
        <w:rPr>
          <w:rFonts w:ascii="Times New Roman" w:hAnsi="Times New Roman"/>
          <w:sz w:val="24"/>
          <w:szCs w:val="24"/>
        </w:rPr>
        <w:t>)</w:t>
      </w:r>
      <w:r w:rsidR="00694736" w:rsidRPr="002F164E">
        <w:rPr>
          <w:rFonts w:ascii="Times New Roman" w:hAnsi="Times New Roman"/>
          <w:sz w:val="24"/>
          <w:szCs w:val="24"/>
        </w:rPr>
        <w:t xml:space="preserve"> and covers a range of purposes, including:</w:t>
      </w:r>
    </w:p>
    <w:p w14:paraId="35DF49FA" w14:textId="7BE4B25C" w:rsidR="00694736" w:rsidRPr="002F164E" w:rsidRDefault="00694736"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identifying premises that have not migrated to the fixed-line NBN;</w:t>
      </w:r>
    </w:p>
    <w:p w14:paraId="5225CEEA" w14:textId="0E3D5D34" w:rsidR="00694736" w:rsidRPr="002F164E" w:rsidRDefault="00694736"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NBN Co’s internal reporting;</w:t>
      </w:r>
    </w:p>
    <w:p w14:paraId="0F7FD1B6" w14:textId="52B79284" w:rsidR="00694736" w:rsidRPr="002F164E" w:rsidRDefault="00694736"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to guide NBN Co’s marketing activities at the rollout region level</w:t>
      </w:r>
      <w:r w:rsidR="008B4448">
        <w:rPr>
          <w:rFonts w:ascii="Times New Roman" w:hAnsi="Times New Roman"/>
          <w:sz w:val="24"/>
          <w:szCs w:val="24"/>
        </w:rPr>
        <w:t>;</w:t>
      </w:r>
    </w:p>
    <w:p w14:paraId="359CD968" w14:textId="04563075" w:rsidR="00694736" w:rsidRPr="002F164E" w:rsidRDefault="00694736"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to undertake NBN public information and migration marketing activities (such as sending ‘to the Occupant’ style correspondence) to occupants of premises understood to have medical alarms, fire alarms, lift phones or other over the-top services; and</w:t>
      </w:r>
    </w:p>
    <w:p w14:paraId="5D4D3DA7" w14:textId="13E6D36E" w:rsidR="00694736" w:rsidRPr="002F164E" w:rsidRDefault="00694736"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to estimate installation capacity.</w:t>
      </w:r>
    </w:p>
    <w:p w14:paraId="2F376088" w14:textId="416065CE" w:rsidR="00626D1F" w:rsidRPr="00921593" w:rsidRDefault="00626D1F" w:rsidP="00626D1F">
      <w:pPr>
        <w:spacing w:after="120"/>
        <w:rPr>
          <w:rFonts w:ascii="Times New Roman" w:hAnsi="Times New Roman"/>
          <w:i/>
          <w:sz w:val="24"/>
          <w:szCs w:val="24"/>
        </w:rPr>
      </w:pPr>
      <w:r w:rsidRPr="00921593">
        <w:rPr>
          <w:rFonts w:ascii="Times New Roman" w:hAnsi="Times New Roman"/>
          <w:i/>
          <w:sz w:val="24"/>
          <w:szCs w:val="24"/>
        </w:rPr>
        <w:t>Premises</w:t>
      </w:r>
    </w:p>
    <w:p w14:paraId="4EF15648" w14:textId="0AC6E642" w:rsidR="00645175" w:rsidRPr="002F164E" w:rsidRDefault="00645175" w:rsidP="00645175">
      <w:pPr>
        <w:rPr>
          <w:rFonts w:ascii="Times New Roman" w:hAnsi="Times New Roman"/>
          <w:sz w:val="24"/>
          <w:szCs w:val="24"/>
        </w:rPr>
      </w:pPr>
      <w:r w:rsidRPr="002F164E">
        <w:rPr>
          <w:rFonts w:ascii="Times New Roman" w:hAnsi="Times New Roman"/>
          <w:sz w:val="24"/>
          <w:szCs w:val="24"/>
        </w:rPr>
        <w:t>‘</w:t>
      </w:r>
      <w:r>
        <w:rPr>
          <w:rFonts w:ascii="Times New Roman" w:hAnsi="Times New Roman"/>
          <w:sz w:val="24"/>
          <w:szCs w:val="24"/>
        </w:rPr>
        <w:t>Premises</w:t>
      </w:r>
      <w:r w:rsidR="00FC3529">
        <w:rPr>
          <w:rFonts w:ascii="Times New Roman" w:hAnsi="Times New Roman"/>
          <w:sz w:val="24"/>
          <w:szCs w:val="24"/>
        </w:rPr>
        <w:t>’</w:t>
      </w:r>
      <w:r>
        <w:rPr>
          <w:rFonts w:ascii="Times New Roman" w:hAnsi="Times New Roman"/>
          <w:sz w:val="24"/>
          <w:szCs w:val="24"/>
        </w:rPr>
        <w:t xml:space="preserve"> </w:t>
      </w:r>
      <w:r w:rsidRPr="002F164E">
        <w:rPr>
          <w:rFonts w:ascii="Times New Roman" w:hAnsi="Times New Roman"/>
          <w:sz w:val="24"/>
          <w:szCs w:val="24"/>
        </w:rPr>
        <w:t xml:space="preserve">is defined by reference to the MPPs. </w:t>
      </w:r>
    </w:p>
    <w:p w14:paraId="67D2F619" w14:textId="101CD4B7"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 xml:space="preserve">Privacy Laws </w:t>
      </w:r>
    </w:p>
    <w:p w14:paraId="2338077B" w14:textId="019E9CC8" w:rsidR="00694736" w:rsidRPr="002F164E" w:rsidRDefault="00626D1F" w:rsidP="00694736">
      <w:pPr>
        <w:rPr>
          <w:rFonts w:ascii="Times New Roman" w:hAnsi="Times New Roman"/>
          <w:sz w:val="24"/>
          <w:szCs w:val="24"/>
        </w:rPr>
      </w:pPr>
      <w:r w:rsidRPr="00921593">
        <w:rPr>
          <w:rFonts w:ascii="Times New Roman" w:hAnsi="Times New Roman"/>
          <w:sz w:val="24"/>
          <w:szCs w:val="24"/>
        </w:rPr>
        <w:t>P</w:t>
      </w:r>
      <w:r w:rsidR="00694736" w:rsidRPr="00921593">
        <w:rPr>
          <w:rFonts w:ascii="Times New Roman" w:hAnsi="Times New Roman"/>
          <w:sz w:val="24"/>
          <w:szCs w:val="24"/>
        </w:rPr>
        <w:t xml:space="preserve">aragraph </w:t>
      </w:r>
      <w:r w:rsidRPr="00921593">
        <w:rPr>
          <w:rFonts w:ascii="Times New Roman" w:hAnsi="Times New Roman"/>
          <w:sz w:val="24"/>
          <w:szCs w:val="24"/>
        </w:rPr>
        <w:t>11(8</w:t>
      </w:r>
      <w:r w:rsidR="00694736" w:rsidRPr="00921593">
        <w:rPr>
          <w:rFonts w:ascii="Times New Roman" w:hAnsi="Times New Roman"/>
          <w:sz w:val="24"/>
          <w:szCs w:val="24"/>
        </w:rPr>
        <w:t>)(e) provides</w:t>
      </w:r>
      <w:r w:rsidR="00694736" w:rsidRPr="002F164E">
        <w:rPr>
          <w:rFonts w:ascii="Times New Roman" w:hAnsi="Times New Roman"/>
          <w:sz w:val="24"/>
          <w:szCs w:val="24"/>
        </w:rPr>
        <w:t xml:space="preserve"> that NBN Co is not permitted (subject to some exceptions) to use the NBN Loc ID data to compare or match, or attempt to compare or match, a premises to an end user’s personal details or to any other data (whether or not this constitutes ‘personal information’ under Australian privacy laws). The laws covered by the term ‘Privacy Laws’ are the </w:t>
      </w:r>
      <w:r w:rsidR="00694736" w:rsidRPr="00DE4768">
        <w:rPr>
          <w:rFonts w:ascii="Times New Roman" w:hAnsi="Times New Roman"/>
          <w:i/>
          <w:sz w:val="24"/>
          <w:szCs w:val="24"/>
        </w:rPr>
        <w:t>Privacy Act 1998</w:t>
      </w:r>
      <w:r w:rsidR="00694736" w:rsidRPr="002F164E">
        <w:rPr>
          <w:rFonts w:ascii="Times New Roman" w:hAnsi="Times New Roman"/>
          <w:sz w:val="24"/>
          <w:szCs w:val="24"/>
        </w:rPr>
        <w:t xml:space="preserve"> (Cth) (including binding guidelines issued under that Act) and also Part 13 of the Act. </w:t>
      </w:r>
    </w:p>
    <w:p w14:paraId="2C92AB06" w14:textId="77777777"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 xml:space="preserve">Recipient Entities </w:t>
      </w:r>
    </w:p>
    <w:p w14:paraId="11B7C5EC" w14:textId="48377F19"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This term essentially covers employees and officers of NBN Co, any contractor of NBN Co engaged to undertake on NBN Co’s behalf the type of activities (such as marketing) as specified in </w:t>
      </w:r>
      <w:r w:rsidR="004A5CD3" w:rsidRPr="002F164E">
        <w:rPr>
          <w:rFonts w:ascii="Times New Roman" w:hAnsi="Times New Roman"/>
          <w:sz w:val="24"/>
          <w:szCs w:val="24"/>
        </w:rPr>
        <w:t>subsection</w:t>
      </w:r>
      <w:r w:rsidRPr="002F164E">
        <w:rPr>
          <w:rFonts w:ascii="Times New Roman" w:hAnsi="Times New Roman"/>
          <w:sz w:val="24"/>
          <w:szCs w:val="24"/>
        </w:rPr>
        <w:t xml:space="preserve"> 11(</w:t>
      </w:r>
      <w:r w:rsidR="00921593">
        <w:rPr>
          <w:rFonts w:ascii="Times New Roman" w:hAnsi="Times New Roman"/>
          <w:sz w:val="24"/>
          <w:szCs w:val="24"/>
        </w:rPr>
        <w:t>7</w:t>
      </w:r>
      <w:r w:rsidRPr="002F164E">
        <w:rPr>
          <w:rFonts w:ascii="Times New Roman" w:hAnsi="Times New Roman"/>
          <w:sz w:val="24"/>
          <w:szCs w:val="24"/>
        </w:rPr>
        <w:t>). The term is used in subparagraph 11(</w:t>
      </w:r>
      <w:r w:rsidR="00921593">
        <w:rPr>
          <w:rFonts w:ascii="Times New Roman" w:hAnsi="Times New Roman"/>
          <w:sz w:val="24"/>
          <w:szCs w:val="24"/>
        </w:rPr>
        <w:t>8</w:t>
      </w:r>
      <w:r w:rsidRPr="002F164E">
        <w:rPr>
          <w:rFonts w:ascii="Times New Roman" w:hAnsi="Times New Roman"/>
          <w:sz w:val="24"/>
          <w:szCs w:val="24"/>
        </w:rPr>
        <w:t xml:space="preserve">)(g)(ii) when defining uses of the data which are not permitted. </w:t>
      </w:r>
    </w:p>
    <w:p w14:paraId="21D4BA94" w14:textId="77777777"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 xml:space="preserve">Related Entities </w:t>
      </w:r>
      <w:r w:rsidRPr="00DE4768">
        <w:rPr>
          <w:rFonts w:ascii="Times New Roman" w:hAnsi="Times New Roman"/>
          <w:sz w:val="24"/>
          <w:szCs w:val="24"/>
        </w:rPr>
        <w:t>and</w:t>
      </w:r>
      <w:r w:rsidRPr="002F164E">
        <w:rPr>
          <w:rFonts w:ascii="Times New Roman" w:hAnsi="Times New Roman"/>
          <w:i/>
          <w:sz w:val="24"/>
          <w:szCs w:val="24"/>
        </w:rPr>
        <w:t xml:space="preserve"> Telstra Representatives </w:t>
      </w:r>
    </w:p>
    <w:p w14:paraId="7906884B" w14:textId="77EB171A" w:rsidR="00694736" w:rsidRPr="002F164E" w:rsidRDefault="00694736" w:rsidP="00694736">
      <w:pPr>
        <w:rPr>
          <w:rFonts w:ascii="Times New Roman" w:hAnsi="Times New Roman"/>
          <w:sz w:val="24"/>
          <w:szCs w:val="24"/>
        </w:rPr>
      </w:pPr>
      <w:r w:rsidRPr="002F164E">
        <w:rPr>
          <w:rFonts w:ascii="Times New Roman" w:hAnsi="Times New Roman"/>
          <w:sz w:val="24"/>
          <w:szCs w:val="24"/>
        </w:rPr>
        <w:t>These two terms are used in paragraph 11(</w:t>
      </w:r>
      <w:r w:rsidR="00921593">
        <w:rPr>
          <w:rFonts w:ascii="Times New Roman" w:hAnsi="Times New Roman"/>
          <w:sz w:val="24"/>
          <w:szCs w:val="24"/>
        </w:rPr>
        <w:t>8</w:t>
      </w:r>
      <w:r w:rsidRPr="002F164E">
        <w:rPr>
          <w:rFonts w:ascii="Times New Roman" w:hAnsi="Times New Roman"/>
          <w:sz w:val="24"/>
          <w:szCs w:val="24"/>
        </w:rPr>
        <w:t xml:space="preserve">)(g) when describing one of the non-permitted uses (in respect of statements which for example, criticize or defame an entity related to Telstra or a Telstra Representative). ‘Related Entities’ covers each related body corporate of Telstra and any entity which is controlled by Telstra, from time to time. The term ‘Telstra Representatives’ is broad and covers Telstra’s directors, employees, officers, representatives, delegates, professional or financial advisers, agents, contractors or subcontractors of Telstra (in their capacity as such). </w:t>
      </w:r>
    </w:p>
    <w:p w14:paraId="0AA79EDC" w14:textId="77777777"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 xml:space="preserve">Report Date </w:t>
      </w:r>
    </w:p>
    <w:p w14:paraId="4036D4A9" w14:textId="6180D072" w:rsidR="00694736" w:rsidRPr="002F164E" w:rsidRDefault="00694736" w:rsidP="00FC3529">
      <w:pPr>
        <w:rPr>
          <w:rFonts w:ascii="Times New Roman" w:hAnsi="Times New Roman"/>
          <w:sz w:val="24"/>
          <w:szCs w:val="24"/>
        </w:rPr>
      </w:pPr>
      <w:r w:rsidRPr="002F164E">
        <w:rPr>
          <w:rFonts w:ascii="Times New Roman" w:hAnsi="Times New Roman"/>
          <w:sz w:val="24"/>
          <w:szCs w:val="24"/>
        </w:rPr>
        <w:t>The term ‘Report Date’ means any time from when the Declaration comes into effect and the Rollout Completion Date (the latter term is essentially the date declared by the Communications</w:t>
      </w:r>
      <w:r w:rsidR="000F16D7">
        <w:rPr>
          <w:rFonts w:ascii="Times New Roman" w:hAnsi="Times New Roman"/>
          <w:sz w:val="24"/>
          <w:szCs w:val="24"/>
        </w:rPr>
        <w:t xml:space="preserve"> </w:t>
      </w:r>
      <w:r w:rsidRPr="002F164E">
        <w:rPr>
          <w:rFonts w:ascii="Times New Roman" w:hAnsi="Times New Roman"/>
          <w:sz w:val="24"/>
          <w:szCs w:val="24"/>
        </w:rPr>
        <w:t xml:space="preserve">Minister, in accordance with the NBN Companies Act, as the date by which the NBN should be treated as built and fully operational). </w:t>
      </w:r>
    </w:p>
    <w:p w14:paraId="128926E6" w14:textId="25C98540" w:rsidR="00694736" w:rsidRPr="002F164E" w:rsidRDefault="00694736" w:rsidP="00694736">
      <w:pPr>
        <w:rPr>
          <w:rFonts w:ascii="Times New Roman" w:hAnsi="Times New Roman"/>
          <w:sz w:val="24"/>
          <w:szCs w:val="24"/>
        </w:rPr>
      </w:pPr>
      <w:r w:rsidRPr="002F164E">
        <w:rPr>
          <w:rFonts w:ascii="Times New Roman" w:hAnsi="Times New Roman"/>
          <w:sz w:val="24"/>
          <w:szCs w:val="24"/>
        </w:rPr>
        <w:t>In effect, the discl</w:t>
      </w:r>
      <w:r w:rsidR="00CB604B" w:rsidRPr="002F164E">
        <w:rPr>
          <w:rFonts w:ascii="Times New Roman" w:hAnsi="Times New Roman"/>
          <w:sz w:val="24"/>
          <w:szCs w:val="24"/>
        </w:rPr>
        <w:t>osure obligation under section</w:t>
      </w:r>
      <w:r w:rsidRPr="002F164E">
        <w:rPr>
          <w:rFonts w:ascii="Times New Roman" w:hAnsi="Times New Roman"/>
          <w:sz w:val="24"/>
          <w:szCs w:val="24"/>
        </w:rPr>
        <w:t xml:space="preserve"> 11 will not be required once the NBN is built and </w:t>
      </w:r>
      <w:r w:rsidR="00ED5824" w:rsidRPr="002F164E">
        <w:rPr>
          <w:rFonts w:ascii="Times New Roman" w:hAnsi="Times New Roman"/>
          <w:sz w:val="24"/>
          <w:szCs w:val="24"/>
        </w:rPr>
        <w:t xml:space="preserve">fully </w:t>
      </w:r>
      <w:r w:rsidRPr="002F164E">
        <w:rPr>
          <w:rFonts w:ascii="Times New Roman" w:hAnsi="Times New Roman"/>
          <w:sz w:val="24"/>
          <w:szCs w:val="24"/>
        </w:rPr>
        <w:t xml:space="preserve">operational and captures: </w:t>
      </w:r>
    </w:p>
    <w:p w14:paraId="32A5EE51" w14:textId="7699622A" w:rsidR="00694736" w:rsidRPr="002F164E" w:rsidRDefault="00694736" w:rsidP="003A1E64">
      <w:pPr>
        <w:pStyle w:val="ListParagraph"/>
        <w:numPr>
          <w:ilvl w:val="0"/>
          <w:numId w:val="5"/>
        </w:numPr>
        <w:rPr>
          <w:rFonts w:ascii="Times New Roman" w:hAnsi="Times New Roman"/>
          <w:sz w:val="24"/>
          <w:szCs w:val="24"/>
        </w:rPr>
      </w:pPr>
      <w:r w:rsidRPr="002F164E">
        <w:rPr>
          <w:rFonts w:ascii="Times New Roman" w:hAnsi="Times New Roman"/>
          <w:sz w:val="24"/>
          <w:szCs w:val="24"/>
        </w:rPr>
        <w:t xml:space="preserve">each of the dates that are </w:t>
      </w:r>
      <w:r w:rsidR="00645175">
        <w:rPr>
          <w:rFonts w:ascii="Times New Roman" w:hAnsi="Times New Roman"/>
          <w:sz w:val="24"/>
          <w:szCs w:val="24"/>
        </w:rPr>
        <w:t>12,</w:t>
      </w:r>
      <w:r w:rsidR="00E16F7B">
        <w:rPr>
          <w:rFonts w:ascii="Times New Roman" w:hAnsi="Times New Roman"/>
          <w:sz w:val="24"/>
          <w:szCs w:val="24"/>
        </w:rPr>
        <w:t xml:space="preserve"> </w:t>
      </w:r>
      <w:r w:rsidR="00645175">
        <w:rPr>
          <w:rFonts w:ascii="Times New Roman" w:hAnsi="Times New Roman"/>
          <w:sz w:val="24"/>
          <w:szCs w:val="24"/>
        </w:rPr>
        <w:t xml:space="preserve">9, </w:t>
      </w:r>
      <w:r w:rsidRPr="002F164E">
        <w:rPr>
          <w:rFonts w:ascii="Times New Roman" w:hAnsi="Times New Roman"/>
          <w:sz w:val="24"/>
          <w:szCs w:val="24"/>
        </w:rPr>
        <w:t xml:space="preserve">6, 5, 4, 3, 2 and 1 calendar months before the disconnection date for a rollout region; </w:t>
      </w:r>
    </w:p>
    <w:p w14:paraId="22B46C13" w14:textId="64B8E367" w:rsidR="00694736" w:rsidRPr="002F164E" w:rsidRDefault="00694736" w:rsidP="003A1E64">
      <w:pPr>
        <w:pStyle w:val="ListParagraph"/>
        <w:numPr>
          <w:ilvl w:val="0"/>
          <w:numId w:val="5"/>
        </w:numPr>
        <w:rPr>
          <w:rFonts w:ascii="Times New Roman" w:hAnsi="Times New Roman"/>
          <w:sz w:val="24"/>
          <w:szCs w:val="24"/>
        </w:rPr>
      </w:pPr>
      <w:r w:rsidRPr="002F164E">
        <w:rPr>
          <w:rFonts w:ascii="Times New Roman" w:hAnsi="Times New Roman"/>
          <w:sz w:val="24"/>
          <w:szCs w:val="24"/>
        </w:rPr>
        <w:t xml:space="preserve">the disconnection date for a rollout region; </w:t>
      </w:r>
    </w:p>
    <w:p w14:paraId="7EA2D5C9" w14:textId="344126C5" w:rsidR="00694736" w:rsidRPr="002F164E" w:rsidRDefault="00694736" w:rsidP="003A1E64">
      <w:pPr>
        <w:pStyle w:val="ListParagraph"/>
        <w:numPr>
          <w:ilvl w:val="0"/>
          <w:numId w:val="5"/>
        </w:numPr>
        <w:rPr>
          <w:rFonts w:ascii="Times New Roman" w:hAnsi="Times New Roman"/>
          <w:sz w:val="24"/>
          <w:szCs w:val="24"/>
        </w:rPr>
      </w:pPr>
      <w:r w:rsidRPr="002F164E">
        <w:rPr>
          <w:rFonts w:ascii="Times New Roman" w:hAnsi="Times New Roman"/>
          <w:sz w:val="24"/>
          <w:szCs w:val="24"/>
        </w:rPr>
        <w:t>the date that is 25 Business Days after the disconnection</w:t>
      </w:r>
      <w:r w:rsidR="0096582D">
        <w:rPr>
          <w:rFonts w:ascii="Times New Roman" w:hAnsi="Times New Roman"/>
          <w:sz w:val="24"/>
          <w:szCs w:val="24"/>
        </w:rPr>
        <w:t xml:space="preserve"> date for a rollout region; and</w:t>
      </w:r>
    </w:p>
    <w:p w14:paraId="722E8889" w14:textId="4F5E7138" w:rsidR="00694736" w:rsidRPr="002F164E" w:rsidRDefault="00694736" w:rsidP="003A1E64">
      <w:pPr>
        <w:pStyle w:val="ListParagraph"/>
        <w:numPr>
          <w:ilvl w:val="0"/>
          <w:numId w:val="5"/>
        </w:numPr>
        <w:rPr>
          <w:rFonts w:ascii="Times New Roman" w:hAnsi="Times New Roman"/>
          <w:sz w:val="24"/>
          <w:szCs w:val="24"/>
        </w:rPr>
      </w:pPr>
      <w:r w:rsidRPr="002F164E">
        <w:rPr>
          <w:rFonts w:ascii="Times New Roman" w:hAnsi="Times New Roman"/>
          <w:sz w:val="24"/>
          <w:szCs w:val="24"/>
        </w:rPr>
        <w:t xml:space="preserve">any other date Telstra advises NBN Co is a report date. </w:t>
      </w:r>
    </w:p>
    <w:p w14:paraId="7E38E1A8" w14:textId="77777777"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 xml:space="preserve">Restricted Permitted Purpose </w:t>
      </w:r>
    </w:p>
    <w:p w14:paraId="1AF1CB57" w14:textId="157E0DDF" w:rsidR="00694736" w:rsidRPr="002F164E" w:rsidRDefault="00694736" w:rsidP="00694736">
      <w:pPr>
        <w:rPr>
          <w:rFonts w:ascii="Times New Roman" w:hAnsi="Times New Roman"/>
          <w:sz w:val="24"/>
          <w:szCs w:val="24"/>
        </w:rPr>
      </w:pPr>
      <w:r w:rsidRPr="002F164E">
        <w:rPr>
          <w:rFonts w:ascii="Times New Roman" w:hAnsi="Times New Roman"/>
          <w:sz w:val="24"/>
          <w:szCs w:val="24"/>
        </w:rPr>
        <w:t>This is defined as the purposes set out in clause 11(</w:t>
      </w:r>
      <w:r w:rsidR="00921593">
        <w:rPr>
          <w:rFonts w:ascii="Times New Roman" w:hAnsi="Times New Roman"/>
          <w:sz w:val="24"/>
          <w:szCs w:val="24"/>
        </w:rPr>
        <w:t>7</w:t>
      </w:r>
      <w:r w:rsidRPr="002F164E">
        <w:rPr>
          <w:rFonts w:ascii="Times New Roman" w:hAnsi="Times New Roman"/>
          <w:sz w:val="24"/>
          <w:szCs w:val="24"/>
        </w:rPr>
        <w:t xml:space="preserve">)(d). In summary, it covers the activity of sending mail addressed to the ‘Owner’, ‘Occupant’ or ‘Resident’ of a premises or door-knocking, outdoor advertising, or other communications (emails or phone calls) to persons with medical alarms, fire alarms or lift phones or to identify such persons. </w:t>
      </w:r>
    </w:p>
    <w:p w14:paraId="36C0CD47" w14:textId="3F09A7F0"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 xml:space="preserve">Retail service provider </w:t>
      </w:r>
    </w:p>
    <w:p w14:paraId="65432265" w14:textId="707C8B29"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This is another term defined by reference to the MPPs, namely, a </w:t>
      </w:r>
      <w:r w:rsidR="00ED5824">
        <w:rPr>
          <w:rFonts w:ascii="Times New Roman" w:hAnsi="Times New Roman"/>
          <w:sz w:val="24"/>
          <w:szCs w:val="24"/>
        </w:rPr>
        <w:t>CSP</w:t>
      </w:r>
      <w:r w:rsidRPr="002F164E">
        <w:rPr>
          <w:rFonts w:ascii="Times New Roman" w:hAnsi="Times New Roman"/>
          <w:sz w:val="24"/>
          <w:szCs w:val="24"/>
        </w:rPr>
        <w:t xml:space="preserve"> who supplies NBN based services over the NBN Co fixed-line network but, for clarity, does not include NBN Co. </w:t>
      </w:r>
    </w:p>
    <w:p w14:paraId="5B8B5F98" w14:textId="77777777"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 xml:space="preserve">Rollout Completion Date </w:t>
      </w:r>
    </w:p>
    <w:p w14:paraId="0CDF416F" w14:textId="74F39017"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This term is used in defining the Report Date and for the purposes of that definition, represents the last Report Date. It will be the date upon which the Minister declares under the NBN Companies Act that the NBN should be treated as built and fully operational. NBN Co will not require the information after that time as all active services of interest should have been migrated etc. As such, there will not be any relevant information and the data supply licence condition should fall away. </w:t>
      </w:r>
    </w:p>
    <w:p w14:paraId="6BDDF26C" w14:textId="21EDBC7A" w:rsidR="00694736" w:rsidRPr="002F164E" w:rsidRDefault="00626D1F" w:rsidP="0096582D">
      <w:pPr>
        <w:keepNext/>
        <w:spacing w:after="120"/>
        <w:rPr>
          <w:rFonts w:ascii="Times New Roman" w:hAnsi="Times New Roman"/>
          <w:i/>
          <w:sz w:val="24"/>
          <w:szCs w:val="24"/>
        </w:rPr>
      </w:pPr>
      <w:r w:rsidRPr="002F164E">
        <w:rPr>
          <w:rFonts w:ascii="Times New Roman" w:hAnsi="Times New Roman"/>
          <w:i/>
          <w:sz w:val="24"/>
          <w:szCs w:val="24"/>
        </w:rPr>
        <w:t>R</w:t>
      </w:r>
      <w:r w:rsidR="00694736" w:rsidRPr="002F164E">
        <w:rPr>
          <w:rFonts w:ascii="Times New Roman" w:hAnsi="Times New Roman"/>
          <w:i/>
          <w:sz w:val="24"/>
          <w:szCs w:val="24"/>
        </w:rPr>
        <w:t xml:space="preserve">ollout region </w:t>
      </w:r>
    </w:p>
    <w:p w14:paraId="3CAA14CB" w14:textId="77777777"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The term, ‘rollout region’ in general terms refers to the geographical areas in which the fixed-line NBN is to be deployed. </w:t>
      </w:r>
    </w:p>
    <w:p w14:paraId="63EC7773" w14:textId="5470FA03" w:rsidR="00694736" w:rsidRPr="002F164E" w:rsidRDefault="0096582D" w:rsidP="00626D1F">
      <w:pPr>
        <w:spacing w:after="120"/>
        <w:rPr>
          <w:rFonts w:ascii="Times New Roman" w:hAnsi="Times New Roman"/>
          <w:i/>
          <w:sz w:val="24"/>
          <w:szCs w:val="24"/>
        </w:rPr>
      </w:pPr>
      <w:r>
        <w:rPr>
          <w:rFonts w:ascii="Times New Roman" w:hAnsi="Times New Roman"/>
          <w:i/>
          <w:sz w:val="24"/>
          <w:szCs w:val="24"/>
        </w:rPr>
        <w:t>SAM</w:t>
      </w:r>
    </w:p>
    <w:p w14:paraId="01AF7077" w14:textId="5D4B5466"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SAM is the acronym for the term </w:t>
      </w:r>
      <w:r w:rsidR="00FC3529">
        <w:rPr>
          <w:rFonts w:ascii="Times New Roman" w:hAnsi="Times New Roman"/>
          <w:sz w:val="24"/>
          <w:szCs w:val="24"/>
        </w:rPr>
        <w:t>‘</w:t>
      </w:r>
      <w:r w:rsidRPr="002F164E">
        <w:rPr>
          <w:rFonts w:ascii="Times New Roman" w:hAnsi="Times New Roman"/>
          <w:sz w:val="24"/>
          <w:szCs w:val="24"/>
        </w:rPr>
        <w:t>Service Area Module</w:t>
      </w:r>
      <w:r w:rsidR="00FC3529">
        <w:rPr>
          <w:rFonts w:ascii="Times New Roman" w:hAnsi="Times New Roman"/>
          <w:sz w:val="24"/>
          <w:szCs w:val="24"/>
        </w:rPr>
        <w:t>’</w:t>
      </w:r>
      <w:r w:rsidRPr="002F164E">
        <w:rPr>
          <w:rFonts w:ascii="Times New Roman" w:hAnsi="Times New Roman"/>
          <w:sz w:val="24"/>
          <w:szCs w:val="24"/>
        </w:rPr>
        <w:t xml:space="preserve">. The modules are areas for the deployment of the National Broadband Network as selected by NBN Co and each area covers a maximum of 4,000 premises. </w:t>
      </w:r>
    </w:p>
    <w:p w14:paraId="427A381B" w14:textId="2DF1C7A4"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 xml:space="preserve">Special service </w:t>
      </w:r>
    </w:p>
    <w:p w14:paraId="29807BDE" w14:textId="3EEBA749" w:rsidR="00694736" w:rsidRPr="002F164E" w:rsidRDefault="00694736" w:rsidP="00694736">
      <w:pPr>
        <w:rPr>
          <w:rFonts w:ascii="Times New Roman" w:hAnsi="Times New Roman"/>
          <w:sz w:val="24"/>
          <w:szCs w:val="24"/>
        </w:rPr>
      </w:pPr>
      <w:r w:rsidRPr="002F164E">
        <w:rPr>
          <w:rFonts w:ascii="Times New Roman" w:hAnsi="Times New Roman"/>
          <w:sz w:val="24"/>
          <w:szCs w:val="24"/>
        </w:rPr>
        <w:t xml:space="preserve">This term </w:t>
      </w:r>
      <w:r w:rsidR="00E16F7B">
        <w:rPr>
          <w:rFonts w:ascii="Times New Roman" w:hAnsi="Times New Roman"/>
          <w:sz w:val="24"/>
          <w:szCs w:val="24"/>
        </w:rPr>
        <w:t>is defin</w:t>
      </w:r>
      <w:r w:rsidR="00DE4768">
        <w:rPr>
          <w:rFonts w:ascii="Times New Roman" w:hAnsi="Times New Roman"/>
          <w:sz w:val="24"/>
          <w:szCs w:val="24"/>
        </w:rPr>
        <w:t>e</w:t>
      </w:r>
      <w:r w:rsidR="00E16F7B">
        <w:rPr>
          <w:rFonts w:ascii="Times New Roman" w:hAnsi="Times New Roman"/>
          <w:sz w:val="24"/>
          <w:szCs w:val="24"/>
        </w:rPr>
        <w:t xml:space="preserve">d by reference to the MPPs and </w:t>
      </w:r>
      <w:r w:rsidRPr="002F164E">
        <w:rPr>
          <w:rFonts w:ascii="Times New Roman" w:hAnsi="Times New Roman"/>
          <w:sz w:val="24"/>
          <w:szCs w:val="24"/>
        </w:rPr>
        <w:t>means the fixed-line carriage services which are described in the Schedule to the MPPs and covers a range of retail and wholesale services. These are services currently provided over the Telstra fixed-line copper network which will not be immediately available over the NBN. Special services are able to continue to be delivered via the Telstra copper network after the disconnection date for a rollout region and until such time that the relevant class of services has been exited. A service class will be exited either through a Te</w:t>
      </w:r>
      <w:r w:rsidR="00626D1F" w:rsidRPr="002F164E">
        <w:rPr>
          <w:rFonts w:ascii="Times New Roman" w:hAnsi="Times New Roman"/>
          <w:sz w:val="24"/>
          <w:szCs w:val="24"/>
        </w:rPr>
        <w:t>lstra initiated product exit or</w:t>
      </w:r>
      <w:r w:rsidRPr="002F164E">
        <w:rPr>
          <w:rFonts w:ascii="Times New Roman" w:hAnsi="Times New Roman"/>
          <w:sz w:val="24"/>
          <w:szCs w:val="24"/>
        </w:rPr>
        <w:t xml:space="preserve">through an NBN </w:t>
      </w:r>
      <w:r w:rsidR="00ED5824" w:rsidRPr="002F164E">
        <w:rPr>
          <w:rFonts w:ascii="Times New Roman" w:hAnsi="Times New Roman"/>
          <w:sz w:val="24"/>
          <w:szCs w:val="24"/>
        </w:rPr>
        <w:t>Co</w:t>
      </w:r>
      <w:r w:rsidR="00ED5824">
        <w:rPr>
          <w:rFonts w:ascii="Times New Roman" w:hAnsi="Times New Roman"/>
          <w:sz w:val="24"/>
          <w:szCs w:val="24"/>
        </w:rPr>
        <w:t>-</w:t>
      </w:r>
      <w:r w:rsidRPr="002F164E">
        <w:rPr>
          <w:rFonts w:ascii="Times New Roman" w:hAnsi="Times New Roman"/>
          <w:sz w:val="24"/>
          <w:szCs w:val="24"/>
        </w:rPr>
        <w:t>initiated process that makes an equivalent alternative service available over the NBN.</w:t>
      </w:r>
    </w:p>
    <w:p w14:paraId="6337DB07" w14:textId="3042DD40" w:rsidR="00921593" w:rsidRPr="00921593" w:rsidRDefault="00C15BCB" w:rsidP="00921593">
      <w:pPr>
        <w:spacing w:after="120"/>
        <w:rPr>
          <w:rFonts w:ascii="Times New Roman" w:hAnsi="Times New Roman"/>
          <w:i/>
          <w:sz w:val="24"/>
          <w:szCs w:val="24"/>
        </w:rPr>
      </w:pPr>
      <w:r w:rsidRPr="00921593">
        <w:rPr>
          <w:rFonts w:ascii="Times New Roman" w:hAnsi="Times New Roman"/>
          <w:i/>
          <w:sz w:val="24"/>
          <w:szCs w:val="24"/>
        </w:rPr>
        <w:t>Special Service Disconnection Date</w:t>
      </w:r>
    </w:p>
    <w:p w14:paraId="0C58F15C" w14:textId="0E6920A1" w:rsidR="00C15BCB" w:rsidRPr="0096582D" w:rsidRDefault="00ED5824" w:rsidP="0096582D">
      <w:pPr>
        <w:rPr>
          <w:rFonts w:ascii="Times New Roman" w:hAnsi="Times New Roman"/>
          <w:sz w:val="24"/>
          <w:szCs w:val="24"/>
        </w:rPr>
      </w:pPr>
      <w:r>
        <w:rPr>
          <w:rFonts w:ascii="Times New Roman" w:hAnsi="Times New Roman"/>
          <w:sz w:val="24"/>
          <w:szCs w:val="24"/>
        </w:rPr>
        <w:t>This term is used i</w:t>
      </w:r>
      <w:r w:rsidRPr="00DE4768">
        <w:rPr>
          <w:rFonts w:ascii="Times New Roman" w:hAnsi="Times New Roman"/>
          <w:sz w:val="24"/>
          <w:szCs w:val="24"/>
        </w:rPr>
        <w:t xml:space="preserve">n </w:t>
      </w:r>
      <w:r w:rsidR="00C15BCB" w:rsidRPr="00DE4768">
        <w:rPr>
          <w:rFonts w:ascii="Times New Roman" w:hAnsi="Times New Roman"/>
          <w:sz w:val="24"/>
          <w:szCs w:val="24"/>
        </w:rPr>
        <w:t>relation to an SS Class</w:t>
      </w:r>
      <w:r w:rsidR="00C15BCB">
        <w:rPr>
          <w:rFonts w:ascii="Times New Roman" w:hAnsi="Times New Roman"/>
          <w:sz w:val="24"/>
          <w:szCs w:val="24"/>
        </w:rPr>
        <w:t xml:space="preserve"> (a defined term)</w:t>
      </w:r>
      <w:r w:rsidR="00C15BCB" w:rsidRPr="00DE4768">
        <w:rPr>
          <w:rFonts w:ascii="Times New Roman" w:hAnsi="Times New Roman"/>
          <w:sz w:val="24"/>
          <w:szCs w:val="24"/>
        </w:rPr>
        <w:t xml:space="preserve"> </w:t>
      </w:r>
      <w:r w:rsidR="00BF575A">
        <w:rPr>
          <w:rFonts w:ascii="Times New Roman" w:hAnsi="Times New Roman"/>
          <w:sz w:val="24"/>
          <w:szCs w:val="24"/>
        </w:rPr>
        <w:t xml:space="preserve">and </w:t>
      </w:r>
      <w:r w:rsidR="00C15BCB" w:rsidRPr="00DE4768">
        <w:rPr>
          <w:rFonts w:ascii="Times New Roman" w:hAnsi="Times New Roman"/>
          <w:sz w:val="24"/>
          <w:szCs w:val="24"/>
        </w:rPr>
        <w:t>means the disconnection date for that SS Class determined in accordance with provisions of the migration plan.</w:t>
      </w:r>
    </w:p>
    <w:p w14:paraId="7E13572D" w14:textId="470456C7" w:rsidR="00626D1F" w:rsidRDefault="00626D1F" w:rsidP="00626D1F">
      <w:pPr>
        <w:spacing w:after="120"/>
        <w:rPr>
          <w:rFonts w:ascii="Times New Roman" w:hAnsi="Times New Roman"/>
          <w:i/>
          <w:sz w:val="24"/>
          <w:szCs w:val="24"/>
        </w:rPr>
      </w:pPr>
      <w:r w:rsidRPr="00921593">
        <w:rPr>
          <w:rFonts w:ascii="Times New Roman" w:hAnsi="Times New Roman"/>
          <w:i/>
          <w:sz w:val="24"/>
          <w:szCs w:val="24"/>
        </w:rPr>
        <w:t>Special service input</w:t>
      </w:r>
    </w:p>
    <w:p w14:paraId="749A3C81" w14:textId="22139216" w:rsidR="00C15BCB" w:rsidRPr="0096582D" w:rsidRDefault="00C15BCB" w:rsidP="0096582D">
      <w:pPr>
        <w:rPr>
          <w:rFonts w:ascii="Times New Roman" w:hAnsi="Times New Roman"/>
          <w:sz w:val="24"/>
          <w:szCs w:val="24"/>
        </w:rPr>
      </w:pPr>
      <w:r>
        <w:rPr>
          <w:rFonts w:ascii="Times New Roman" w:hAnsi="Times New Roman"/>
          <w:sz w:val="24"/>
          <w:szCs w:val="24"/>
        </w:rPr>
        <w:t>‘</w:t>
      </w:r>
      <w:r w:rsidRPr="00DE4768">
        <w:rPr>
          <w:rFonts w:ascii="Times New Roman" w:hAnsi="Times New Roman"/>
          <w:sz w:val="24"/>
          <w:szCs w:val="24"/>
        </w:rPr>
        <w:t>Special service input</w:t>
      </w:r>
      <w:r w:rsidRPr="00C15BCB">
        <w:rPr>
          <w:rFonts w:ascii="Times New Roman" w:hAnsi="Times New Roman"/>
          <w:sz w:val="24"/>
          <w:szCs w:val="24"/>
        </w:rPr>
        <w:t>‘</w:t>
      </w:r>
      <w:r>
        <w:rPr>
          <w:rFonts w:ascii="Times New Roman" w:hAnsi="Times New Roman"/>
          <w:sz w:val="24"/>
          <w:szCs w:val="24"/>
        </w:rPr>
        <w:t xml:space="preserve">’ </w:t>
      </w:r>
      <w:r w:rsidRPr="002F164E">
        <w:rPr>
          <w:rFonts w:ascii="Times New Roman" w:hAnsi="Times New Roman"/>
          <w:sz w:val="24"/>
          <w:szCs w:val="24"/>
        </w:rPr>
        <w:t>is defined by reference to the MPPs.</w:t>
      </w:r>
    </w:p>
    <w:p w14:paraId="411CB5CF" w14:textId="5C10197F" w:rsidR="00694736" w:rsidRPr="002F164E" w:rsidRDefault="00694736" w:rsidP="00626D1F">
      <w:pPr>
        <w:spacing w:after="120"/>
        <w:rPr>
          <w:rFonts w:ascii="Times New Roman" w:hAnsi="Times New Roman"/>
          <w:i/>
          <w:sz w:val="24"/>
          <w:szCs w:val="24"/>
        </w:rPr>
      </w:pPr>
      <w:r w:rsidRPr="002F164E">
        <w:rPr>
          <w:rFonts w:ascii="Times New Roman" w:hAnsi="Times New Roman"/>
          <w:i/>
          <w:sz w:val="24"/>
          <w:szCs w:val="24"/>
        </w:rPr>
        <w:t>Specified Premises Location Information</w:t>
      </w:r>
    </w:p>
    <w:p w14:paraId="0577AEF4" w14:textId="77777777" w:rsidR="00694736" w:rsidRPr="002F164E" w:rsidRDefault="00694736" w:rsidP="00694736">
      <w:pPr>
        <w:rPr>
          <w:rFonts w:ascii="Times New Roman" w:hAnsi="Times New Roman"/>
          <w:sz w:val="24"/>
          <w:szCs w:val="24"/>
        </w:rPr>
      </w:pPr>
      <w:r w:rsidRPr="002F164E">
        <w:rPr>
          <w:rFonts w:ascii="Times New Roman" w:hAnsi="Times New Roman"/>
          <w:sz w:val="24"/>
          <w:szCs w:val="24"/>
        </w:rPr>
        <w:t>This key concept covers the NBN Loc ID for all Eligible Premises receiving an active service as at the Report Date which is within Telstra’s control as at that Report Date.</w:t>
      </w:r>
    </w:p>
    <w:p w14:paraId="3A59FB0A" w14:textId="5B7F7791" w:rsidR="00694736" w:rsidRDefault="00694736" w:rsidP="00694736">
      <w:pPr>
        <w:rPr>
          <w:rFonts w:ascii="Times New Roman" w:hAnsi="Times New Roman"/>
          <w:sz w:val="24"/>
          <w:szCs w:val="24"/>
        </w:rPr>
      </w:pPr>
      <w:r w:rsidRPr="002F164E">
        <w:rPr>
          <w:rFonts w:ascii="Times New Roman" w:hAnsi="Times New Roman"/>
          <w:sz w:val="24"/>
          <w:szCs w:val="24"/>
        </w:rPr>
        <w:t>The concept of ‘control’ is to be given its ordinary meaning and is intended to have the broadest possible scope of meaning, i.e. to cover both actual and constructive control. In addition to the particular information needing to be within Telstra’s control, a further requirement is that the information was given to Telstra by one of its wholesale customers and that person has not consented to Telstra disclosing it to NBN Co for any one or more defined Permitted Purpose.</w:t>
      </w:r>
    </w:p>
    <w:p w14:paraId="0C312E5A" w14:textId="55CBE5B8" w:rsidR="00BF575A" w:rsidRDefault="00BF575A" w:rsidP="00694736">
      <w:pPr>
        <w:rPr>
          <w:rFonts w:ascii="Times New Roman" w:hAnsi="Times New Roman"/>
          <w:sz w:val="24"/>
          <w:szCs w:val="24"/>
        </w:rPr>
      </w:pPr>
      <w:r>
        <w:rPr>
          <w:rFonts w:ascii="Times New Roman" w:hAnsi="Times New Roman"/>
          <w:i/>
          <w:sz w:val="24"/>
          <w:szCs w:val="24"/>
        </w:rPr>
        <w:t>SS Class</w:t>
      </w:r>
    </w:p>
    <w:p w14:paraId="242A9F92" w14:textId="712153B0" w:rsidR="00BF575A" w:rsidRPr="00BF575A" w:rsidRDefault="00BF575A" w:rsidP="00BF575A">
      <w:pPr>
        <w:rPr>
          <w:rFonts w:ascii="Times New Roman" w:hAnsi="Times New Roman"/>
          <w:sz w:val="24"/>
          <w:szCs w:val="24"/>
        </w:rPr>
      </w:pPr>
      <w:r>
        <w:rPr>
          <w:rFonts w:ascii="Times New Roman" w:hAnsi="Times New Roman"/>
          <w:bCs/>
          <w:iCs/>
          <w:sz w:val="24"/>
          <w:szCs w:val="24"/>
        </w:rPr>
        <w:t>The term ‘</w:t>
      </w:r>
      <w:r w:rsidRPr="00284BE1">
        <w:rPr>
          <w:rFonts w:ascii="Times New Roman" w:hAnsi="Times New Roman"/>
          <w:bCs/>
          <w:iCs/>
          <w:sz w:val="24"/>
          <w:szCs w:val="24"/>
        </w:rPr>
        <w:t>SS Class</w:t>
      </w:r>
      <w:r>
        <w:rPr>
          <w:rFonts w:ascii="Times New Roman" w:hAnsi="Times New Roman"/>
          <w:sz w:val="24"/>
          <w:szCs w:val="24"/>
        </w:rPr>
        <w:t>’</w:t>
      </w:r>
      <w:r w:rsidRPr="00BF575A">
        <w:rPr>
          <w:rFonts w:ascii="Times New Roman" w:hAnsi="Times New Roman"/>
          <w:sz w:val="24"/>
          <w:szCs w:val="24"/>
        </w:rPr>
        <w:t xml:space="preserve"> means any class comp</w:t>
      </w:r>
      <w:r>
        <w:rPr>
          <w:rFonts w:ascii="Times New Roman" w:hAnsi="Times New Roman"/>
          <w:sz w:val="24"/>
          <w:szCs w:val="24"/>
        </w:rPr>
        <w:t>o</w:t>
      </w:r>
      <w:r w:rsidRPr="00BF575A">
        <w:rPr>
          <w:rFonts w:ascii="Times New Roman" w:hAnsi="Times New Roman"/>
          <w:sz w:val="24"/>
          <w:szCs w:val="24"/>
        </w:rPr>
        <w:t>sed of:</w:t>
      </w:r>
    </w:p>
    <w:p w14:paraId="12386561" w14:textId="0C4E34A4" w:rsidR="00BF575A" w:rsidRPr="00BF575A" w:rsidRDefault="0096582D" w:rsidP="0096582D">
      <w:pPr>
        <w:ind w:left="567"/>
        <w:rPr>
          <w:rFonts w:ascii="Times New Roman" w:hAnsi="Times New Roman"/>
          <w:sz w:val="24"/>
          <w:szCs w:val="24"/>
        </w:rPr>
      </w:pPr>
      <w:r>
        <w:rPr>
          <w:rFonts w:ascii="Times New Roman" w:hAnsi="Times New Roman"/>
          <w:sz w:val="24"/>
          <w:szCs w:val="24"/>
        </w:rPr>
        <w:t>(a) </w:t>
      </w:r>
      <w:r w:rsidR="00BF575A" w:rsidRPr="00BF575A">
        <w:rPr>
          <w:rFonts w:ascii="Times New Roman" w:hAnsi="Times New Roman"/>
          <w:sz w:val="24"/>
          <w:szCs w:val="24"/>
        </w:rPr>
        <w:t>all special services that are included in an SS Class (within the meaning of the migration plan) that relates to one of the services described in the column headed “Access Service” in Table 2 of Schedule 1 to the </w:t>
      </w:r>
      <w:r w:rsidR="00BF575A">
        <w:rPr>
          <w:rFonts w:ascii="Times New Roman" w:hAnsi="Times New Roman"/>
          <w:sz w:val="24"/>
          <w:szCs w:val="24"/>
        </w:rPr>
        <w:t>MPPs</w:t>
      </w:r>
      <w:r w:rsidR="00BF575A" w:rsidRPr="00BF575A">
        <w:rPr>
          <w:rFonts w:ascii="Times New Roman" w:hAnsi="Times New Roman"/>
          <w:sz w:val="24"/>
          <w:szCs w:val="24"/>
        </w:rPr>
        <w:t>; and</w:t>
      </w:r>
    </w:p>
    <w:p w14:paraId="1895FCB4" w14:textId="621641AC" w:rsidR="00BF575A" w:rsidRPr="00BF575A" w:rsidRDefault="0096582D" w:rsidP="0096582D">
      <w:pPr>
        <w:ind w:left="567"/>
        <w:rPr>
          <w:rFonts w:ascii="Times New Roman" w:hAnsi="Times New Roman"/>
          <w:sz w:val="24"/>
          <w:szCs w:val="24"/>
        </w:rPr>
      </w:pPr>
      <w:r>
        <w:rPr>
          <w:rFonts w:ascii="Times New Roman" w:hAnsi="Times New Roman"/>
          <w:sz w:val="24"/>
          <w:szCs w:val="24"/>
        </w:rPr>
        <w:t>(b) </w:t>
      </w:r>
      <w:r w:rsidR="00BF575A" w:rsidRPr="00BF575A">
        <w:rPr>
          <w:rFonts w:ascii="Times New Roman" w:hAnsi="Times New Roman"/>
          <w:sz w:val="24"/>
          <w:szCs w:val="24"/>
        </w:rPr>
        <w:t>all special service inputs that are used to supply any service that is equivalent to a special service mentioned in paragraph (a).</w:t>
      </w:r>
    </w:p>
    <w:p w14:paraId="2900815B" w14:textId="7A0A521A" w:rsidR="00694736" w:rsidRPr="00921593" w:rsidRDefault="00B30D57" w:rsidP="00B30D57">
      <w:pPr>
        <w:spacing w:after="120"/>
        <w:rPr>
          <w:rFonts w:ascii="Times New Roman" w:hAnsi="Times New Roman"/>
          <w:i/>
          <w:sz w:val="24"/>
          <w:szCs w:val="24"/>
        </w:rPr>
      </w:pPr>
      <w:r w:rsidRPr="00921593">
        <w:rPr>
          <w:rFonts w:ascii="Times New Roman" w:hAnsi="Times New Roman"/>
          <w:i/>
          <w:sz w:val="24"/>
          <w:szCs w:val="24"/>
        </w:rPr>
        <w:t>Standard active service</w:t>
      </w:r>
    </w:p>
    <w:p w14:paraId="7E20769A" w14:textId="032B061F" w:rsidR="00AF4B8C" w:rsidRPr="00921593" w:rsidRDefault="00C15BCB" w:rsidP="00921593">
      <w:pPr>
        <w:rPr>
          <w:rFonts w:ascii="Times New Roman" w:hAnsi="Times New Roman"/>
          <w:sz w:val="24"/>
          <w:szCs w:val="24"/>
        </w:rPr>
      </w:pPr>
      <w:r w:rsidRPr="00921593">
        <w:rPr>
          <w:rFonts w:ascii="Times New Roman" w:hAnsi="Times New Roman"/>
          <w:sz w:val="24"/>
          <w:szCs w:val="24"/>
        </w:rPr>
        <w:t>‘</w:t>
      </w:r>
      <w:r w:rsidR="00921593" w:rsidRPr="00921593">
        <w:rPr>
          <w:rFonts w:ascii="Times New Roman" w:hAnsi="Times New Roman"/>
          <w:sz w:val="24"/>
          <w:szCs w:val="24"/>
        </w:rPr>
        <w:t>S</w:t>
      </w:r>
      <w:r w:rsidRPr="00921593">
        <w:rPr>
          <w:rFonts w:ascii="Times New Roman" w:hAnsi="Times New Roman"/>
          <w:sz w:val="24"/>
          <w:szCs w:val="24"/>
        </w:rPr>
        <w:t xml:space="preserve">tandard active service’ means an active service that is not one of the four specified services. </w:t>
      </w:r>
    </w:p>
    <w:p w14:paraId="418DE527" w14:textId="310D6BA8" w:rsidR="00AF4B8C" w:rsidRPr="00921593" w:rsidRDefault="00921593" w:rsidP="00921593">
      <w:pPr>
        <w:spacing w:after="120"/>
        <w:rPr>
          <w:rFonts w:ascii="Times New Roman" w:hAnsi="Times New Roman"/>
          <w:i/>
          <w:sz w:val="24"/>
          <w:szCs w:val="24"/>
        </w:rPr>
      </w:pPr>
      <w:r>
        <w:rPr>
          <w:rFonts w:ascii="Times New Roman" w:hAnsi="Times New Roman"/>
          <w:i/>
          <w:sz w:val="24"/>
          <w:szCs w:val="24"/>
        </w:rPr>
        <w:t>Telstra Representatives</w:t>
      </w:r>
    </w:p>
    <w:p w14:paraId="3D715607" w14:textId="24968012" w:rsidR="00645175" w:rsidRPr="00921593" w:rsidRDefault="00921593" w:rsidP="00921593">
      <w:pPr>
        <w:rPr>
          <w:rFonts w:ascii="Times New Roman" w:hAnsi="Times New Roman"/>
          <w:sz w:val="24"/>
          <w:szCs w:val="24"/>
        </w:rPr>
      </w:pPr>
      <w:r w:rsidRPr="00921593">
        <w:rPr>
          <w:rFonts w:ascii="Times New Roman" w:hAnsi="Times New Roman"/>
          <w:sz w:val="24"/>
          <w:szCs w:val="24"/>
        </w:rPr>
        <w:t>‘</w:t>
      </w:r>
      <w:r w:rsidR="00C15BCB" w:rsidRPr="00921593">
        <w:rPr>
          <w:rFonts w:ascii="Times New Roman" w:hAnsi="Times New Roman"/>
          <w:sz w:val="24"/>
          <w:szCs w:val="24"/>
        </w:rPr>
        <w:t>Telstra Representatives</w:t>
      </w:r>
      <w:r w:rsidRPr="00921593">
        <w:rPr>
          <w:rFonts w:ascii="Times New Roman" w:hAnsi="Times New Roman"/>
          <w:sz w:val="24"/>
          <w:szCs w:val="24"/>
        </w:rPr>
        <w:t>’</w:t>
      </w:r>
      <w:r w:rsidR="00C15BCB" w:rsidRPr="00921593">
        <w:rPr>
          <w:rFonts w:ascii="Times New Roman" w:hAnsi="Times New Roman"/>
          <w:sz w:val="24"/>
          <w:szCs w:val="24"/>
        </w:rPr>
        <w:t xml:space="preserve"> means any directors, employees, officers, representatives, delegates, professional or financial advisers, agents, contractors or sub-contractors of the licensee (in their capacity as such).</w:t>
      </w:r>
    </w:p>
    <w:p w14:paraId="1C62A5A4" w14:textId="0D490897" w:rsidR="00626D1F" w:rsidRDefault="00B30D57" w:rsidP="00B30D57">
      <w:pPr>
        <w:spacing w:after="120"/>
        <w:rPr>
          <w:rFonts w:ascii="Times New Roman" w:hAnsi="Times New Roman"/>
          <w:i/>
          <w:sz w:val="24"/>
          <w:szCs w:val="24"/>
        </w:rPr>
      </w:pPr>
      <w:r w:rsidRPr="00921593">
        <w:rPr>
          <w:rFonts w:ascii="Times New Roman" w:hAnsi="Times New Roman"/>
          <w:i/>
          <w:sz w:val="24"/>
          <w:szCs w:val="24"/>
        </w:rPr>
        <w:t>White Paper</w:t>
      </w:r>
    </w:p>
    <w:p w14:paraId="5AE13052" w14:textId="77617B52" w:rsidR="00645175" w:rsidRPr="00645175" w:rsidRDefault="00645175" w:rsidP="00645175">
      <w:pPr>
        <w:pStyle w:val="Default"/>
      </w:pPr>
      <w:r w:rsidRPr="00DE4768">
        <w:t>‘W</w:t>
      </w:r>
      <w:r w:rsidRPr="00DE4768">
        <w:rPr>
          <w:bCs/>
          <w:iCs/>
        </w:rPr>
        <w:t>hite paper’</w:t>
      </w:r>
      <w:r w:rsidRPr="00AF4B8C">
        <w:t>,</w:t>
      </w:r>
      <w:r w:rsidRPr="00645175">
        <w:t xml:space="preserve"> in relation to an SS Class (a defined term), means a white paper that: </w:t>
      </w:r>
    </w:p>
    <w:p w14:paraId="0C079282" w14:textId="531F33FD" w:rsidR="00645175" w:rsidRPr="00645175" w:rsidRDefault="00645175" w:rsidP="003A1E64">
      <w:pPr>
        <w:pStyle w:val="Default"/>
        <w:numPr>
          <w:ilvl w:val="0"/>
          <w:numId w:val="7"/>
        </w:numPr>
      </w:pPr>
      <w:r w:rsidRPr="00645175">
        <w:t xml:space="preserve">was published by NBN Co in accordance with the migration plan; and </w:t>
      </w:r>
    </w:p>
    <w:p w14:paraId="198C3B1A" w14:textId="4A0E9121" w:rsidR="00645175" w:rsidRPr="00645175" w:rsidRDefault="00645175" w:rsidP="003A1E64">
      <w:pPr>
        <w:pStyle w:val="Default"/>
        <w:numPr>
          <w:ilvl w:val="0"/>
          <w:numId w:val="7"/>
        </w:numPr>
      </w:pPr>
      <w:r w:rsidRPr="00645175">
        <w:t xml:space="preserve">has not been successfully disputed in accordance with the migration plan; and </w:t>
      </w:r>
    </w:p>
    <w:p w14:paraId="60B5B6A3" w14:textId="2512AAA8" w:rsidR="00645175" w:rsidRPr="00921593" w:rsidRDefault="00645175" w:rsidP="003A1E64">
      <w:pPr>
        <w:pStyle w:val="ListParagraph"/>
        <w:numPr>
          <w:ilvl w:val="0"/>
          <w:numId w:val="7"/>
        </w:numPr>
        <w:spacing w:after="240"/>
        <w:ind w:left="714" w:hanging="357"/>
        <w:rPr>
          <w:rFonts w:ascii="Times New Roman" w:hAnsi="Times New Roman"/>
          <w:sz w:val="24"/>
          <w:szCs w:val="24"/>
        </w:rPr>
      </w:pPr>
      <w:r w:rsidRPr="00DE4768">
        <w:rPr>
          <w:rFonts w:ascii="Times New Roman" w:hAnsi="Times New Roman"/>
          <w:sz w:val="24"/>
          <w:szCs w:val="24"/>
        </w:rPr>
        <w:t>has determined the Special Service Disconnection Date for that SS Class for the purposes of the migration plan.</w:t>
      </w:r>
    </w:p>
    <w:p w14:paraId="53F1EEB6" w14:textId="30B1FACB" w:rsidR="003C68F7" w:rsidRPr="002F164E" w:rsidRDefault="00B30D57" w:rsidP="003C68F7">
      <w:pPr>
        <w:rPr>
          <w:rFonts w:ascii="Times New Roman" w:hAnsi="Times New Roman"/>
          <w:sz w:val="24"/>
          <w:szCs w:val="24"/>
        </w:rPr>
      </w:pPr>
      <w:r w:rsidRPr="002F164E">
        <w:rPr>
          <w:rFonts w:ascii="Times New Roman" w:hAnsi="Times New Roman"/>
          <w:sz w:val="24"/>
          <w:szCs w:val="24"/>
        </w:rPr>
        <w:t>Subsection 11(2</w:t>
      </w:r>
      <w:r w:rsidR="003C68F7" w:rsidRPr="002F164E">
        <w:rPr>
          <w:rFonts w:ascii="Times New Roman" w:hAnsi="Times New Roman"/>
          <w:sz w:val="24"/>
          <w:szCs w:val="24"/>
        </w:rPr>
        <w:t>) sets out the core obligation for Tel</w:t>
      </w:r>
      <w:r w:rsidRPr="002F164E">
        <w:rPr>
          <w:rFonts w:ascii="Times New Roman" w:hAnsi="Times New Roman"/>
          <w:sz w:val="24"/>
          <w:szCs w:val="24"/>
        </w:rPr>
        <w:t>stra to give to NBN Co</w:t>
      </w:r>
      <w:r w:rsidR="003C68F7" w:rsidRPr="002F164E">
        <w:rPr>
          <w:rFonts w:ascii="Times New Roman" w:hAnsi="Times New Roman"/>
          <w:sz w:val="24"/>
          <w:szCs w:val="24"/>
        </w:rPr>
        <w:t xml:space="preserve"> on </w:t>
      </w:r>
      <w:r w:rsidR="003C68F7" w:rsidRPr="006C2704">
        <w:rPr>
          <w:rFonts w:ascii="Times New Roman" w:hAnsi="Times New Roman"/>
          <w:sz w:val="24"/>
          <w:szCs w:val="24"/>
        </w:rPr>
        <w:t>a monthly basis, the</w:t>
      </w:r>
      <w:r w:rsidR="003C68F7" w:rsidRPr="002F164E">
        <w:rPr>
          <w:rFonts w:ascii="Times New Roman" w:hAnsi="Times New Roman"/>
          <w:sz w:val="24"/>
          <w:szCs w:val="24"/>
        </w:rPr>
        <w:t xml:space="preserve"> NBN Loc ID for 'Eligible Premises' receiving an 'active service' as at the end of a relevant month. The purpose and use by NBN Co is limited to the ‘Permitted Purposes’ (a defined term).</w:t>
      </w:r>
    </w:p>
    <w:p w14:paraId="17AD5724" w14:textId="450256DF" w:rsidR="003C68F7" w:rsidRPr="002F164E" w:rsidRDefault="003C68F7" w:rsidP="003C68F7">
      <w:pPr>
        <w:rPr>
          <w:rFonts w:ascii="Times New Roman" w:hAnsi="Times New Roman"/>
          <w:sz w:val="24"/>
          <w:szCs w:val="24"/>
        </w:rPr>
      </w:pPr>
      <w:r w:rsidRPr="002F164E">
        <w:rPr>
          <w:rFonts w:ascii="Times New Roman" w:hAnsi="Times New Roman"/>
          <w:sz w:val="24"/>
          <w:szCs w:val="24"/>
        </w:rPr>
        <w:t>There are several terms used in this principal clause whi</w:t>
      </w:r>
      <w:r w:rsidR="00B30D57" w:rsidRPr="002F164E">
        <w:rPr>
          <w:rFonts w:ascii="Times New Roman" w:hAnsi="Times New Roman"/>
          <w:sz w:val="24"/>
          <w:szCs w:val="24"/>
        </w:rPr>
        <w:t>ch are defined in subsection 11(1</w:t>
      </w:r>
      <w:r w:rsidRPr="002F164E">
        <w:rPr>
          <w:rFonts w:ascii="Times New Roman" w:hAnsi="Times New Roman"/>
          <w:sz w:val="24"/>
          <w:szCs w:val="24"/>
        </w:rPr>
        <w:t xml:space="preserve">), namely ‘active service’, ‘NBN Co’, ‘Permitted Purpose’ and ‘Report Date’ and ‘Specified Premises Location’. </w:t>
      </w:r>
    </w:p>
    <w:p w14:paraId="077749FD" w14:textId="54CF9CFB" w:rsidR="00B30D57" w:rsidRPr="00921593" w:rsidRDefault="003C68F7" w:rsidP="00921593">
      <w:pPr>
        <w:rPr>
          <w:rFonts w:ascii="Times New Roman" w:hAnsi="Times New Roman"/>
          <w:sz w:val="24"/>
          <w:szCs w:val="24"/>
        </w:rPr>
      </w:pPr>
      <w:r w:rsidRPr="00921593">
        <w:rPr>
          <w:rFonts w:ascii="Times New Roman" w:hAnsi="Times New Roman"/>
          <w:sz w:val="24"/>
          <w:szCs w:val="24"/>
        </w:rPr>
        <w:t>In fulfilling the data supply obl</w:t>
      </w:r>
      <w:r w:rsidR="00B30D57" w:rsidRPr="00921593">
        <w:rPr>
          <w:rFonts w:ascii="Times New Roman" w:hAnsi="Times New Roman"/>
          <w:sz w:val="24"/>
          <w:szCs w:val="24"/>
        </w:rPr>
        <w:t>igation under subsection 11(2</w:t>
      </w:r>
      <w:r w:rsidRPr="00921593">
        <w:rPr>
          <w:rFonts w:ascii="Times New Roman" w:hAnsi="Times New Roman"/>
          <w:sz w:val="24"/>
          <w:szCs w:val="24"/>
        </w:rPr>
        <w:t>), there are two possible regimes that may apply to Telstra in fulfilling that obligation. The first is a commercial regi</w:t>
      </w:r>
      <w:r w:rsidR="00B30D57" w:rsidRPr="00921593">
        <w:rPr>
          <w:rFonts w:ascii="Times New Roman" w:hAnsi="Times New Roman"/>
          <w:sz w:val="24"/>
          <w:szCs w:val="24"/>
        </w:rPr>
        <w:t>me set out in subsection 11(3</w:t>
      </w:r>
      <w:r w:rsidRPr="00921593">
        <w:rPr>
          <w:rFonts w:ascii="Times New Roman" w:hAnsi="Times New Roman"/>
          <w:sz w:val="24"/>
          <w:szCs w:val="24"/>
        </w:rPr>
        <w:t>) and the second (alternative) regime is a defau</w:t>
      </w:r>
      <w:r w:rsidR="00B30D57" w:rsidRPr="00921593">
        <w:rPr>
          <w:rFonts w:ascii="Times New Roman" w:hAnsi="Times New Roman"/>
          <w:sz w:val="24"/>
          <w:szCs w:val="24"/>
        </w:rPr>
        <w:t>lt one set out in subsection 11(4</w:t>
      </w:r>
      <w:r w:rsidRPr="00921593">
        <w:rPr>
          <w:rFonts w:ascii="Times New Roman" w:hAnsi="Times New Roman"/>
          <w:sz w:val="24"/>
          <w:szCs w:val="24"/>
        </w:rPr>
        <w:t xml:space="preserve">). </w:t>
      </w:r>
    </w:p>
    <w:p w14:paraId="6616CBF8" w14:textId="45C43E5E" w:rsidR="00B30D57" w:rsidRPr="00921593" w:rsidRDefault="00B30D57" w:rsidP="00921593">
      <w:pPr>
        <w:rPr>
          <w:rFonts w:ascii="Times New Roman" w:hAnsi="Times New Roman"/>
          <w:sz w:val="24"/>
          <w:szCs w:val="24"/>
        </w:rPr>
      </w:pPr>
      <w:r w:rsidRPr="00921593">
        <w:rPr>
          <w:rFonts w:ascii="Times New Roman" w:hAnsi="Times New Roman"/>
          <w:sz w:val="24"/>
          <w:szCs w:val="24"/>
        </w:rPr>
        <w:t>Subsection 11(3</w:t>
      </w:r>
      <w:r w:rsidR="003C68F7" w:rsidRPr="00921593">
        <w:rPr>
          <w:rFonts w:ascii="Times New Roman" w:hAnsi="Times New Roman"/>
          <w:sz w:val="24"/>
          <w:szCs w:val="24"/>
        </w:rPr>
        <w:t>) provides that Telstra is to supply the relevant data on the same terms and conditions as would apply to the supply of information under a commercial agreement it enters into with NBN Co after the amendment comes into effect. This mechanism recognises any legally binding agreement Telstra has or may enter into with NBN Co for the provision of the NBN Loc ID data. Effectively, Telstra</w:t>
      </w:r>
      <w:r w:rsidRPr="00921593">
        <w:rPr>
          <w:rFonts w:ascii="Times New Roman" w:hAnsi="Times New Roman"/>
          <w:sz w:val="24"/>
          <w:szCs w:val="24"/>
        </w:rPr>
        <w:t xml:space="preserve"> must comply with </w:t>
      </w:r>
      <w:r w:rsidR="004A5CD3" w:rsidRPr="00921593">
        <w:rPr>
          <w:rFonts w:ascii="Times New Roman" w:hAnsi="Times New Roman"/>
          <w:sz w:val="24"/>
          <w:szCs w:val="24"/>
        </w:rPr>
        <w:t>subsection</w:t>
      </w:r>
      <w:r w:rsidRPr="00921593">
        <w:rPr>
          <w:rFonts w:ascii="Times New Roman" w:hAnsi="Times New Roman"/>
          <w:sz w:val="24"/>
          <w:szCs w:val="24"/>
        </w:rPr>
        <w:t xml:space="preserve"> 11(2</w:t>
      </w:r>
      <w:r w:rsidR="003C68F7" w:rsidRPr="00921593">
        <w:rPr>
          <w:rFonts w:ascii="Times New Roman" w:hAnsi="Times New Roman"/>
          <w:sz w:val="24"/>
          <w:szCs w:val="24"/>
        </w:rPr>
        <w:t xml:space="preserve">) by providing the Specified Premises Location Information to NBN Co in accordance with the terms of that commercial agreement. </w:t>
      </w:r>
    </w:p>
    <w:p w14:paraId="3AE0EC5F" w14:textId="77777777" w:rsidR="003C68F7" w:rsidRPr="00921593" w:rsidRDefault="003C68F7" w:rsidP="00921593">
      <w:pPr>
        <w:rPr>
          <w:rFonts w:ascii="Times New Roman" w:hAnsi="Times New Roman"/>
          <w:sz w:val="24"/>
          <w:szCs w:val="24"/>
        </w:rPr>
      </w:pPr>
      <w:r w:rsidRPr="00921593">
        <w:rPr>
          <w:rFonts w:ascii="Times New Roman" w:hAnsi="Times New Roman"/>
          <w:sz w:val="24"/>
          <w:szCs w:val="24"/>
        </w:rPr>
        <w:t xml:space="preserve">In order for this commercial regime to apply in fulfilment of the data supply obligation, the commercial agreement must require Telstra to give the Specified Premises Location Information to NBN Co (and the timing for this) and it must govern any: </w:t>
      </w:r>
    </w:p>
    <w:p w14:paraId="61D8CB15" w14:textId="56DAA25D" w:rsidR="003C68F7" w:rsidRPr="0011751F" w:rsidRDefault="003C68F7" w:rsidP="003A1E64">
      <w:pPr>
        <w:pStyle w:val="ListParagraph"/>
        <w:numPr>
          <w:ilvl w:val="0"/>
          <w:numId w:val="10"/>
        </w:numPr>
        <w:rPr>
          <w:rFonts w:ascii="Times New Roman" w:hAnsi="Times New Roman"/>
          <w:sz w:val="24"/>
          <w:szCs w:val="24"/>
        </w:rPr>
      </w:pPr>
      <w:r w:rsidRPr="0011751F">
        <w:rPr>
          <w:rFonts w:ascii="Times New Roman" w:hAnsi="Times New Roman"/>
          <w:sz w:val="24"/>
          <w:szCs w:val="24"/>
        </w:rPr>
        <w:t xml:space="preserve">limitations or restrictions on the purposes for which NBN Co may use or disclose of the data; and </w:t>
      </w:r>
    </w:p>
    <w:p w14:paraId="26D60825" w14:textId="65A254C7" w:rsidR="003C68F7" w:rsidRPr="0011751F" w:rsidRDefault="003C68F7" w:rsidP="003A1E64">
      <w:pPr>
        <w:pStyle w:val="ListParagraph"/>
        <w:numPr>
          <w:ilvl w:val="0"/>
          <w:numId w:val="10"/>
        </w:numPr>
        <w:rPr>
          <w:rFonts w:ascii="Times New Roman" w:hAnsi="Times New Roman"/>
          <w:sz w:val="24"/>
          <w:szCs w:val="24"/>
        </w:rPr>
      </w:pPr>
      <w:r w:rsidRPr="0011751F">
        <w:rPr>
          <w:rFonts w:ascii="Times New Roman" w:hAnsi="Times New Roman"/>
          <w:sz w:val="24"/>
          <w:szCs w:val="24"/>
        </w:rPr>
        <w:t xml:space="preserve">other matters the parties commercially agree to include in such an agreement in respect of the provision of the data. </w:t>
      </w:r>
    </w:p>
    <w:p w14:paraId="57EDD9CB" w14:textId="291791D0" w:rsidR="00026C05" w:rsidRPr="0011751F" w:rsidRDefault="00B30D57" w:rsidP="0011751F">
      <w:pPr>
        <w:rPr>
          <w:rFonts w:ascii="Times New Roman" w:hAnsi="Times New Roman"/>
          <w:sz w:val="24"/>
          <w:szCs w:val="24"/>
        </w:rPr>
      </w:pPr>
      <w:r w:rsidRPr="0011751F">
        <w:rPr>
          <w:rFonts w:ascii="Times New Roman" w:hAnsi="Times New Roman"/>
          <w:sz w:val="24"/>
          <w:szCs w:val="24"/>
        </w:rPr>
        <w:t>Given that subsection</w:t>
      </w:r>
      <w:r w:rsidR="003C68F7" w:rsidRPr="0011751F">
        <w:rPr>
          <w:rFonts w:ascii="Times New Roman" w:hAnsi="Times New Roman"/>
          <w:sz w:val="24"/>
          <w:szCs w:val="24"/>
        </w:rPr>
        <w:t xml:space="preserve"> 11(</w:t>
      </w:r>
      <w:r w:rsidRPr="0011751F">
        <w:rPr>
          <w:rFonts w:ascii="Times New Roman" w:hAnsi="Times New Roman"/>
          <w:sz w:val="24"/>
          <w:szCs w:val="24"/>
        </w:rPr>
        <w:t>3</w:t>
      </w:r>
      <w:r w:rsidR="003C68F7" w:rsidRPr="0011751F">
        <w:rPr>
          <w:rFonts w:ascii="Times New Roman" w:hAnsi="Times New Roman"/>
          <w:sz w:val="24"/>
          <w:szCs w:val="24"/>
        </w:rPr>
        <w:t>) effectively provides for Telstra to satisfy the statutory</w:t>
      </w:r>
      <w:r w:rsidRPr="0011751F">
        <w:rPr>
          <w:rFonts w:ascii="Times New Roman" w:hAnsi="Times New Roman"/>
          <w:sz w:val="24"/>
          <w:szCs w:val="24"/>
        </w:rPr>
        <w:t xml:space="preserve"> obligation under subsection 11(2</w:t>
      </w:r>
      <w:r w:rsidR="003C68F7" w:rsidRPr="0011751F">
        <w:rPr>
          <w:rFonts w:ascii="Times New Roman" w:hAnsi="Times New Roman"/>
          <w:sz w:val="24"/>
          <w:szCs w:val="24"/>
        </w:rPr>
        <w:t>) through complying with a private commercial agreement, it is necessary to ensure greater transparency for the regulator and access to law for affected parties</w:t>
      </w:r>
      <w:r w:rsidR="00026C05" w:rsidRPr="0011751F">
        <w:rPr>
          <w:rFonts w:ascii="Times New Roman" w:hAnsi="Times New Roman"/>
          <w:sz w:val="24"/>
          <w:szCs w:val="24"/>
        </w:rPr>
        <w:t>. Accordingly, paragraphs 11(3</w:t>
      </w:r>
      <w:r w:rsidRPr="0011751F">
        <w:rPr>
          <w:rFonts w:ascii="Times New Roman" w:hAnsi="Times New Roman"/>
          <w:sz w:val="24"/>
          <w:szCs w:val="24"/>
        </w:rPr>
        <w:t>)</w:t>
      </w:r>
      <w:r w:rsidR="003C68F7" w:rsidRPr="0011751F">
        <w:rPr>
          <w:rFonts w:ascii="Times New Roman" w:hAnsi="Times New Roman"/>
          <w:sz w:val="24"/>
          <w:szCs w:val="24"/>
        </w:rPr>
        <w:t xml:space="preserve">(b) and </w:t>
      </w:r>
      <w:r w:rsidR="00026C05" w:rsidRPr="0011751F">
        <w:rPr>
          <w:rFonts w:ascii="Times New Roman" w:hAnsi="Times New Roman"/>
          <w:sz w:val="24"/>
          <w:szCs w:val="24"/>
        </w:rPr>
        <w:t>11(3</w:t>
      </w:r>
      <w:r w:rsidRPr="0011751F">
        <w:rPr>
          <w:rFonts w:ascii="Times New Roman" w:hAnsi="Times New Roman"/>
          <w:sz w:val="24"/>
          <w:szCs w:val="24"/>
        </w:rPr>
        <w:t>)</w:t>
      </w:r>
      <w:r w:rsidR="003C68F7" w:rsidRPr="0011751F">
        <w:rPr>
          <w:rFonts w:ascii="Times New Roman" w:hAnsi="Times New Roman"/>
          <w:sz w:val="24"/>
          <w:szCs w:val="24"/>
        </w:rPr>
        <w:t>(c) set out additional conditions that mu</w:t>
      </w:r>
      <w:r w:rsidRPr="0011751F">
        <w:rPr>
          <w:rFonts w:ascii="Times New Roman" w:hAnsi="Times New Roman"/>
          <w:sz w:val="24"/>
          <w:szCs w:val="24"/>
        </w:rPr>
        <w:t>st be satisfied before subsection 11(</w:t>
      </w:r>
      <w:r w:rsidR="00026C05" w:rsidRPr="0011751F">
        <w:rPr>
          <w:rFonts w:ascii="Times New Roman" w:hAnsi="Times New Roman"/>
          <w:sz w:val="24"/>
          <w:szCs w:val="24"/>
        </w:rPr>
        <w:t>2</w:t>
      </w:r>
      <w:r w:rsidRPr="0011751F">
        <w:rPr>
          <w:rFonts w:ascii="Times New Roman" w:hAnsi="Times New Roman"/>
          <w:sz w:val="24"/>
          <w:szCs w:val="24"/>
        </w:rPr>
        <w:t>)</w:t>
      </w:r>
      <w:r w:rsidR="003C68F7" w:rsidRPr="0011751F">
        <w:rPr>
          <w:rFonts w:ascii="Times New Roman" w:hAnsi="Times New Roman"/>
          <w:sz w:val="24"/>
          <w:szCs w:val="24"/>
        </w:rPr>
        <w:t xml:space="preserve"> is invoked. Specifically, Telstra must have provided a certified copy of the agreement to the ACMA and must make available a copy of the agreement to impacted wholesale customers (i.e. those who have not consented to Telstra disclosing the relevant information). These two additional conditions are designed to ensure greater transparency and accessibility to the terms of the commercial agreement. Although the ACMA would have the ability to obtain a copy of the agreement in reliance of its information gathering powers under section 521 of the Act, the inclusion of an express requirement for Telstra to provide a copy is intended to facilitate accessibility and will</w:t>
      </w:r>
      <w:r w:rsidR="00026C05" w:rsidRPr="0011751F">
        <w:rPr>
          <w:rFonts w:ascii="Times New Roman" w:hAnsi="Times New Roman"/>
          <w:sz w:val="24"/>
          <w:szCs w:val="24"/>
        </w:rPr>
        <w:t xml:space="preserve"> support compliance oversight.</w:t>
      </w:r>
    </w:p>
    <w:p w14:paraId="2E6C713C" w14:textId="34383512" w:rsidR="00026C05" w:rsidRPr="0011751F" w:rsidRDefault="00026C05" w:rsidP="0011751F">
      <w:pPr>
        <w:rPr>
          <w:rFonts w:ascii="Times New Roman" w:hAnsi="Times New Roman"/>
          <w:sz w:val="24"/>
          <w:szCs w:val="24"/>
        </w:rPr>
      </w:pPr>
      <w:r w:rsidRPr="0011751F">
        <w:rPr>
          <w:rFonts w:ascii="Times New Roman" w:hAnsi="Times New Roman"/>
          <w:sz w:val="24"/>
          <w:szCs w:val="24"/>
        </w:rPr>
        <w:t xml:space="preserve">Subsection </w:t>
      </w:r>
      <w:r w:rsidR="003C68F7" w:rsidRPr="0011751F">
        <w:rPr>
          <w:rFonts w:ascii="Times New Roman" w:hAnsi="Times New Roman"/>
          <w:sz w:val="24"/>
          <w:szCs w:val="24"/>
        </w:rPr>
        <w:t>11(</w:t>
      </w:r>
      <w:r w:rsidRPr="0011751F">
        <w:rPr>
          <w:rFonts w:ascii="Times New Roman" w:hAnsi="Times New Roman"/>
          <w:sz w:val="24"/>
          <w:szCs w:val="24"/>
        </w:rPr>
        <w:t>4</w:t>
      </w:r>
      <w:r w:rsidR="003C68F7" w:rsidRPr="0011751F">
        <w:rPr>
          <w:rFonts w:ascii="Times New Roman" w:hAnsi="Times New Roman"/>
          <w:sz w:val="24"/>
          <w:szCs w:val="24"/>
        </w:rPr>
        <w:t xml:space="preserve">) sets out the default statutory regime. In the circumstances where a legally binding agreement of the </w:t>
      </w:r>
      <w:r w:rsidRPr="0011751F">
        <w:rPr>
          <w:rFonts w:ascii="Times New Roman" w:hAnsi="Times New Roman"/>
          <w:sz w:val="24"/>
          <w:szCs w:val="24"/>
        </w:rPr>
        <w:t xml:space="preserve">kind specified in </w:t>
      </w:r>
      <w:r w:rsidR="004A5CD3" w:rsidRPr="0011751F">
        <w:rPr>
          <w:rFonts w:ascii="Times New Roman" w:hAnsi="Times New Roman"/>
          <w:sz w:val="24"/>
          <w:szCs w:val="24"/>
        </w:rPr>
        <w:t>subsection</w:t>
      </w:r>
      <w:r w:rsidRPr="0011751F">
        <w:rPr>
          <w:rFonts w:ascii="Times New Roman" w:hAnsi="Times New Roman"/>
          <w:sz w:val="24"/>
          <w:szCs w:val="24"/>
        </w:rPr>
        <w:t xml:space="preserve"> 11(3</w:t>
      </w:r>
      <w:r w:rsidR="003C68F7" w:rsidRPr="0011751F">
        <w:rPr>
          <w:rFonts w:ascii="Times New Roman" w:hAnsi="Times New Roman"/>
          <w:sz w:val="24"/>
          <w:szCs w:val="24"/>
        </w:rPr>
        <w:t>) is not in legal force, Telstra is required to provide the data on a monthly basis, specifically, every 10 working days after each month’s ‘Report Date’.</w:t>
      </w:r>
    </w:p>
    <w:p w14:paraId="4516013B" w14:textId="77777777" w:rsidR="003C68F7" w:rsidRPr="002F164E" w:rsidRDefault="003C68F7" w:rsidP="0011751F">
      <w:pPr>
        <w:rPr>
          <w:rFonts w:ascii="Times New Roman" w:hAnsi="Times New Roman"/>
          <w:sz w:val="24"/>
          <w:szCs w:val="24"/>
        </w:rPr>
      </w:pPr>
      <w:r w:rsidRPr="002F164E">
        <w:rPr>
          <w:rFonts w:ascii="Times New Roman" w:hAnsi="Times New Roman"/>
          <w:sz w:val="24"/>
          <w:szCs w:val="24"/>
        </w:rPr>
        <w:t>The inclusion of a default regime provides certainty to NBN Co that Telstra will provide the data at a specified time each month, in the absence of a commercial agreement being in force.</w:t>
      </w:r>
    </w:p>
    <w:p w14:paraId="67A11552" w14:textId="24FD16BA" w:rsidR="003C68F7" w:rsidRPr="002F164E" w:rsidRDefault="00026C05" w:rsidP="0011751F">
      <w:pPr>
        <w:rPr>
          <w:rFonts w:ascii="Times New Roman" w:hAnsi="Times New Roman"/>
          <w:sz w:val="24"/>
          <w:szCs w:val="24"/>
        </w:rPr>
      </w:pPr>
      <w:r w:rsidRPr="002F164E">
        <w:rPr>
          <w:rFonts w:ascii="Times New Roman" w:hAnsi="Times New Roman"/>
          <w:sz w:val="24"/>
          <w:szCs w:val="24"/>
        </w:rPr>
        <w:t xml:space="preserve">Subsection </w:t>
      </w:r>
      <w:r w:rsidR="0011751F">
        <w:rPr>
          <w:rFonts w:ascii="Times New Roman" w:hAnsi="Times New Roman"/>
          <w:sz w:val="24"/>
          <w:szCs w:val="24"/>
        </w:rPr>
        <w:t>11(</w:t>
      </w:r>
      <w:r w:rsidRPr="002F164E">
        <w:rPr>
          <w:rFonts w:ascii="Times New Roman" w:hAnsi="Times New Roman"/>
          <w:sz w:val="24"/>
          <w:szCs w:val="24"/>
        </w:rPr>
        <w:t>5</w:t>
      </w:r>
      <w:r w:rsidR="0011751F">
        <w:rPr>
          <w:rFonts w:ascii="Times New Roman" w:hAnsi="Times New Roman"/>
          <w:sz w:val="24"/>
          <w:szCs w:val="24"/>
        </w:rPr>
        <w:t>)</w:t>
      </w:r>
      <w:r w:rsidR="003C68F7" w:rsidRPr="002F164E">
        <w:rPr>
          <w:rFonts w:ascii="Times New Roman" w:hAnsi="Times New Roman"/>
          <w:sz w:val="24"/>
          <w:szCs w:val="24"/>
        </w:rPr>
        <w:t xml:space="preserve"> exempts Telstra from the data supply</w:t>
      </w:r>
      <w:r w:rsidRPr="002F164E">
        <w:rPr>
          <w:rFonts w:ascii="Times New Roman" w:hAnsi="Times New Roman"/>
          <w:sz w:val="24"/>
          <w:szCs w:val="24"/>
        </w:rPr>
        <w:t xml:space="preserve"> obligation under </w:t>
      </w:r>
      <w:r w:rsidR="004A5CD3" w:rsidRPr="002F164E">
        <w:rPr>
          <w:rFonts w:ascii="Times New Roman" w:hAnsi="Times New Roman"/>
          <w:sz w:val="24"/>
          <w:szCs w:val="24"/>
        </w:rPr>
        <w:t>subsection</w:t>
      </w:r>
      <w:r w:rsidRPr="002F164E">
        <w:rPr>
          <w:rFonts w:ascii="Times New Roman" w:hAnsi="Times New Roman"/>
          <w:sz w:val="24"/>
          <w:szCs w:val="24"/>
        </w:rPr>
        <w:t xml:space="preserve"> 11(2</w:t>
      </w:r>
      <w:r w:rsidR="003C68F7" w:rsidRPr="002F164E">
        <w:rPr>
          <w:rFonts w:ascii="Times New Roman" w:hAnsi="Times New Roman"/>
          <w:sz w:val="24"/>
          <w:szCs w:val="24"/>
        </w:rPr>
        <w:t>) where any of the following apply:</w:t>
      </w:r>
    </w:p>
    <w:p w14:paraId="29BBE67F" w14:textId="0841AF7C" w:rsidR="003C68F7" w:rsidRPr="0011751F" w:rsidRDefault="003C68F7" w:rsidP="003A1E64">
      <w:pPr>
        <w:pStyle w:val="ListParagraph"/>
        <w:numPr>
          <w:ilvl w:val="0"/>
          <w:numId w:val="11"/>
        </w:numPr>
        <w:rPr>
          <w:rFonts w:ascii="Times New Roman" w:hAnsi="Times New Roman"/>
          <w:sz w:val="24"/>
          <w:szCs w:val="24"/>
        </w:rPr>
      </w:pPr>
      <w:r w:rsidRPr="0011751F">
        <w:rPr>
          <w:rFonts w:ascii="Times New Roman" w:hAnsi="Times New Roman"/>
          <w:sz w:val="24"/>
          <w:szCs w:val="24"/>
        </w:rPr>
        <w:t>NBN Co has breached (or will imminently breach) a material term of the commercial agreeme</w:t>
      </w:r>
      <w:r w:rsidR="00026C05" w:rsidRPr="0011751F">
        <w:rPr>
          <w:rFonts w:ascii="Times New Roman" w:hAnsi="Times New Roman"/>
          <w:sz w:val="24"/>
          <w:szCs w:val="24"/>
        </w:rPr>
        <w:t>nt referred to in subsection 11(3) - (paragraph 11(5</w:t>
      </w:r>
      <w:r w:rsidRPr="0011751F">
        <w:rPr>
          <w:rFonts w:ascii="Times New Roman" w:hAnsi="Times New Roman"/>
          <w:sz w:val="24"/>
          <w:szCs w:val="24"/>
        </w:rPr>
        <w:t>)(a)); or</w:t>
      </w:r>
    </w:p>
    <w:p w14:paraId="28866BB5" w14:textId="311AF7B5" w:rsidR="003C68F7" w:rsidRPr="0011751F" w:rsidRDefault="003C68F7" w:rsidP="003A1E64">
      <w:pPr>
        <w:pStyle w:val="ListParagraph"/>
        <w:numPr>
          <w:ilvl w:val="0"/>
          <w:numId w:val="11"/>
        </w:numPr>
        <w:rPr>
          <w:rFonts w:ascii="Times New Roman" w:hAnsi="Times New Roman"/>
          <w:sz w:val="24"/>
          <w:szCs w:val="24"/>
        </w:rPr>
      </w:pPr>
      <w:r w:rsidRPr="0011751F">
        <w:rPr>
          <w:rFonts w:ascii="Times New Roman" w:hAnsi="Times New Roman"/>
          <w:sz w:val="24"/>
          <w:szCs w:val="24"/>
        </w:rPr>
        <w:t>if there is no longer a commercial agreement in force, and Telstra has determined on reasonable grounds that NBN Co has used or disclosed (or will imminently use or disclose) the data in an un</w:t>
      </w:r>
      <w:r w:rsidR="00026C05" w:rsidRPr="0011751F">
        <w:rPr>
          <w:rFonts w:ascii="Times New Roman" w:hAnsi="Times New Roman"/>
          <w:sz w:val="24"/>
          <w:szCs w:val="24"/>
        </w:rPr>
        <w:t>authorised way - (paragraph 11(5</w:t>
      </w:r>
      <w:r w:rsidRPr="0011751F">
        <w:rPr>
          <w:rFonts w:ascii="Times New Roman" w:hAnsi="Times New Roman"/>
          <w:sz w:val="24"/>
          <w:szCs w:val="24"/>
        </w:rPr>
        <w:t>)(b)); or</w:t>
      </w:r>
    </w:p>
    <w:p w14:paraId="47DEC2DD" w14:textId="2B9CC2A2" w:rsidR="003C68F7" w:rsidRPr="0011751F" w:rsidRDefault="003C68F7" w:rsidP="003A1E64">
      <w:pPr>
        <w:pStyle w:val="ListParagraph"/>
        <w:numPr>
          <w:ilvl w:val="0"/>
          <w:numId w:val="11"/>
        </w:numPr>
        <w:rPr>
          <w:rFonts w:ascii="Times New Roman" w:hAnsi="Times New Roman"/>
          <w:sz w:val="24"/>
          <w:szCs w:val="24"/>
        </w:rPr>
      </w:pPr>
      <w:r w:rsidRPr="0011751F">
        <w:rPr>
          <w:rFonts w:ascii="Times New Roman" w:hAnsi="Times New Roman"/>
          <w:sz w:val="24"/>
          <w:szCs w:val="24"/>
        </w:rPr>
        <w:t>In recognition of relevant IT system changes that Telstra needs to implement to comply with the supply condition, if there is no agreement in place between NBN Co and Telstra for the reimbursement</w:t>
      </w:r>
      <w:r w:rsidR="00026C05" w:rsidRPr="0011751F">
        <w:rPr>
          <w:rFonts w:ascii="Times New Roman" w:hAnsi="Times New Roman"/>
          <w:sz w:val="24"/>
          <w:szCs w:val="24"/>
        </w:rPr>
        <w:t xml:space="preserve"> of such costs - (paragraph 11(5</w:t>
      </w:r>
      <w:r w:rsidRPr="0011751F">
        <w:rPr>
          <w:rFonts w:ascii="Times New Roman" w:hAnsi="Times New Roman"/>
          <w:sz w:val="24"/>
          <w:szCs w:val="24"/>
        </w:rPr>
        <w:t>)(c)); or</w:t>
      </w:r>
    </w:p>
    <w:p w14:paraId="47E67665" w14:textId="37E38437" w:rsidR="003C68F7" w:rsidRPr="0011751F" w:rsidRDefault="003C68F7" w:rsidP="003A1E64">
      <w:pPr>
        <w:pStyle w:val="ListParagraph"/>
        <w:numPr>
          <w:ilvl w:val="0"/>
          <w:numId w:val="11"/>
        </w:numPr>
        <w:rPr>
          <w:rFonts w:ascii="Times New Roman" w:hAnsi="Times New Roman"/>
          <w:sz w:val="24"/>
          <w:szCs w:val="24"/>
        </w:rPr>
      </w:pPr>
      <w:r w:rsidRPr="0011751F">
        <w:rPr>
          <w:rFonts w:ascii="Times New Roman" w:hAnsi="Times New Roman"/>
          <w:sz w:val="24"/>
          <w:szCs w:val="24"/>
        </w:rPr>
        <w:t>where Telstra'</w:t>
      </w:r>
      <w:r w:rsidR="00026C05" w:rsidRPr="0011751F">
        <w:rPr>
          <w:rFonts w:ascii="Times New Roman" w:hAnsi="Times New Roman"/>
          <w:sz w:val="24"/>
          <w:szCs w:val="24"/>
        </w:rPr>
        <w:t xml:space="preserve">s compliance with </w:t>
      </w:r>
      <w:r w:rsidR="004A5CD3" w:rsidRPr="0011751F">
        <w:rPr>
          <w:rFonts w:ascii="Times New Roman" w:hAnsi="Times New Roman"/>
          <w:sz w:val="24"/>
          <w:szCs w:val="24"/>
        </w:rPr>
        <w:t>subsection</w:t>
      </w:r>
      <w:r w:rsidR="00026C05" w:rsidRPr="0011751F">
        <w:rPr>
          <w:rFonts w:ascii="Times New Roman" w:hAnsi="Times New Roman"/>
          <w:sz w:val="24"/>
          <w:szCs w:val="24"/>
        </w:rPr>
        <w:t xml:space="preserve"> 11(2</w:t>
      </w:r>
      <w:r w:rsidRPr="0011751F">
        <w:rPr>
          <w:rFonts w:ascii="Times New Roman" w:hAnsi="Times New Roman"/>
          <w:sz w:val="24"/>
          <w:szCs w:val="24"/>
        </w:rPr>
        <w:t xml:space="preserve">) is reasonably likely to expose it to any loss or claim arising as a result of any unauthorised use or disclosure by NBN </w:t>
      </w:r>
      <w:r w:rsidR="00026C05" w:rsidRPr="0011751F">
        <w:rPr>
          <w:rFonts w:ascii="Times New Roman" w:hAnsi="Times New Roman"/>
          <w:sz w:val="24"/>
          <w:szCs w:val="24"/>
        </w:rPr>
        <w:t>Co of the data (paragraph 11(5</w:t>
      </w:r>
      <w:r w:rsidRPr="0011751F">
        <w:rPr>
          <w:rFonts w:ascii="Times New Roman" w:hAnsi="Times New Roman"/>
          <w:sz w:val="24"/>
          <w:szCs w:val="24"/>
        </w:rPr>
        <w:t>)(d)).</w:t>
      </w:r>
    </w:p>
    <w:p w14:paraId="3F935BC4" w14:textId="73B081AF" w:rsidR="003C68F7" w:rsidRPr="002F164E" w:rsidRDefault="00026C05" w:rsidP="00F52636">
      <w:pPr>
        <w:rPr>
          <w:rFonts w:ascii="Times New Roman" w:hAnsi="Times New Roman"/>
          <w:sz w:val="24"/>
          <w:szCs w:val="24"/>
        </w:rPr>
      </w:pPr>
      <w:r w:rsidRPr="002F164E">
        <w:rPr>
          <w:rFonts w:ascii="Times New Roman" w:hAnsi="Times New Roman"/>
          <w:sz w:val="24"/>
          <w:szCs w:val="24"/>
        </w:rPr>
        <w:t>Subsection 11(6) refers to the c</w:t>
      </w:r>
      <w:r w:rsidR="003C68F7" w:rsidRPr="002F164E">
        <w:rPr>
          <w:rFonts w:ascii="Times New Roman" w:hAnsi="Times New Roman"/>
          <w:sz w:val="24"/>
          <w:szCs w:val="24"/>
        </w:rPr>
        <w:t>ircumstances in which Telstra will not be in breach</w:t>
      </w:r>
      <w:r w:rsidRPr="002F164E">
        <w:rPr>
          <w:rFonts w:ascii="Times New Roman" w:hAnsi="Times New Roman"/>
          <w:sz w:val="24"/>
          <w:szCs w:val="24"/>
        </w:rPr>
        <w:t xml:space="preserve"> of subsection 11(2). </w:t>
      </w:r>
      <w:r w:rsidR="003C68F7" w:rsidRPr="002F164E">
        <w:rPr>
          <w:rFonts w:ascii="Times New Roman" w:hAnsi="Times New Roman"/>
          <w:sz w:val="24"/>
          <w:szCs w:val="24"/>
        </w:rPr>
        <w:t>Given the significant penalties that could apply in the event of a breach of a carrier licence condition by Telstra, and the process-intensive work underpinning the provision of the data, it would be unreasonable for Telstra to be considered in breach of the timing</w:t>
      </w:r>
      <w:r w:rsidRPr="002F164E">
        <w:rPr>
          <w:rFonts w:ascii="Times New Roman" w:hAnsi="Times New Roman"/>
          <w:sz w:val="24"/>
          <w:szCs w:val="24"/>
        </w:rPr>
        <w:t xml:space="preserve"> obligation under </w:t>
      </w:r>
      <w:r w:rsidR="004A5CD3" w:rsidRPr="002F164E">
        <w:rPr>
          <w:rFonts w:ascii="Times New Roman" w:hAnsi="Times New Roman"/>
          <w:sz w:val="24"/>
          <w:szCs w:val="24"/>
        </w:rPr>
        <w:t>subsection</w:t>
      </w:r>
      <w:r w:rsidRPr="002F164E">
        <w:rPr>
          <w:rFonts w:ascii="Times New Roman" w:hAnsi="Times New Roman"/>
          <w:sz w:val="24"/>
          <w:szCs w:val="24"/>
        </w:rPr>
        <w:t xml:space="preserve"> 11(4</w:t>
      </w:r>
      <w:r w:rsidR="003C68F7" w:rsidRPr="002F164E">
        <w:rPr>
          <w:rFonts w:ascii="Times New Roman" w:hAnsi="Times New Roman"/>
          <w:sz w:val="24"/>
          <w:szCs w:val="24"/>
        </w:rPr>
        <w:t>) where the failure to meet the set timeframe is due to a circumstance beyond Telstra’s reasonable control.</w:t>
      </w:r>
      <w:r w:rsidRPr="002F164E">
        <w:rPr>
          <w:rFonts w:ascii="Times New Roman" w:hAnsi="Times New Roman"/>
          <w:sz w:val="24"/>
          <w:szCs w:val="24"/>
        </w:rPr>
        <w:t xml:space="preserve"> Accordingly, subsection 11(6</w:t>
      </w:r>
      <w:r w:rsidR="003C68F7" w:rsidRPr="002F164E">
        <w:rPr>
          <w:rFonts w:ascii="Times New Roman" w:hAnsi="Times New Roman"/>
          <w:sz w:val="24"/>
          <w:szCs w:val="24"/>
        </w:rPr>
        <w:t>) addresses these kinds of scenarios. An example of a circumstance that is intended to be captured is where Telstra is unable to transmit the material on the due date as a result of a power outage.</w:t>
      </w:r>
    </w:p>
    <w:p w14:paraId="59380E99" w14:textId="0BDC1E59" w:rsidR="003C68F7" w:rsidRDefault="00026C05" w:rsidP="00F52636">
      <w:pPr>
        <w:rPr>
          <w:rFonts w:ascii="Times New Roman" w:hAnsi="Times New Roman"/>
          <w:sz w:val="24"/>
          <w:szCs w:val="24"/>
        </w:rPr>
      </w:pPr>
      <w:r w:rsidRPr="002F164E">
        <w:rPr>
          <w:rFonts w:ascii="Times New Roman" w:hAnsi="Times New Roman"/>
          <w:sz w:val="24"/>
          <w:szCs w:val="24"/>
        </w:rPr>
        <w:t>Subsection 11(7</w:t>
      </w:r>
      <w:r w:rsidR="003C68F7" w:rsidRPr="002F164E">
        <w:rPr>
          <w:rFonts w:ascii="Times New Roman" w:hAnsi="Times New Roman"/>
          <w:sz w:val="24"/>
          <w:szCs w:val="24"/>
        </w:rPr>
        <w:t>) specifies, in a highly prescriptive way, the permitted uses of the data by N</w:t>
      </w:r>
      <w:r w:rsidRPr="002F164E">
        <w:rPr>
          <w:rFonts w:ascii="Times New Roman" w:hAnsi="Times New Roman"/>
          <w:sz w:val="24"/>
          <w:szCs w:val="24"/>
        </w:rPr>
        <w:t>BN Co. Similarly, subsection 11(8</w:t>
      </w:r>
      <w:r w:rsidR="003C68F7" w:rsidRPr="002F164E">
        <w:rPr>
          <w:rFonts w:ascii="Times New Roman" w:hAnsi="Times New Roman"/>
          <w:sz w:val="24"/>
          <w:szCs w:val="24"/>
        </w:rPr>
        <w:t>) specifies, in a detailed manner, the types of use of the Specified Premises Location Information which are not permitte</w:t>
      </w:r>
      <w:r w:rsidRPr="002F164E">
        <w:rPr>
          <w:rFonts w:ascii="Times New Roman" w:hAnsi="Times New Roman"/>
          <w:sz w:val="24"/>
          <w:szCs w:val="24"/>
        </w:rPr>
        <w:t>d. Refer to the commentary in subsection 11(1) above</w:t>
      </w:r>
      <w:r w:rsidR="003C68F7" w:rsidRPr="002F164E">
        <w:rPr>
          <w:rFonts w:ascii="Times New Roman" w:hAnsi="Times New Roman"/>
          <w:sz w:val="24"/>
          <w:szCs w:val="24"/>
        </w:rPr>
        <w:t xml:space="preserve"> under the definition of ‘Permitted Purpose’ for further information.</w:t>
      </w:r>
    </w:p>
    <w:p w14:paraId="1262AE50" w14:textId="7E23BEEF" w:rsidR="00C15BCB" w:rsidRPr="002F164E" w:rsidRDefault="00C15BCB" w:rsidP="00C15BCB">
      <w:pPr>
        <w:rPr>
          <w:rFonts w:ascii="Times New Roman" w:hAnsi="Times New Roman"/>
          <w:sz w:val="24"/>
          <w:szCs w:val="24"/>
        </w:rPr>
      </w:pPr>
      <w:r w:rsidRPr="002F164E">
        <w:rPr>
          <w:rFonts w:ascii="Times New Roman" w:hAnsi="Times New Roman"/>
          <w:sz w:val="24"/>
          <w:szCs w:val="24"/>
        </w:rPr>
        <w:t xml:space="preserve">Subsection </w:t>
      </w:r>
      <w:r w:rsidRPr="00F52636">
        <w:rPr>
          <w:rFonts w:ascii="Times New Roman" w:hAnsi="Times New Roman"/>
          <w:sz w:val="24"/>
          <w:szCs w:val="24"/>
        </w:rPr>
        <w:t>11(8)</w:t>
      </w:r>
      <w:r w:rsidRPr="002F164E">
        <w:rPr>
          <w:rFonts w:ascii="Times New Roman" w:hAnsi="Times New Roman"/>
          <w:sz w:val="24"/>
          <w:szCs w:val="24"/>
        </w:rPr>
        <w:t xml:space="preserve"> sets out the uses or disclosures of Specified Premises Location Information which are not permitted. These cover a range of purposes, including the following:</w:t>
      </w:r>
    </w:p>
    <w:p w14:paraId="6EC5FD17" w14:textId="3684EA11" w:rsidR="00C15BCB" w:rsidRPr="002F164E" w:rsidRDefault="00C15BCB"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for direct marketing by NBN Co to promote or sell products or services or to promote parti</w:t>
      </w:r>
      <w:r w:rsidR="007B2E86">
        <w:rPr>
          <w:rFonts w:ascii="Times New Roman" w:hAnsi="Times New Roman"/>
          <w:sz w:val="24"/>
          <w:szCs w:val="24"/>
        </w:rPr>
        <w:t>cular RSPs</w:t>
      </w:r>
      <w:r w:rsidRPr="002F164E">
        <w:rPr>
          <w:rFonts w:ascii="Times New Roman" w:hAnsi="Times New Roman"/>
          <w:sz w:val="24"/>
          <w:szCs w:val="24"/>
        </w:rPr>
        <w:t>;</w:t>
      </w:r>
    </w:p>
    <w:p w14:paraId="3C8B46E1" w14:textId="77777777" w:rsidR="00C15BCB" w:rsidRPr="002F164E" w:rsidRDefault="00C15BCB"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for use in a non-RSP neutral campaign or ones which are directed at influencing end-users regarding their choice of RSP or which trigger customers moving from their existing RSP to another;</w:t>
      </w:r>
    </w:p>
    <w:p w14:paraId="462AF264" w14:textId="77777777" w:rsidR="00C15BCB" w:rsidRPr="002F164E" w:rsidRDefault="00C15BCB"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for communications addressed to specific individuals, except if the individual separately gave NBN Co their contact details;</w:t>
      </w:r>
    </w:p>
    <w:p w14:paraId="78A1B932" w14:textId="77777777" w:rsidR="00C15BCB" w:rsidRPr="002F164E" w:rsidRDefault="00C15BCB"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by or to any person who is a provider of retail telecommunications services in Australia;</w:t>
      </w:r>
    </w:p>
    <w:p w14:paraId="6F4AAF51" w14:textId="77777777" w:rsidR="00C15BCB" w:rsidRPr="002F164E" w:rsidRDefault="00C15BCB" w:rsidP="003A1E64">
      <w:pPr>
        <w:pStyle w:val="ListParagraph"/>
        <w:numPr>
          <w:ilvl w:val="0"/>
          <w:numId w:val="4"/>
        </w:numPr>
        <w:rPr>
          <w:rFonts w:ascii="Times New Roman" w:hAnsi="Times New Roman"/>
          <w:sz w:val="24"/>
          <w:szCs w:val="24"/>
        </w:rPr>
      </w:pPr>
      <w:r w:rsidRPr="002F164E">
        <w:rPr>
          <w:rFonts w:ascii="Times New Roman" w:hAnsi="Times New Roman"/>
          <w:sz w:val="24"/>
          <w:szCs w:val="24"/>
        </w:rPr>
        <w:t>for any data matching purposes (with some limited exceptions); and</w:t>
      </w:r>
    </w:p>
    <w:p w14:paraId="1F34B5E2" w14:textId="6B58B09A" w:rsidR="00C15BCB" w:rsidRPr="002F164E" w:rsidRDefault="00C15BCB" w:rsidP="003A1E64">
      <w:pPr>
        <w:pStyle w:val="ListParagraph"/>
        <w:numPr>
          <w:ilvl w:val="0"/>
          <w:numId w:val="4"/>
        </w:numPr>
        <w:spacing w:after="0"/>
        <w:ind w:left="714" w:hanging="357"/>
        <w:rPr>
          <w:rFonts w:ascii="Times New Roman" w:hAnsi="Times New Roman"/>
          <w:sz w:val="24"/>
          <w:szCs w:val="24"/>
        </w:rPr>
      </w:pPr>
      <w:r w:rsidRPr="002F164E">
        <w:rPr>
          <w:rFonts w:ascii="Times New Roman" w:hAnsi="Times New Roman"/>
          <w:sz w:val="24"/>
          <w:szCs w:val="24"/>
        </w:rPr>
        <w:t xml:space="preserve">activities inconsistent with applicable laws (including the Australian Consumer Law as set out in Schedule 2 to the </w:t>
      </w:r>
      <w:r w:rsidRPr="00DE4768">
        <w:rPr>
          <w:rFonts w:ascii="Times New Roman" w:hAnsi="Times New Roman"/>
          <w:i/>
          <w:sz w:val="24"/>
          <w:szCs w:val="24"/>
        </w:rPr>
        <w:t>Competition and Consumer Act 2010</w:t>
      </w:r>
      <w:r w:rsidRPr="002F164E">
        <w:rPr>
          <w:rFonts w:ascii="Times New Roman" w:hAnsi="Times New Roman"/>
          <w:sz w:val="24"/>
          <w:szCs w:val="24"/>
        </w:rPr>
        <w:t xml:space="preserve">) and applicable privacy laws). </w:t>
      </w:r>
    </w:p>
    <w:p w14:paraId="34A432CB" w14:textId="77777777" w:rsidR="003C68F7" w:rsidRPr="002F164E" w:rsidRDefault="003C68F7" w:rsidP="003C5C97">
      <w:pPr>
        <w:spacing w:after="0"/>
        <w:rPr>
          <w:rFonts w:ascii="Times New Roman" w:hAnsi="Times New Roman"/>
          <w:b/>
          <w:sz w:val="24"/>
          <w:szCs w:val="24"/>
        </w:rPr>
      </w:pPr>
    </w:p>
    <w:p w14:paraId="5D7CA51E" w14:textId="6FF4B5A6" w:rsidR="00EF7A08" w:rsidRPr="002F164E" w:rsidRDefault="00EF7A08" w:rsidP="003C68F7">
      <w:pPr>
        <w:rPr>
          <w:rFonts w:ascii="Times New Roman" w:hAnsi="Times New Roman"/>
          <w:b/>
          <w:sz w:val="24"/>
          <w:szCs w:val="24"/>
        </w:rPr>
      </w:pPr>
      <w:r w:rsidRPr="002F164E">
        <w:rPr>
          <w:rFonts w:ascii="Times New Roman" w:hAnsi="Times New Roman"/>
          <w:b/>
          <w:sz w:val="24"/>
          <w:szCs w:val="24"/>
        </w:rPr>
        <w:t>Section 12 – Priority Assistance Arrangements</w:t>
      </w:r>
    </w:p>
    <w:p w14:paraId="270A95BE" w14:textId="2D11998E" w:rsidR="00752801" w:rsidRDefault="00752801" w:rsidP="003C68F7">
      <w:pPr>
        <w:rPr>
          <w:rFonts w:ascii="Times New Roman" w:hAnsi="Times New Roman"/>
          <w:sz w:val="24"/>
          <w:szCs w:val="24"/>
        </w:rPr>
      </w:pPr>
      <w:r w:rsidRPr="00752801">
        <w:rPr>
          <w:rFonts w:ascii="Times New Roman" w:hAnsi="Times New Roman"/>
          <w:sz w:val="24"/>
          <w:szCs w:val="24"/>
        </w:rPr>
        <w:t xml:space="preserve">Priority assistance is a special customer </w:t>
      </w:r>
      <w:r w:rsidR="00BF575A">
        <w:rPr>
          <w:rFonts w:ascii="Times New Roman" w:hAnsi="Times New Roman"/>
          <w:sz w:val="24"/>
          <w:szCs w:val="24"/>
        </w:rPr>
        <w:t>service</w:t>
      </w:r>
      <w:r w:rsidR="00BF575A" w:rsidRPr="00752801">
        <w:rPr>
          <w:rFonts w:ascii="Times New Roman" w:hAnsi="Times New Roman"/>
          <w:sz w:val="24"/>
          <w:szCs w:val="24"/>
        </w:rPr>
        <w:t xml:space="preserve"> </w:t>
      </w:r>
      <w:r w:rsidRPr="00752801">
        <w:rPr>
          <w:rFonts w:ascii="Times New Roman" w:hAnsi="Times New Roman"/>
          <w:sz w:val="24"/>
          <w:szCs w:val="24"/>
        </w:rPr>
        <w:t xml:space="preserve">available to anyone diagnosed with </w:t>
      </w:r>
      <w:r w:rsidR="00451CC1">
        <w:rPr>
          <w:rFonts w:ascii="Times New Roman" w:hAnsi="Times New Roman"/>
          <w:sz w:val="24"/>
          <w:szCs w:val="24"/>
        </w:rPr>
        <w:t xml:space="preserve">a </w:t>
      </w:r>
      <w:r w:rsidR="0096582D">
        <w:rPr>
          <w:rFonts w:ascii="Times New Roman" w:hAnsi="Times New Roman"/>
          <w:sz w:val="24"/>
          <w:szCs w:val="24"/>
        </w:rPr>
        <w:br/>
      </w:r>
      <w:r w:rsidRPr="00752801">
        <w:rPr>
          <w:rFonts w:ascii="Times New Roman" w:hAnsi="Times New Roman"/>
          <w:sz w:val="24"/>
          <w:szCs w:val="24"/>
        </w:rPr>
        <w:t xml:space="preserve">life-threatening medical condition who depends on a reliable, fixed-line home telephone service to be able to call for assistance at any time. Telstra </w:t>
      </w:r>
      <w:r w:rsidR="00451CC1">
        <w:rPr>
          <w:rFonts w:ascii="Times New Roman" w:hAnsi="Times New Roman"/>
          <w:sz w:val="24"/>
          <w:szCs w:val="24"/>
        </w:rPr>
        <w:t>has been</w:t>
      </w:r>
      <w:r w:rsidRPr="00752801">
        <w:rPr>
          <w:rFonts w:ascii="Times New Roman" w:hAnsi="Times New Roman"/>
          <w:sz w:val="24"/>
          <w:szCs w:val="24"/>
        </w:rPr>
        <w:t xml:space="preserve"> required to provide priority assistance services to its customers as a condition of its licence</w:t>
      </w:r>
      <w:r w:rsidR="00451CC1">
        <w:rPr>
          <w:rFonts w:ascii="Times New Roman" w:hAnsi="Times New Roman"/>
          <w:sz w:val="24"/>
          <w:szCs w:val="24"/>
        </w:rPr>
        <w:t xml:space="preserve"> since 2002</w:t>
      </w:r>
      <w:r w:rsidRPr="00752801">
        <w:rPr>
          <w:rFonts w:ascii="Times New Roman" w:hAnsi="Times New Roman"/>
          <w:sz w:val="24"/>
          <w:szCs w:val="24"/>
        </w:rPr>
        <w:t>. Telstra is required to have an effective policy for offering priority assistance services to anyone with a life-threatening medical condition.</w:t>
      </w:r>
    </w:p>
    <w:p w14:paraId="494F420C" w14:textId="34073982" w:rsidR="00611A89" w:rsidRDefault="002D5892" w:rsidP="003C5C97">
      <w:pPr>
        <w:spacing w:after="120"/>
        <w:rPr>
          <w:rFonts w:ascii="Times New Roman" w:hAnsi="Times New Roman"/>
          <w:sz w:val="24"/>
          <w:szCs w:val="24"/>
        </w:rPr>
      </w:pPr>
      <w:r>
        <w:rPr>
          <w:rFonts w:ascii="Times New Roman" w:hAnsi="Times New Roman"/>
          <w:sz w:val="24"/>
          <w:szCs w:val="24"/>
        </w:rPr>
        <w:t xml:space="preserve">Subsection 12(1) </w:t>
      </w:r>
      <w:r w:rsidR="00611A89">
        <w:rPr>
          <w:rFonts w:ascii="Times New Roman" w:hAnsi="Times New Roman"/>
          <w:sz w:val="24"/>
          <w:szCs w:val="24"/>
        </w:rPr>
        <w:t xml:space="preserve"> sets out the definitions for key terms used used in section 12 and Schedule</w:t>
      </w:r>
      <w:r w:rsidR="006C2704">
        <w:rPr>
          <w:rFonts w:ascii="Times New Roman" w:hAnsi="Times New Roman"/>
          <w:sz w:val="24"/>
          <w:szCs w:val="24"/>
        </w:rPr>
        <w:t> </w:t>
      </w:r>
      <w:r w:rsidR="00611A89">
        <w:rPr>
          <w:rFonts w:ascii="Times New Roman" w:hAnsi="Times New Roman"/>
          <w:sz w:val="24"/>
          <w:szCs w:val="24"/>
        </w:rPr>
        <w:t xml:space="preserve">1. The terms are: </w:t>
      </w:r>
    </w:p>
    <w:p w14:paraId="4F05713D" w14:textId="29D176B8" w:rsidR="00611A89" w:rsidRDefault="00611A89" w:rsidP="003A1E64">
      <w:pPr>
        <w:pStyle w:val="ListParagraph"/>
        <w:numPr>
          <w:ilvl w:val="0"/>
          <w:numId w:val="8"/>
        </w:numPr>
        <w:rPr>
          <w:rFonts w:ascii="Times New Roman" w:hAnsi="Times New Roman"/>
          <w:sz w:val="24"/>
          <w:szCs w:val="24"/>
        </w:rPr>
      </w:pPr>
      <w:r w:rsidRPr="003E107D">
        <w:rPr>
          <w:rFonts w:ascii="Times New Roman" w:hAnsi="Times New Roman"/>
          <w:sz w:val="24"/>
          <w:szCs w:val="24"/>
        </w:rPr>
        <w:t>alternative service</w:t>
      </w:r>
      <w:r>
        <w:rPr>
          <w:rFonts w:ascii="Times New Roman" w:hAnsi="Times New Roman"/>
          <w:sz w:val="24"/>
          <w:szCs w:val="24"/>
        </w:rPr>
        <w:t xml:space="preserve">; </w:t>
      </w:r>
    </w:p>
    <w:p w14:paraId="63C4406A" w14:textId="042E2202" w:rsidR="00611A89" w:rsidRDefault="00611A89" w:rsidP="003A1E64">
      <w:pPr>
        <w:pStyle w:val="ListParagraph"/>
        <w:numPr>
          <w:ilvl w:val="0"/>
          <w:numId w:val="8"/>
        </w:numPr>
        <w:rPr>
          <w:rFonts w:ascii="Times New Roman" w:hAnsi="Times New Roman"/>
          <w:sz w:val="24"/>
          <w:szCs w:val="24"/>
        </w:rPr>
      </w:pPr>
      <w:r>
        <w:rPr>
          <w:rFonts w:ascii="Times New Roman" w:hAnsi="Times New Roman"/>
          <w:sz w:val="24"/>
          <w:szCs w:val="24"/>
        </w:rPr>
        <w:t>c</w:t>
      </w:r>
      <w:r w:rsidRPr="003E107D">
        <w:rPr>
          <w:rFonts w:ascii="Times New Roman" w:hAnsi="Times New Roman"/>
          <w:sz w:val="24"/>
          <w:szCs w:val="24"/>
        </w:rPr>
        <w:t>ustomer</w:t>
      </w:r>
      <w:r>
        <w:rPr>
          <w:rFonts w:ascii="Times New Roman" w:hAnsi="Times New Roman"/>
          <w:sz w:val="24"/>
          <w:szCs w:val="24"/>
        </w:rPr>
        <w:t>;</w:t>
      </w:r>
    </w:p>
    <w:p w14:paraId="1FA57A67" w14:textId="29D31801" w:rsidR="002D5892" w:rsidRDefault="00611A89" w:rsidP="003A1E64">
      <w:pPr>
        <w:pStyle w:val="ListParagraph"/>
        <w:numPr>
          <w:ilvl w:val="0"/>
          <w:numId w:val="8"/>
        </w:numPr>
        <w:rPr>
          <w:rFonts w:ascii="Times New Roman" w:hAnsi="Times New Roman"/>
          <w:sz w:val="24"/>
          <w:szCs w:val="24"/>
        </w:rPr>
      </w:pPr>
      <w:r w:rsidRPr="003E107D">
        <w:rPr>
          <w:rFonts w:ascii="Times New Roman" w:hAnsi="Times New Roman"/>
          <w:sz w:val="24"/>
          <w:szCs w:val="24"/>
        </w:rPr>
        <w:t xml:space="preserve">interim </w:t>
      </w:r>
      <w:r>
        <w:rPr>
          <w:rFonts w:ascii="Times New Roman" w:hAnsi="Times New Roman"/>
          <w:sz w:val="24"/>
          <w:szCs w:val="24"/>
        </w:rPr>
        <w:t xml:space="preserve">priority </w:t>
      </w:r>
      <w:r w:rsidRPr="003E107D">
        <w:rPr>
          <w:rFonts w:ascii="Times New Roman" w:hAnsi="Times New Roman"/>
          <w:sz w:val="24"/>
          <w:szCs w:val="24"/>
        </w:rPr>
        <w:t>service</w:t>
      </w:r>
      <w:r>
        <w:rPr>
          <w:rFonts w:ascii="Times New Roman" w:hAnsi="Times New Roman"/>
          <w:sz w:val="24"/>
          <w:szCs w:val="24"/>
        </w:rPr>
        <w:t>; and</w:t>
      </w:r>
    </w:p>
    <w:p w14:paraId="69A16A2E" w14:textId="7BB683E8" w:rsidR="00611A89" w:rsidRPr="003E107D" w:rsidRDefault="00611A89" w:rsidP="003A1E64">
      <w:pPr>
        <w:pStyle w:val="ListParagraph"/>
        <w:numPr>
          <w:ilvl w:val="0"/>
          <w:numId w:val="8"/>
        </w:numPr>
        <w:rPr>
          <w:rFonts w:ascii="Times New Roman" w:hAnsi="Times New Roman"/>
          <w:sz w:val="24"/>
          <w:szCs w:val="24"/>
        </w:rPr>
      </w:pPr>
      <w:r>
        <w:rPr>
          <w:rFonts w:ascii="Times New Roman" w:hAnsi="Times New Roman"/>
          <w:sz w:val="24"/>
          <w:szCs w:val="24"/>
        </w:rPr>
        <w:t xml:space="preserve">priority customer. </w:t>
      </w:r>
    </w:p>
    <w:p w14:paraId="38D8FE30" w14:textId="2616C580" w:rsidR="002D5892" w:rsidRDefault="00611A89" w:rsidP="003C68F7">
      <w:pPr>
        <w:rPr>
          <w:rFonts w:ascii="Times New Roman" w:hAnsi="Times New Roman"/>
          <w:sz w:val="24"/>
          <w:szCs w:val="24"/>
        </w:rPr>
      </w:pPr>
      <w:r>
        <w:rPr>
          <w:rFonts w:ascii="Times New Roman" w:hAnsi="Times New Roman"/>
          <w:sz w:val="24"/>
          <w:szCs w:val="24"/>
        </w:rPr>
        <w:t>A note accompanies subsection 12(1) to remind readers that Schedule 1 to the Declaration sets out the objectives</w:t>
      </w:r>
      <w:r w:rsidR="003C5C97">
        <w:rPr>
          <w:rFonts w:ascii="Times New Roman" w:hAnsi="Times New Roman"/>
          <w:sz w:val="24"/>
          <w:szCs w:val="24"/>
        </w:rPr>
        <w:t xml:space="preserve"> addressed in section 12. </w:t>
      </w:r>
      <w:r w:rsidR="00065FCA">
        <w:rPr>
          <w:rFonts w:ascii="Times New Roman" w:hAnsi="Times New Roman"/>
          <w:sz w:val="24"/>
          <w:szCs w:val="24"/>
        </w:rPr>
        <w:t>A</w:t>
      </w:r>
      <w:r>
        <w:rPr>
          <w:rFonts w:ascii="Times New Roman" w:hAnsi="Times New Roman"/>
          <w:sz w:val="24"/>
          <w:szCs w:val="24"/>
        </w:rPr>
        <w:t>dditio</w:t>
      </w:r>
      <w:r w:rsidR="00065FCA">
        <w:rPr>
          <w:rFonts w:ascii="Times New Roman" w:hAnsi="Times New Roman"/>
          <w:sz w:val="24"/>
          <w:szCs w:val="24"/>
        </w:rPr>
        <w:t>n</w:t>
      </w:r>
      <w:r>
        <w:rPr>
          <w:rFonts w:ascii="Times New Roman" w:hAnsi="Times New Roman"/>
          <w:sz w:val="24"/>
          <w:szCs w:val="24"/>
        </w:rPr>
        <w:t xml:space="preserve">al notes </w:t>
      </w:r>
      <w:r w:rsidR="00065FCA">
        <w:rPr>
          <w:rFonts w:ascii="Times New Roman" w:hAnsi="Times New Roman"/>
          <w:sz w:val="24"/>
          <w:szCs w:val="24"/>
        </w:rPr>
        <w:t xml:space="preserve">also </w:t>
      </w:r>
      <w:r>
        <w:rPr>
          <w:rFonts w:ascii="Times New Roman" w:hAnsi="Times New Roman"/>
          <w:sz w:val="24"/>
          <w:szCs w:val="24"/>
        </w:rPr>
        <w:t>accompany the defin</w:t>
      </w:r>
      <w:r w:rsidR="008C51F6">
        <w:rPr>
          <w:rFonts w:ascii="Times New Roman" w:hAnsi="Times New Roman"/>
          <w:sz w:val="24"/>
          <w:szCs w:val="24"/>
        </w:rPr>
        <w:t>i</w:t>
      </w:r>
      <w:r>
        <w:rPr>
          <w:rFonts w:ascii="Times New Roman" w:hAnsi="Times New Roman"/>
          <w:sz w:val="24"/>
          <w:szCs w:val="24"/>
        </w:rPr>
        <w:t>tion of ‘interim priority’</w:t>
      </w:r>
      <w:r w:rsidR="00065FCA">
        <w:rPr>
          <w:rFonts w:ascii="Times New Roman" w:hAnsi="Times New Roman"/>
          <w:sz w:val="24"/>
          <w:szCs w:val="24"/>
        </w:rPr>
        <w:t xml:space="preserve"> to clarify certain elements of the definition</w:t>
      </w:r>
      <w:r>
        <w:rPr>
          <w:rFonts w:ascii="Times New Roman" w:hAnsi="Times New Roman"/>
          <w:sz w:val="24"/>
          <w:szCs w:val="24"/>
        </w:rPr>
        <w:t>.</w:t>
      </w:r>
    </w:p>
    <w:p w14:paraId="47158284" w14:textId="6EEC8822" w:rsidR="00E16F7B" w:rsidRDefault="002D5892" w:rsidP="003C68F7">
      <w:pPr>
        <w:rPr>
          <w:rFonts w:ascii="Times New Roman" w:hAnsi="Times New Roman"/>
          <w:color w:val="000000"/>
          <w:sz w:val="24"/>
          <w:szCs w:val="24"/>
          <w:shd w:val="clear" w:color="auto" w:fill="FFFFFF"/>
        </w:rPr>
      </w:pPr>
      <w:r>
        <w:rPr>
          <w:rFonts w:ascii="Times New Roman" w:hAnsi="Times New Roman"/>
          <w:sz w:val="24"/>
          <w:szCs w:val="24"/>
        </w:rPr>
        <w:t>Subs</w:t>
      </w:r>
      <w:r w:rsidR="00E16F7B" w:rsidRPr="002F164E">
        <w:rPr>
          <w:rFonts w:ascii="Times New Roman" w:hAnsi="Times New Roman"/>
          <w:color w:val="000000"/>
          <w:sz w:val="24"/>
          <w:szCs w:val="24"/>
          <w:shd w:val="clear" w:color="auto" w:fill="FFFFFF"/>
        </w:rPr>
        <w:t>ection 12(2) requires Telstra to implement arrange</w:t>
      </w:r>
      <w:r w:rsidR="006B1E38">
        <w:rPr>
          <w:rFonts w:ascii="Times New Roman" w:hAnsi="Times New Roman"/>
          <w:color w:val="000000"/>
          <w:sz w:val="24"/>
          <w:szCs w:val="24"/>
          <w:shd w:val="clear" w:color="auto" w:fill="FFFFFF"/>
        </w:rPr>
        <w:t>ment</w:t>
      </w:r>
      <w:r w:rsidR="00E16F7B" w:rsidRPr="002F164E">
        <w:rPr>
          <w:rFonts w:ascii="Times New Roman" w:hAnsi="Times New Roman"/>
          <w:color w:val="000000"/>
          <w:sz w:val="24"/>
          <w:szCs w:val="24"/>
          <w:shd w:val="clear" w:color="auto" w:fill="FFFFFF"/>
        </w:rPr>
        <w:t>s for maximising service continuity to priority customers</w:t>
      </w:r>
      <w:r w:rsidR="006B1E38">
        <w:rPr>
          <w:rFonts w:ascii="Times New Roman" w:hAnsi="Times New Roman"/>
          <w:color w:val="000000"/>
          <w:sz w:val="24"/>
          <w:szCs w:val="24"/>
          <w:shd w:val="clear" w:color="auto" w:fill="FFFFFF"/>
        </w:rPr>
        <w:t>, including developing, implementing and maintaining a priority assistance policy; ensuring the policy addresses the objectives set out in Schedule 1; and having processes, systems and practices in place to identify priority customers and provide them with priority assistance in accordance with the policy</w:t>
      </w:r>
      <w:r>
        <w:rPr>
          <w:rFonts w:ascii="Times New Roman" w:hAnsi="Times New Roman"/>
          <w:color w:val="000000"/>
          <w:sz w:val="24"/>
          <w:szCs w:val="24"/>
          <w:shd w:val="clear" w:color="auto" w:fill="FFFFFF"/>
        </w:rPr>
        <w:t xml:space="preserve">.  </w:t>
      </w:r>
    </w:p>
    <w:p w14:paraId="1F2F0C4F" w14:textId="5E5FC7FA" w:rsidR="00611A89" w:rsidRPr="003A409D" w:rsidRDefault="00611A89" w:rsidP="00284BE1">
      <w:r w:rsidRPr="00284BE1">
        <w:rPr>
          <w:rFonts w:ascii="Times New Roman" w:hAnsi="Times New Roman"/>
          <w:sz w:val="24"/>
          <w:szCs w:val="24"/>
        </w:rPr>
        <w:t>Paragraph 12(3)(a) allows Telstra to vary its priority assistance policy from time to time by providing the Minister with a draft variation to the policy and the Minister or his or her delegate approving that variation. Another avenue available for the variation of the policy is by written notice from the Minister (or his or her delegate) requiring Telstra</w:t>
      </w:r>
      <w:r w:rsidR="006B1E38" w:rsidRPr="00284BE1">
        <w:rPr>
          <w:rFonts w:ascii="Times New Roman" w:hAnsi="Times New Roman"/>
          <w:sz w:val="24"/>
          <w:szCs w:val="24"/>
        </w:rPr>
        <w:t>,</w:t>
      </w:r>
      <w:r w:rsidRPr="00284BE1">
        <w:rPr>
          <w:rFonts w:ascii="Times New Roman" w:hAnsi="Times New Roman"/>
          <w:sz w:val="24"/>
          <w:szCs w:val="24"/>
        </w:rPr>
        <w:t xml:space="preserve"> within a specified period and in specified terms</w:t>
      </w:r>
      <w:r w:rsidR="006B1E38" w:rsidRPr="00284BE1">
        <w:rPr>
          <w:rFonts w:ascii="Times New Roman" w:hAnsi="Times New Roman"/>
          <w:sz w:val="24"/>
          <w:szCs w:val="24"/>
        </w:rPr>
        <w:t>,</w:t>
      </w:r>
      <w:r w:rsidRPr="00284BE1">
        <w:rPr>
          <w:rFonts w:ascii="Times New Roman" w:hAnsi="Times New Roman"/>
          <w:sz w:val="24"/>
          <w:szCs w:val="24"/>
        </w:rPr>
        <w:t xml:space="preserve"> to provide the Minister with a draft variation to the policy and the Minister (or the nominated delegate) approving that variation (paragraph 12(3)(b)). Telstra must comply with the written notices for variation (refer </w:t>
      </w:r>
      <w:r w:rsidR="00451CC1">
        <w:rPr>
          <w:rFonts w:ascii="Times New Roman" w:hAnsi="Times New Roman"/>
          <w:sz w:val="24"/>
          <w:szCs w:val="24"/>
        </w:rPr>
        <w:t>subsection</w:t>
      </w:r>
      <w:r w:rsidR="00451CC1" w:rsidRPr="00284BE1">
        <w:rPr>
          <w:rFonts w:ascii="Times New Roman" w:hAnsi="Times New Roman"/>
          <w:sz w:val="24"/>
          <w:szCs w:val="24"/>
        </w:rPr>
        <w:t xml:space="preserve"> </w:t>
      </w:r>
      <w:r w:rsidRPr="00284BE1">
        <w:rPr>
          <w:rFonts w:ascii="Times New Roman" w:hAnsi="Times New Roman"/>
          <w:sz w:val="24"/>
          <w:szCs w:val="24"/>
        </w:rPr>
        <w:t xml:space="preserve">12(4)). </w:t>
      </w:r>
    </w:p>
    <w:p w14:paraId="185E1CBD" w14:textId="5A170080" w:rsidR="00611A89" w:rsidRDefault="00CA3AC2" w:rsidP="0096582D">
      <w:r w:rsidRPr="00284BE1">
        <w:rPr>
          <w:rFonts w:ascii="Times New Roman" w:hAnsi="Times New Roman"/>
          <w:sz w:val="24"/>
          <w:szCs w:val="24"/>
        </w:rPr>
        <w:t>A note accompanies subsection 12(3) to make clear that the intention is for Telstra to be able to make minor, non-substantive changes to the priority assistance policy, such as minor administrative or typographical corrections, without the approval of the Minister. However, these must be recorded and notified to the ACMA.</w:t>
      </w:r>
    </w:p>
    <w:p w14:paraId="097C8D89" w14:textId="426318B4" w:rsidR="00BD3DF8" w:rsidRPr="002F164E" w:rsidRDefault="00414F44" w:rsidP="0096582D">
      <w:pPr>
        <w:spacing w:after="240"/>
        <w:rPr>
          <w:rFonts w:ascii="Times New Roman" w:hAnsi="Times New Roman"/>
          <w:sz w:val="24"/>
          <w:szCs w:val="24"/>
        </w:rPr>
      </w:pPr>
      <w:r w:rsidRPr="002F164E">
        <w:rPr>
          <w:rFonts w:ascii="Times New Roman" w:hAnsi="Times New Roman"/>
          <w:sz w:val="24"/>
          <w:szCs w:val="24"/>
        </w:rPr>
        <w:t xml:space="preserve">Subsection 12(5) sets out the </w:t>
      </w:r>
      <w:r w:rsidR="00451CC1" w:rsidRPr="002F164E">
        <w:rPr>
          <w:rFonts w:ascii="Times New Roman" w:hAnsi="Times New Roman"/>
          <w:sz w:val="24"/>
          <w:szCs w:val="24"/>
        </w:rPr>
        <w:t>record</w:t>
      </w:r>
      <w:r w:rsidR="00451CC1">
        <w:rPr>
          <w:rFonts w:ascii="Times New Roman" w:hAnsi="Times New Roman"/>
          <w:sz w:val="24"/>
          <w:szCs w:val="24"/>
        </w:rPr>
        <w:t>-</w:t>
      </w:r>
      <w:r w:rsidRPr="002F164E">
        <w:rPr>
          <w:rFonts w:ascii="Times New Roman" w:hAnsi="Times New Roman"/>
          <w:sz w:val="24"/>
          <w:szCs w:val="24"/>
        </w:rPr>
        <w:t xml:space="preserve">keeping and reporting regime in relation to priority service arrangements </w:t>
      </w:r>
      <w:r w:rsidR="00E16F7B">
        <w:rPr>
          <w:rFonts w:ascii="Times New Roman" w:hAnsi="Times New Roman"/>
          <w:sz w:val="24"/>
          <w:szCs w:val="24"/>
        </w:rPr>
        <w:t>and require</w:t>
      </w:r>
      <w:r w:rsidR="00361F52">
        <w:rPr>
          <w:rFonts w:ascii="Times New Roman" w:hAnsi="Times New Roman"/>
          <w:sz w:val="24"/>
          <w:szCs w:val="24"/>
        </w:rPr>
        <w:t>s</w:t>
      </w:r>
      <w:r w:rsidR="00E16F7B">
        <w:rPr>
          <w:rFonts w:ascii="Times New Roman" w:hAnsi="Times New Roman"/>
          <w:sz w:val="24"/>
          <w:szCs w:val="24"/>
        </w:rPr>
        <w:t xml:space="preserve"> </w:t>
      </w:r>
      <w:r w:rsidRPr="002F164E">
        <w:rPr>
          <w:rFonts w:ascii="Times New Roman" w:hAnsi="Times New Roman"/>
          <w:sz w:val="24"/>
          <w:szCs w:val="24"/>
        </w:rPr>
        <w:t>Telstra to report to the ACMA on an annual basis.</w:t>
      </w:r>
      <w:r w:rsidR="00E16F7B">
        <w:rPr>
          <w:rFonts w:ascii="Times New Roman" w:hAnsi="Times New Roman"/>
          <w:sz w:val="24"/>
          <w:szCs w:val="24"/>
        </w:rPr>
        <w:t xml:space="preserve"> </w:t>
      </w:r>
    </w:p>
    <w:p w14:paraId="19EC58FD" w14:textId="40D5B6EC" w:rsidR="00EF7A08" w:rsidRPr="002F164E" w:rsidRDefault="00EF7A08" w:rsidP="00EF7A08">
      <w:pPr>
        <w:rPr>
          <w:rFonts w:ascii="Times New Roman" w:hAnsi="Times New Roman"/>
          <w:b/>
          <w:sz w:val="24"/>
          <w:szCs w:val="24"/>
        </w:rPr>
      </w:pPr>
      <w:r w:rsidRPr="002F164E">
        <w:rPr>
          <w:rFonts w:ascii="Times New Roman" w:hAnsi="Times New Roman"/>
          <w:b/>
          <w:sz w:val="24"/>
          <w:szCs w:val="24"/>
        </w:rPr>
        <w:t>Section 13 – Low Income Measures</w:t>
      </w:r>
    </w:p>
    <w:p w14:paraId="45210687" w14:textId="7DE256BD" w:rsidR="004B42FF" w:rsidRPr="002F164E" w:rsidRDefault="004A5CD3" w:rsidP="00E16F7B">
      <w:pPr>
        <w:rPr>
          <w:rFonts w:ascii="Times New Roman" w:hAnsi="Times New Roman"/>
          <w:sz w:val="24"/>
          <w:szCs w:val="24"/>
        </w:rPr>
      </w:pPr>
      <w:r w:rsidRPr="002F164E">
        <w:rPr>
          <w:rFonts w:ascii="Times New Roman" w:hAnsi="Times New Roman"/>
          <w:sz w:val="24"/>
          <w:szCs w:val="24"/>
        </w:rPr>
        <w:t>Subsection</w:t>
      </w:r>
      <w:r w:rsidR="00712275" w:rsidRPr="002F164E">
        <w:rPr>
          <w:rFonts w:ascii="Times New Roman" w:hAnsi="Times New Roman"/>
          <w:sz w:val="24"/>
          <w:szCs w:val="24"/>
        </w:rPr>
        <w:t xml:space="preserve"> 13</w:t>
      </w:r>
      <w:r w:rsidR="004B42FF" w:rsidRPr="002F164E">
        <w:rPr>
          <w:rFonts w:ascii="Times New Roman" w:hAnsi="Times New Roman"/>
          <w:sz w:val="24"/>
          <w:szCs w:val="24"/>
        </w:rPr>
        <w:t>(1) provides that Telstra must offer products and arrangements to low-income customers that ha</w:t>
      </w:r>
      <w:r w:rsidR="008C51F6">
        <w:rPr>
          <w:rFonts w:ascii="Times New Roman" w:hAnsi="Times New Roman"/>
          <w:sz w:val="24"/>
          <w:szCs w:val="24"/>
        </w:rPr>
        <w:t>ve</w:t>
      </w:r>
      <w:r w:rsidR="004B42FF" w:rsidRPr="002F164E">
        <w:rPr>
          <w:rFonts w:ascii="Times New Roman" w:hAnsi="Times New Roman"/>
          <w:sz w:val="24"/>
          <w:szCs w:val="24"/>
        </w:rPr>
        <w:t xml:space="preserve"> been endorsed by low-income consumer advocacy groups</w:t>
      </w:r>
      <w:r w:rsidR="00712275" w:rsidRPr="002F164E">
        <w:rPr>
          <w:rFonts w:ascii="Times New Roman" w:hAnsi="Times New Roman"/>
          <w:sz w:val="24"/>
          <w:szCs w:val="24"/>
        </w:rPr>
        <w:t>.</w:t>
      </w:r>
    </w:p>
    <w:p w14:paraId="0049F9A7" w14:textId="455D1149" w:rsidR="004B42FF" w:rsidRPr="002F164E" w:rsidRDefault="004A5CD3" w:rsidP="004B42FF">
      <w:pPr>
        <w:rPr>
          <w:rFonts w:ascii="Times New Roman" w:hAnsi="Times New Roman"/>
          <w:sz w:val="24"/>
          <w:szCs w:val="24"/>
        </w:rPr>
      </w:pPr>
      <w:r w:rsidRPr="002F164E">
        <w:rPr>
          <w:rFonts w:ascii="Times New Roman" w:hAnsi="Times New Roman"/>
          <w:sz w:val="24"/>
          <w:szCs w:val="24"/>
        </w:rPr>
        <w:t>Subsection</w:t>
      </w:r>
      <w:r w:rsidR="00712275" w:rsidRPr="002F164E">
        <w:rPr>
          <w:rFonts w:ascii="Times New Roman" w:hAnsi="Times New Roman"/>
          <w:sz w:val="24"/>
          <w:szCs w:val="24"/>
        </w:rPr>
        <w:t xml:space="preserve"> 13(2</w:t>
      </w:r>
      <w:r w:rsidR="004B42FF" w:rsidRPr="002F164E">
        <w:rPr>
          <w:rFonts w:ascii="Times New Roman" w:hAnsi="Times New Roman"/>
          <w:sz w:val="24"/>
          <w:szCs w:val="24"/>
        </w:rPr>
        <w:t xml:space="preserve">) provides that Telstra must comply with the low-income package as in force </w:t>
      </w:r>
      <w:r w:rsidR="0061752C">
        <w:rPr>
          <w:rFonts w:ascii="Times New Roman" w:hAnsi="Times New Roman"/>
          <w:sz w:val="24"/>
          <w:szCs w:val="24"/>
        </w:rPr>
        <w:t>or existing from time to time</w:t>
      </w:r>
      <w:r w:rsidR="004B42FF" w:rsidRPr="002F164E">
        <w:rPr>
          <w:rFonts w:ascii="Times New Roman" w:hAnsi="Times New Roman"/>
          <w:sz w:val="24"/>
          <w:szCs w:val="24"/>
        </w:rPr>
        <w:t>.</w:t>
      </w:r>
    </w:p>
    <w:p w14:paraId="0D26DD5F" w14:textId="31DEF939" w:rsidR="004B42FF" w:rsidRPr="002F164E" w:rsidRDefault="004A5CD3" w:rsidP="004B42FF">
      <w:pPr>
        <w:rPr>
          <w:rFonts w:ascii="Times New Roman" w:hAnsi="Times New Roman"/>
          <w:sz w:val="24"/>
          <w:szCs w:val="24"/>
        </w:rPr>
      </w:pPr>
      <w:r w:rsidRPr="002F164E">
        <w:rPr>
          <w:rFonts w:ascii="Times New Roman" w:hAnsi="Times New Roman"/>
          <w:sz w:val="24"/>
          <w:szCs w:val="24"/>
        </w:rPr>
        <w:t>Subsection</w:t>
      </w:r>
      <w:r w:rsidR="00712275" w:rsidRPr="002F164E">
        <w:rPr>
          <w:rFonts w:ascii="Times New Roman" w:hAnsi="Times New Roman"/>
          <w:sz w:val="24"/>
          <w:szCs w:val="24"/>
        </w:rPr>
        <w:t xml:space="preserve"> 13</w:t>
      </w:r>
      <w:r w:rsidR="004B42FF" w:rsidRPr="002F164E">
        <w:rPr>
          <w:rFonts w:ascii="Times New Roman" w:hAnsi="Times New Roman"/>
          <w:sz w:val="24"/>
          <w:szCs w:val="24"/>
        </w:rPr>
        <w:t>(</w:t>
      </w:r>
      <w:r w:rsidR="00712275" w:rsidRPr="002F164E">
        <w:rPr>
          <w:rFonts w:ascii="Times New Roman" w:hAnsi="Times New Roman"/>
          <w:sz w:val="24"/>
          <w:szCs w:val="24"/>
        </w:rPr>
        <w:t>3</w:t>
      </w:r>
      <w:r w:rsidR="004B42FF" w:rsidRPr="002F164E">
        <w:rPr>
          <w:rFonts w:ascii="Times New Roman" w:hAnsi="Times New Roman"/>
          <w:sz w:val="24"/>
          <w:szCs w:val="24"/>
        </w:rPr>
        <w:t>) provides that Telstra must maintain and adequately resource a Low-income Measures Assessment Committee (LIMAC), comprising repres</w:t>
      </w:r>
      <w:r w:rsidR="00712275" w:rsidRPr="002F164E">
        <w:rPr>
          <w:rFonts w:ascii="Times New Roman" w:hAnsi="Times New Roman"/>
          <w:sz w:val="24"/>
          <w:szCs w:val="24"/>
        </w:rPr>
        <w:t>entatives of low-income consumer advocacy groups that work on behalf of people on a low-in</w:t>
      </w:r>
      <w:r w:rsidR="002D5892">
        <w:rPr>
          <w:rFonts w:ascii="Times New Roman" w:hAnsi="Times New Roman"/>
          <w:sz w:val="24"/>
          <w:szCs w:val="24"/>
        </w:rPr>
        <w:t>c</w:t>
      </w:r>
      <w:r w:rsidR="00712275" w:rsidRPr="002F164E">
        <w:rPr>
          <w:rFonts w:ascii="Times New Roman" w:hAnsi="Times New Roman"/>
          <w:sz w:val="24"/>
          <w:szCs w:val="24"/>
        </w:rPr>
        <w:t>ome</w:t>
      </w:r>
      <w:r w:rsidR="004B42FF" w:rsidRPr="002F164E">
        <w:rPr>
          <w:rFonts w:ascii="Times New Roman" w:hAnsi="Times New Roman"/>
          <w:sz w:val="24"/>
          <w:szCs w:val="24"/>
        </w:rPr>
        <w:t xml:space="preserve">.  </w:t>
      </w:r>
    </w:p>
    <w:p w14:paraId="5EB7D4C0" w14:textId="0A547399" w:rsidR="004B42FF" w:rsidRPr="002F164E" w:rsidRDefault="004A5CD3" w:rsidP="004B42FF">
      <w:pPr>
        <w:rPr>
          <w:rFonts w:ascii="Times New Roman" w:hAnsi="Times New Roman"/>
          <w:sz w:val="24"/>
          <w:szCs w:val="24"/>
        </w:rPr>
      </w:pPr>
      <w:r w:rsidRPr="002F164E">
        <w:rPr>
          <w:rFonts w:ascii="Times New Roman" w:hAnsi="Times New Roman"/>
          <w:sz w:val="24"/>
          <w:szCs w:val="24"/>
        </w:rPr>
        <w:t>Subsection</w:t>
      </w:r>
      <w:r w:rsidR="00712275" w:rsidRPr="002F164E">
        <w:rPr>
          <w:rFonts w:ascii="Times New Roman" w:hAnsi="Times New Roman"/>
          <w:sz w:val="24"/>
          <w:szCs w:val="24"/>
        </w:rPr>
        <w:t xml:space="preserve"> 13(4</w:t>
      </w:r>
      <w:r w:rsidR="004B42FF" w:rsidRPr="002F164E">
        <w:rPr>
          <w:rFonts w:ascii="Times New Roman" w:hAnsi="Times New Roman"/>
          <w:sz w:val="24"/>
          <w:szCs w:val="24"/>
        </w:rPr>
        <w:t>) provides that</w:t>
      </w:r>
      <w:r w:rsidR="00712275" w:rsidRPr="002F164E">
        <w:rPr>
          <w:rFonts w:ascii="Times New Roman" w:hAnsi="Times New Roman"/>
          <w:sz w:val="24"/>
          <w:szCs w:val="24"/>
        </w:rPr>
        <w:t xml:space="preserve"> LIMAC </w:t>
      </w:r>
      <w:r w:rsidR="00611A89">
        <w:rPr>
          <w:rFonts w:ascii="Times New Roman" w:hAnsi="Times New Roman"/>
          <w:sz w:val="24"/>
          <w:szCs w:val="24"/>
        </w:rPr>
        <w:t xml:space="preserve">is </w:t>
      </w:r>
      <w:r w:rsidR="00712275" w:rsidRPr="002F164E">
        <w:rPr>
          <w:rFonts w:ascii="Times New Roman" w:hAnsi="Times New Roman"/>
          <w:sz w:val="24"/>
          <w:szCs w:val="24"/>
        </w:rPr>
        <w:t xml:space="preserve">responsible for </w:t>
      </w:r>
      <w:r w:rsidR="004B42FF" w:rsidRPr="002F164E">
        <w:rPr>
          <w:rFonts w:ascii="Times New Roman" w:hAnsi="Times New Roman"/>
          <w:sz w:val="24"/>
          <w:szCs w:val="24"/>
        </w:rPr>
        <w:t>assessing proposed changes to the low-income package or to the marketing pl</w:t>
      </w:r>
      <w:r w:rsidR="0073525B" w:rsidRPr="002F164E">
        <w:rPr>
          <w:rFonts w:ascii="Times New Roman" w:hAnsi="Times New Roman"/>
          <w:sz w:val="24"/>
          <w:szCs w:val="24"/>
        </w:rPr>
        <w:t xml:space="preserve">an (as set out in </w:t>
      </w:r>
      <w:r w:rsidRPr="002F164E">
        <w:rPr>
          <w:rFonts w:ascii="Times New Roman" w:hAnsi="Times New Roman"/>
          <w:sz w:val="24"/>
          <w:szCs w:val="24"/>
        </w:rPr>
        <w:t>subsection</w:t>
      </w:r>
      <w:r w:rsidR="0073525B" w:rsidRPr="002F164E">
        <w:rPr>
          <w:rFonts w:ascii="Times New Roman" w:hAnsi="Times New Roman"/>
          <w:sz w:val="24"/>
          <w:szCs w:val="24"/>
        </w:rPr>
        <w:t xml:space="preserve"> 13(5)) for the package.</w:t>
      </w:r>
    </w:p>
    <w:p w14:paraId="41B0AC3E" w14:textId="59B1AAE4" w:rsidR="004B42FF" w:rsidRPr="002F164E" w:rsidRDefault="004A5CD3" w:rsidP="004B42FF">
      <w:pPr>
        <w:rPr>
          <w:rFonts w:ascii="Times New Roman" w:hAnsi="Times New Roman"/>
          <w:sz w:val="24"/>
          <w:szCs w:val="24"/>
        </w:rPr>
      </w:pPr>
      <w:r w:rsidRPr="002F164E">
        <w:rPr>
          <w:rFonts w:ascii="Times New Roman" w:hAnsi="Times New Roman"/>
          <w:sz w:val="24"/>
          <w:szCs w:val="24"/>
        </w:rPr>
        <w:t>Subsection</w:t>
      </w:r>
      <w:r w:rsidR="0073525B" w:rsidRPr="002F164E">
        <w:rPr>
          <w:rFonts w:ascii="Times New Roman" w:hAnsi="Times New Roman"/>
          <w:sz w:val="24"/>
          <w:szCs w:val="24"/>
        </w:rPr>
        <w:t xml:space="preserve"> 13(5</w:t>
      </w:r>
      <w:r w:rsidR="004B42FF" w:rsidRPr="002F164E">
        <w:rPr>
          <w:rFonts w:ascii="Times New Roman" w:hAnsi="Times New Roman"/>
          <w:sz w:val="24"/>
          <w:szCs w:val="24"/>
        </w:rPr>
        <w:t>) provides that</w:t>
      </w:r>
      <w:r w:rsidR="00CA3AC2">
        <w:rPr>
          <w:rFonts w:ascii="Times New Roman" w:hAnsi="Times New Roman"/>
          <w:sz w:val="24"/>
          <w:szCs w:val="24"/>
        </w:rPr>
        <w:t xml:space="preserve"> </w:t>
      </w:r>
      <w:r w:rsidR="004B42FF" w:rsidRPr="002F164E">
        <w:rPr>
          <w:rFonts w:ascii="Times New Roman" w:hAnsi="Times New Roman"/>
          <w:sz w:val="24"/>
          <w:szCs w:val="24"/>
        </w:rPr>
        <w:t xml:space="preserve">Telstra must have in place a marketing plan for making </w:t>
      </w:r>
      <w:r w:rsidR="0096582D">
        <w:rPr>
          <w:rFonts w:ascii="Times New Roman" w:hAnsi="Times New Roman"/>
          <w:sz w:val="24"/>
          <w:szCs w:val="24"/>
        </w:rPr>
        <w:br/>
      </w:r>
      <w:r w:rsidR="004B42FF" w:rsidRPr="002F164E">
        <w:rPr>
          <w:rFonts w:ascii="Times New Roman" w:hAnsi="Times New Roman"/>
          <w:sz w:val="24"/>
          <w:szCs w:val="24"/>
        </w:rPr>
        <w:t xml:space="preserve">low-income consumers aware of the low-income package, which has been approved by LIMAC. </w:t>
      </w:r>
    </w:p>
    <w:p w14:paraId="379CE50D" w14:textId="00F97D97" w:rsidR="004B42FF" w:rsidRPr="002F164E" w:rsidRDefault="004A5CD3" w:rsidP="004B42FF">
      <w:pPr>
        <w:rPr>
          <w:rFonts w:ascii="Times New Roman" w:hAnsi="Times New Roman"/>
          <w:sz w:val="24"/>
          <w:szCs w:val="24"/>
        </w:rPr>
      </w:pPr>
      <w:r w:rsidRPr="002F164E">
        <w:rPr>
          <w:rFonts w:ascii="Times New Roman" w:hAnsi="Times New Roman"/>
          <w:sz w:val="24"/>
          <w:szCs w:val="24"/>
        </w:rPr>
        <w:t>Subsection</w:t>
      </w:r>
      <w:r w:rsidR="0073525B" w:rsidRPr="002F164E">
        <w:rPr>
          <w:rFonts w:ascii="Times New Roman" w:hAnsi="Times New Roman"/>
          <w:sz w:val="24"/>
          <w:szCs w:val="24"/>
        </w:rPr>
        <w:t xml:space="preserve"> 13(6</w:t>
      </w:r>
      <w:r w:rsidR="004B42FF" w:rsidRPr="002F164E">
        <w:rPr>
          <w:rFonts w:ascii="Times New Roman" w:hAnsi="Times New Roman"/>
          <w:sz w:val="24"/>
          <w:szCs w:val="24"/>
        </w:rPr>
        <w:t>) provides that Telstra must seek and consider the views of LIMAC before making any significant cha</w:t>
      </w:r>
      <w:r w:rsidR="0061752C">
        <w:rPr>
          <w:rFonts w:ascii="Times New Roman" w:hAnsi="Times New Roman"/>
          <w:sz w:val="24"/>
          <w:szCs w:val="24"/>
        </w:rPr>
        <w:t xml:space="preserve">nge to the low-income package. </w:t>
      </w:r>
      <w:r w:rsidR="002D5892">
        <w:rPr>
          <w:rFonts w:ascii="Times New Roman" w:hAnsi="Times New Roman"/>
          <w:sz w:val="24"/>
          <w:szCs w:val="24"/>
        </w:rPr>
        <w:t>A n</w:t>
      </w:r>
      <w:r w:rsidR="004B42FF" w:rsidRPr="002F164E">
        <w:rPr>
          <w:rFonts w:ascii="Times New Roman" w:hAnsi="Times New Roman"/>
          <w:sz w:val="24"/>
          <w:szCs w:val="24"/>
        </w:rPr>
        <w:t xml:space="preserve">ote </w:t>
      </w:r>
      <w:r w:rsidR="002D5892">
        <w:rPr>
          <w:rFonts w:ascii="Times New Roman" w:hAnsi="Times New Roman"/>
          <w:sz w:val="24"/>
          <w:szCs w:val="24"/>
        </w:rPr>
        <w:t xml:space="preserve">accompanies this subsection to make clear </w:t>
      </w:r>
      <w:r w:rsidR="004B42FF" w:rsidRPr="002F164E">
        <w:rPr>
          <w:rFonts w:ascii="Times New Roman" w:hAnsi="Times New Roman"/>
          <w:sz w:val="24"/>
          <w:szCs w:val="24"/>
        </w:rPr>
        <w:t xml:space="preserve">that the intention is for Telstra to be able to make minor, </w:t>
      </w:r>
      <w:r w:rsidR="0096582D">
        <w:rPr>
          <w:rFonts w:ascii="Times New Roman" w:hAnsi="Times New Roman"/>
          <w:sz w:val="24"/>
          <w:szCs w:val="24"/>
        </w:rPr>
        <w:br/>
      </w:r>
      <w:r w:rsidR="004B42FF" w:rsidRPr="002F164E">
        <w:rPr>
          <w:rFonts w:ascii="Times New Roman" w:hAnsi="Times New Roman"/>
          <w:sz w:val="24"/>
          <w:szCs w:val="24"/>
        </w:rPr>
        <w:t>non-substantive changes to the low-income package, such as minor editorial or typographical corrections, without having to seek and consider LIMAC’s views.</w:t>
      </w:r>
    </w:p>
    <w:p w14:paraId="5F4E8F6A" w14:textId="562F15DC" w:rsidR="00EF7A08" w:rsidRPr="002F164E" w:rsidRDefault="00752801" w:rsidP="00EF7A08">
      <w:pPr>
        <w:rPr>
          <w:rFonts w:ascii="Times New Roman" w:hAnsi="Times New Roman"/>
          <w:b/>
          <w:sz w:val="24"/>
          <w:szCs w:val="24"/>
        </w:rPr>
      </w:pPr>
      <w:r>
        <w:rPr>
          <w:rFonts w:ascii="Times New Roman" w:hAnsi="Times New Roman"/>
          <w:b/>
          <w:sz w:val="24"/>
          <w:szCs w:val="24"/>
        </w:rPr>
        <w:br w:type="column"/>
      </w:r>
      <w:r w:rsidR="00EF7A08" w:rsidRPr="002F164E">
        <w:rPr>
          <w:rFonts w:ascii="Times New Roman" w:hAnsi="Times New Roman"/>
          <w:b/>
          <w:sz w:val="24"/>
          <w:szCs w:val="24"/>
        </w:rPr>
        <w:t>Section 14 – Network Reliability Framework – Definitions and General Requirements</w:t>
      </w:r>
    </w:p>
    <w:p w14:paraId="20AD745D" w14:textId="3E8E15AE" w:rsidR="00752801" w:rsidRPr="00752801" w:rsidRDefault="00E92CDC" w:rsidP="00752801">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Sections 14 to 18 of the Declaration establish the Network Reliability Framework (NRF). </w:t>
      </w:r>
      <w:r w:rsidR="00752801" w:rsidRPr="00752801">
        <w:rPr>
          <w:rFonts w:ascii="Times New Roman" w:hAnsi="Times New Roman"/>
          <w:color w:val="000000"/>
          <w:sz w:val="24"/>
          <w:szCs w:val="24"/>
          <w:shd w:val="clear" w:color="auto" w:fill="FFFFFF"/>
        </w:rPr>
        <w:t xml:space="preserve">The NRF is a safeguard for Telstra residential and small business customers who have up to five fixed telephone services. The framework complements the Customer Service Guarantee (CSG) which ensures that faults </w:t>
      </w:r>
      <w:r w:rsidR="008C51F6">
        <w:rPr>
          <w:rFonts w:ascii="Times New Roman" w:hAnsi="Times New Roman"/>
          <w:color w:val="000000"/>
          <w:sz w:val="24"/>
          <w:szCs w:val="24"/>
          <w:shd w:val="clear" w:color="auto" w:fill="FFFFFF"/>
        </w:rPr>
        <w:t xml:space="preserve">with phone services </w:t>
      </w:r>
      <w:r w:rsidR="00752801" w:rsidRPr="00752801">
        <w:rPr>
          <w:rFonts w:ascii="Times New Roman" w:hAnsi="Times New Roman"/>
          <w:color w:val="000000"/>
          <w:sz w:val="24"/>
          <w:szCs w:val="24"/>
          <w:shd w:val="clear" w:color="auto" w:fill="FFFFFF"/>
        </w:rPr>
        <w:t xml:space="preserve">are repaired within reasonable timeframes. The </w:t>
      </w:r>
      <w:r w:rsidR="00752801">
        <w:rPr>
          <w:rFonts w:ascii="Times New Roman" w:hAnsi="Times New Roman"/>
          <w:color w:val="000000"/>
          <w:sz w:val="24"/>
          <w:szCs w:val="24"/>
          <w:shd w:val="clear" w:color="auto" w:fill="FFFFFF"/>
        </w:rPr>
        <w:t xml:space="preserve">key purposes of the NRF incude </w:t>
      </w:r>
      <w:r w:rsidR="00752801" w:rsidRPr="003E107D">
        <w:rPr>
          <w:rFonts w:ascii="Times New Roman" w:hAnsi="Times New Roman"/>
          <w:color w:val="000000"/>
          <w:sz w:val="24"/>
          <w:szCs w:val="24"/>
          <w:shd w:val="clear" w:color="auto" w:fill="FFFFFF"/>
        </w:rPr>
        <w:t>improve</w:t>
      </w:r>
      <w:r w:rsidR="00752801">
        <w:rPr>
          <w:rFonts w:ascii="Times New Roman" w:hAnsi="Times New Roman"/>
          <w:color w:val="000000"/>
          <w:sz w:val="24"/>
          <w:szCs w:val="24"/>
          <w:shd w:val="clear" w:color="auto" w:fill="FFFFFF"/>
        </w:rPr>
        <w:t xml:space="preserve">ment of </w:t>
      </w:r>
      <w:r w:rsidR="00752801" w:rsidRPr="003E107D">
        <w:rPr>
          <w:rFonts w:ascii="Times New Roman" w:hAnsi="Times New Roman"/>
          <w:color w:val="000000"/>
          <w:sz w:val="24"/>
          <w:szCs w:val="24"/>
          <w:shd w:val="clear" w:color="auto" w:fill="FFFFFF"/>
        </w:rPr>
        <w:t>consumer awareness of overall telephone service reliability</w:t>
      </w:r>
      <w:r>
        <w:rPr>
          <w:rFonts w:ascii="Times New Roman" w:hAnsi="Times New Roman"/>
          <w:color w:val="000000"/>
          <w:sz w:val="24"/>
          <w:szCs w:val="24"/>
          <w:shd w:val="clear" w:color="auto" w:fill="FFFFFF"/>
        </w:rPr>
        <w:t>,</w:t>
      </w:r>
      <w:r w:rsidR="00752801">
        <w:rPr>
          <w:rFonts w:ascii="Times New Roman" w:hAnsi="Times New Roman"/>
          <w:color w:val="000000"/>
          <w:sz w:val="24"/>
          <w:szCs w:val="24"/>
          <w:shd w:val="clear" w:color="auto" w:fill="FFFFFF"/>
        </w:rPr>
        <w:t xml:space="preserve"> </w:t>
      </w:r>
      <w:r w:rsidR="00752801" w:rsidRPr="003E107D">
        <w:rPr>
          <w:rFonts w:ascii="Times New Roman" w:hAnsi="Times New Roman"/>
          <w:color w:val="000000"/>
          <w:sz w:val="24"/>
          <w:szCs w:val="24"/>
          <w:shd w:val="clear" w:color="auto" w:fill="FFFFFF"/>
        </w:rPr>
        <w:t>improve</w:t>
      </w:r>
      <w:r w:rsidR="00752801">
        <w:rPr>
          <w:rFonts w:ascii="Times New Roman" w:hAnsi="Times New Roman"/>
          <w:color w:val="000000"/>
          <w:sz w:val="24"/>
          <w:szCs w:val="24"/>
          <w:shd w:val="clear" w:color="auto" w:fill="FFFFFF"/>
        </w:rPr>
        <w:t xml:space="preserve">ment to </w:t>
      </w:r>
      <w:r w:rsidR="00752801" w:rsidRPr="003E107D">
        <w:rPr>
          <w:rFonts w:ascii="Times New Roman" w:hAnsi="Times New Roman"/>
          <w:color w:val="000000"/>
          <w:sz w:val="24"/>
          <w:szCs w:val="24"/>
          <w:shd w:val="clear" w:color="auto" w:fill="FFFFFF"/>
        </w:rPr>
        <w:t xml:space="preserve">the operation of poorly performing parts of, and services in, the Telstra fixed telephone network, </w:t>
      </w:r>
      <w:r w:rsidR="00752801">
        <w:rPr>
          <w:rFonts w:ascii="Times New Roman" w:hAnsi="Times New Roman"/>
          <w:color w:val="000000"/>
          <w:sz w:val="24"/>
          <w:szCs w:val="24"/>
          <w:shd w:val="clear" w:color="auto" w:fill="FFFFFF"/>
        </w:rPr>
        <w:t xml:space="preserve">and improving </w:t>
      </w:r>
      <w:r w:rsidR="00752801" w:rsidRPr="003E107D">
        <w:rPr>
          <w:rFonts w:ascii="Times New Roman" w:hAnsi="Times New Roman"/>
          <w:color w:val="000000"/>
          <w:sz w:val="24"/>
          <w:szCs w:val="24"/>
          <w:shd w:val="clear" w:color="auto" w:fill="FFFFFF"/>
        </w:rPr>
        <w:t>community confidence in reliability of Telstra’s fixed telephone network</w:t>
      </w:r>
    </w:p>
    <w:p w14:paraId="3955E17D" w14:textId="71C99507" w:rsidR="00752801" w:rsidRPr="00752801" w:rsidRDefault="00752801" w:rsidP="00752801">
      <w:pPr>
        <w:rPr>
          <w:rFonts w:ascii="Times New Roman" w:hAnsi="Times New Roman"/>
          <w:color w:val="000000"/>
          <w:sz w:val="24"/>
          <w:szCs w:val="24"/>
          <w:shd w:val="clear" w:color="auto" w:fill="FFFFFF"/>
        </w:rPr>
      </w:pPr>
      <w:r w:rsidRPr="00752801">
        <w:rPr>
          <w:rFonts w:ascii="Times New Roman" w:hAnsi="Times New Roman"/>
          <w:color w:val="000000"/>
          <w:sz w:val="24"/>
          <w:szCs w:val="24"/>
          <w:shd w:val="clear" w:color="auto" w:fill="FFFFFF"/>
        </w:rPr>
        <w:t xml:space="preserve">The NRF has three levels of operation. The first level examines the general reliability of fixed telephone services </w:t>
      </w:r>
      <w:r w:rsidR="0061305E">
        <w:rPr>
          <w:rFonts w:ascii="Times New Roman" w:hAnsi="Times New Roman"/>
          <w:color w:val="000000"/>
          <w:sz w:val="24"/>
          <w:szCs w:val="24"/>
          <w:shd w:val="clear" w:color="auto" w:fill="FFFFFF"/>
        </w:rPr>
        <w:t xml:space="preserve">nationally and </w:t>
      </w:r>
      <w:r w:rsidRPr="00752801">
        <w:rPr>
          <w:rFonts w:ascii="Times New Roman" w:hAnsi="Times New Roman"/>
          <w:color w:val="000000"/>
          <w:sz w:val="24"/>
          <w:szCs w:val="24"/>
          <w:shd w:val="clear" w:color="auto" w:fill="FFFFFF"/>
        </w:rPr>
        <w:t>in different regions of Australia, while the other two levels are concerned with identifying localised areas and individual services that do not meet minimum levels of reliability.</w:t>
      </w:r>
    </w:p>
    <w:p w14:paraId="0228C22B" w14:textId="036DDE74" w:rsidR="004023D4" w:rsidRPr="002F164E" w:rsidRDefault="004023D4" w:rsidP="004023D4">
      <w:pPr>
        <w:rPr>
          <w:rFonts w:ascii="Times New Roman" w:hAnsi="Times New Roman"/>
          <w:color w:val="000000"/>
          <w:sz w:val="24"/>
          <w:szCs w:val="24"/>
          <w:shd w:val="clear" w:color="auto" w:fill="FFFFFF"/>
        </w:rPr>
      </w:pPr>
      <w:r>
        <w:rPr>
          <w:rFonts w:ascii="Times New Roman" w:eastAsia="Times New Roman" w:hAnsi="Times New Roman"/>
          <w:noProof w:val="0"/>
          <w:color w:val="000000"/>
          <w:sz w:val="24"/>
          <w:szCs w:val="24"/>
          <w:lang w:eastAsia="en-AU"/>
        </w:rPr>
        <w:t>Level</w:t>
      </w:r>
      <w:r w:rsidR="00143494" w:rsidRPr="002F164E">
        <w:rPr>
          <w:rFonts w:ascii="Times New Roman" w:eastAsia="Times New Roman" w:hAnsi="Times New Roman"/>
          <w:noProof w:val="0"/>
          <w:color w:val="000000"/>
          <w:sz w:val="24"/>
          <w:szCs w:val="24"/>
          <w:lang w:eastAsia="en-AU"/>
        </w:rPr>
        <w:t xml:space="preserve"> 3 of the NRF applies to ‘CSG services’. These are telephone services provided by Telstra to residential and small business customers with one to five services.</w:t>
      </w:r>
      <w:r w:rsidR="006B51A4">
        <w:rPr>
          <w:rFonts w:ascii="Times New Roman" w:eastAsia="Times New Roman" w:hAnsi="Times New Roman"/>
          <w:noProof w:val="0"/>
          <w:color w:val="000000"/>
          <w:sz w:val="24"/>
          <w:szCs w:val="24"/>
          <w:lang w:eastAsia="en-AU"/>
        </w:rPr>
        <w:t xml:space="preserve"> </w:t>
      </w:r>
      <w:r w:rsidRPr="00752801">
        <w:rPr>
          <w:rFonts w:ascii="Times New Roman" w:hAnsi="Times New Roman"/>
          <w:color w:val="000000"/>
          <w:sz w:val="24"/>
          <w:szCs w:val="24"/>
          <w:shd w:val="clear" w:color="auto" w:fill="FFFFFF"/>
        </w:rPr>
        <w:t>Level 3 of the NRF examines individual service performance. Telstra must act to prevent any service from experiencing more than three faults in any rolling 60-day period or more than four faults in any rolling 365-day period. Telstra is required to report to the ACMA on any services that breach these thresholds. Telstra will undertake remediation work on any service that breaches these thresholds to improve its reliability.</w:t>
      </w:r>
    </w:p>
    <w:p w14:paraId="4F992230" w14:textId="52702E70" w:rsidR="00E92CDC" w:rsidRDefault="00E92CDC" w:rsidP="00E92CDC">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Section </w:t>
      </w:r>
      <w:r w:rsidRPr="002F164E">
        <w:rPr>
          <w:rFonts w:ascii="Times New Roman" w:hAnsi="Times New Roman"/>
          <w:color w:val="000000"/>
          <w:sz w:val="24"/>
          <w:szCs w:val="24"/>
          <w:shd w:val="clear" w:color="auto" w:fill="FFFFFF"/>
        </w:rPr>
        <w:t xml:space="preserve">14 sets out key definitions used in the </w:t>
      </w:r>
      <w:r>
        <w:rPr>
          <w:rFonts w:ascii="Times New Roman" w:hAnsi="Times New Roman"/>
          <w:color w:val="000000"/>
          <w:sz w:val="24"/>
          <w:szCs w:val="24"/>
          <w:shd w:val="clear" w:color="auto" w:fill="FFFFFF"/>
        </w:rPr>
        <w:t xml:space="preserve">several items </w:t>
      </w:r>
      <w:r w:rsidRPr="002F164E">
        <w:rPr>
          <w:rFonts w:ascii="Times New Roman" w:hAnsi="Times New Roman"/>
          <w:color w:val="000000"/>
          <w:sz w:val="24"/>
          <w:szCs w:val="24"/>
          <w:shd w:val="clear" w:color="auto" w:fill="FFFFFF"/>
        </w:rPr>
        <w:t>in Schedule 1</w:t>
      </w:r>
      <w:r>
        <w:rPr>
          <w:rFonts w:ascii="Times New Roman" w:hAnsi="Times New Roman"/>
          <w:color w:val="000000"/>
          <w:sz w:val="24"/>
          <w:szCs w:val="24"/>
          <w:shd w:val="clear" w:color="auto" w:fill="FFFFFF"/>
        </w:rPr>
        <w:t xml:space="preserve"> pertaining to the </w:t>
      </w:r>
      <w:r w:rsidR="00C647C7">
        <w:rPr>
          <w:rFonts w:ascii="Times New Roman" w:hAnsi="Times New Roman"/>
          <w:color w:val="000000"/>
          <w:sz w:val="24"/>
          <w:szCs w:val="24"/>
          <w:shd w:val="clear" w:color="auto" w:fill="FFFFFF"/>
        </w:rPr>
        <w:t>Network Reliability</w:t>
      </w:r>
      <w:r>
        <w:rPr>
          <w:rFonts w:ascii="Times New Roman" w:hAnsi="Times New Roman"/>
          <w:color w:val="000000"/>
          <w:sz w:val="24"/>
          <w:szCs w:val="24"/>
          <w:shd w:val="clear" w:color="auto" w:fill="FFFFFF"/>
        </w:rPr>
        <w:t xml:space="preserve"> Framework conditions</w:t>
      </w:r>
      <w:r w:rsidR="00E167A1">
        <w:rPr>
          <w:rFonts w:ascii="Times New Roman" w:hAnsi="Times New Roman"/>
          <w:color w:val="000000"/>
          <w:sz w:val="24"/>
          <w:szCs w:val="24"/>
          <w:shd w:val="clear" w:color="auto" w:fill="FFFFFF"/>
        </w:rPr>
        <w:t>.</w:t>
      </w:r>
    </w:p>
    <w:p w14:paraId="2990164A" w14:textId="67F6E669" w:rsidR="00143494" w:rsidRPr="002F164E" w:rsidRDefault="00143494" w:rsidP="006C2704">
      <w:pPr>
        <w:rPr>
          <w:rFonts w:ascii="Times New Roman" w:eastAsia="Times New Roman" w:hAnsi="Times New Roman"/>
          <w:noProof w:val="0"/>
          <w:color w:val="000000"/>
          <w:sz w:val="24"/>
          <w:szCs w:val="24"/>
          <w:lang w:eastAsia="en-AU"/>
        </w:rPr>
      </w:pPr>
      <w:r w:rsidRPr="002F164E">
        <w:rPr>
          <w:rFonts w:ascii="Times New Roman" w:eastAsia="Times New Roman" w:hAnsi="Times New Roman"/>
          <w:noProof w:val="0"/>
          <w:color w:val="000000"/>
          <w:sz w:val="24"/>
          <w:szCs w:val="24"/>
          <w:lang w:eastAsia="en-AU"/>
        </w:rPr>
        <w:t xml:space="preserve">The definition of ‘CSG service’ is based on the definition of that term, and its scope, under the </w:t>
      </w:r>
      <w:r w:rsidRPr="001C1294">
        <w:rPr>
          <w:rFonts w:ascii="Times New Roman" w:eastAsia="Times New Roman" w:hAnsi="Times New Roman"/>
          <w:i/>
          <w:noProof w:val="0"/>
          <w:color w:val="000000"/>
          <w:sz w:val="24"/>
          <w:szCs w:val="24"/>
          <w:lang w:eastAsia="en-AU"/>
        </w:rPr>
        <w:t>Telecommunications (Customer Service Guarantee)</w:t>
      </w:r>
      <w:r w:rsidRPr="006C2704">
        <w:rPr>
          <w:rFonts w:ascii="Times New Roman" w:eastAsia="Times New Roman" w:hAnsi="Times New Roman"/>
          <w:i/>
          <w:noProof w:val="0"/>
          <w:color w:val="000000"/>
          <w:sz w:val="24"/>
          <w:szCs w:val="24"/>
          <w:lang w:eastAsia="en-AU"/>
        </w:rPr>
        <w:t> </w:t>
      </w:r>
      <w:r w:rsidRPr="001C1294">
        <w:rPr>
          <w:rFonts w:ascii="Times New Roman" w:eastAsia="Times New Roman" w:hAnsi="Times New Roman"/>
          <w:i/>
          <w:noProof w:val="0"/>
          <w:color w:val="000000"/>
          <w:sz w:val="24"/>
          <w:szCs w:val="24"/>
          <w:lang w:eastAsia="en-AU"/>
        </w:rPr>
        <w:t>Standard 20</w:t>
      </w:r>
      <w:r w:rsidR="00EE0216" w:rsidRPr="001C1294">
        <w:rPr>
          <w:rFonts w:ascii="Times New Roman" w:eastAsia="Times New Roman" w:hAnsi="Times New Roman"/>
          <w:i/>
          <w:noProof w:val="0"/>
          <w:color w:val="000000"/>
          <w:sz w:val="24"/>
          <w:szCs w:val="24"/>
          <w:lang w:eastAsia="en-AU"/>
        </w:rPr>
        <w:t>11</w:t>
      </w:r>
      <w:r w:rsidRPr="006C2704">
        <w:rPr>
          <w:rFonts w:ascii="Times New Roman" w:eastAsia="Times New Roman" w:hAnsi="Times New Roman"/>
          <w:noProof w:val="0"/>
          <w:color w:val="000000"/>
          <w:sz w:val="24"/>
          <w:szCs w:val="24"/>
          <w:lang w:eastAsia="en-AU"/>
        </w:rPr>
        <w:t> </w:t>
      </w:r>
      <w:r w:rsidR="0087562F">
        <w:rPr>
          <w:rFonts w:ascii="Times New Roman" w:eastAsia="Times New Roman" w:hAnsi="Times New Roman"/>
          <w:noProof w:val="0"/>
          <w:color w:val="000000"/>
          <w:sz w:val="24"/>
          <w:szCs w:val="24"/>
          <w:lang w:eastAsia="en-AU"/>
        </w:rPr>
        <w:t>(the CSG Standard).</w:t>
      </w:r>
      <w:r w:rsidRPr="002F164E">
        <w:rPr>
          <w:rFonts w:ascii="Times New Roman" w:eastAsia="Times New Roman" w:hAnsi="Times New Roman"/>
          <w:noProof w:val="0"/>
          <w:color w:val="000000"/>
          <w:sz w:val="24"/>
          <w:szCs w:val="24"/>
          <w:lang w:eastAsia="en-AU"/>
        </w:rPr>
        <w:t xml:space="preserve"> It is intended that the telephone services covered by the third tier of the NRF be the same as those covered by the CSG Standard as the NRF makes use of data collected for CSG purposes.</w:t>
      </w:r>
    </w:p>
    <w:p w14:paraId="685674DE" w14:textId="34B26F88" w:rsidR="00143494" w:rsidRPr="002F164E" w:rsidRDefault="00143494" w:rsidP="006C2704">
      <w:pPr>
        <w:rPr>
          <w:rFonts w:ascii="Times New Roman" w:eastAsia="Times New Roman" w:hAnsi="Times New Roman"/>
          <w:noProof w:val="0"/>
          <w:color w:val="000000"/>
          <w:sz w:val="24"/>
          <w:szCs w:val="24"/>
          <w:lang w:eastAsia="en-AU"/>
        </w:rPr>
      </w:pPr>
      <w:r w:rsidRPr="002F164E">
        <w:rPr>
          <w:rFonts w:ascii="Times New Roman" w:eastAsia="Times New Roman" w:hAnsi="Times New Roman"/>
          <w:noProof w:val="0"/>
          <w:color w:val="000000"/>
          <w:sz w:val="24"/>
          <w:szCs w:val="24"/>
          <w:lang w:eastAsia="en-AU"/>
        </w:rPr>
        <w:t xml:space="preserve">Under the CSG Standard a 'CSG service' is defined as an ‘eligible telephone service’ supplied by a </w:t>
      </w:r>
      <w:r w:rsidR="00451CC1">
        <w:rPr>
          <w:rFonts w:ascii="Times New Roman" w:eastAsia="Times New Roman" w:hAnsi="Times New Roman"/>
          <w:noProof w:val="0"/>
          <w:color w:val="000000"/>
          <w:sz w:val="24"/>
          <w:szCs w:val="24"/>
          <w:lang w:eastAsia="en-AU"/>
        </w:rPr>
        <w:t>CSP</w:t>
      </w:r>
      <w:r w:rsidRPr="002F164E">
        <w:rPr>
          <w:rFonts w:ascii="Times New Roman" w:eastAsia="Times New Roman" w:hAnsi="Times New Roman"/>
          <w:noProof w:val="0"/>
          <w:color w:val="000000"/>
          <w:sz w:val="24"/>
          <w:szCs w:val="24"/>
          <w:lang w:eastAsia="en-AU"/>
        </w:rPr>
        <w:t xml:space="preserve"> (including a reseller) to a customer of the provider. Public mobile telecommunications services, designated basic rate ISDN services, and satellite services are excluded from the definition unless supplied, or offered to be supplied, in fulfilment of the universal service obligation </w:t>
      </w:r>
      <w:r w:rsidR="00451CC1">
        <w:rPr>
          <w:rFonts w:ascii="Times New Roman" w:eastAsia="Times New Roman" w:hAnsi="Times New Roman"/>
          <w:noProof w:val="0"/>
          <w:color w:val="000000"/>
          <w:sz w:val="24"/>
          <w:szCs w:val="24"/>
          <w:lang w:eastAsia="en-AU"/>
        </w:rPr>
        <w:t xml:space="preserve">(USO) </w:t>
      </w:r>
      <w:r w:rsidRPr="002F164E">
        <w:rPr>
          <w:rFonts w:ascii="Times New Roman" w:eastAsia="Times New Roman" w:hAnsi="Times New Roman"/>
          <w:noProof w:val="0"/>
          <w:color w:val="000000"/>
          <w:sz w:val="24"/>
          <w:szCs w:val="24"/>
          <w:lang w:eastAsia="en-AU"/>
        </w:rPr>
        <w:t>specified in paragraph 9(1)(a) of the </w:t>
      </w:r>
      <w:r w:rsidRPr="001C1294">
        <w:rPr>
          <w:rFonts w:ascii="Times New Roman" w:eastAsia="Times New Roman" w:hAnsi="Times New Roman"/>
          <w:i/>
          <w:noProof w:val="0"/>
          <w:color w:val="000000"/>
          <w:sz w:val="24"/>
          <w:szCs w:val="24"/>
          <w:lang w:eastAsia="en-AU"/>
        </w:rPr>
        <w:t>Telecommunications (Consumer Protection and Service Standards) Act 1999</w:t>
      </w:r>
      <w:r w:rsidR="00826726">
        <w:rPr>
          <w:rFonts w:ascii="Times New Roman" w:eastAsia="Times New Roman" w:hAnsi="Times New Roman"/>
          <w:i/>
          <w:noProof w:val="0"/>
          <w:color w:val="000000"/>
          <w:sz w:val="24"/>
          <w:szCs w:val="24"/>
          <w:lang w:eastAsia="en-AU"/>
        </w:rPr>
        <w:t xml:space="preserve"> </w:t>
      </w:r>
      <w:r w:rsidR="00826726">
        <w:rPr>
          <w:rFonts w:ascii="Times New Roman" w:eastAsia="Times New Roman" w:hAnsi="Times New Roman"/>
          <w:noProof w:val="0"/>
          <w:color w:val="000000"/>
          <w:sz w:val="24"/>
          <w:szCs w:val="24"/>
          <w:lang w:eastAsia="en-AU"/>
        </w:rPr>
        <w:t>(T</w:t>
      </w:r>
      <w:r w:rsidR="00451CC1">
        <w:rPr>
          <w:rFonts w:ascii="Times New Roman" w:eastAsia="Times New Roman" w:hAnsi="Times New Roman"/>
          <w:noProof w:val="0"/>
          <w:color w:val="000000"/>
          <w:sz w:val="24"/>
          <w:szCs w:val="24"/>
          <w:lang w:eastAsia="en-AU"/>
        </w:rPr>
        <w:t>(</w:t>
      </w:r>
      <w:r w:rsidR="00826726">
        <w:rPr>
          <w:rFonts w:ascii="Times New Roman" w:eastAsia="Times New Roman" w:hAnsi="Times New Roman"/>
          <w:noProof w:val="0"/>
          <w:color w:val="000000"/>
          <w:sz w:val="24"/>
          <w:szCs w:val="24"/>
          <w:lang w:eastAsia="en-AU"/>
        </w:rPr>
        <w:t>CPSS</w:t>
      </w:r>
      <w:r w:rsidR="00451CC1">
        <w:rPr>
          <w:rFonts w:ascii="Times New Roman" w:eastAsia="Times New Roman" w:hAnsi="Times New Roman"/>
          <w:noProof w:val="0"/>
          <w:color w:val="000000"/>
          <w:sz w:val="24"/>
          <w:szCs w:val="24"/>
          <w:lang w:eastAsia="en-AU"/>
        </w:rPr>
        <w:t>)</w:t>
      </w:r>
      <w:r w:rsidR="00826726">
        <w:rPr>
          <w:rFonts w:ascii="Times New Roman" w:eastAsia="Times New Roman" w:hAnsi="Times New Roman"/>
          <w:noProof w:val="0"/>
          <w:color w:val="000000"/>
          <w:sz w:val="24"/>
          <w:szCs w:val="24"/>
          <w:lang w:eastAsia="en-AU"/>
        </w:rPr>
        <w:t xml:space="preserve"> Act)</w:t>
      </w:r>
      <w:r w:rsidR="00C647C7">
        <w:rPr>
          <w:rFonts w:ascii="Times New Roman" w:eastAsia="Times New Roman" w:hAnsi="Times New Roman"/>
          <w:i/>
          <w:noProof w:val="0"/>
          <w:color w:val="000000"/>
          <w:sz w:val="24"/>
          <w:szCs w:val="24"/>
          <w:lang w:eastAsia="en-AU"/>
        </w:rPr>
        <w:t xml:space="preserve">. </w:t>
      </w:r>
      <w:r w:rsidR="00C647C7" w:rsidRPr="00C647C7">
        <w:rPr>
          <w:rFonts w:ascii="Times New Roman" w:eastAsia="Times New Roman" w:hAnsi="Times New Roman"/>
          <w:noProof w:val="0"/>
          <w:color w:val="000000"/>
          <w:sz w:val="24"/>
          <w:szCs w:val="24"/>
          <w:lang w:eastAsia="en-AU"/>
        </w:rPr>
        <w:t>The USO</w:t>
      </w:r>
      <w:r w:rsidRPr="002F164E">
        <w:rPr>
          <w:rFonts w:ascii="Times New Roman" w:eastAsia="Times New Roman" w:hAnsi="Times New Roman"/>
          <w:noProof w:val="0"/>
          <w:color w:val="000000"/>
          <w:sz w:val="24"/>
          <w:szCs w:val="24"/>
          <w:lang w:eastAsia="en-AU"/>
        </w:rPr>
        <w:t xml:space="preserve"> requires standard telephone services to be reasonably accessible to all people in Australia on an equitable basis, wherever they reside or carry on business. </w:t>
      </w:r>
    </w:p>
    <w:p w14:paraId="1FD67BB4" w14:textId="6C996491" w:rsidR="00143494" w:rsidRPr="002F164E" w:rsidRDefault="00143494" w:rsidP="006C2704">
      <w:pPr>
        <w:rPr>
          <w:rFonts w:ascii="Times New Roman" w:eastAsia="Times New Roman" w:hAnsi="Times New Roman"/>
          <w:noProof w:val="0"/>
          <w:color w:val="000000"/>
          <w:sz w:val="24"/>
          <w:szCs w:val="24"/>
          <w:lang w:eastAsia="en-AU"/>
        </w:rPr>
      </w:pPr>
      <w:r w:rsidRPr="002F164E">
        <w:rPr>
          <w:rFonts w:ascii="Times New Roman" w:eastAsia="Times New Roman" w:hAnsi="Times New Roman"/>
          <w:noProof w:val="0"/>
          <w:color w:val="000000"/>
          <w:sz w:val="24"/>
          <w:szCs w:val="24"/>
          <w:lang w:eastAsia="en-AU"/>
        </w:rPr>
        <w:t xml:space="preserve">An 'eligible telephone service' is defined in the CSG Standard as a standard telephone service or a carriage service that would be a standard telephone service but for the fact that it is used for a purpose other than the purpose specified in </w:t>
      </w:r>
      <w:r w:rsidR="0087562F">
        <w:rPr>
          <w:rFonts w:ascii="Times New Roman" w:eastAsia="Times New Roman" w:hAnsi="Times New Roman"/>
          <w:noProof w:val="0"/>
          <w:color w:val="000000"/>
          <w:sz w:val="24"/>
          <w:szCs w:val="24"/>
          <w:lang w:eastAsia="en-AU"/>
        </w:rPr>
        <w:t xml:space="preserve">paragraph 6(1)(a) or (b) of the </w:t>
      </w:r>
      <w:r w:rsidR="00826726">
        <w:rPr>
          <w:rFonts w:ascii="Times New Roman" w:eastAsia="Times New Roman" w:hAnsi="Times New Roman"/>
          <w:noProof w:val="0"/>
          <w:color w:val="000000"/>
          <w:sz w:val="24"/>
          <w:szCs w:val="24"/>
          <w:lang w:eastAsia="en-AU"/>
        </w:rPr>
        <w:t>T</w:t>
      </w:r>
      <w:r w:rsidR="00451CC1">
        <w:rPr>
          <w:rFonts w:ascii="Times New Roman" w:eastAsia="Times New Roman" w:hAnsi="Times New Roman"/>
          <w:noProof w:val="0"/>
          <w:color w:val="000000"/>
          <w:sz w:val="24"/>
          <w:szCs w:val="24"/>
          <w:lang w:eastAsia="en-AU"/>
        </w:rPr>
        <w:t>(</w:t>
      </w:r>
      <w:r w:rsidR="00826726">
        <w:rPr>
          <w:rFonts w:ascii="Times New Roman" w:eastAsia="Times New Roman" w:hAnsi="Times New Roman"/>
          <w:noProof w:val="0"/>
          <w:color w:val="000000"/>
          <w:sz w:val="24"/>
          <w:szCs w:val="24"/>
          <w:lang w:eastAsia="en-AU"/>
        </w:rPr>
        <w:t>CPSS</w:t>
      </w:r>
      <w:r w:rsidR="00451CC1">
        <w:rPr>
          <w:rFonts w:ascii="Times New Roman" w:eastAsia="Times New Roman" w:hAnsi="Times New Roman"/>
          <w:noProof w:val="0"/>
          <w:color w:val="000000"/>
          <w:sz w:val="24"/>
          <w:szCs w:val="24"/>
          <w:lang w:eastAsia="en-AU"/>
        </w:rPr>
        <w:t>)</w:t>
      </w:r>
      <w:r w:rsidR="00826726">
        <w:rPr>
          <w:rFonts w:ascii="Times New Roman" w:eastAsia="Times New Roman" w:hAnsi="Times New Roman"/>
          <w:noProof w:val="0"/>
          <w:color w:val="000000"/>
          <w:sz w:val="24"/>
          <w:szCs w:val="24"/>
          <w:lang w:eastAsia="en-AU"/>
        </w:rPr>
        <w:t xml:space="preserve"> Act</w:t>
      </w:r>
      <w:r w:rsidR="00EE0216" w:rsidRPr="001C1294">
        <w:rPr>
          <w:rFonts w:ascii="Times New Roman" w:eastAsia="Times New Roman" w:hAnsi="Times New Roman"/>
          <w:i/>
          <w:noProof w:val="0"/>
          <w:color w:val="000000"/>
          <w:sz w:val="24"/>
          <w:szCs w:val="24"/>
          <w:lang w:eastAsia="en-AU"/>
        </w:rPr>
        <w:t xml:space="preserve"> </w:t>
      </w:r>
      <w:r w:rsidR="00EE0216" w:rsidRPr="001C1294">
        <w:rPr>
          <w:rFonts w:ascii="Times New Roman" w:eastAsia="Times New Roman" w:hAnsi="Times New Roman"/>
          <w:noProof w:val="0"/>
          <w:color w:val="000000"/>
          <w:sz w:val="24"/>
          <w:szCs w:val="24"/>
          <w:lang w:eastAsia="en-AU"/>
        </w:rPr>
        <w:t>(</w:t>
      </w:r>
      <w:r w:rsidRPr="002F164E">
        <w:rPr>
          <w:rFonts w:ascii="Times New Roman" w:eastAsia="Times New Roman" w:hAnsi="Times New Roman"/>
          <w:noProof w:val="0"/>
          <w:color w:val="000000"/>
          <w:sz w:val="24"/>
          <w:szCs w:val="24"/>
          <w:lang w:eastAsia="en-AU"/>
        </w:rPr>
        <w:t>i</w:t>
      </w:r>
      <w:r w:rsidR="00C647C7">
        <w:rPr>
          <w:rFonts w:ascii="Times New Roman" w:eastAsia="Times New Roman" w:hAnsi="Times New Roman"/>
          <w:noProof w:val="0"/>
          <w:color w:val="000000"/>
          <w:sz w:val="24"/>
          <w:szCs w:val="24"/>
          <w:lang w:eastAsia="en-AU"/>
        </w:rPr>
        <w:t>.</w:t>
      </w:r>
      <w:r w:rsidRPr="002F164E">
        <w:rPr>
          <w:rFonts w:ascii="Times New Roman" w:eastAsia="Times New Roman" w:hAnsi="Times New Roman"/>
          <w:noProof w:val="0"/>
          <w:color w:val="000000"/>
          <w:sz w:val="24"/>
          <w:szCs w:val="24"/>
          <w:lang w:eastAsia="en-AU"/>
        </w:rPr>
        <w:t>e. the purpose of voice telephony or an equivalent purpose for disabled end-users</w:t>
      </w:r>
      <w:r w:rsidR="00EE0216">
        <w:rPr>
          <w:rFonts w:ascii="Times New Roman" w:eastAsia="Times New Roman" w:hAnsi="Times New Roman"/>
          <w:noProof w:val="0"/>
          <w:color w:val="000000"/>
          <w:sz w:val="24"/>
          <w:szCs w:val="24"/>
          <w:lang w:eastAsia="en-AU"/>
        </w:rPr>
        <w:t>)</w:t>
      </w:r>
      <w:r w:rsidRPr="002F164E">
        <w:rPr>
          <w:rFonts w:ascii="Times New Roman" w:eastAsia="Times New Roman" w:hAnsi="Times New Roman"/>
          <w:noProof w:val="0"/>
          <w:color w:val="000000"/>
          <w:sz w:val="24"/>
          <w:szCs w:val="24"/>
          <w:lang w:eastAsia="en-AU"/>
        </w:rPr>
        <w:t>.</w:t>
      </w:r>
      <w:r w:rsidRPr="006C2704">
        <w:rPr>
          <w:rFonts w:ascii="Times New Roman" w:eastAsia="Times New Roman" w:hAnsi="Times New Roman"/>
          <w:noProof w:val="0"/>
          <w:color w:val="000000"/>
          <w:sz w:val="24"/>
          <w:szCs w:val="24"/>
          <w:lang w:eastAsia="en-AU"/>
        </w:rPr>
        <w:t> </w:t>
      </w:r>
      <w:r w:rsidRPr="002F164E">
        <w:rPr>
          <w:rFonts w:ascii="Times New Roman" w:eastAsia="Times New Roman" w:hAnsi="Times New Roman"/>
          <w:noProof w:val="0"/>
          <w:color w:val="000000"/>
          <w:sz w:val="24"/>
          <w:szCs w:val="24"/>
          <w:lang w:eastAsia="en-AU"/>
        </w:rPr>
        <w:t>Read together, the definitions of ‘CSG service’ and ‘eligible telephone service’ in the CSG Standard are intended to ensure that the CSG Standard applies to a voice grade service, although the service may be used by the customer for other purposes.</w:t>
      </w:r>
    </w:p>
    <w:p w14:paraId="7C68C1E2" w14:textId="3A4FC4C2" w:rsidR="00143494" w:rsidRPr="002F164E" w:rsidRDefault="00143494" w:rsidP="006C2704">
      <w:pPr>
        <w:rPr>
          <w:rFonts w:ascii="Times New Roman" w:eastAsia="Times New Roman" w:hAnsi="Times New Roman"/>
          <w:noProof w:val="0"/>
          <w:color w:val="000000"/>
          <w:sz w:val="24"/>
          <w:szCs w:val="24"/>
          <w:lang w:eastAsia="en-AU"/>
        </w:rPr>
      </w:pPr>
      <w:r w:rsidRPr="002F164E">
        <w:rPr>
          <w:rFonts w:ascii="Times New Roman" w:eastAsia="Times New Roman" w:hAnsi="Times New Roman"/>
          <w:noProof w:val="0"/>
          <w:color w:val="000000"/>
          <w:sz w:val="24"/>
          <w:szCs w:val="24"/>
          <w:lang w:eastAsia="en-AU"/>
        </w:rPr>
        <w:t>The def</w:t>
      </w:r>
      <w:r w:rsidR="00580F05" w:rsidRPr="002F164E">
        <w:rPr>
          <w:rFonts w:ascii="Times New Roman" w:eastAsia="Times New Roman" w:hAnsi="Times New Roman"/>
          <w:noProof w:val="0"/>
          <w:color w:val="000000"/>
          <w:sz w:val="24"/>
          <w:szCs w:val="24"/>
          <w:lang w:eastAsia="en-AU"/>
        </w:rPr>
        <w:t xml:space="preserve">inition of ‘CSG service’ </w:t>
      </w:r>
      <w:r w:rsidRPr="002F164E">
        <w:rPr>
          <w:rFonts w:ascii="Times New Roman" w:eastAsia="Times New Roman" w:hAnsi="Times New Roman"/>
          <w:noProof w:val="0"/>
          <w:color w:val="000000"/>
          <w:sz w:val="24"/>
          <w:szCs w:val="24"/>
          <w:lang w:eastAsia="en-AU"/>
        </w:rPr>
        <w:t>excludes services the supply of which is exempt from compliance with the CSG perfor</w:t>
      </w:r>
      <w:r w:rsidR="00580F05" w:rsidRPr="002F164E">
        <w:rPr>
          <w:rFonts w:ascii="Times New Roman" w:eastAsia="Times New Roman" w:hAnsi="Times New Roman"/>
          <w:noProof w:val="0"/>
          <w:color w:val="000000"/>
          <w:sz w:val="24"/>
          <w:szCs w:val="24"/>
          <w:lang w:eastAsia="en-AU"/>
        </w:rPr>
        <w:t xml:space="preserve">mance standards under </w:t>
      </w:r>
      <w:r w:rsidR="00580F05" w:rsidRPr="00752801">
        <w:rPr>
          <w:rFonts w:ascii="Times New Roman" w:eastAsia="Times New Roman" w:hAnsi="Times New Roman"/>
          <w:noProof w:val="0"/>
          <w:color w:val="000000"/>
          <w:sz w:val="24"/>
          <w:szCs w:val="24"/>
          <w:lang w:eastAsia="en-AU"/>
        </w:rPr>
        <w:t>section 18</w:t>
      </w:r>
      <w:r w:rsidRPr="002F164E">
        <w:rPr>
          <w:rFonts w:ascii="Times New Roman" w:eastAsia="Times New Roman" w:hAnsi="Times New Roman"/>
          <w:noProof w:val="0"/>
          <w:color w:val="000000"/>
          <w:sz w:val="24"/>
          <w:szCs w:val="24"/>
          <w:lang w:eastAsia="en-AU"/>
        </w:rPr>
        <w:t xml:space="preserve"> of the CSG Standard. This exemption applies to the services of a customer with more than five services and effectively limits the CSG</w:t>
      </w:r>
      <w:r w:rsidR="0061305E">
        <w:rPr>
          <w:rFonts w:ascii="Times New Roman" w:eastAsia="Times New Roman" w:hAnsi="Times New Roman"/>
          <w:noProof w:val="0"/>
          <w:color w:val="000000"/>
          <w:sz w:val="24"/>
          <w:szCs w:val="24"/>
          <w:lang w:eastAsia="en-AU"/>
        </w:rPr>
        <w:t>,</w:t>
      </w:r>
      <w:r w:rsidRPr="002F164E">
        <w:rPr>
          <w:rFonts w:ascii="Times New Roman" w:eastAsia="Times New Roman" w:hAnsi="Times New Roman"/>
          <w:noProof w:val="0"/>
          <w:color w:val="000000"/>
          <w:sz w:val="24"/>
          <w:szCs w:val="24"/>
          <w:lang w:eastAsia="en-AU"/>
        </w:rPr>
        <w:t xml:space="preserve"> and </w:t>
      </w:r>
      <w:r w:rsidR="0061305E">
        <w:rPr>
          <w:rFonts w:ascii="Times New Roman" w:eastAsia="Times New Roman" w:hAnsi="Times New Roman"/>
          <w:noProof w:val="0"/>
          <w:color w:val="000000"/>
          <w:sz w:val="24"/>
          <w:szCs w:val="24"/>
          <w:lang w:eastAsia="en-AU"/>
        </w:rPr>
        <w:t xml:space="preserve">the </w:t>
      </w:r>
      <w:r w:rsidRPr="002F164E">
        <w:rPr>
          <w:rFonts w:ascii="Times New Roman" w:eastAsia="Times New Roman" w:hAnsi="Times New Roman"/>
          <w:noProof w:val="0"/>
          <w:color w:val="000000"/>
          <w:sz w:val="24"/>
          <w:szCs w:val="24"/>
          <w:lang w:eastAsia="en-AU"/>
        </w:rPr>
        <w:t>NRF</w:t>
      </w:r>
      <w:r w:rsidR="0061305E">
        <w:rPr>
          <w:rFonts w:ascii="Times New Roman" w:eastAsia="Times New Roman" w:hAnsi="Times New Roman"/>
          <w:noProof w:val="0"/>
          <w:color w:val="000000"/>
          <w:sz w:val="24"/>
          <w:szCs w:val="24"/>
          <w:lang w:eastAsia="en-AU"/>
        </w:rPr>
        <w:t>,</w:t>
      </w:r>
      <w:r w:rsidRPr="002F164E">
        <w:rPr>
          <w:rFonts w:ascii="Times New Roman" w:eastAsia="Times New Roman" w:hAnsi="Times New Roman"/>
          <w:noProof w:val="0"/>
          <w:color w:val="000000"/>
          <w:sz w:val="24"/>
          <w:szCs w:val="24"/>
          <w:lang w:eastAsia="en-AU"/>
        </w:rPr>
        <w:t xml:space="preserve"> to residential and small business customers.</w:t>
      </w:r>
    </w:p>
    <w:p w14:paraId="7140657F" w14:textId="4690BE29" w:rsidR="00143494" w:rsidRPr="002F164E" w:rsidRDefault="00143494" w:rsidP="006C2704">
      <w:pPr>
        <w:rPr>
          <w:rFonts w:ascii="Times New Roman" w:eastAsia="Times New Roman" w:hAnsi="Times New Roman"/>
          <w:noProof w:val="0"/>
          <w:color w:val="000000"/>
          <w:sz w:val="24"/>
          <w:szCs w:val="24"/>
          <w:lang w:eastAsia="en-AU"/>
        </w:rPr>
      </w:pPr>
      <w:r w:rsidRPr="002F164E">
        <w:rPr>
          <w:rFonts w:ascii="Times New Roman" w:eastAsia="Times New Roman" w:hAnsi="Times New Roman"/>
          <w:noProof w:val="0"/>
          <w:color w:val="000000"/>
          <w:sz w:val="24"/>
          <w:szCs w:val="24"/>
          <w:lang w:eastAsia="en-AU"/>
        </w:rPr>
        <w:t>The definition of ‘ESA</w:t>
      </w:r>
      <w:r w:rsidR="00580F05" w:rsidRPr="002F164E">
        <w:rPr>
          <w:rFonts w:ascii="Times New Roman" w:eastAsia="Times New Roman" w:hAnsi="Times New Roman"/>
          <w:noProof w:val="0"/>
          <w:color w:val="000000"/>
          <w:sz w:val="24"/>
          <w:szCs w:val="24"/>
          <w:lang w:eastAsia="en-AU"/>
        </w:rPr>
        <w:t xml:space="preserve"> category</w:t>
      </w:r>
      <w:r w:rsidRPr="002F164E">
        <w:rPr>
          <w:rFonts w:ascii="Times New Roman" w:eastAsia="Times New Roman" w:hAnsi="Times New Roman"/>
          <w:noProof w:val="0"/>
          <w:color w:val="000000"/>
          <w:sz w:val="24"/>
          <w:szCs w:val="24"/>
          <w:lang w:eastAsia="en-AU"/>
        </w:rPr>
        <w:t xml:space="preserve">’ </w:t>
      </w:r>
      <w:r w:rsidR="00580F05" w:rsidRPr="002F164E">
        <w:rPr>
          <w:rFonts w:ascii="Times New Roman" w:eastAsia="Times New Roman" w:hAnsi="Times New Roman"/>
          <w:noProof w:val="0"/>
          <w:color w:val="000000"/>
          <w:sz w:val="24"/>
          <w:szCs w:val="24"/>
          <w:lang w:eastAsia="en-AU"/>
        </w:rPr>
        <w:t xml:space="preserve">means a category of </w:t>
      </w:r>
      <w:r w:rsidR="008C51F6">
        <w:rPr>
          <w:rFonts w:ascii="Times New Roman" w:eastAsia="Times New Roman" w:hAnsi="Times New Roman"/>
          <w:noProof w:val="0"/>
          <w:color w:val="000000"/>
          <w:sz w:val="24"/>
          <w:szCs w:val="24"/>
          <w:lang w:eastAsia="en-AU"/>
        </w:rPr>
        <w:t>an Exchange Service Area (</w:t>
      </w:r>
      <w:r w:rsidR="00580F05" w:rsidRPr="002F164E">
        <w:rPr>
          <w:rFonts w:ascii="Times New Roman" w:eastAsia="Times New Roman" w:hAnsi="Times New Roman"/>
          <w:noProof w:val="0"/>
          <w:color w:val="000000"/>
          <w:sz w:val="24"/>
          <w:szCs w:val="24"/>
          <w:lang w:eastAsia="en-AU"/>
        </w:rPr>
        <w:t>ESA</w:t>
      </w:r>
      <w:r w:rsidR="008C51F6">
        <w:rPr>
          <w:rFonts w:ascii="Times New Roman" w:eastAsia="Times New Roman" w:hAnsi="Times New Roman"/>
          <w:noProof w:val="0"/>
          <w:color w:val="000000"/>
          <w:sz w:val="24"/>
          <w:szCs w:val="24"/>
          <w:lang w:eastAsia="en-AU"/>
        </w:rPr>
        <w:t>)</w:t>
      </w:r>
      <w:r w:rsidR="00580F05" w:rsidRPr="002F164E">
        <w:rPr>
          <w:rFonts w:ascii="Times New Roman" w:eastAsia="Times New Roman" w:hAnsi="Times New Roman"/>
          <w:noProof w:val="0"/>
          <w:color w:val="000000"/>
          <w:sz w:val="24"/>
          <w:szCs w:val="24"/>
          <w:lang w:eastAsia="en-AU"/>
        </w:rPr>
        <w:t xml:space="preserve"> referred to in Table 1 of subsection 16(1).</w:t>
      </w:r>
    </w:p>
    <w:p w14:paraId="4E829C57" w14:textId="21676E39" w:rsidR="00143494" w:rsidRPr="002F164E" w:rsidRDefault="00143494" w:rsidP="0087562F">
      <w:pPr>
        <w:spacing w:after="120"/>
        <w:rPr>
          <w:rFonts w:ascii="Times New Roman" w:eastAsia="Times New Roman" w:hAnsi="Times New Roman"/>
          <w:noProof w:val="0"/>
          <w:color w:val="000000"/>
          <w:sz w:val="24"/>
          <w:szCs w:val="24"/>
          <w:lang w:eastAsia="en-AU"/>
        </w:rPr>
      </w:pPr>
      <w:r w:rsidRPr="002F164E">
        <w:rPr>
          <w:rFonts w:ascii="Times New Roman" w:eastAsia="Times New Roman" w:hAnsi="Times New Roman"/>
          <w:noProof w:val="0"/>
          <w:color w:val="000000"/>
          <w:sz w:val="24"/>
          <w:szCs w:val="24"/>
          <w:lang w:eastAsia="en-AU"/>
        </w:rPr>
        <w:t>The definition of a ‘fault or service difficulty’ also has the same meaning as in the CSG Standard. Under the CSG Standard ‘fault or service difficulty’ in relation to a specified service, means:</w:t>
      </w:r>
    </w:p>
    <w:p w14:paraId="03B4A255" w14:textId="4553295F" w:rsidR="00143494" w:rsidRPr="003E107D" w:rsidRDefault="00143494" w:rsidP="003A1E64">
      <w:pPr>
        <w:pStyle w:val="ListParagraph"/>
        <w:numPr>
          <w:ilvl w:val="0"/>
          <w:numId w:val="6"/>
        </w:numPr>
        <w:shd w:val="clear" w:color="auto" w:fill="FFFFFF"/>
        <w:spacing w:after="120" w:line="240" w:lineRule="auto"/>
        <w:ind w:left="714" w:hanging="357"/>
        <w:rPr>
          <w:rFonts w:ascii="Times New Roman" w:eastAsia="Times New Roman" w:hAnsi="Times New Roman"/>
          <w:noProof w:val="0"/>
          <w:color w:val="000000"/>
          <w:sz w:val="24"/>
          <w:szCs w:val="24"/>
          <w:lang w:eastAsia="en-AU"/>
        </w:rPr>
      </w:pPr>
      <w:r w:rsidRPr="003E107D">
        <w:rPr>
          <w:rFonts w:ascii="Times New Roman" w:eastAsia="Times New Roman" w:hAnsi="Times New Roman"/>
          <w:noProof w:val="0"/>
          <w:color w:val="000000"/>
          <w:sz w:val="24"/>
          <w:szCs w:val="24"/>
          <w:lang w:eastAsia="en-AU"/>
        </w:rPr>
        <w:t>the absence of dial tone or ring tone; or</w:t>
      </w:r>
    </w:p>
    <w:p w14:paraId="43C4397F" w14:textId="03D14EFA" w:rsidR="00143494" w:rsidRPr="003E107D" w:rsidRDefault="00143494" w:rsidP="003A1E64">
      <w:pPr>
        <w:pStyle w:val="ListParagraph"/>
        <w:numPr>
          <w:ilvl w:val="0"/>
          <w:numId w:val="6"/>
        </w:numPr>
        <w:shd w:val="clear" w:color="auto" w:fill="FFFFFF"/>
        <w:spacing w:after="120" w:line="240" w:lineRule="auto"/>
        <w:ind w:left="714" w:hanging="357"/>
        <w:rPr>
          <w:rFonts w:ascii="Times New Roman" w:eastAsia="Times New Roman" w:hAnsi="Times New Roman"/>
          <w:noProof w:val="0"/>
          <w:color w:val="000000"/>
          <w:sz w:val="24"/>
          <w:szCs w:val="24"/>
          <w:lang w:eastAsia="en-AU"/>
        </w:rPr>
      </w:pPr>
      <w:r w:rsidRPr="003E107D">
        <w:rPr>
          <w:rFonts w:ascii="Times New Roman" w:eastAsia="Times New Roman" w:hAnsi="Times New Roman"/>
          <w:noProof w:val="0"/>
          <w:color w:val="000000"/>
          <w:sz w:val="24"/>
          <w:szCs w:val="24"/>
          <w:lang w:eastAsia="en-AU"/>
        </w:rPr>
        <w:t>inability to make or receive calls; or</w:t>
      </w:r>
    </w:p>
    <w:p w14:paraId="59DE93D4" w14:textId="265A16B5" w:rsidR="00143494" w:rsidRPr="003E107D" w:rsidRDefault="005B7255" w:rsidP="003A1E64">
      <w:pPr>
        <w:pStyle w:val="ListParagraph"/>
        <w:numPr>
          <w:ilvl w:val="0"/>
          <w:numId w:val="6"/>
        </w:numPr>
        <w:shd w:val="clear" w:color="auto" w:fill="FFFFFF"/>
        <w:spacing w:after="120" w:line="240" w:lineRule="auto"/>
        <w:ind w:left="714" w:hanging="357"/>
        <w:rPr>
          <w:rFonts w:ascii="Times New Roman" w:eastAsia="Times New Roman" w:hAnsi="Times New Roman"/>
          <w:noProof w:val="0"/>
          <w:color w:val="000000"/>
          <w:sz w:val="24"/>
          <w:szCs w:val="24"/>
          <w:lang w:eastAsia="en-AU"/>
        </w:rPr>
      </w:pPr>
      <w:r w:rsidRPr="003E107D">
        <w:rPr>
          <w:rFonts w:ascii="Times New Roman" w:eastAsia="Times New Roman" w:hAnsi="Times New Roman"/>
          <w:noProof w:val="0"/>
          <w:color w:val="000000"/>
          <w:sz w:val="24"/>
          <w:szCs w:val="24"/>
          <w:lang w:eastAsia="en-AU"/>
        </w:rPr>
        <w:t>disruption to communications because of excessive noise levels; or</w:t>
      </w:r>
    </w:p>
    <w:p w14:paraId="4ADA0BEC" w14:textId="6BD2AADA" w:rsidR="00143494" w:rsidRPr="003E107D" w:rsidRDefault="00143494" w:rsidP="003A1E64">
      <w:pPr>
        <w:pStyle w:val="ListParagraph"/>
        <w:numPr>
          <w:ilvl w:val="0"/>
          <w:numId w:val="6"/>
        </w:numPr>
        <w:shd w:val="clear" w:color="auto" w:fill="FFFFFF"/>
        <w:spacing w:after="120" w:line="240" w:lineRule="auto"/>
        <w:ind w:left="714" w:hanging="357"/>
        <w:rPr>
          <w:rFonts w:ascii="Times New Roman" w:eastAsia="Times New Roman" w:hAnsi="Times New Roman"/>
          <w:noProof w:val="0"/>
          <w:color w:val="000000"/>
          <w:sz w:val="24"/>
          <w:szCs w:val="24"/>
          <w:lang w:eastAsia="en-AU"/>
        </w:rPr>
      </w:pPr>
      <w:r w:rsidRPr="003E107D">
        <w:rPr>
          <w:rFonts w:ascii="Times New Roman" w:eastAsia="Times New Roman" w:hAnsi="Times New Roman"/>
          <w:noProof w:val="0"/>
          <w:color w:val="000000"/>
          <w:sz w:val="24"/>
          <w:szCs w:val="24"/>
          <w:lang w:eastAsia="en-AU"/>
        </w:rPr>
        <w:t>repetition of service cut offs; or</w:t>
      </w:r>
    </w:p>
    <w:p w14:paraId="2A0849C2" w14:textId="0BF15FB0" w:rsidR="00143494" w:rsidRPr="003E107D" w:rsidRDefault="00143494" w:rsidP="003A1E64">
      <w:pPr>
        <w:pStyle w:val="ListParagraph"/>
        <w:numPr>
          <w:ilvl w:val="0"/>
          <w:numId w:val="6"/>
        </w:numPr>
        <w:shd w:val="clear" w:color="auto" w:fill="FFFFFF"/>
        <w:spacing w:after="120" w:line="240" w:lineRule="auto"/>
        <w:ind w:left="714" w:hanging="357"/>
        <w:rPr>
          <w:rFonts w:ascii="Times New Roman" w:eastAsia="Times New Roman" w:hAnsi="Times New Roman"/>
          <w:noProof w:val="0"/>
          <w:color w:val="000000"/>
          <w:sz w:val="24"/>
          <w:szCs w:val="24"/>
          <w:lang w:eastAsia="en-AU"/>
        </w:rPr>
      </w:pPr>
      <w:r w:rsidRPr="003E107D">
        <w:rPr>
          <w:rFonts w:ascii="Times New Roman" w:eastAsia="Times New Roman" w:hAnsi="Times New Roman"/>
          <w:noProof w:val="0"/>
          <w:color w:val="000000"/>
          <w:sz w:val="24"/>
          <w:szCs w:val="24"/>
          <w:lang w:eastAsia="en-AU"/>
        </w:rPr>
        <w:t>another condition that makes the service wholly or partly unusable; or</w:t>
      </w:r>
    </w:p>
    <w:p w14:paraId="1B0255F8" w14:textId="5861EF65" w:rsidR="00143494" w:rsidRPr="003E107D" w:rsidRDefault="00143494" w:rsidP="003A1E64">
      <w:pPr>
        <w:pStyle w:val="ListParagraph"/>
        <w:numPr>
          <w:ilvl w:val="0"/>
          <w:numId w:val="6"/>
        </w:numPr>
        <w:shd w:val="clear" w:color="auto" w:fill="FFFFFF"/>
        <w:spacing w:after="120" w:line="240" w:lineRule="auto"/>
        <w:ind w:left="714" w:hanging="357"/>
        <w:rPr>
          <w:rFonts w:ascii="Times New Roman" w:eastAsia="Times New Roman" w:hAnsi="Times New Roman"/>
          <w:noProof w:val="0"/>
          <w:color w:val="000000"/>
          <w:sz w:val="24"/>
          <w:szCs w:val="24"/>
          <w:lang w:eastAsia="en-AU"/>
        </w:rPr>
      </w:pPr>
      <w:r w:rsidRPr="003E107D">
        <w:rPr>
          <w:rFonts w:ascii="Times New Roman" w:eastAsia="Times New Roman" w:hAnsi="Times New Roman"/>
          <w:noProof w:val="0"/>
          <w:color w:val="000000"/>
          <w:sz w:val="24"/>
          <w:szCs w:val="24"/>
          <w:lang w:eastAsia="en-AU"/>
        </w:rPr>
        <w:t>in the case of an enhanced call handling feature</w:t>
      </w:r>
      <w:r w:rsidR="0061305E">
        <w:rPr>
          <w:rFonts w:ascii="Times New Roman" w:eastAsia="Times New Roman" w:hAnsi="Times New Roman"/>
          <w:noProof w:val="0"/>
          <w:color w:val="000000"/>
          <w:sz w:val="24"/>
          <w:szCs w:val="24"/>
          <w:lang w:eastAsia="en-AU"/>
        </w:rPr>
        <w:t xml:space="preserve"> - </w:t>
      </w:r>
      <w:r w:rsidRPr="003E107D">
        <w:rPr>
          <w:rFonts w:ascii="Times New Roman" w:eastAsia="Times New Roman" w:hAnsi="Times New Roman"/>
          <w:noProof w:val="0"/>
          <w:color w:val="000000"/>
          <w:sz w:val="24"/>
          <w:szCs w:val="24"/>
          <w:lang w:eastAsia="en-AU"/>
        </w:rPr>
        <w:t>if the feature is not operative.</w:t>
      </w:r>
    </w:p>
    <w:p w14:paraId="17542FB7" w14:textId="5E3FCD93" w:rsidR="001C1294" w:rsidRPr="002F164E" w:rsidRDefault="00143494" w:rsidP="001F1750">
      <w:pPr>
        <w:rPr>
          <w:rFonts w:ascii="Times New Roman" w:eastAsia="Times New Roman" w:hAnsi="Times New Roman"/>
          <w:noProof w:val="0"/>
          <w:color w:val="000000"/>
          <w:sz w:val="24"/>
          <w:szCs w:val="24"/>
          <w:lang w:eastAsia="en-AU"/>
        </w:rPr>
      </w:pPr>
      <w:r w:rsidRPr="002F164E">
        <w:rPr>
          <w:rFonts w:ascii="Times New Roman" w:eastAsia="Times New Roman" w:hAnsi="Times New Roman"/>
          <w:noProof w:val="0"/>
          <w:color w:val="000000"/>
          <w:sz w:val="24"/>
          <w:szCs w:val="24"/>
          <w:lang w:eastAsia="en-AU"/>
        </w:rPr>
        <w:t>It is understood that that a ‘fault’ refers to a service being wholly unusable, while in the case of a ‘service difficulty’ a service may be partially usable.</w:t>
      </w:r>
    </w:p>
    <w:p w14:paraId="39A0F0C8" w14:textId="43BA19E4" w:rsidR="00143494" w:rsidRPr="002F164E" w:rsidRDefault="00143494" w:rsidP="0087562F">
      <w:pPr>
        <w:spacing w:after="120"/>
        <w:rPr>
          <w:rFonts w:ascii="Times New Roman" w:eastAsia="Times New Roman" w:hAnsi="Times New Roman"/>
          <w:noProof w:val="0"/>
          <w:color w:val="000000"/>
          <w:sz w:val="24"/>
          <w:szCs w:val="24"/>
          <w:lang w:eastAsia="en-AU"/>
        </w:rPr>
      </w:pPr>
      <w:r w:rsidRPr="002F164E">
        <w:rPr>
          <w:rFonts w:ascii="Times New Roman" w:eastAsia="Times New Roman" w:hAnsi="Times New Roman"/>
          <w:noProof w:val="0"/>
          <w:color w:val="000000"/>
          <w:sz w:val="24"/>
          <w:szCs w:val="24"/>
          <w:lang w:eastAsia="en-AU"/>
        </w:rPr>
        <w:t>The definition of a ‘geographical locator’ refers to the mechanism used by Telstra staff to identify the location of a service, being;</w:t>
      </w:r>
    </w:p>
    <w:p w14:paraId="6E41EB1D" w14:textId="510EBF81" w:rsidR="00143494" w:rsidRPr="00CC2C5E" w:rsidRDefault="00143494" w:rsidP="003A1E64">
      <w:pPr>
        <w:pStyle w:val="ListParagraph"/>
        <w:numPr>
          <w:ilvl w:val="0"/>
          <w:numId w:val="6"/>
        </w:numPr>
        <w:shd w:val="clear" w:color="auto" w:fill="FFFFFF"/>
        <w:spacing w:after="120" w:line="240" w:lineRule="auto"/>
        <w:ind w:left="714" w:hanging="357"/>
        <w:rPr>
          <w:rFonts w:ascii="Times New Roman" w:eastAsia="Times New Roman" w:hAnsi="Times New Roman"/>
          <w:noProof w:val="0"/>
          <w:color w:val="000000"/>
          <w:sz w:val="24"/>
          <w:szCs w:val="24"/>
          <w:lang w:eastAsia="en-AU"/>
        </w:rPr>
      </w:pPr>
      <w:r w:rsidRPr="00CC2C5E">
        <w:rPr>
          <w:rFonts w:ascii="Times New Roman" w:eastAsia="Times New Roman" w:hAnsi="Times New Roman"/>
          <w:noProof w:val="0"/>
          <w:color w:val="000000"/>
          <w:sz w:val="24"/>
          <w:szCs w:val="24"/>
          <w:lang w:eastAsia="en-AU"/>
        </w:rPr>
        <w:t>in the case of a CSG service, the location in Telstra’s database; and</w:t>
      </w:r>
    </w:p>
    <w:p w14:paraId="71E5BC28" w14:textId="10B29F47" w:rsidR="00143494" w:rsidRPr="00CC2C5E" w:rsidRDefault="00143494" w:rsidP="003A1E64">
      <w:pPr>
        <w:pStyle w:val="ListParagraph"/>
        <w:numPr>
          <w:ilvl w:val="0"/>
          <w:numId w:val="6"/>
        </w:numPr>
        <w:shd w:val="clear" w:color="auto" w:fill="FFFFFF"/>
        <w:spacing w:after="120" w:line="240" w:lineRule="auto"/>
        <w:ind w:left="714" w:hanging="357"/>
        <w:rPr>
          <w:rFonts w:ascii="Times New Roman" w:eastAsia="Times New Roman" w:hAnsi="Times New Roman"/>
          <w:noProof w:val="0"/>
          <w:color w:val="000000"/>
          <w:sz w:val="24"/>
          <w:szCs w:val="24"/>
          <w:lang w:eastAsia="en-AU"/>
        </w:rPr>
      </w:pPr>
      <w:r w:rsidRPr="00CC2C5E">
        <w:rPr>
          <w:rFonts w:ascii="Times New Roman" w:eastAsia="Times New Roman" w:hAnsi="Times New Roman"/>
          <w:noProof w:val="0"/>
          <w:color w:val="000000"/>
          <w:sz w:val="24"/>
          <w:szCs w:val="24"/>
          <w:lang w:eastAsia="en-AU"/>
        </w:rPr>
        <w:t>in the case of an ESA, the ESA code which is a four letter abbreviation for an ESA. </w:t>
      </w:r>
    </w:p>
    <w:p w14:paraId="5FFCCECE" w14:textId="56CF2C31" w:rsidR="0061305E" w:rsidRPr="001F1750" w:rsidRDefault="00143494" w:rsidP="001F1750">
      <w:pPr>
        <w:rPr>
          <w:rFonts w:ascii="Times New Roman" w:eastAsia="Times New Roman" w:hAnsi="Times New Roman"/>
          <w:noProof w:val="0"/>
          <w:color w:val="000000"/>
          <w:sz w:val="24"/>
          <w:szCs w:val="24"/>
          <w:lang w:eastAsia="en-AU"/>
        </w:rPr>
      </w:pPr>
      <w:r w:rsidRPr="002F164E">
        <w:rPr>
          <w:rFonts w:ascii="Times New Roman" w:eastAsia="Times New Roman" w:hAnsi="Times New Roman"/>
          <w:noProof w:val="0"/>
          <w:color w:val="000000"/>
          <w:sz w:val="24"/>
          <w:szCs w:val="24"/>
          <w:lang w:eastAsia="en-AU"/>
        </w:rPr>
        <w:t>‘Remediation’ refers to work over and above that normally undertaken in relation to fixing a specific fault. As such</w:t>
      </w:r>
      <w:r w:rsidR="0061305E">
        <w:rPr>
          <w:rFonts w:ascii="Times New Roman" w:eastAsia="Times New Roman" w:hAnsi="Times New Roman"/>
          <w:noProof w:val="0"/>
          <w:color w:val="000000"/>
          <w:sz w:val="24"/>
          <w:szCs w:val="24"/>
          <w:lang w:eastAsia="en-AU"/>
        </w:rPr>
        <w:t>,</w:t>
      </w:r>
      <w:r w:rsidRPr="002F164E">
        <w:rPr>
          <w:rFonts w:ascii="Times New Roman" w:eastAsia="Times New Roman" w:hAnsi="Times New Roman"/>
          <w:noProof w:val="0"/>
          <w:color w:val="000000"/>
          <w:sz w:val="24"/>
          <w:szCs w:val="24"/>
          <w:lang w:eastAsia="en-AU"/>
        </w:rPr>
        <w:t xml:space="preserve"> ‘remediation’ is distinguished from ‘rectification’. As the NRF is targeting recurrent faults, there is an assumption that recurrent faults often occur due to a failure to address their root caus</w:t>
      </w:r>
      <w:r w:rsidR="0061305E">
        <w:rPr>
          <w:rFonts w:ascii="Times New Roman" w:eastAsia="Times New Roman" w:hAnsi="Times New Roman"/>
          <w:noProof w:val="0"/>
          <w:color w:val="000000"/>
          <w:sz w:val="24"/>
          <w:szCs w:val="24"/>
          <w:lang w:eastAsia="en-AU"/>
        </w:rPr>
        <w:t>e</w:t>
      </w:r>
      <w:r w:rsidR="000D1A1F">
        <w:rPr>
          <w:rFonts w:ascii="Times New Roman" w:eastAsia="Times New Roman" w:hAnsi="Times New Roman"/>
          <w:noProof w:val="0"/>
          <w:color w:val="000000"/>
          <w:sz w:val="24"/>
          <w:szCs w:val="24"/>
          <w:lang w:eastAsia="en-AU"/>
        </w:rPr>
        <w:t xml:space="preserve"> (i.e. </w:t>
      </w:r>
      <w:r w:rsidRPr="002F164E">
        <w:rPr>
          <w:rFonts w:ascii="Times New Roman" w:eastAsia="Times New Roman" w:hAnsi="Times New Roman"/>
          <w:noProof w:val="0"/>
          <w:color w:val="000000"/>
          <w:sz w:val="24"/>
          <w:szCs w:val="24"/>
          <w:lang w:eastAsia="en-AU"/>
        </w:rPr>
        <w:t>recurrent faults may be repeatedly fixed without addressing their real cause</w:t>
      </w:r>
      <w:r w:rsidR="000D1A1F">
        <w:rPr>
          <w:rFonts w:ascii="Times New Roman" w:eastAsia="Times New Roman" w:hAnsi="Times New Roman"/>
          <w:noProof w:val="0"/>
          <w:color w:val="000000"/>
          <w:sz w:val="24"/>
          <w:szCs w:val="24"/>
          <w:lang w:eastAsia="en-AU"/>
        </w:rPr>
        <w:t>)</w:t>
      </w:r>
      <w:r w:rsidRPr="002F164E">
        <w:rPr>
          <w:rFonts w:ascii="Times New Roman" w:eastAsia="Times New Roman" w:hAnsi="Times New Roman"/>
          <w:noProof w:val="0"/>
          <w:color w:val="000000"/>
          <w:sz w:val="24"/>
          <w:szCs w:val="24"/>
          <w:lang w:eastAsia="en-AU"/>
        </w:rPr>
        <w:t>. Remedying a service will involve work to address system</w:t>
      </w:r>
      <w:r w:rsidR="005B7255" w:rsidRPr="002F164E">
        <w:rPr>
          <w:rFonts w:ascii="Times New Roman" w:eastAsia="Times New Roman" w:hAnsi="Times New Roman"/>
          <w:noProof w:val="0"/>
          <w:color w:val="000000"/>
          <w:sz w:val="24"/>
          <w:szCs w:val="24"/>
          <w:lang w:eastAsia="en-AU"/>
        </w:rPr>
        <w:t>at</w:t>
      </w:r>
      <w:r w:rsidRPr="002F164E">
        <w:rPr>
          <w:rFonts w:ascii="Times New Roman" w:eastAsia="Times New Roman" w:hAnsi="Times New Roman"/>
          <w:noProof w:val="0"/>
          <w:color w:val="000000"/>
          <w:sz w:val="24"/>
          <w:szCs w:val="24"/>
          <w:lang w:eastAsia="en-AU"/>
        </w:rPr>
        <w:t>ic problems with a service (e</w:t>
      </w:r>
      <w:r w:rsidR="00C647C7">
        <w:rPr>
          <w:rFonts w:ascii="Times New Roman" w:eastAsia="Times New Roman" w:hAnsi="Times New Roman"/>
          <w:noProof w:val="0"/>
          <w:color w:val="000000"/>
          <w:sz w:val="24"/>
          <w:szCs w:val="24"/>
          <w:lang w:eastAsia="en-AU"/>
        </w:rPr>
        <w:t>.</w:t>
      </w:r>
      <w:r w:rsidRPr="002F164E">
        <w:rPr>
          <w:rFonts w:ascii="Times New Roman" w:eastAsia="Times New Roman" w:hAnsi="Times New Roman"/>
          <w:noProof w:val="0"/>
          <w:color w:val="000000"/>
          <w:sz w:val="24"/>
          <w:szCs w:val="24"/>
          <w:lang w:eastAsia="en-AU"/>
        </w:rPr>
        <w:t>g. the root cause of recurrent problems) with a view to improving the overall reliability of the service and eliminating recurrent faults.</w:t>
      </w:r>
    </w:p>
    <w:p w14:paraId="5F2EF3ED" w14:textId="19E22406" w:rsidR="00752801" w:rsidRPr="001F1750" w:rsidRDefault="004A5CD3">
      <w:pPr>
        <w:rPr>
          <w:rFonts w:ascii="Times New Roman" w:eastAsia="Times New Roman" w:hAnsi="Times New Roman"/>
          <w:noProof w:val="0"/>
          <w:color w:val="000000"/>
          <w:sz w:val="24"/>
          <w:szCs w:val="24"/>
          <w:lang w:eastAsia="en-AU"/>
        </w:rPr>
      </w:pPr>
      <w:r w:rsidRPr="001F1750">
        <w:rPr>
          <w:rFonts w:ascii="Times New Roman" w:eastAsia="Times New Roman" w:hAnsi="Times New Roman"/>
          <w:noProof w:val="0"/>
          <w:color w:val="000000"/>
          <w:sz w:val="24"/>
          <w:szCs w:val="24"/>
          <w:lang w:eastAsia="en-AU"/>
        </w:rPr>
        <w:t>Subsection</w:t>
      </w:r>
      <w:r w:rsidR="00E14447" w:rsidRPr="001F1750">
        <w:rPr>
          <w:rFonts w:ascii="Times New Roman" w:eastAsia="Times New Roman" w:hAnsi="Times New Roman"/>
          <w:noProof w:val="0"/>
          <w:color w:val="000000"/>
          <w:sz w:val="24"/>
          <w:szCs w:val="24"/>
          <w:lang w:eastAsia="en-AU"/>
        </w:rPr>
        <w:t xml:space="preserve"> 14(2) provides a general provision that any information or report that is required to be provided to </w:t>
      </w:r>
      <w:r w:rsidR="0061305E" w:rsidRPr="001F1750">
        <w:rPr>
          <w:rFonts w:ascii="Times New Roman" w:eastAsia="Times New Roman" w:hAnsi="Times New Roman"/>
          <w:noProof w:val="0"/>
          <w:color w:val="000000"/>
          <w:sz w:val="24"/>
          <w:szCs w:val="24"/>
          <w:lang w:eastAsia="en-AU"/>
        </w:rPr>
        <w:t xml:space="preserve">the </w:t>
      </w:r>
      <w:r w:rsidR="00E14447" w:rsidRPr="001F1750">
        <w:rPr>
          <w:rFonts w:ascii="Times New Roman" w:eastAsia="Times New Roman" w:hAnsi="Times New Roman"/>
          <w:noProof w:val="0"/>
          <w:color w:val="000000"/>
          <w:sz w:val="24"/>
          <w:szCs w:val="24"/>
          <w:lang w:eastAsia="en-AU"/>
        </w:rPr>
        <w:t xml:space="preserve">ACMA under </w:t>
      </w:r>
      <w:r w:rsidR="00E16F7B" w:rsidRPr="001F1750">
        <w:rPr>
          <w:rFonts w:ascii="Times New Roman" w:eastAsia="Times New Roman" w:hAnsi="Times New Roman"/>
          <w:noProof w:val="0"/>
          <w:color w:val="000000"/>
          <w:sz w:val="24"/>
          <w:szCs w:val="24"/>
          <w:lang w:eastAsia="en-AU"/>
        </w:rPr>
        <w:t xml:space="preserve">sections </w:t>
      </w:r>
      <w:r w:rsidR="00E14447" w:rsidRPr="001F1750">
        <w:rPr>
          <w:rFonts w:ascii="Times New Roman" w:eastAsia="Times New Roman" w:hAnsi="Times New Roman"/>
          <w:noProof w:val="0"/>
          <w:color w:val="000000"/>
          <w:sz w:val="24"/>
          <w:szCs w:val="24"/>
          <w:lang w:eastAsia="en-AU"/>
        </w:rPr>
        <w:t xml:space="preserve">15, 16 and 17 of the framework must be in a form approved by </w:t>
      </w:r>
      <w:r w:rsidR="0061305E" w:rsidRPr="001F1750">
        <w:rPr>
          <w:rFonts w:ascii="Times New Roman" w:eastAsia="Times New Roman" w:hAnsi="Times New Roman"/>
          <w:noProof w:val="0"/>
          <w:color w:val="000000"/>
          <w:sz w:val="24"/>
          <w:szCs w:val="24"/>
          <w:lang w:eastAsia="en-AU"/>
        </w:rPr>
        <w:t xml:space="preserve">the </w:t>
      </w:r>
      <w:r w:rsidR="00E14447" w:rsidRPr="001F1750">
        <w:rPr>
          <w:rFonts w:ascii="Times New Roman" w:eastAsia="Times New Roman" w:hAnsi="Times New Roman"/>
          <w:noProof w:val="0"/>
          <w:color w:val="000000"/>
          <w:sz w:val="24"/>
          <w:szCs w:val="24"/>
          <w:lang w:eastAsia="en-AU"/>
        </w:rPr>
        <w:t>ACMA.</w:t>
      </w:r>
    </w:p>
    <w:p w14:paraId="03454E03" w14:textId="5D58022F" w:rsidR="00143494" w:rsidRPr="001F1750" w:rsidRDefault="004A5CD3" w:rsidP="00EF7A08">
      <w:pPr>
        <w:rPr>
          <w:rFonts w:ascii="Times New Roman" w:eastAsia="Times New Roman" w:hAnsi="Times New Roman"/>
          <w:noProof w:val="0"/>
          <w:color w:val="000000"/>
          <w:sz w:val="24"/>
          <w:szCs w:val="24"/>
          <w:lang w:eastAsia="en-AU"/>
        </w:rPr>
      </w:pPr>
      <w:r w:rsidRPr="001F1750">
        <w:rPr>
          <w:rFonts w:ascii="Times New Roman" w:eastAsia="Times New Roman" w:hAnsi="Times New Roman"/>
          <w:noProof w:val="0"/>
          <w:color w:val="000000"/>
          <w:sz w:val="24"/>
          <w:szCs w:val="24"/>
          <w:lang w:eastAsia="en-AU"/>
        </w:rPr>
        <w:t>Subsection</w:t>
      </w:r>
      <w:r w:rsidR="00E14447" w:rsidRPr="001F1750">
        <w:rPr>
          <w:rFonts w:ascii="Times New Roman" w:eastAsia="Times New Roman" w:hAnsi="Times New Roman"/>
          <w:noProof w:val="0"/>
          <w:color w:val="000000"/>
          <w:sz w:val="24"/>
          <w:szCs w:val="24"/>
          <w:lang w:eastAsia="en-AU"/>
        </w:rPr>
        <w:t xml:space="preserve"> 14(3) specifies that the relative performance of cable runs, which need to be ranked for the purposes of </w:t>
      </w:r>
      <w:r w:rsidR="004023D4" w:rsidRPr="001F1750">
        <w:rPr>
          <w:rFonts w:ascii="Times New Roman" w:eastAsia="Times New Roman" w:hAnsi="Times New Roman"/>
          <w:noProof w:val="0"/>
          <w:color w:val="000000"/>
          <w:sz w:val="24"/>
          <w:szCs w:val="24"/>
          <w:lang w:eastAsia="en-AU"/>
        </w:rPr>
        <w:t xml:space="preserve">section </w:t>
      </w:r>
      <w:r w:rsidR="002D5892" w:rsidRPr="001F1750">
        <w:rPr>
          <w:rFonts w:ascii="Times New Roman" w:eastAsia="Times New Roman" w:hAnsi="Times New Roman"/>
          <w:noProof w:val="0"/>
          <w:color w:val="000000"/>
          <w:sz w:val="24"/>
          <w:szCs w:val="24"/>
          <w:lang w:eastAsia="en-AU"/>
        </w:rPr>
        <w:t>1</w:t>
      </w:r>
      <w:r w:rsidR="00E14447" w:rsidRPr="001F1750">
        <w:rPr>
          <w:rFonts w:ascii="Times New Roman" w:eastAsia="Times New Roman" w:hAnsi="Times New Roman"/>
          <w:noProof w:val="0"/>
          <w:color w:val="000000"/>
          <w:sz w:val="24"/>
          <w:szCs w:val="24"/>
          <w:lang w:eastAsia="en-AU"/>
        </w:rPr>
        <w:t>6(</w:t>
      </w:r>
      <w:r w:rsidR="002D5892" w:rsidRPr="001F1750">
        <w:rPr>
          <w:rFonts w:ascii="Times New Roman" w:eastAsia="Times New Roman" w:hAnsi="Times New Roman"/>
          <w:noProof w:val="0"/>
          <w:color w:val="000000"/>
          <w:sz w:val="24"/>
          <w:szCs w:val="24"/>
          <w:lang w:eastAsia="en-AU"/>
        </w:rPr>
        <w:t>2</w:t>
      </w:r>
      <w:r w:rsidR="00E14447" w:rsidRPr="001F1750">
        <w:rPr>
          <w:rFonts w:ascii="Times New Roman" w:eastAsia="Times New Roman" w:hAnsi="Times New Roman"/>
          <w:noProof w:val="0"/>
          <w:color w:val="000000"/>
          <w:sz w:val="24"/>
          <w:szCs w:val="24"/>
          <w:lang w:eastAsia="en-AU"/>
        </w:rPr>
        <w:t>) to allow for the selection of the worst performing cable runs, is to be assessed by a method approved in writing by ACMA.</w:t>
      </w:r>
    </w:p>
    <w:p w14:paraId="4C0FA3C6" w14:textId="64180B7B" w:rsidR="00EF7A08" w:rsidRPr="002F164E" w:rsidRDefault="00EF7A08" w:rsidP="001F1750">
      <w:pPr>
        <w:keepNext/>
        <w:rPr>
          <w:rFonts w:ascii="Times New Roman" w:hAnsi="Times New Roman"/>
          <w:b/>
          <w:sz w:val="24"/>
          <w:szCs w:val="24"/>
        </w:rPr>
      </w:pPr>
      <w:r w:rsidRPr="002F164E">
        <w:rPr>
          <w:rFonts w:ascii="Times New Roman" w:hAnsi="Times New Roman"/>
          <w:b/>
          <w:sz w:val="24"/>
          <w:szCs w:val="24"/>
        </w:rPr>
        <w:t>Section 15 – Monitoring and Reporting of the Field Service Area (FSA) Level</w:t>
      </w:r>
    </w:p>
    <w:p w14:paraId="3E655478" w14:textId="3A89AA48" w:rsidR="004023D4" w:rsidRPr="002532AF" w:rsidRDefault="002D5892" w:rsidP="003E107D">
      <w:pPr>
        <w:rPr>
          <w:rFonts w:ascii="Times New Roman" w:hAnsi="Times New Roman"/>
          <w:color w:val="000000"/>
          <w:sz w:val="24"/>
          <w:szCs w:val="24"/>
          <w:shd w:val="clear" w:color="auto" w:fill="FFFFFF"/>
        </w:rPr>
      </w:pPr>
      <w:r>
        <w:rPr>
          <w:rFonts w:ascii="Times New Roman" w:hAnsi="Times New Roman"/>
          <w:color w:val="000000"/>
          <w:sz w:val="24"/>
          <w:szCs w:val="24"/>
        </w:rPr>
        <w:t xml:space="preserve">Section 15 </w:t>
      </w:r>
      <w:r w:rsidR="00585E2A" w:rsidRPr="002F164E">
        <w:rPr>
          <w:rFonts w:ascii="Times New Roman" w:hAnsi="Times New Roman"/>
          <w:color w:val="000000"/>
          <w:sz w:val="24"/>
          <w:szCs w:val="24"/>
        </w:rPr>
        <w:t>gives effect to ‘Level 1’ of the NRF, the purpose of which is to provide the public with useful and recent information regarding the reliability of telephone services nationally and in different regions within Australia</w:t>
      </w:r>
      <w:r w:rsidR="00585E2A" w:rsidRPr="002F164E">
        <w:rPr>
          <w:rFonts w:ascii="Times New Roman" w:hAnsi="Times New Roman"/>
          <w:color w:val="000000"/>
          <w:sz w:val="24"/>
          <w:szCs w:val="24"/>
          <w:lang w:val="en-US"/>
        </w:rPr>
        <w:t>.</w:t>
      </w:r>
      <w:r w:rsidR="004023D4" w:rsidRPr="004023D4">
        <w:rPr>
          <w:rFonts w:ascii="Times New Roman" w:hAnsi="Times New Roman"/>
          <w:color w:val="000000"/>
          <w:sz w:val="24"/>
          <w:szCs w:val="24"/>
          <w:shd w:val="clear" w:color="auto" w:fill="FFFFFF"/>
        </w:rPr>
        <w:t xml:space="preserve"> </w:t>
      </w:r>
    </w:p>
    <w:p w14:paraId="4FC7FDC1" w14:textId="2AF6F7CE" w:rsidR="00585E2A" w:rsidRPr="002F164E" w:rsidRDefault="004A5CD3" w:rsidP="0087562F">
      <w:pPr>
        <w:shd w:val="clear" w:color="auto" w:fill="FFFFFF"/>
        <w:spacing w:after="120"/>
        <w:rPr>
          <w:rFonts w:ascii="Times New Roman" w:hAnsi="Times New Roman"/>
          <w:color w:val="000000"/>
          <w:sz w:val="24"/>
          <w:szCs w:val="24"/>
        </w:rPr>
      </w:pPr>
      <w:r w:rsidRPr="002F164E">
        <w:rPr>
          <w:rFonts w:ascii="Times New Roman" w:hAnsi="Times New Roman"/>
          <w:color w:val="000000"/>
          <w:sz w:val="24"/>
          <w:szCs w:val="24"/>
        </w:rPr>
        <w:t>Subsection</w:t>
      </w:r>
      <w:r w:rsidR="0063089C" w:rsidRPr="002F164E">
        <w:rPr>
          <w:rFonts w:ascii="Times New Roman" w:hAnsi="Times New Roman"/>
          <w:color w:val="000000"/>
          <w:sz w:val="24"/>
          <w:szCs w:val="24"/>
        </w:rPr>
        <w:t xml:space="preserve"> 15</w:t>
      </w:r>
      <w:r w:rsidR="00585E2A" w:rsidRPr="002F164E">
        <w:rPr>
          <w:rFonts w:ascii="Times New Roman" w:hAnsi="Times New Roman"/>
          <w:color w:val="000000"/>
          <w:sz w:val="24"/>
          <w:szCs w:val="24"/>
        </w:rPr>
        <w:t xml:space="preserve">(1) requires Telstra to report to </w:t>
      </w:r>
      <w:r w:rsidR="0061305E">
        <w:rPr>
          <w:rFonts w:ascii="Times New Roman" w:hAnsi="Times New Roman"/>
          <w:color w:val="000000"/>
          <w:sz w:val="24"/>
          <w:szCs w:val="24"/>
        </w:rPr>
        <w:t xml:space="preserve">the </w:t>
      </w:r>
      <w:r w:rsidR="00585E2A" w:rsidRPr="002F164E">
        <w:rPr>
          <w:rFonts w:ascii="Times New Roman" w:hAnsi="Times New Roman"/>
          <w:color w:val="000000"/>
          <w:sz w:val="24"/>
          <w:szCs w:val="24"/>
        </w:rPr>
        <w:t xml:space="preserve">ACMA on a monthly basis (or such other timeframe as </w:t>
      </w:r>
      <w:r w:rsidR="0061305E">
        <w:rPr>
          <w:rFonts w:ascii="Times New Roman" w:hAnsi="Times New Roman"/>
          <w:color w:val="000000"/>
          <w:sz w:val="24"/>
          <w:szCs w:val="24"/>
        </w:rPr>
        <w:t xml:space="preserve">the </w:t>
      </w:r>
      <w:r w:rsidR="00585E2A" w:rsidRPr="002F164E">
        <w:rPr>
          <w:rFonts w:ascii="Times New Roman" w:hAnsi="Times New Roman"/>
          <w:color w:val="000000"/>
          <w:sz w:val="24"/>
          <w:szCs w:val="24"/>
        </w:rPr>
        <w:t>ACMA agrees in writing) on:</w:t>
      </w:r>
    </w:p>
    <w:p w14:paraId="38FD5D3A" w14:textId="15DC6C38" w:rsidR="00585E2A" w:rsidRPr="002F164E" w:rsidRDefault="00585E2A" w:rsidP="003A1E64">
      <w:pPr>
        <w:pStyle w:val="BodyText"/>
        <w:numPr>
          <w:ilvl w:val="0"/>
          <w:numId w:val="4"/>
        </w:numPr>
        <w:shd w:val="clear" w:color="auto" w:fill="FFFFFF"/>
        <w:spacing w:after="0"/>
        <w:ind w:right="-329"/>
        <w:rPr>
          <w:rFonts w:ascii="Times New Roman" w:hAnsi="Times New Roman"/>
          <w:color w:val="000000"/>
          <w:sz w:val="24"/>
          <w:szCs w:val="24"/>
        </w:rPr>
      </w:pPr>
      <w:r w:rsidRPr="002F164E">
        <w:rPr>
          <w:rFonts w:ascii="Times New Roman" w:hAnsi="Times New Roman"/>
          <w:color w:val="000000"/>
          <w:sz w:val="24"/>
          <w:szCs w:val="24"/>
        </w:rPr>
        <w:t>the percentage of CSG services free from faults or service difficulties nationally and in each FSA; and</w:t>
      </w:r>
    </w:p>
    <w:p w14:paraId="6AEE569B" w14:textId="057C1FB8" w:rsidR="00585E2A" w:rsidRPr="002F164E" w:rsidRDefault="00585E2A" w:rsidP="003A1E64">
      <w:pPr>
        <w:pStyle w:val="BodyText"/>
        <w:numPr>
          <w:ilvl w:val="0"/>
          <w:numId w:val="4"/>
        </w:numPr>
        <w:shd w:val="clear" w:color="auto" w:fill="FFFFFF"/>
        <w:spacing w:after="0"/>
        <w:rPr>
          <w:rFonts w:ascii="Times New Roman" w:hAnsi="Times New Roman"/>
          <w:color w:val="000000"/>
          <w:sz w:val="24"/>
          <w:szCs w:val="24"/>
        </w:rPr>
      </w:pPr>
      <w:r w:rsidRPr="002F164E">
        <w:rPr>
          <w:rFonts w:ascii="Times New Roman" w:hAnsi="Times New Roman"/>
          <w:color w:val="000000"/>
          <w:sz w:val="24"/>
          <w:szCs w:val="24"/>
        </w:rPr>
        <w:t>the average availability (in terms of time) of CSG services nationally and in each FSA.</w:t>
      </w:r>
    </w:p>
    <w:p w14:paraId="459ADCFB" w14:textId="700D2D8C" w:rsidR="00585E2A" w:rsidRPr="002F164E" w:rsidRDefault="0063089C" w:rsidP="00585E2A">
      <w:pPr>
        <w:pStyle w:val="BodyText"/>
        <w:shd w:val="clear" w:color="auto" w:fill="FFFFFF"/>
        <w:spacing w:after="0"/>
        <w:rPr>
          <w:rFonts w:ascii="Times New Roman" w:hAnsi="Times New Roman"/>
          <w:color w:val="000000"/>
          <w:sz w:val="24"/>
          <w:szCs w:val="24"/>
        </w:rPr>
      </w:pPr>
      <w:r w:rsidRPr="002F164E">
        <w:rPr>
          <w:rFonts w:ascii="Times New Roman" w:hAnsi="Times New Roman"/>
          <w:color w:val="000000"/>
          <w:sz w:val="24"/>
          <w:szCs w:val="24"/>
          <w:shd w:val="clear" w:color="auto" w:fill="FFFFFF"/>
        </w:rPr>
        <w:t xml:space="preserve">Supporting data is further required to enable </w:t>
      </w:r>
      <w:r w:rsidR="0061305E">
        <w:rPr>
          <w:rFonts w:ascii="Times New Roman" w:hAnsi="Times New Roman"/>
          <w:color w:val="000000"/>
          <w:sz w:val="24"/>
          <w:szCs w:val="24"/>
          <w:shd w:val="clear" w:color="auto" w:fill="FFFFFF"/>
        </w:rPr>
        <w:t xml:space="preserve">the </w:t>
      </w:r>
      <w:r w:rsidRPr="002F164E">
        <w:rPr>
          <w:rFonts w:ascii="Times New Roman" w:hAnsi="Times New Roman"/>
          <w:color w:val="000000"/>
          <w:sz w:val="24"/>
          <w:szCs w:val="24"/>
          <w:shd w:val="clear" w:color="auto" w:fill="FFFFFF"/>
        </w:rPr>
        <w:t>ACMA to validate the licensee’s reports, if necessary, and to collate and analyse trend information over an extended period of time. For example, this supporting data will enable</w:t>
      </w:r>
      <w:r w:rsidR="0061305E">
        <w:rPr>
          <w:rFonts w:ascii="Times New Roman" w:hAnsi="Times New Roman"/>
          <w:color w:val="000000"/>
          <w:sz w:val="24"/>
          <w:szCs w:val="24"/>
          <w:shd w:val="clear" w:color="auto" w:fill="FFFFFF"/>
        </w:rPr>
        <w:t xml:space="preserve"> the</w:t>
      </w:r>
      <w:r w:rsidRPr="002F164E">
        <w:rPr>
          <w:rFonts w:ascii="Times New Roman" w:hAnsi="Times New Roman"/>
          <w:color w:val="000000"/>
          <w:sz w:val="24"/>
          <w:szCs w:val="24"/>
          <w:shd w:val="clear" w:color="auto" w:fill="FFFFFF"/>
        </w:rPr>
        <w:t xml:space="preserve"> ACMA to undertake further analysis on average performance in aggregated regions or over specific periods. </w:t>
      </w:r>
      <w:r w:rsidR="004A5CD3" w:rsidRPr="002F164E">
        <w:rPr>
          <w:rFonts w:ascii="Times New Roman" w:hAnsi="Times New Roman"/>
          <w:color w:val="000000"/>
          <w:sz w:val="24"/>
          <w:szCs w:val="24"/>
          <w:shd w:val="clear" w:color="auto" w:fill="FFFFFF"/>
        </w:rPr>
        <w:t>Subsection</w:t>
      </w:r>
      <w:r w:rsidRPr="002F164E">
        <w:rPr>
          <w:rFonts w:ascii="Times New Roman" w:hAnsi="Times New Roman"/>
          <w:color w:val="000000"/>
          <w:sz w:val="24"/>
          <w:szCs w:val="24"/>
          <w:shd w:val="clear" w:color="auto" w:fill="FFFFFF"/>
        </w:rPr>
        <w:t xml:space="preserve"> 15(2) provides minimum requirements for the supporting data that the licensee must provide to </w:t>
      </w:r>
      <w:r w:rsidR="0061305E">
        <w:rPr>
          <w:rFonts w:ascii="Times New Roman" w:hAnsi="Times New Roman"/>
          <w:color w:val="000000"/>
          <w:sz w:val="24"/>
          <w:szCs w:val="24"/>
          <w:shd w:val="clear" w:color="auto" w:fill="FFFFFF"/>
        </w:rPr>
        <w:t xml:space="preserve">the </w:t>
      </w:r>
      <w:r w:rsidRPr="002F164E">
        <w:rPr>
          <w:rFonts w:ascii="Times New Roman" w:hAnsi="Times New Roman"/>
          <w:color w:val="000000"/>
          <w:sz w:val="24"/>
          <w:szCs w:val="24"/>
          <w:shd w:val="clear" w:color="auto" w:fill="FFFFFF"/>
        </w:rPr>
        <w:t xml:space="preserve">ACMA. The </w:t>
      </w:r>
      <w:r w:rsidR="004A5CD3" w:rsidRPr="002F164E">
        <w:rPr>
          <w:rFonts w:ascii="Times New Roman" w:hAnsi="Times New Roman"/>
          <w:color w:val="000000"/>
          <w:sz w:val="24"/>
          <w:szCs w:val="24"/>
          <w:shd w:val="clear" w:color="auto" w:fill="FFFFFF"/>
        </w:rPr>
        <w:t>subsection</w:t>
      </w:r>
      <w:r w:rsidRPr="002F164E">
        <w:rPr>
          <w:rFonts w:ascii="Times New Roman" w:hAnsi="Times New Roman"/>
          <w:color w:val="000000"/>
          <w:sz w:val="24"/>
          <w:szCs w:val="24"/>
          <w:shd w:val="clear" w:color="auto" w:fill="FFFFFF"/>
        </w:rPr>
        <w:t xml:space="preserve"> provides that the supporting data will include the total numbers of CSG services in operation, the numbers of CSG services that have one or more fault or service difficulties for the preceding calendar month as well as a summation of the times required to repair all CSG fault or service difficulties.</w:t>
      </w:r>
    </w:p>
    <w:p w14:paraId="5550E49E" w14:textId="77777777" w:rsidR="00585E2A" w:rsidRPr="002F164E" w:rsidRDefault="00585E2A" w:rsidP="00585E2A">
      <w:pPr>
        <w:pStyle w:val="BodyText"/>
        <w:shd w:val="clear" w:color="auto" w:fill="FFFFFF"/>
        <w:spacing w:after="0"/>
        <w:rPr>
          <w:rFonts w:ascii="Times New Roman" w:hAnsi="Times New Roman"/>
          <w:color w:val="000000"/>
          <w:sz w:val="24"/>
          <w:szCs w:val="24"/>
        </w:rPr>
      </w:pPr>
    </w:p>
    <w:p w14:paraId="5AE70C65" w14:textId="2186EB27" w:rsidR="0063089C" w:rsidRPr="002F164E" w:rsidRDefault="004A5CD3" w:rsidP="00585E2A">
      <w:pPr>
        <w:pStyle w:val="BodyText"/>
        <w:shd w:val="clear" w:color="auto" w:fill="FFFFFF"/>
        <w:spacing w:after="0"/>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AB7D8E" w:rsidRPr="002F164E">
        <w:rPr>
          <w:rFonts w:ascii="Times New Roman" w:hAnsi="Times New Roman"/>
          <w:color w:val="000000"/>
          <w:sz w:val="24"/>
          <w:szCs w:val="24"/>
          <w:shd w:val="clear" w:color="auto" w:fill="FFFFFF"/>
        </w:rPr>
        <w:t xml:space="preserve"> 1</w:t>
      </w:r>
      <w:r w:rsidR="0063089C" w:rsidRPr="002F164E">
        <w:rPr>
          <w:rFonts w:ascii="Times New Roman" w:hAnsi="Times New Roman"/>
          <w:color w:val="000000"/>
          <w:sz w:val="24"/>
          <w:szCs w:val="24"/>
          <w:shd w:val="clear" w:color="auto" w:fill="FFFFFF"/>
        </w:rPr>
        <w:t>5(3) requires Telstra to publish the report pr</w:t>
      </w:r>
      <w:r w:rsidR="00AB7D8E" w:rsidRPr="002F164E">
        <w:rPr>
          <w:rFonts w:ascii="Times New Roman" w:hAnsi="Times New Roman"/>
          <w:color w:val="000000"/>
          <w:sz w:val="24"/>
          <w:szCs w:val="24"/>
          <w:shd w:val="clear" w:color="auto" w:fill="FFFFFF"/>
        </w:rPr>
        <w:t>ovided to</w:t>
      </w:r>
      <w:r w:rsidR="0061305E">
        <w:rPr>
          <w:rFonts w:ascii="Times New Roman" w:hAnsi="Times New Roman"/>
          <w:color w:val="000000"/>
          <w:sz w:val="24"/>
          <w:szCs w:val="24"/>
          <w:shd w:val="clear" w:color="auto" w:fill="FFFFFF"/>
        </w:rPr>
        <w:t xml:space="preserve"> the</w:t>
      </w:r>
      <w:r w:rsidR="00AB7D8E" w:rsidRPr="002F164E">
        <w:rPr>
          <w:rFonts w:ascii="Times New Roman" w:hAnsi="Times New Roman"/>
          <w:color w:val="000000"/>
          <w:sz w:val="24"/>
          <w:szCs w:val="24"/>
          <w:shd w:val="clear" w:color="auto" w:fill="FFFFFF"/>
        </w:rPr>
        <w:t xml:space="preserve"> ACMA under </w:t>
      </w:r>
      <w:r w:rsidRPr="002F164E">
        <w:rPr>
          <w:rFonts w:ascii="Times New Roman" w:hAnsi="Times New Roman"/>
          <w:color w:val="000000"/>
          <w:sz w:val="24"/>
          <w:szCs w:val="24"/>
          <w:shd w:val="clear" w:color="auto" w:fill="FFFFFF"/>
        </w:rPr>
        <w:t>subsection</w:t>
      </w:r>
      <w:r w:rsidR="00AB7D8E" w:rsidRPr="002F164E">
        <w:rPr>
          <w:rFonts w:ascii="Times New Roman" w:hAnsi="Times New Roman"/>
          <w:color w:val="000000"/>
          <w:sz w:val="24"/>
          <w:szCs w:val="24"/>
          <w:shd w:val="clear" w:color="auto" w:fill="FFFFFF"/>
        </w:rPr>
        <w:t xml:space="preserve"> 1</w:t>
      </w:r>
      <w:r w:rsidR="0063089C" w:rsidRPr="002F164E">
        <w:rPr>
          <w:rFonts w:ascii="Times New Roman" w:hAnsi="Times New Roman"/>
          <w:color w:val="000000"/>
          <w:sz w:val="24"/>
          <w:szCs w:val="24"/>
          <w:shd w:val="clear" w:color="auto" w:fill="FFFFFF"/>
        </w:rPr>
        <w:t xml:space="preserve">5(1) within 20 working days of the end of the calendar month or such other timeframe as </w:t>
      </w:r>
      <w:r w:rsidR="005841D7">
        <w:rPr>
          <w:rFonts w:ascii="Times New Roman" w:hAnsi="Times New Roman"/>
          <w:color w:val="000000"/>
          <w:sz w:val="24"/>
          <w:szCs w:val="24"/>
          <w:shd w:val="clear" w:color="auto" w:fill="FFFFFF"/>
        </w:rPr>
        <w:t xml:space="preserve">the </w:t>
      </w:r>
      <w:r w:rsidR="0063089C" w:rsidRPr="002F164E">
        <w:rPr>
          <w:rFonts w:ascii="Times New Roman" w:hAnsi="Times New Roman"/>
          <w:color w:val="000000"/>
          <w:sz w:val="24"/>
          <w:szCs w:val="24"/>
          <w:shd w:val="clear" w:color="auto" w:fill="FFFFFF"/>
        </w:rPr>
        <w:t>ACMA agrees in writing. The requirement that this information be published on a monthly basis is designed to provide consumers with up-to-date information about service reliability in their region and nationally, as well as allowing consumers to view comparative information regarding service levels in other regions.</w:t>
      </w:r>
    </w:p>
    <w:p w14:paraId="40F9D1DE" w14:textId="4C5679C0" w:rsidR="00585E2A" w:rsidRPr="002F164E" w:rsidRDefault="00585E2A" w:rsidP="00585E2A">
      <w:pPr>
        <w:pStyle w:val="BodyText"/>
        <w:shd w:val="clear" w:color="auto" w:fill="FFFFFF"/>
        <w:spacing w:after="0"/>
        <w:rPr>
          <w:rFonts w:ascii="Times New Roman" w:hAnsi="Times New Roman"/>
          <w:color w:val="000000"/>
          <w:sz w:val="24"/>
          <w:szCs w:val="24"/>
        </w:rPr>
      </w:pPr>
    </w:p>
    <w:p w14:paraId="7660CCCC" w14:textId="79719D07" w:rsidR="00AB7D8E" w:rsidRPr="002F164E" w:rsidRDefault="00585E2A" w:rsidP="00AB7D8E">
      <w:pPr>
        <w:pStyle w:val="BodyText"/>
        <w:shd w:val="clear" w:color="auto" w:fill="FFFFFF"/>
        <w:spacing w:after="0"/>
        <w:rPr>
          <w:rFonts w:ascii="Times New Roman" w:eastAsia="Times New Roman" w:hAnsi="Times New Roman"/>
          <w:noProof w:val="0"/>
          <w:color w:val="000000"/>
          <w:sz w:val="24"/>
          <w:szCs w:val="24"/>
        </w:rPr>
      </w:pPr>
      <w:r w:rsidRPr="002F164E">
        <w:rPr>
          <w:rFonts w:ascii="Times New Roman" w:hAnsi="Times New Roman"/>
          <w:color w:val="000000"/>
          <w:sz w:val="24"/>
          <w:szCs w:val="24"/>
        </w:rPr>
        <w:t xml:space="preserve">Paragraph </w:t>
      </w:r>
      <w:r w:rsidR="00AB7D8E" w:rsidRPr="002F164E">
        <w:rPr>
          <w:rFonts w:ascii="Times New Roman" w:hAnsi="Times New Roman"/>
          <w:color w:val="000000"/>
          <w:sz w:val="24"/>
          <w:szCs w:val="24"/>
        </w:rPr>
        <w:t>15</w:t>
      </w:r>
      <w:r w:rsidRPr="002F164E">
        <w:rPr>
          <w:rFonts w:ascii="Times New Roman" w:hAnsi="Times New Roman"/>
          <w:color w:val="000000"/>
          <w:sz w:val="24"/>
          <w:szCs w:val="24"/>
        </w:rPr>
        <w:t xml:space="preserve">(3)(b) </w:t>
      </w:r>
      <w:r w:rsidR="00AB7D8E" w:rsidRPr="002F164E">
        <w:rPr>
          <w:rFonts w:ascii="Times New Roman" w:hAnsi="Times New Roman"/>
          <w:color w:val="000000"/>
          <w:sz w:val="24"/>
          <w:szCs w:val="24"/>
        </w:rPr>
        <w:t xml:space="preserve">enables </w:t>
      </w:r>
      <w:r w:rsidR="0061305E">
        <w:rPr>
          <w:rFonts w:ascii="Times New Roman" w:hAnsi="Times New Roman"/>
          <w:color w:val="000000"/>
          <w:sz w:val="24"/>
          <w:szCs w:val="24"/>
        </w:rPr>
        <w:t xml:space="preserve">the </w:t>
      </w:r>
      <w:r w:rsidR="00AB7D8E" w:rsidRPr="002F164E">
        <w:rPr>
          <w:rFonts w:ascii="Times New Roman" w:hAnsi="Times New Roman"/>
          <w:color w:val="000000"/>
          <w:sz w:val="24"/>
          <w:szCs w:val="24"/>
        </w:rPr>
        <w:t xml:space="preserve">ACMA to independently publish the information provided by Telstra under </w:t>
      </w:r>
      <w:r w:rsidR="004A5CD3" w:rsidRPr="002F164E">
        <w:rPr>
          <w:rFonts w:ascii="Times New Roman" w:hAnsi="Times New Roman"/>
          <w:color w:val="000000"/>
          <w:sz w:val="24"/>
          <w:szCs w:val="24"/>
        </w:rPr>
        <w:t>subsection</w:t>
      </w:r>
      <w:r w:rsidR="00AB7D8E" w:rsidRPr="002F164E">
        <w:rPr>
          <w:rFonts w:ascii="Times New Roman" w:hAnsi="Times New Roman"/>
          <w:color w:val="000000"/>
          <w:sz w:val="24"/>
          <w:szCs w:val="24"/>
        </w:rPr>
        <w:t xml:space="preserve">s </w:t>
      </w:r>
      <w:r w:rsidR="004023D4">
        <w:rPr>
          <w:rFonts w:ascii="Times New Roman" w:hAnsi="Times New Roman"/>
          <w:color w:val="000000"/>
          <w:sz w:val="24"/>
          <w:szCs w:val="24"/>
        </w:rPr>
        <w:t>15</w:t>
      </w:r>
      <w:r w:rsidR="00AB7D8E" w:rsidRPr="002F164E">
        <w:rPr>
          <w:rFonts w:ascii="Times New Roman" w:hAnsi="Times New Roman"/>
          <w:color w:val="000000"/>
          <w:sz w:val="24"/>
          <w:szCs w:val="24"/>
        </w:rPr>
        <w:t xml:space="preserve">(1) and </w:t>
      </w:r>
      <w:r w:rsidR="004023D4">
        <w:rPr>
          <w:rFonts w:ascii="Times New Roman" w:hAnsi="Times New Roman"/>
          <w:color w:val="000000"/>
          <w:sz w:val="24"/>
          <w:szCs w:val="24"/>
        </w:rPr>
        <w:t>15</w:t>
      </w:r>
      <w:r w:rsidR="00AB7D8E" w:rsidRPr="002F164E">
        <w:rPr>
          <w:rFonts w:ascii="Times New Roman" w:hAnsi="Times New Roman"/>
          <w:color w:val="000000"/>
          <w:sz w:val="24"/>
          <w:szCs w:val="24"/>
        </w:rPr>
        <w:t xml:space="preserve">(2) if, following consultation with Telstra, </w:t>
      </w:r>
      <w:r w:rsidR="0061305E">
        <w:rPr>
          <w:rFonts w:ascii="Times New Roman" w:hAnsi="Times New Roman"/>
          <w:color w:val="000000"/>
          <w:sz w:val="24"/>
          <w:szCs w:val="24"/>
        </w:rPr>
        <w:t xml:space="preserve">the </w:t>
      </w:r>
      <w:r w:rsidR="00AB7D8E" w:rsidRPr="002F164E">
        <w:rPr>
          <w:rFonts w:ascii="Times New Roman" w:hAnsi="Times New Roman"/>
          <w:color w:val="000000"/>
          <w:sz w:val="24"/>
          <w:szCs w:val="24"/>
        </w:rPr>
        <w:t>ACMA considers it appropriate for publication. This provide</w:t>
      </w:r>
      <w:r w:rsidR="00FD2BC6">
        <w:rPr>
          <w:rFonts w:ascii="Times New Roman" w:hAnsi="Times New Roman"/>
          <w:color w:val="000000"/>
          <w:sz w:val="24"/>
          <w:szCs w:val="24"/>
        </w:rPr>
        <w:t>s</w:t>
      </w:r>
      <w:r w:rsidR="00AB7D8E" w:rsidRPr="002F164E">
        <w:rPr>
          <w:rFonts w:ascii="Times New Roman" w:hAnsi="Times New Roman"/>
          <w:color w:val="000000"/>
          <w:sz w:val="24"/>
          <w:szCs w:val="24"/>
        </w:rPr>
        <w:t xml:space="preserve"> the public with a possible alternative source of information about performance in their area.</w:t>
      </w:r>
      <w:r w:rsidR="00FD2BC6">
        <w:rPr>
          <w:rFonts w:ascii="Times New Roman" w:hAnsi="Times New Roman"/>
          <w:color w:val="000000"/>
          <w:sz w:val="24"/>
          <w:szCs w:val="24"/>
        </w:rPr>
        <w:t xml:space="preserve"> </w:t>
      </w:r>
      <w:r w:rsidR="00C01B66">
        <w:rPr>
          <w:rFonts w:ascii="Times New Roman" w:hAnsi="Times New Roman"/>
          <w:color w:val="000000"/>
          <w:sz w:val="24"/>
          <w:szCs w:val="24"/>
        </w:rPr>
        <w:t xml:space="preserve">This </w:t>
      </w:r>
      <w:r w:rsidR="00AB7D8E" w:rsidRPr="002F164E">
        <w:rPr>
          <w:rFonts w:ascii="Times New Roman" w:hAnsi="Times New Roman"/>
          <w:color w:val="000000"/>
          <w:sz w:val="24"/>
          <w:szCs w:val="24"/>
        </w:rPr>
        <w:t xml:space="preserve">also </w:t>
      </w:r>
      <w:r w:rsidR="00C01B66">
        <w:rPr>
          <w:rFonts w:ascii="Times New Roman" w:hAnsi="Times New Roman"/>
          <w:color w:val="000000"/>
          <w:sz w:val="24"/>
          <w:szCs w:val="24"/>
        </w:rPr>
        <w:t>permits the</w:t>
      </w:r>
      <w:r w:rsidR="0061305E">
        <w:rPr>
          <w:rFonts w:ascii="Times New Roman" w:hAnsi="Times New Roman"/>
          <w:color w:val="000000"/>
          <w:sz w:val="24"/>
          <w:szCs w:val="24"/>
        </w:rPr>
        <w:t xml:space="preserve"> </w:t>
      </w:r>
      <w:r w:rsidR="00AB7D8E" w:rsidRPr="002F164E">
        <w:rPr>
          <w:rFonts w:ascii="Times New Roman" w:hAnsi="Times New Roman"/>
          <w:color w:val="000000"/>
          <w:sz w:val="24"/>
          <w:szCs w:val="24"/>
        </w:rPr>
        <w:t xml:space="preserve">ACMA to publish the data in conjunction with other performance data it collects, enabling it to provide </w:t>
      </w:r>
      <w:r w:rsidR="00FD2BC6">
        <w:rPr>
          <w:rFonts w:ascii="Times New Roman" w:hAnsi="Times New Roman"/>
          <w:color w:val="000000"/>
          <w:sz w:val="24"/>
          <w:szCs w:val="24"/>
        </w:rPr>
        <w:t xml:space="preserve">to the public </w:t>
      </w:r>
      <w:r w:rsidR="00AB7D8E" w:rsidRPr="002F164E">
        <w:rPr>
          <w:rFonts w:ascii="Times New Roman" w:hAnsi="Times New Roman"/>
          <w:color w:val="000000"/>
          <w:sz w:val="24"/>
          <w:szCs w:val="24"/>
        </w:rPr>
        <w:t>a more holistic picture of Telstra’s performance.  ACMA must consult with Telstra about the publication of this data</w:t>
      </w:r>
      <w:r w:rsidR="00C01B66">
        <w:rPr>
          <w:rFonts w:ascii="Times New Roman" w:hAnsi="Times New Roman"/>
          <w:color w:val="000000"/>
          <w:sz w:val="24"/>
          <w:szCs w:val="24"/>
        </w:rPr>
        <w:t xml:space="preserve">, providing an opportunity for </w:t>
      </w:r>
      <w:r w:rsidR="00AB7D8E" w:rsidRPr="002F164E">
        <w:rPr>
          <w:rFonts w:ascii="Times New Roman" w:hAnsi="Times New Roman"/>
          <w:color w:val="000000"/>
          <w:sz w:val="24"/>
          <w:szCs w:val="24"/>
        </w:rPr>
        <w:t xml:space="preserve">Telstra to raise any concerns regarding publication (for example, if they consider the information to be commercially sensitive), for consideration by </w:t>
      </w:r>
      <w:r w:rsidR="0061305E">
        <w:rPr>
          <w:rFonts w:ascii="Times New Roman" w:hAnsi="Times New Roman"/>
          <w:color w:val="000000"/>
          <w:sz w:val="24"/>
          <w:szCs w:val="24"/>
        </w:rPr>
        <w:t xml:space="preserve">the </w:t>
      </w:r>
      <w:r w:rsidR="00AB7D8E" w:rsidRPr="002F164E">
        <w:rPr>
          <w:rFonts w:ascii="Times New Roman" w:hAnsi="Times New Roman"/>
          <w:color w:val="000000"/>
          <w:sz w:val="24"/>
          <w:szCs w:val="24"/>
        </w:rPr>
        <w:t>ACMA.</w:t>
      </w:r>
    </w:p>
    <w:p w14:paraId="7A9DB50E" w14:textId="77777777" w:rsidR="00AB7D8E" w:rsidRPr="002F164E" w:rsidRDefault="00AB7D8E" w:rsidP="00AB7D8E">
      <w:pPr>
        <w:pStyle w:val="BodyText"/>
        <w:shd w:val="clear" w:color="auto" w:fill="FFFFFF"/>
        <w:spacing w:after="0"/>
        <w:rPr>
          <w:rFonts w:ascii="Times New Roman" w:hAnsi="Times New Roman"/>
          <w:color w:val="000000"/>
          <w:sz w:val="24"/>
          <w:szCs w:val="24"/>
        </w:rPr>
      </w:pPr>
      <w:r w:rsidRPr="002F164E">
        <w:rPr>
          <w:rFonts w:ascii="Times New Roman" w:hAnsi="Times New Roman"/>
          <w:color w:val="000000"/>
          <w:sz w:val="24"/>
          <w:szCs w:val="24"/>
        </w:rPr>
        <w:t> </w:t>
      </w:r>
    </w:p>
    <w:p w14:paraId="6B372C37" w14:textId="1F91496A" w:rsidR="00AB7D8E" w:rsidRPr="002F164E" w:rsidRDefault="004023D4" w:rsidP="0087562F">
      <w:pPr>
        <w:pStyle w:val="BodyText"/>
        <w:shd w:val="clear" w:color="auto" w:fill="FFFFFF"/>
        <w:ind w:right="-471"/>
        <w:rPr>
          <w:rFonts w:ascii="Times New Roman" w:hAnsi="Times New Roman"/>
          <w:color w:val="000000"/>
          <w:sz w:val="24"/>
          <w:szCs w:val="24"/>
        </w:rPr>
      </w:pPr>
      <w:r>
        <w:rPr>
          <w:rFonts w:ascii="Times New Roman" w:hAnsi="Times New Roman"/>
          <w:color w:val="000000"/>
          <w:sz w:val="24"/>
          <w:szCs w:val="24"/>
        </w:rPr>
        <w:t xml:space="preserve">The </w:t>
      </w:r>
      <w:r w:rsidR="00AB7D8E" w:rsidRPr="002F164E">
        <w:rPr>
          <w:rFonts w:ascii="Times New Roman" w:hAnsi="Times New Roman"/>
          <w:color w:val="000000"/>
          <w:sz w:val="24"/>
          <w:szCs w:val="24"/>
        </w:rPr>
        <w:t>publi</w:t>
      </w:r>
      <w:r>
        <w:rPr>
          <w:rFonts w:ascii="Times New Roman" w:hAnsi="Times New Roman"/>
          <w:color w:val="000000"/>
          <w:sz w:val="24"/>
          <w:szCs w:val="24"/>
        </w:rPr>
        <w:t xml:space="preserve">cation of </w:t>
      </w:r>
      <w:r w:rsidR="00AB7D8E" w:rsidRPr="002F164E">
        <w:rPr>
          <w:rFonts w:ascii="Times New Roman" w:hAnsi="Times New Roman"/>
          <w:color w:val="000000"/>
          <w:sz w:val="24"/>
          <w:szCs w:val="24"/>
        </w:rPr>
        <w:t xml:space="preserve">data will also enable </w:t>
      </w:r>
      <w:r w:rsidR="0061305E">
        <w:rPr>
          <w:rFonts w:ascii="Times New Roman" w:hAnsi="Times New Roman"/>
          <w:color w:val="000000"/>
          <w:sz w:val="24"/>
          <w:szCs w:val="24"/>
        </w:rPr>
        <w:t xml:space="preserve">the </w:t>
      </w:r>
      <w:r>
        <w:rPr>
          <w:rFonts w:ascii="Times New Roman" w:hAnsi="Times New Roman"/>
          <w:color w:val="000000"/>
          <w:sz w:val="24"/>
          <w:szCs w:val="24"/>
        </w:rPr>
        <w:t xml:space="preserve">ACMA </w:t>
      </w:r>
      <w:r w:rsidR="00AB7D8E" w:rsidRPr="002F164E">
        <w:rPr>
          <w:rFonts w:ascii="Times New Roman" w:hAnsi="Times New Roman"/>
          <w:color w:val="000000"/>
          <w:sz w:val="24"/>
          <w:szCs w:val="24"/>
        </w:rPr>
        <w:t>to make available to the public historical and comparative analyses of Telstra’s reliab</w:t>
      </w:r>
      <w:r w:rsidR="0087562F">
        <w:rPr>
          <w:rFonts w:ascii="Times New Roman" w:hAnsi="Times New Roman"/>
          <w:color w:val="000000"/>
          <w:sz w:val="24"/>
          <w:szCs w:val="24"/>
        </w:rPr>
        <w:t>ility performance, for example:</w:t>
      </w:r>
    </w:p>
    <w:p w14:paraId="3EA831B7" w14:textId="027B5C55" w:rsidR="00AB7D8E" w:rsidRPr="002F164E" w:rsidRDefault="00AB7D8E" w:rsidP="003A1E64">
      <w:pPr>
        <w:pStyle w:val="BodyText"/>
        <w:numPr>
          <w:ilvl w:val="0"/>
          <w:numId w:val="4"/>
        </w:numPr>
        <w:shd w:val="clear" w:color="auto" w:fill="FFFFFF"/>
        <w:spacing w:after="0"/>
        <w:rPr>
          <w:rFonts w:ascii="Times New Roman" w:hAnsi="Times New Roman"/>
          <w:color w:val="000000"/>
          <w:sz w:val="24"/>
          <w:szCs w:val="24"/>
        </w:rPr>
      </w:pPr>
      <w:r w:rsidRPr="002F164E">
        <w:rPr>
          <w:rFonts w:ascii="Times New Roman" w:hAnsi="Times New Roman"/>
          <w:color w:val="000000"/>
          <w:sz w:val="24"/>
          <w:szCs w:val="24"/>
        </w:rPr>
        <w:t>the performance of different FSAs in a particular month;</w:t>
      </w:r>
    </w:p>
    <w:p w14:paraId="55881D82" w14:textId="216B2829" w:rsidR="00AB7D8E" w:rsidRPr="002F164E" w:rsidRDefault="00AB7D8E" w:rsidP="003A1E64">
      <w:pPr>
        <w:pStyle w:val="BodyText"/>
        <w:numPr>
          <w:ilvl w:val="0"/>
          <w:numId w:val="4"/>
        </w:numPr>
        <w:shd w:val="clear" w:color="auto" w:fill="FFFFFF"/>
        <w:spacing w:after="0"/>
        <w:rPr>
          <w:rFonts w:ascii="Times New Roman" w:hAnsi="Times New Roman"/>
          <w:color w:val="000000"/>
          <w:sz w:val="24"/>
          <w:szCs w:val="24"/>
        </w:rPr>
      </w:pPr>
      <w:r w:rsidRPr="002F164E">
        <w:rPr>
          <w:rFonts w:ascii="Times New Roman" w:hAnsi="Times New Roman"/>
          <w:color w:val="000000"/>
          <w:sz w:val="24"/>
          <w:szCs w:val="24"/>
        </w:rPr>
        <w:t>the performance of one or more FSAs over time; and</w:t>
      </w:r>
    </w:p>
    <w:p w14:paraId="61E0F0DF" w14:textId="26F07175" w:rsidR="00AB7D8E" w:rsidRPr="002F164E" w:rsidRDefault="00AB7D8E" w:rsidP="003A1E64">
      <w:pPr>
        <w:pStyle w:val="BodyText"/>
        <w:numPr>
          <w:ilvl w:val="0"/>
          <w:numId w:val="4"/>
        </w:numPr>
        <w:shd w:val="clear" w:color="auto" w:fill="FFFFFF"/>
        <w:spacing w:after="0"/>
        <w:rPr>
          <w:rFonts w:ascii="Times New Roman" w:hAnsi="Times New Roman"/>
          <w:color w:val="000000"/>
          <w:sz w:val="24"/>
          <w:szCs w:val="24"/>
        </w:rPr>
      </w:pPr>
      <w:r w:rsidRPr="002F164E">
        <w:rPr>
          <w:rFonts w:ascii="Times New Roman" w:hAnsi="Times New Roman"/>
          <w:color w:val="000000"/>
          <w:sz w:val="24"/>
          <w:szCs w:val="24"/>
        </w:rPr>
        <w:t>the performance of FSAs relative to national performance.</w:t>
      </w:r>
    </w:p>
    <w:p w14:paraId="12DD4768" w14:textId="01E62D34" w:rsidR="000717AD" w:rsidRPr="002F164E" w:rsidRDefault="000717AD" w:rsidP="00AB7D8E">
      <w:pPr>
        <w:pStyle w:val="BodyText"/>
        <w:shd w:val="clear" w:color="auto" w:fill="FFFFFF"/>
        <w:spacing w:after="0"/>
        <w:rPr>
          <w:rFonts w:ascii="Times New Roman" w:hAnsi="Times New Roman"/>
          <w:b/>
          <w:sz w:val="24"/>
          <w:szCs w:val="24"/>
        </w:rPr>
      </w:pPr>
    </w:p>
    <w:p w14:paraId="40F0C11F" w14:textId="3CF30090" w:rsidR="00EF7A08" w:rsidRPr="002F164E" w:rsidRDefault="00EF7A08" w:rsidP="00EF7A08">
      <w:pPr>
        <w:rPr>
          <w:rFonts w:ascii="Times New Roman" w:hAnsi="Times New Roman"/>
          <w:b/>
          <w:sz w:val="24"/>
          <w:szCs w:val="24"/>
        </w:rPr>
      </w:pPr>
      <w:r w:rsidRPr="002F164E">
        <w:rPr>
          <w:rFonts w:ascii="Times New Roman" w:hAnsi="Times New Roman"/>
          <w:b/>
          <w:sz w:val="24"/>
          <w:szCs w:val="24"/>
        </w:rPr>
        <w:t>Section 16 – Monitoring, Remediation and Reporting at the Cable Run Level</w:t>
      </w:r>
    </w:p>
    <w:p w14:paraId="7C550347" w14:textId="6D307B0E" w:rsidR="006E0769" w:rsidRPr="002F164E" w:rsidRDefault="00E16F7B" w:rsidP="00EF7A08">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Section</w:t>
      </w:r>
      <w:r w:rsidRPr="002F164E">
        <w:rPr>
          <w:rFonts w:ascii="Times New Roman" w:hAnsi="Times New Roman"/>
          <w:color w:val="000000"/>
          <w:sz w:val="24"/>
          <w:szCs w:val="24"/>
          <w:shd w:val="clear" w:color="auto" w:fill="FFFFFF"/>
        </w:rPr>
        <w:t xml:space="preserve"> </w:t>
      </w:r>
      <w:r w:rsidR="00AD6460" w:rsidRPr="002F164E">
        <w:rPr>
          <w:rFonts w:ascii="Times New Roman" w:hAnsi="Times New Roman"/>
          <w:color w:val="000000"/>
          <w:sz w:val="24"/>
          <w:szCs w:val="24"/>
          <w:shd w:val="clear" w:color="auto" w:fill="FFFFFF"/>
        </w:rPr>
        <w:t>16 gives effect to ‘Level 2’ of the NRF, the purpose of which is to facilitate the identification of poorly performing cable runs, and to provide a mechanism by which Telstra is required to remedy those cable runs to a prescribed standard.</w:t>
      </w:r>
      <w:r w:rsidR="004023D4" w:rsidRPr="004023D4">
        <w:rPr>
          <w:rFonts w:ascii="Times New Roman" w:hAnsi="Times New Roman"/>
          <w:color w:val="000000"/>
          <w:sz w:val="24"/>
          <w:szCs w:val="24"/>
          <w:shd w:val="clear" w:color="auto" w:fill="FFFFFF"/>
        </w:rPr>
        <w:t xml:space="preserve"> </w:t>
      </w:r>
      <w:r w:rsidR="004023D4" w:rsidRPr="00752801">
        <w:rPr>
          <w:rFonts w:ascii="Times New Roman" w:hAnsi="Times New Roman"/>
          <w:color w:val="000000"/>
          <w:sz w:val="24"/>
          <w:szCs w:val="24"/>
          <w:shd w:val="clear" w:color="auto" w:fill="FFFFFF"/>
        </w:rPr>
        <w:t xml:space="preserve">Level 2 of the NRF </w:t>
      </w:r>
      <w:r w:rsidR="00C01B66">
        <w:rPr>
          <w:rFonts w:ascii="Times New Roman" w:hAnsi="Times New Roman"/>
          <w:color w:val="000000"/>
          <w:sz w:val="24"/>
          <w:szCs w:val="24"/>
          <w:shd w:val="clear" w:color="auto" w:fill="FFFFFF"/>
        </w:rPr>
        <w:t>deals with</w:t>
      </w:r>
      <w:r w:rsidR="004023D4" w:rsidRPr="00752801">
        <w:rPr>
          <w:rFonts w:ascii="Times New Roman" w:hAnsi="Times New Roman"/>
          <w:color w:val="000000"/>
          <w:sz w:val="24"/>
          <w:szCs w:val="24"/>
          <w:shd w:val="clear" w:color="auto" w:fill="FFFFFF"/>
        </w:rPr>
        <w:t xml:space="preserve"> disaggregated parts of the network known as cable runs – sets of 10 or 100 copper wire pairs within a physical cable sheath. Telstra is required to identify the 40 </w:t>
      </w:r>
      <w:r w:rsidR="00C01B66">
        <w:rPr>
          <w:rFonts w:ascii="Times New Roman" w:hAnsi="Times New Roman"/>
          <w:color w:val="000000"/>
          <w:sz w:val="24"/>
          <w:szCs w:val="24"/>
          <w:shd w:val="clear" w:color="auto" w:fill="FFFFFF"/>
        </w:rPr>
        <w:t>poorest</w:t>
      </w:r>
      <w:r w:rsidR="00C01B66" w:rsidRPr="00752801">
        <w:rPr>
          <w:rFonts w:ascii="Times New Roman" w:hAnsi="Times New Roman"/>
          <w:color w:val="000000"/>
          <w:sz w:val="24"/>
          <w:szCs w:val="24"/>
          <w:shd w:val="clear" w:color="auto" w:fill="FFFFFF"/>
        </w:rPr>
        <w:t xml:space="preserve"> </w:t>
      </w:r>
      <w:r w:rsidR="004023D4" w:rsidRPr="00752801">
        <w:rPr>
          <w:rFonts w:ascii="Times New Roman" w:hAnsi="Times New Roman"/>
          <w:color w:val="000000"/>
          <w:sz w:val="24"/>
          <w:szCs w:val="24"/>
          <w:shd w:val="clear" w:color="auto" w:fill="FFFFFF"/>
        </w:rPr>
        <w:t>performing cable runs each month</w:t>
      </w:r>
      <w:r w:rsidR="00FD2BC6">
        <w:rPr>
          <w:rFonts w:ascii="Times New Roman" w:hAnsi="Times New Roman"/>
          <w:color w:val="000000"/>
          <w:sz w:val="24"/>
          <w:szCs w:val="24"/>
          <w:shd w:val="clear" w:color="auto" w:fill="FFFFFF"/>
        </w:rPr>
        <w:t xml:space="preserve"> and report (see below </w:t>
      </w:r>
      <w:r w:rsidR="001F1750">
        <w:rPr>
          <w:rFonts w:ascii="Times New Roman" w:hAnsi="Times New Roman"/>
          <w:color w:val="000000"/>
          <w:sz w:val="24"/>
          <w:szCs w:val="24"/>
          <w:shd w:val="clear" w:color="auto" w:fill="FFFFFF"/>
        </w:rPr>
        <w:t>for more detailed info</w:t>
      </w:r>
      <w:r w:rsidR="007855EC">
        <w:rPr>
          <w:rFonts w:ascii="Times New Roman" w:hAnsi="Times New Roman"/>
          <w:color w:val="000000"/>
          <w:sz w:val="24"/>
          <w:szCs w:val="24"/>
          <w:shd w:val="clear" w:color="auto" w:fill="FFFFFF"/>
        </w:rPr>
        <w:t>r</w:t>
      </w:r>
      <w:r w:rsidR="001F1750">
        <w:rPr>
          <w:rFonts w:ascii="Times New Roman" w:hAnsi="Times New Roman"/>
          <w:color w:val="000000"/>
          <w:sz w:val="24"/>
          <w:szCs w:val="24"/>
          <w:shd w:val="clear" w:color="auto" w:fill="FFFFFF"/>
        </w:rPr>
        <w:t>mation).</w:t>
      </w:r>
    </w:p>
    <w:p w14:paraId="31E572B2" w14:textId="769020EC" w:rsidR="0022066E"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22066E" w:rsidRPr="002F164E">
        <w:rPr>
          <w:rFonts w:ascii="Times New Roman" w:hAnsi="Times New Roman"/>
          <w:color w:val="000000"/>
          <w:sz w:val="24"/>
          <w:szCs w:val="24"/>
          <w:shd w:val="clear" w:color="auto" w:fill="FFFFFF"/>
        </w:rPr>
        <w:t xml:space="preserve"> </w:t>
      </w:r>
      <w:r w:rsidR="00752801">
        <w:rPr>
          <w:rFonts w:ascii="Times New Roman" w:hAnsi="Times New Roman"/>
          <w:color w:val="000000"/>
          <w:sz w:val="24"/>
          <w:szCs w:val="24"/>
          <w:shd w:val="clear" w:color="auto" w:fill="FFFFFF"/>
        </w:rPr>
        <w:t>16</w:t>
      </w:r>
      <w:r w:rsidR="0022066E" w:rsidRPr="002F164E">
        <w:rPr>
          <w:rFonts w:ascii="Times New Roman" w:hAnsi="Times New Roman"/>
          <w:color w:val="000000"/>
          <w:sz w:val="24"/>
          <w:szCs w:val="24"/>
          <w:shd w:val="clear" w:color="auto" w:fill="FFFFFF"/>
        </w:rPr>
        <w:t>(1) is particularly important as it includes the tables that are used to select the worst performing cable runs</w:t>
      </w:r>
      <w:r w:rsidR="0087562F">
        <w:rPr>
          <w:rFonts w:ascii="Times New Roman" w:hAnsi="Times New Roman"/>
          <w:color w:val="000000"/>
          <w:sz w:val="24"/>
          <w:szCs w:val="24"/>
          <w:shd w:val="clear" w:color="auto" w:fill="FFFFFF"/>
        </w:rPr>
        <w:t xml:space="preserve"> from different ESA categories.</w:t>
      </w:r>
      <w:r w:rsidR="0022066E" w:rsidRPr="002F164E">
        <w:rPr>
          <w:rFonts w:ascii="Times New Roman" w:hAnsi="Times New Roman"/>
          <w:color w:val="000000"/>
          <w:sz w:val="24"/>
          <w:szCs w:val="24"/>
          <w:shd w:val="clear" w:color="auto" w:fill="FFFFFF"/>
        </w:rPr>
        <w:t xml:space="preserve"> In combination, Tables 1 and 2 provide that cable runs from category D ESAs will be considered in NRF Level 2 through inclusion of the ‘next worst’</w:t>
      </w:r>
      <w:r w:rsidR="0087562F">
        <w:rPr>
          <w:rFonts w:ascii="Times New Roman" w:hAnsi="Times New Roman"/>
          <w:color w:val="000000"/>
          <w:sz w:val="24"/>
          <w:szCs w:val="24"/>
          <w:shd w:val="clear" w:color="auto" w:fill="FFFFFF"/>
        </w:rPr>
        <w:t xml:space="preserve"> category at Step 5 of Table 2.</w:t>
      </w:r>
      <w:r w:rsidR="0022066E" w:rsidRPr="002F164E">
        <w:rPr>
          <w:rFonts w:ascii="Times New Roman" w:hAnsi="Times New Roman"/>
          <w:color w:val="000000"/>
          <w:sz w:val="24"/>
          <w:szCs w:val="24"/>
          <w:shd w:val="clear" w:color="auto" w:fill="FFFFFF"/>
        </w:rPr>
        <w:t xml:space="preserve"> This means that cable runs in category D ESAs are covered under Level 2 where they are ‘next worst’ performing cable runs, once minimum quotas of cable runs in smaller ESAs (i</w:t>
      </w:r>
      <w:r w:rsidR="007855EC">
        <w:rPr>
          <w:rFonts w:ascii="Times New Roman" w:hAnsi="Times New Roman"/>
          <w:color w:val="000000"/>
          <w:sz w:val="24"/>
          <w:szCs w:val="24"/>
          <w:shd w:val="clear" w:color="auto" w:fill="FFFFFF"/>
        </w:rPr>
        <w:t>.</w:t>
      </w:r>
      <w:r w:rsidR="0022066E" w:rsidRPr="002F164E">
        <w:rPr>
          <w:rFonts w:ascii="Times New Roman" w:hAnsi="Times New Roman"/>
          <w:color w:val="000000"/>
          <w:sz w:val="24"/>
          <w:szCs w:val="24"/>
          <w:shd w:val="clear" w:color="auto" w:fill="FFFFFF"/>
        </w:rPr>
        <w:t>e. category A, B and C ESAs) have been met. This will provide a regional focus for Level 2, while also allowing poorly performing cable run</w:t>
      </w:r>
      <w:r w:rsidR="0087562F">
        <w:rPr>
          <w:rFonts w:ascii="Times New Roman" w:hAnsi="Times New Roman"/>
          <w:color w:val="000000"/>
          <w:sz w:val="24"/>
          <w:szCs w:val="24"/>
          <w:shd w:val="clear" w:color="auto" w:fill="FFFFFF"/>
        </w:rPr>
        <w:t>s in larger ESAs to be covered.</w:t>
      </w:r>
    </w:p>
    <w:p w14:paraId="07533F5D" w14:textId="77325BC0" w:rsidR="0022066E" w:rsidRPr="002F164E" w:rsidRDefault="0022066E"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Table 2 also excludes any cable runs that were included in a previous remediation list from eligibility for a new cable run list, unless that cable run ha</w:t>
      </w:r>
      <w:r w:rsidR="00487FF1">
        <w:rPr>
          <w:rFonts w:ascii="Times New Roman" w:hAnsi="Times New Roman"/>
          <w:color w:val="000000"/>
          <w:sz w:val="24"/>
          <w:szCs w:val="24"/>
          <w:shd w:val="clear" w:color="auto" w:fill="FFFFFF"/>
        </w:rPr>
        <w:t>s</w:t>
      </w:r>
      <w:r w:rsidRPr="002F164E">
        <w:rPr>
          <w:rFonts w:ascii="Times New Roman" w:hAnsi="Times New Roman"/>
          <w:color w:val="000000"/>
          <w:sz w:val="24"/>
          <w:szCs w:val="24"/>
          <w:shd w:val="clear" w:color="auto" w:fill="FFFFFF"/>
        </w:rPr>
        <w:t xml:space="preserve"> already been remedi</w:t>
      </w:r>
      <w:r w:rsidR="00487FF1">
        <w:rPr>
          <w:rFonts w:ascii="Times New Roman" w:hAnsi="Times New Roman"/>
          <w:color w:val="000000"/>
          <w:sz w:val="24"/>
          <w:szCs w:val="24"/>
          <w:shd w:val="clear" w:color="auto" w:fill="FFFFFF"/>
        </w:rPr>
        <w:t>at</w:t>
      </w:r>
      <w:r w:rsidRPr="002F164E">
        <w:rPr>
          <w:rFonts w:ascii="Times New Roman" w:hAnsi="Times New Roman"/>
          <w:color w:val="000000"/>
          <w:sz w:val="24"/>
          <w:szCs w:val="24"/>
          <w:shd w:val="clear" w:color="auto" w:fill="FFFFFF"/>
        </w:rPr>
        <w:t xml:space="preserve">ed, reached its 90 per cent reduction target under </w:t>
      </w:r>
      <w:r w:rsidR="004A5CD3" w:rsidRPr="002F164E">
        <w:rPr>
          <w:rFonts w:ascii="Times New Roman" w:hAnsi="Times New Roman"/>
          <w:color w:val="000000"/>
          <w:sz w:val="24"/>
          <w:szCs w:val="24"/>
          <w:shd w:val="clear" w:color="auto" w:fill="FFFFFF"/>
        </w:rPr>
        <w:t>subsection</w:t>
      </w:r>
      <w:r w:rsidRPr="002F164E">
        <w:rPr>
          <w:rFonts w:ascii="Times New Roman" w:hAnsi="Times New Roman"/>
          <w:color w:val="000000"/>
          <w:sz w:val="24"/>
          <w:szCs w:val="24"/>
          <w:shd w:val="clear" w:color="auto" w:fill="FFFFFF"/>
        </w:rPr>
        <w:t xml:space="preserve"> 26(8) and then subsequently become faulty enough again to be included in a new list. This will ensure that poorly performing cable runs that are already being remedied under Level 2 are not ‘double counted’ in subsequent months.</w:t>
      </w:r>
    </w:p>
    <w:p w14:paraId="68A493A8" w14:textId="0F5018F7" w:rsidR="00AD6460"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AD6460" w:rsidRPr="002F164E">
        <w:rPr>
          <w:rFonts w:ascii="Times New Roman" w:hAnsi="Times New Roman"/>
          <w:color w:val="000000"/>
          <w:sz w:val="24"/>
          <w:szCs w:val="24"/>
          <w:shd w:val="clear" w:color="auto" w:fill="FFFFFF"/>
        </w:rPr>
        <w:t xml:space="preserve"> 16(2) requires Telstra to provide </w:t>
      </w:r>
      <w:r w:rsidR="0061305E">
        <w:rPr>
          <w:rFonts w:ascii="Times New Roman" w:hAnsi="Times New Roman"/>
          <w:color w:val="000000"/>
          <w:sz w:val="24"/>
          <w:szCs w:val="24"/>
          <w:shd w:val="clear" w:color="auto" w:fill="FFFFFF"/>
        </w:rPr>
        <w:t xml:space="preserve">the </w:t>
      </w:r>
      <w:r w:rsidR="00AD6460" w:rsidRPr="002F164E">
        <w:rPr>
          <w:rFonts w:ascii="Times New Roman" w:hAnsi="Times New Roman"/>
          <w:color w:val="000000"/>
          <w:sz w:val="24"/>
          <w:szCs w:val="24"/>
          <w:shd w:val="clear" w:color="auto" w:fill="FFFFFF"/>
        </w:rPr>
        <w:t xml:space="preserve">ACMA with a list of at least 40 cable runs each month. Paragraph 16(2)(a) specifies the information Telstra is required to provide in respect of each cable run on this list. This information includes the average network event volume for each cable run (this information is necessary for </w:t>
      </w:r>
      <w:r w:rsidR="0061305E">
        <w:rPr>
          <w:rFonts w:ascii="Times New Roman" w:hAnsi="Times New Roman"/>
          <w:color w:val="000000"/>
          <w:sz w:val="24"/>
          <w:szCs w:val="24"/>
          <w:shd w:val="clear" w:color="auto" w:fill="FFFFFF"/>
        </w:rPr>
        <w:t xml:space="preserve">the </w:t>
      </w:r>
      <w:r w:rsidR="00AD6460" w:rsidRPr="002F164E">
        <w:rPr>
          <w:rFonts w:ascii="Times New Roman" w:hAnsi="Times New Roman"/>
          <w:color w:val="000000"/>
          <w:sz w:val="24"/>
          <w:szCs w:val="24"/>
          <w:shd w:val="clear" w:color="auto" w:fill="FFFFFF"/>
        </w:rPr>
        <w:t xml:space="preserve">ACMA to monitor the licensee’s performance against the standard provided in </w:t>
      </w:r>
      <w:r w:rsidRPr="002F164E">
        <w:rPr>
          <w:rFonts w:ascii="Times New Roman" w:hAnsi="Times New Roman"/>
          <w:color w:val="000000"/>
          <w:sz w:val="24"/>
          <w:szCs w:val="24"/>
          <w:shd w:val="clear" w:color="auto" w:fill="FFFFFF"/>
        </w:rPr>
        <w:t>subsection</w:t>
      </w:r>
      <w:r w:rsidR="00AD6460" w:rsidRPr="002F164E">
        <w:rPr>
          <w:rFonts w:ascii="Times New Roman" w:hAnsi="Times New Roman"/>
          <w:color w:val="000000"/>
          <w:sz w:val="24"/>
          <w:szCs w:val="24"/>
          <w:shd w:val="clear" w:color="auto" w:fill="FFFFFF"/>
        </w:rPr>
        <w:t xml:space="preserve"> 16(9)), unique identification details (to ensure that cable runs can be tracked through the Level 2 process), the ESA code (to allow </w:t>
      </w:r>
      <w:r w:rsidR="0061305E">
        <w:rPr>
          <w:rFonts w:ascii="Times New Roman" w:hAnsi="Times New Roman"/>
          <w:color w:val="000000"/>
          <w:sz w:val="24"/>
          <w:szCs w:val="24"/>
          <w:shd w:val="clear" w:color="auto" w:fill="FFFFFF"/>
        </w:rPr>
        <w:t xml:space="preserve">the </w:t>
      </w:r>
      <w:r w:rsidR="00AD6460" w:rsidRPr="002F164E">
        <w:rPr>
          <w:rFonts w:ascii="Times New Roman" w:hAnsi="Times New Roman"/>
          <w:color w:val="000000"/>
          <w:sz w:val="24"/>
          <w:szCs w:val="24"/>
          <w:shd w:val="clear" w:color="auto" w:fill="FFFFFF"/>
        </w:rPr>
        <w:t xml:space="preserve">ACMA to confirm the licensee’s compliance with the requirements of Table 2) and the performance ranking of each cable run. Paragraph 16(2)(b) provides that the licensee must give the list to </w:t>
      </w:r>
      <w:r w:rsidR="0061305E">
        <w:rPr>
          <w:rFonts w:ascii="Times New Roman" w:hAnsi="Times New Roman"/>
          <w:color w:val="000000"/>
          <w:sz w:val="24"/>
          <w:szCs w:val="24"/>
          <w:shd w:val="clear" w:color="auto" w:fill="FFFFFF"/>
        </w:rPr>
        <w:t xml:space="preserve">the </w:t>
      </w:r>
      <w:r w:rsidR="00AD6460" w:rsidRPr="002F164E">
        <w:rPr>
          <w:rFonts w:ascii="Times New Roman" w:hAnsi="Times New Roman"/>
          <w:color w:val="000000"/>
          <w:sz w:val="24"/>
          <w:szCs w:val="24"/>
          <w:shd w:val="clear" w:color="auto" w:fill="FFFFFF"/>
        </w:rPr>
        <w:t>ACMA within 15 working days of the end of each calendar month.</w:t>
      </w:r>
    </w:p>
    <w:p w14:paraId="12F7E5BE" w14:textId="55A0E81F" w:rsidR="00AD6460"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22066E" w:rsidRPr="002F164E">
        <w:rPr>
          <w:rFonts w:ascii="Times New Roman" w:hAnsi="Times New Roman"/>
          <w:color w:val="000000"/>
          <w:sz w:val="24"/>
          <w:szCs w:val="24"/>
          <w:shd w:val="clear" w:color="auto" w:fill="FFFFFF"/>
        </w:rPr>
        <w:t xml:space="preserve"> 16(3) provides </w:t>
      </w:r>
      <w:r w:rsidR="0061305E">
        <w:rPr>
          <w:rFonts w:ascii="Times New Roman" w:hAnsi="Times New Roman"/>
          <w:color w:val="000000"/>
          <w:sz w:val="24"/>
          <w:szCs w:val="24"/>
          <w:shd w:val="clear" w:color="auto" w:fill="FFFFFF"/>
        </w:rPr>
        <w:t xml:space="preserve">the </w:t>
      </w:r>
      <w:r w:rsidR="0022066E" w:rsidRPr="002F164E">
        <w:rPr>
          <w:rFonts w:ascii="Times New Roman" w:hAnsi="Times New Roman"/>
          <w:color w:val="000000"/>
          <w:sz w:val="24"/>
          <w:szCs w:val="24"/>
          <w:shd w:val="clear" w:color="auto" w:fill="FFFFFF"/>
        </w:rPr>
        <w:t xml:space="preserve">ACMA with the discretion either to approve or refuse to approve a remediation list given to </w:t>
      </w:r>
      <w:r w:rsidR="00487FF1">
        <w:rPr>
          <w:rFonts w:ascii="Times New Roman" w:hAnsi="Times New Roman"/>
          <w:color w:val="000000"/>
          <w:sz w:val="24"/>
          <w:szCs w:val="24"/>
          <w:shd w:val="clear" w:color="auto" w:fill="FFFFFF"/>
        </w:rPr>
        <w:t xml:space="preserve">it </w:t>
      </w:r>
      <w:r w:rsidR="0022066E" w:rsidRPr="002F164E">
        <w:rPr>
          <w:rFonts w:ascii="Times New Roman" w:hAnsi="Times New Roman"/>
          <w:color w:val="000000"/>
          <w:sz w:val="24"/>
          <w:szCs w:val="24"/>
          <w:shd w:val="clear" w:color="auto" w:fill="FFFFFF"/>
        </w:rPr>
        <w:t xml:space="preserve">under </w:t>
      </w:r>
      <w:r w:rsidRPr="002F164E">
        <w:rPr>
          <w:rFonts w:ascii="Times New Roman" w:hAnsi="Times New Roman"/>
          <w:color w:val="000000"/>
          <w:sz w:val="24"/>
          <w:szCs w:val="24"/>
          <w:shd w:val="clear" w:color="auto" w:fill="FFFFFF"/>
        </w:rPr>
        <w:t>subsection</w:t>
      </w:r>
      <w:r w:rsidR="0022066E" w:rsidRPr="002F164E">
        <w:rPr>
          <w:rFonts w:ascii="Times New Roman" w:hAnsi="Times New Roman"/>
          <w:color w:val="000000"/>
          <w:sz w:val="24"/>
          <w:szCs w:val="24"/>
          <w:shd w:val="clear" w:color="auto" w:fill="FFFFFF"/>
        </w:rPr>
        <w:t xml:space="preserve"> </w:t>
      </w:r>
      <w:r w:rsidR="00FD2BC6">
        <w:rPr>
          <w:rFonts w:ascii="Times New Roman" w:hAnsi="Times New Roman"/>
          <w:color w:val="000000"/>
          <w:sz w:val="24"/>
          <w:szCs w:val="24"/>
          <w:shd w:val="clear" w:color="auto" w:fill="FFFFFF"/>
        </w:rPr>
        <w:t>16</w:t>
      </w:r>
      <w:r w:rsidR="0022066E" w:rsidRPr="002F164E">
        <w:rPr>
          <w:rFonts w:ascii="Times New Roman" w:hAnsi="Times New Roman"/>
          <w:color w:val="000000"/>
          <w:sz w:val="24"/>
          <w:szCs w:val="24"/>
          <w:shd w:val="clear" w:color="auto" w:fill="FFFFFF"/>
        </w:rPr>
        <w:t>(</w:t>
      </w:r>
      <w:r w:rsidR="00FD2BC6">
        <w:rPr>
          <w:rFonts w:ascii="Times New Roman" w:hAnsi="Times New Roman"/>
          <w:color w:val="000000"/>
          <w:sz w:val="24"/>
          <w:szCs w:val="24"/>
          <w:shd w:val="clear" w:color="auto" w:fill="FFFFFF"/>
        </w:rPr>
        <w:t>2</w:t>
      </w:r>
      <w:r w:rsidR="0022066E" w:rsidRPr="002F164E">
        <w:rPr>
          <w:rFonts w:ascii="Times New Roman" w:hAnsi="Times New Roman"/>
          <w:color w:val="000000"/>
          <w:sz w:val="24"/>
          <w:szCs w:val="24"/>
          <w:shd w:val="clear" w:color="auto" w:fill="FFFFFF"/>
        </w:rPr>
        <w:t>). </w:t>
      </w:r>
      <w:bookmarkStart w:id="0" w:name="OLE_LINK5"/>
      <w:bookmarkStart w:id="1" w:name="OLE_LINK4"/>
      <w:bookmarkEnd w:id="0"/>
      <w:r w:rsidR="0022066E" w:rsidRPr="002F164E">
        <w:rPr>
          <w:rFonts w:ascii="Times New Roman" w:hAnsi="Times New Roman"/>
          <w:color w:val="000000"/>
          <w:sz w:val="24"/>
          <w:szCs w:val="24"/>
          <w:shd w:val="clear" w:color="auto" w:fill="FFFFFF"/>
        </w:rPr>
        <w:t xml:space="preserve">It is expected that </w:t>
      </w:r>
      <w:r w:rsidR="0061305E">
        <w:rPr>
          <w:rFonts w:ascii="Times New Roman" w:hAnsi="Times New Roman"/>
          <w:color w:val="000000"/>
          <w:sz w:val="24"/>
          <w:szCs w:val="24"/>
          <w:shd w:val="clear" w:color="auto" w:fill="FFFFFF"/>
        </w:rPr>
        <w:t xml:space="preserve">the </w:t>
      </w:r>
      <w:r w:rsidR="0022066E" w:rsidRPr="002F164E">
        <w:rPr>
          <w:rFonts w:ascii="Times New Roman" w:hAnsi="Times New Roman"/>
          <w:color w:val="000000"/>
          <w:sz w:val="24"/>
          <w:szCs w:val="24"/>
          <w:shd w:val="clear" w:color="auto" w:fill="FFFFFF"/>
        </w:rPr>
        <w:t>ACMA will perform this func</w:t>
      </w:r>
      <w:r w:rsidR="0087562F">
        <w:rPr>
          <w:rFonts w:ascii="Times New Roman" w:hAnsi="Times New Roman"/>
          <w:color w:val="000000"/>
          <w:sz w:val="24"/>
          <w:szCs w:val="24"/>
          <w:shd w:val="clear" w:color="auto" w:fill="FFFFFF"/>
        </w:rPr>
        <w:t>tion in a reasonable timeframe.</w:t>
      </w:r>
      <w:r w:rsidR="0022066E" w:rsidRPr="002F164E">
        <w:rPr>
          <w:rFonts w:ascii="Times New Roman" w:hAnsi="Times New Roman"/>
          <w:color w:val="000000"/>
          <w:sz w:val="24"/>
          <w:szCs w:val="24"/>
          <w:shd w:val="clear" w:color="auto" w:fill="FFFFFF"/>
        </w:rPr>
        <w:t xml:space="preserve"> This may involve the agreement of protocols for timeframes with the licensee.</w:t>
      </w:r>
      <w:bookmarkEnd w:id="1"/>
    </w:p>
    <w:p w14:paraId="60855EA2" w14:textId="51F04D71" w:rsidR="00AD6460"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22066E" w:rsidRPr="002F164E">
        <w:rPr>
          <w:rFonts w:ascii="Times New Roman" w:hAnsi="Times New Roman"/>
          <w:color w:val="000000"/>
          <w:sz w:val="24"/>
          <w:szCs w:val="24"/>
          <w:shd w:val="clear" w:color="auto" w:fill="FFFFFF"/>
        </w:rPr>
        <w:t xml:space="preserve"> 16(4) provides that, if </w:t>
      </w:r>
      <w:r w:rsidR="0061305E">
        <w:rPr>
          <w:rFonts w:ascii="Times New Roman" w:hAnsi="Times New Roman"/>
          <w:color w:val="000000"/>
          <w:sz w:val="24"/>
          <w:szCs w:val="24"/>
          <w:shd w:val="clear" w:color="auto" w:fill="FFFFFF"/>
        </w:rPr>
        <w:t xml:space="preserve">the </w:t>
      </w:r>
      <w:r w:rsidR="0022066E" w:rsidRPr="002F164E">
        <w:rPr>
          <w:rFonts w:ascii="Times New Roman" w:hAnsi="Times New Roman"/>
          <w:color w:val="000000"/>
          <w:sz w:val="24"/>
          <w:szCs w:val="24"/>
          <w:shd w:val="clear" w:color="auto" w:fill="FFFFFF"/>
        </w:rPr>
        <w:t xml:space="preserve">ACMA refuses to approve a remediation list, it must direct the licensee to provide a new list. It is expected that </w:t>
      </w:r>
      <w:r w:rsidR="0061305E">
        <w:rPr>
          <w:rFonts w:ascii="Times New Roman" w:hAnsi="Times New Roman"/>
          <w:color w:val="000000"/>
          <w:sz w:val="24"/>
          <w:szCs w:val="24"/>
          <w:shd w:val="clear" w:color="auto" w:fill="FFFFFF"/>
        </w:rPr>
        <w:t xml:space="preserve">the </w:t>
      </w:r>
      <w:r w:rsidR="0022066E" w:rsidRPr="002F164E">
        <w:rPr>
          <w:rFonts w:ascii="Times New Roman" w:hAnsi="Times New Roman"/>
          <w:color w:val="000000"/>
          <w:sz w:val="24"/>
          <w:szCs w:val="24"/>
          <w:shd w:val="clear" w:color="auto" w:fill="FFFFFF"/>
        </w:rPr>
        <w:t xml:space="preserve">ACMA will perform this function in a reasonable timeframe. This may involve the agreement of protocols for timeframes with the licensee. As the relative performance of cable runs is assessed by a method approved in writing by </w:t>
      </w:r>
      <w:r w:rsidR="0061305E">
        <w:rPr>
          <w:rFonts w:ascii="Times New Roman" w:hAnsi="Times New Roman"/>
          <w:color w:val="000000"/>
          <w:sz w:val="24"/>
          <w:szCs w:val="24"/>
          <w:shd w:val="clear" w:color="auto" w:fill="FFFFFF"/>
        </w:rPr>
        <w:t xml:space="preserve">the </w:t>
      </w:r>
      <w:r w:rsidR="0022066E" w:rsidRPr="002F164E">
        <w:rPr>
          <w:rFonts w:ascii="Times New Roman" w:hAnsi="Times New Roman"/>
          <w:color w:val="000000"/>
          <w:sz w:val="24"/>
          <w:szCs w:val="24"/>
          <w:shd w:val="clear" w:color="auto" w:fill="FFFFFF"/>
        </w:rPr>
        <w:t xml:space="preserve">ACMA, and the remediation list is then prepared using the method in Table 2, the licensee is provided five working days to provide this new list. </w:t>
      </w:r>
      <w:r w:rsidRPr="002F164E">
        <w:rPr>
          <w:rFonts w:ascii="Times New Roman" w:hAnsi="Times New Roman"/>
          <w:color w:val="000000"/>
          <w:sz w:val="24"/>
          <w:szCs w:val="24"/>
          <w:shd w:val="clear" w:color="auto" w:fill="FFFFFF"/>
        </w:rPr>
        <w:t>Subsection</w:t>
      </w:r>
      <w:r w:rsidR="0022066E" w:rsidRPr="002F164E">
        <w:rPr>
          <w:rFonts w:ascii="Times New Roman" w:hAnsi="Times New Roman"/>
          <w:color w:val="000000"/>
          <w:sz w:val="24"/>
          <w:szCs w:val="24"/>
          <w:shd w:val="clear" w:color="auto" w:fill="FFFFFF"/>
        </w:rPr>
        <w:t xml:space="preserve"> 16(4) also limits </w:t>
      </w:r>
      <w:r w:rsidR="0061305E">
        <w:rPr>
          <w:rFonts w:ascii="Times New Roman" w:hAnsi="Times New Roman"/>
          <w:color w:val="000000"/>
          <w:sz w:val="24"/>
          <w:szCs w:val="24"/>
          <w:shd w:val="clear" w:color="auto" w:fill="FFFFFF"/>
        </w:rPr>
        <w:t xml:space="preserve">the </w:t>
      </w:r>
      <w:r w:rsidR="0022066E" w:rsidRPr="002F164E">
        <w:rPr>
          <w:rFonts w:ascii="Times New Roman" w:hAnsi="Times New Roman"/>
          <w:color w:val="000000"/>
          <w:sz w:val="24"/>
          <w:szCs w:val="24"/>
          <w:shd w:val="clear" w:color="auto" w:fill="FFFFFF"/>
        </w:rPr>
        <w:t xml:space="preserve">ACMA’s discretion to the consideration of the requirements of </w:t>
      </w:r>
      <w:r w:rsidRPr="002F164E">
        <w:rPr>
          <w:rFonts w:ascii="Times New Roman" w:hAnsi="Times New Roman"/>
          <w:color w:val="000000"/>
          <w:sz w:val="24"/>
          <w:szCs w:val="24"/>
          <w:shd w:val="clear" w:color="auto" w:fill="FFFFFF"/>
        </w:rPr>
        <w:t>subsection</w:t>
      </w:r>
      <w:r w:rsidR="0022066E" w:rsidRPr="002F164E">
        <w:rPr>
          <w:rFonts w:ascii="Times New Roman" w:hAnsi="Times New Roman"/>
          <w:color w:val="000000"/>
          <w:sz w:val="24"/>
          <w:szCs w:val="24"/>
          <w:shd w:val="clear" w:color="auto" w:fill="FFFFFF"/>
        </w:rPr>
        <w:t xml:space="preserve"> 16(2). For example, </w:t>
      </w:r>
      <w:r w:rsidR="0061305E">
        <w:rPr>
          <w:rFonts w:ascii="Times New Roman" w:hAnsi="Times New Roman"/>
          <w:color w:val="000000"/>
          <w:sz w:val="24"/>
          <w:szCs w:val="24"/>
          <w:shd w:val="clear" w:color="auto" w:fill="FFFFFF"/>
        </w:rPr>
        <w:t xml:space="preserve">the </w:t>
      </w:r>
      <w:r w:rsidR="0022066E" w:rsidRPr="002F164E">
        <w:rPr>
          <w:rFonts w:ascii="Times New Roman" w:hAnsi="Times New Roman"/>
          <w:color w:val="000000"/>
          <w:sz w:val="24"/>
          <w:szCs w:val="24"/>
          <w:shd w:val="clear" w:color="auto" w:fill="FFFFFF"/>
        </w:rPr>
        <w:t>ACMA could refuse to accept a remediation list if it contained less than 40 cable runs in total or less than five cable runs from category A ESAs. However,</w:t>
      </w:r>
      <w:r w:rsidR="0061305E">
        <w:rPr>
          <w:rFonts w:ascii="Times New Roman" w:hAnsi="Times New Roman"/>
          <w:color w:val="000000"/>
          <w:sz w:val="24"/>
          <w:szCs w:val="24"/>
          <w:shd w:val="clear" w:color="auto" w:fill="FFFFFF"/>
        </w:rPr>
        <w:t xml:space="preserve"> the</w:t>
      </w:r>
      <w:r w:rsidR="0022066E" w:rsidRPr="002F164E">
        <w:rPr>
          <w:rFonts w:ascii="Times New Roman" w:hAnsi="Times New Roman"/>
          <w:color w:val="000000"/>
          <w:sz w:val="24"/>
          <w:szCs w:val="24"/>
          <w:shd w:val="clear" w:color="auto" w:fill="FFFFFF"/>
        </w:rPr>
        <w:t xml:space="preserve"> ACMA could not refuse to accept a remediation list simply because, for example, none of the cable runs w</w:t>
      </w:r>
      <w:r w:rsidR="00487FF1">
        <w:rPr>
          <w:rFonts w:ascii="Times New Roman" w:hAnsi="Times New Roman"/>
          <w:color w:val="000000"/>
          <w:sz w:val="24"/>
          <w:szCs w:val="24"/>
          <w:shd w:val="clear" w:color="auto" w:fill="FFFFFF"/>
        </w:rPr>
        <w:t>ere</w:t>
      </w:r>
      <w:r w:rsidR="0022066E" w:rsidRPr="002F164E">
        <w:rPr>
          <w:rFonts w:ascii="Times New Roman" w:hAnsi="Times New Roman"/>
          <w:color w:val="000000"/>
          <w:sz w:val="24"/>
          <w:szCs w:val="24"/>
          <w:shd w:val="clear" w:color="auto" w:fill="FFFFFF"/>
        </w:rPr>
        <w:t xml:space="preserve"> in a particular state/location.</w:t>
      </w:r>
    </w:p>
    <w:p w14:paraId="2BBA5B4D" w14:textId="1D4FAE35" w:rsidR="0022066E"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22066E" w:rsidRPr="002F164E">
        <w:rPr>
          <w:rFonts w:ascii="Times New Roman" w:hAnsi="Times New Roman"/>
          <w:color w:val="000000"/>
          <w:sz w:val="24"/>
          <w:szCs w:val="24"/>
          <w:shd w:val="clear" w:color="auto" w:fill="FFFFFF"/>
        </w:rPr>
        <w:t xml:space="preserve"> 16(5) provides that where </w:t>
      </w:r>
      <w:r w:rsidR="0061305E">
        <w:rPr>
          <w:rFonts w:ascii="Times New Roman" w:hAnsi="Times New Roman"/>
          <w:color w:val="000000"/>
          <w:sz w:val="24"/>
          <w:szCs w:val="24"/>
          <w:shd w:val="clear" w:color="auto" w:fill="FFFFFF"/>
        </w:rPr>
        <w:t xml:space="preserve">the </w:t>
      </w:r>
      <w:r w:rsidR="0022066E" w:rsidRPr="002F164E">
        <w:rPr>
          <w:rFonts w:ascii="Times New Roman" w:hAnsi="Times New Roman"/>
          <w:color w:val="000000"/>
          <w:sz w:val="24"/>
          <w:szCs w:val="24"/>
          <w:shd w:val="clear" w:color="auto" w:fill="FFFFFF"/>
        </w:rPr>
        <w:t xml:space="preserve">ACMA approves a remediation list, it must notify the licensee of its decision. It is expected that </w:t>
      </w:r>
      <w:r w:rsidR="003324D4">
        <w:rPr>
          <w:rFonts w:ascii="Times New Roman" w:hAnsi="Times New Roman"/>
          <w:color w:val="000000"/>
          <w:sz w:val="24"/>
          <w:szCs w:val="24"/>
          <w:shd w:val="clear" w:color="auto" w:fill="FFFFFF"/>
        </w:rPr>
        <w:t>the ACMA</w:t>
      </w:r>
      <w:r w:rsidR="0022066E" w:rsidRPr="002F164E">
        <w:rPr>
          <w:rFonts w:ascii="Times New Roman" w:hAnsi="Times New Roman"/>
          <w:color w:val="000000"/>
          <w:sz w:val="24"/>
          <w:szCs w:val="24"/>
          <w:shd w:val="clear" w:color="auto" w:fill="FFFFFF"/>
        </w:rPr>
        <w:t xml:space="preserve"> will perform this function in a reasonable timeframe. This may involve the agreement of protocols for timeframes with the licensee. As the default, the licensee must complete the remediation of cable runs on the remediation list within six months of receipt of </w:t>
      </w:r>
      <w:r w:rsidR="003324D4">
        <w:rPr>
          <w:rFonts w:ascii="Times New Roman" w:hAnsi="Times New Roman"/>
          <w:color w:val="000000"/>
          <w:sz w:val="24"/>
          <w:szCs w:val="24"/>
          <w:shd w:val="clear" w:color="auto" w:fill="FFFFFF"/>
        </w:rPr>
        <w:t>the ACMA</w:t>
      </w:r>
      <w:r w:rsidR="0022066E" w:rsidRPr="002F164E">
        <w:rPr>
          <w:rFonts w:ascii="Times New Roman" w:hAnsi="Times New Roman"/>
          <w:color w:val="000000"/>
          <w:sz w:val="24"/>
          <w:szCs w:val="24"/>
          <w:shd w:val="clear" w:color="auto" w:fill="FFFFFF"/>
        </w:rPr>
        <w:t xml:space="preserve">’s notification, but </w:t>
      </w:r>
      <w:r w:rsidR="003324D4">
        <w:rPr>
          <w:rFonts w:ascii="Times New Roman" w:hAnsi="Times New Roman"/>
          <w:color w:val="000000"/>
          <w:sz w:val="24"/>
          <w:szCs w:val="24"/>
          <w:shd w:val="clear" w:color="auto" w:fill="FFFFFF"/>
        </w:rPr>
        <w:t>the ACMA</w:t>
      </w:r>
      <w:r w:rsidR="0022066E" w:rsidRPr="002F164E">
        <w:rPr>
          <w:rFonts w:ascii="Times New Roman" w:hAnsi="Times New Roman"/>
          <w:color w:val="000000"/>
          <w:sz w:val="24"/>
          <w:szCs w:val="24"/>
          <w:shd w:val="clear" w:color="auto" w:fill="FFFFFF"/>
        </w:rPr>
        <w:t xml:space="preserve"> may agree to another timeframe under </w:t>
      </w:r>
      <w:r w:rsidRPr="002F164E">
        <w:rPr>
          <w:rFonts w:ascii="Times New Roman" w:hAnsi="Times New Roman"/>
          <w:color w:val="000000"/>
          <w:sz w:val="24"/>
          <w:szCs w:val="24"/>
          <w:shd w:val="clear" w:color="auto" w:fill="FFFFFF"/>
        </w:rPr>
        <w:t>subsection</w:t>
      </w:r>
      <w:r w:rsidR="0022066E" w:rsidRPr="002F164E">
        <w:rPr>
          <w:rFonts w:ascii="Times New Roman" w:hAnsi="Times New Roman"/>
          <w:color w:val="000000"/>
          <w:sz w:val="24"/>
          <w:szCs w:val="24"/>
          <w:shd w:val="clear" w:color="auto" w:fill="FFFFFF"/>
        </w:rPr>
        <w:t xml:space="preserve"> 16(6). As it is not intended that </w:t>
      </w:r>
      <w:r w:rsidR="003324D4">
        <w:rPr>
          <w:rFonts w:ascii="Times New Roman" w:hAnsi="Times New Roman"/>
          <w:color w:val="000000"/>
          <w:sz w:val="24"/>
          <w:szCs w:val="24"/>
          <w:shd w:val="clear" w:color="auto" w:fill="FFFFFF"/>
        </w:rPr>
        <w:t>the ACMA</w:t>
      </w:r>
      <w:r w:rsidR="0022066E" w:rsidRPr="002F164E">
        <w:rPr>
          <w:rFonts w:ascii="Times New Roman" w:hAnsi="Times New Roman"/>
          <w:color w:val="000000"/>
          <w:sz w:val="24"/>
          <w:szCs w:val="24"/>
          <w:shd w:val="clear" w:color="auto" w:fill="FFFFFF"/>
        </w:rPr>
        <w:t xml:space="preserve"> ‘micro-manage’ Telstra’s operations, Telstra does not need to submit a remediation plan to </w:t>
      </w:r>
      <w:r w:rsidR="003324D4">
        <w:rPr>
          <w:rFonts w:ascii="Times New Roman" w:hAnsi="Times New Roman"/>
          <w:color w:val="000000"/>
          <w:sz w:val="24"/>
          <w:szCs w:val="24"/>
          <w:shd w:val="clear" w:color="auto" w:fill="FFFFFF"/>
        </w:rPr>
        <w:t>the ACMA</w:t>
      </w:r>
      <w:r w:rsidR="0022066E" w:rsidRPr="002F164E">
        <w:rPr>
          <w:rFonts w:ascii="Times New Roman" w:hAnsi="Times New Roman"/>
          <w:color w:val="000000"/>
          <w:sz w:val="24"/>
          <w:szCs w:val="24"/>
          <w:shd w:val="clear" w:color="auto" w:fill="FFFFFF"/>
        </w:rPr>
        <w:t xml:space="preserve"> for the remediation of cable runs on the approved remediation list. Rather, the method of remediation is first and foremost a matter for the licensee, rather than the regulator, and the licensee’s performance is then assessed using the objective</w:t>
      </w:r>
      <w:r w:rsidR="007F7065" w:rsidRPr="002F164E">
        <w:rPr>
          <w:rFonts w:ascii="Times New Roman" w:hAnsi="Times New Roman"/>
          <w:color w:val="000000"/>
          <w:sz w:val="24"/>
          <w:szCs w:val="24"/>
          <w:shd w:val="clear" w:color="auto" w:fill="FFFFFF"/>
        </w:rPr>
        <w:t xml:space="preserve"> criteria set out in </w:t>
      </w:r>
      <w:r w:rsidRPr="002F164E">
        <w:rPr>
          <w:rFonts w:ascii="Times New Roman" w:hAnsi="Times New Roman"/>
          <w:color w:val="000000"/>
          <w:sz w:val="24"/>
          <w:szCs w:val="24"/>
          <w:shd w:val="clear" w:color="auto" w:fill="FFFFFF"/>
        </w:rPr>
        <w:t>subsection</w:t>
      </w:r>
      <w:r w:rsidR="007F7065" w:rsidRPr="002F164E">
        <w:rPr>
          <w:rFonts w:ascii="Times New Roman" w:hAnsi="Times New Roman"/>
          <w:color w:val="000000"/>
          <w:sz w:val="24"/>
          <w:szCs w:val="24"/>
          <w:shd w:val="clear" w:color="auto" w:fill="FFFFFF"/>
        </w:rPr>
        <w:t xml:space="preserve"> 16(9</w:t>
      </w:r>
      <w:r w:rsidR="0022066E" w:rsidRPr="002F164E">
        <w:rPr>
          <w:rFonts w:ascii="Times New Roman" w:hAnsi="Times New Roman"/>
          <w:color w:val="000000"/>
          <w:sz w:val="24"/>
          <w:szCs w:val="24"/>
          <w:shd w:val="clear" w:color="auto" w:fill="FFFFFF"/>
        </w:rPr>
        <w:t>).</w:t>
      </w:r>
    </w:p>
    <w:p w14:paraId="1A673DDF" w14:textId="45B2B339" w:rsidR="00E71E57"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E71E57" w:rsidRPr="002F164E">
        <w:rPr>
          <w:rFonts w:ascii="Times New Roman" w:hAnsi="Times New Roman"/>
          <w:color w:val="000000"/>
          <w:sz w:val="24"/>
          <w:szCs w:val="24"/>
          <w:shd w:val="clear" w:color="auto" w:fill="FFFFFF"/>
        </w:rPr>
        <w:t xml:space="preserve"> 16(6) provides </w:t>
      </w:r>
      <w:r w:rsidR="003324D4">
        <w:rPr>
          <w:rFonts w:ascii="Times New Roman" w:hAnsi="Times New Roman"/>
          <w:color w:val="000000"/>
          <w:sz w:val="24"/>
          <w:szCs w:val="24"/>
          <w:shd w:val="clear" w:color="auto" w:fill="FFFFFF"/>
        </w:rPr>
        <w:t>the ACMA</w:t>
      </w:r>
      <w:r w:rsidR="00E71E57" w:rsidRPr="002F164E">
        <w:rPr>
          <w:rFonts w:ascii="Times New Roman" w:hAnsi="Times New Roman"/>
          <w:color w:val="000000"/>
          <w:sz w:val="24"/>
          <w:szCs w:val="24"/>
          <w:shd w:val="clear" w:color="auto" w:fill="FFFFFF"/>
        </w:rPr>
        <w:t xml:space="preserve"> with the discretion to extend or further extend the period for the completion of remediation by a further period of up to six months. While the period of time needed for remediation will vary from cable run to cable run, three to six months is considered a likely timeframe for most remediations. However, this </w:t>
      </w:r>
      <w:r w:rsidRPr="002F164E">
        <w:rPr>
          <w:rFonts w:ascii="Times New Roman" w:hAnsi="Times New Roman"/>
          <w:color w:val="000000"/>
          <w:sz w:val="24"/>
          <w:szCs w:val="24"/>
          <w:shd w:val="clear" w:color="auto" w:fill="FFFFFF"/>
        </w:rPr>
        <w:t>subsection</w:t>
      </w:r>
      <w:r w:rsidR="00E71E57" w:rsidRPr="002F164E">
        <w:rPr>
          <w:rFonts w:ascii="Times New Roman" w:hAnsi="Times New Roman"/>
          <w:color w:val="000000"/>
          <w:sz w:val="24"/>
          <w:szCs w:val="24"/>
          <w:shd w:val="clear" w:color="auto" w:fill="FFFFFF"/>
        </w:rPr>
        <w:t xml:space="preserve"> recognises that unforeseeable or unusual events may occur which may impact on the licensee’s ability to meet the specified timeframe. In such circumstances, the licensee may request that </w:t>
      </w:r>
      <w:r w:rsidR="003324D4">
        <w:rPr>
          <w:rFonts w:ascii="Times New Roman" w:hAnsi="Times New Roman"/>
          <w:color w:val="000000"/>
          <w:sz w:val="24"/>
          <w:szCs w:val="24"/>
          <w:shd w:val="clear" w:color="auto" w:fill="FFFFFF"/>
        </w:rPr>
        <w:t>the ACMA</w:t>
      </w:r>
      <w:r w:rsidR="00E71E57" w:rsidRPr="002F164E">
        <w:rPr>
          <w:rFonts w:ascii="Times New Roman" w:hAnsi="Times New Roman"/>
          <w:color w:val="000000"/>
          <w:sz w:val="24"/>
          <w:szCs w:val="24"/>
          <w:shd w:val="clear" w:color="auto" w:fill="FFFFFF"/>
        </w:rPr>
        <w:t xml:space="preserve"> agree to an extension of the proposed timeframe. Paragraphs 16(6)(a) to (c) provide the circumstances under which </w:t>
      </w:r>
      <w:r w:rsidR="00FD2BC6">
        <w:rPr>
          <w:rFonts w:ascii="Times New Roman" w:hAnsi="Times New Roman"/>
          <w:color w:val="000000"/>
          <w:sz w:val="24"/>
          <w:szCs w:val="24"/>
          <w:shd w:val="clear" w:color="auto" w:fill="FFFFFF"/>
        </w:rPr>
        <w:t xml:space="preserve">Telstra </w:t>
      </w:r>
      <w:r w:rsidR="00FD2BC6" w:rsidRPr="002F164E">
        <w:rPr>
          <w:rFonts w:ascii="Times New Roman" w:hAnsi="Times New Roman"/>
          <w:color w:val="000000"/>
          <w:sz w:val="24"/>
          <w:szCs w:val="24"/>
          <w:shd w:val="clear" w:color="auto" w:fill="FFFFFF"/>
        </w:rPr>
        <w:t xml:space="preserve"> </w:t>
      </w:r>
      <w:r w:rsidR="00E71E57" w:rsidRPr="002F164E">
        <w:rPr>
          <w:rFonts w:ascii="Times New Roman" w:hAnsi="Times New Roman"/>
          <w:color w:val="000000"/>
          <w:sz w:val="24"/>
          <w:szCs w:val="24"/>
          <w:shd w:val="clear" w:color="auto" w:fill="FFFFFF"/>
        </w:rPr>
        <w:t xml:space="preserve">may request an extension from </w:t>
      </w:r>
      <w:r w:rsidR="003324D4">
        <w:rPr>
          <w:rFonts w:ascii="Times New Roman" w:hAnsi="Times New Roman"/>
          <w:color w:val="000000"/>
          <w:sz w:val="24"/>
          <w:szCs w:val="24"/>
          <w:shd w:val="clear" w:color="auto" w:fill="FFFFFF"/>
        </w:rPr>
        <w:t>the ACMA</w:t>
      </w:r>
      <w:r w:rsidR="00E71E57" w:rsidRPr="002F164E">
        <w:rPr>
          <w:rFonts w:ascii="Times New Roman" w:hAnsi="Times New Roman"/>
          <w:color w:val="000000"/>
          <w:sz w:val="24"/>
          <w:szCs w:val="24"/>
          <w:shd w:val="clear" w:color="auto" w:fill="FFFFFF"/>
        </w:rPr>
        <w:t>.</w:t>
      </w:r>
    </w:p>
    <w:p w14:paraId="735F76A8" w14:textId="409A05C4" w:rsidR="00253D96"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253D96" w:rsidRPr="002F164E">
        <w:rPr>
          <w:rFonts w:ascii="Times New Roman" w:hAnsi="Times New Roman"/>
          <w:color w:val="000000"/>
          <w:sz w:val="24"/>
          <w:szCs w:val="24"/>
          <w:shd w:val="clear" w:color="auto" w:fill="FFFFFF"/>
        </w:rPr>
        <w:t xml:space="preserve"> 16(7) provides time limits before which extensions may be sought by the licensee under </w:t>
      </w:r>
      <w:r w:rsidRPr="002F164E">
        <w:rPr>
          <w:rFonts w:ascii="Times New Roman" w:hAnsi="Times New Roman"/>
          <w:color w:val="000000"/>
          <w:sz w:val="24"/>
          <w:szCs w:val="24"/>
          <w:shd w:val="clear" w:color="auto" w:fill="FFFFFF"/>
        </w:rPr>
        <w:t>subsection</w:t>
      </w:r>
      <w:r w:rsidR="00253D96" w:rsidRPr="002F164E">
        <w:rPr>
          <w:rFonts w:ascii="Times New Roman" w:hAnsi="Times New Roman"/>
          <w:color w:val="000000"/>
          <w:sz w:val="24"/>
          <w:szCs w:val="24"/>
          <w:shd w:val="clear" w:color="auto" w:fill="FFFFFF"/>
        </w:rPr>
        <w:t xml:space="preserve"> 16(6). These time limits will ensure that the licensee applies to </w:t>
      </w:r>
      <w:r w:rsidR="003324D4">
        <w:rPr>
          <w:rFonts w:ascii="Times New Roman" w:hAnsi="Times New Roman"/>
          <w:color w:val="000000"/>
          <w:sz w:val="24"/>
          <w:szCs w:val="24"/>
          <w:shd w:val="clear" w:color="auto" w:fill="FFFFFF"/>
        </w:rPr>
        <w:t>the ACMA</w:t>
      </w:r>
      <w:r w:rsidR="00253D96" w:rsidRPr="002F164E">
        <w:rPr>
          <w:rFonts w:ascii="Times New Roman" w:hAnsi="Times New Roman"/>
          <w:color w:val="000000"/>
          <w:sz w:val="24"/>
          <w:szCs w:val="24"/>
          <w:shd w:val="clear" w:color="auto" w:fill="FFFFFF"/>
        </w:rPr>
        <w:t xml:space="preserve"> before the current period expires, and within a reasonable time after the licensee becomes aware that it will not complete, or reasonably expects that it may not complete, the remediation in the specified time. These provisions are intended to place discipline on the licensee in seeking extensions to remediation timeframes.</w:t>
      </w:r>
    </w:p>
    <w:p w14:paraId="77F1BEF7" w14:textId="1A19BBD4" w:rsidR="00EA4042"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EA4042" w:rsidRPr="002F164E">
        <w:rPr>
          <w:rFonts w:ascii="Times New Roman" w:hAnsi="Times New Roman"/>
          <w:color w:val="000000"/>
          <w:sz w:val="24"/>
          <w:szCs w:val="24"/>
          <w:shd w:val="clear" w:color="auto" w:fill="FFFFFF"/>
        </w:rPr>
        <w:t xml:space="preserve"> 16(8) provides that </w:t>
      </w:r>
      <w:r w:rsidR="003324D4">
        <w:rPr>
          <w:rFonts w:ascii="Times New Roman" w:hAnsi="Times New Roman"/>
          <w:color w:val="000000"/>
          <w:sz w:val="24"/>
          <w:szCs w:val="24"/>
          <w:shd w:val="clear" w:color="auto" w:fill="FFFFFF"/>
        </w:rPr>
        <w:t>the ACMA</w:t>
      </w:r>
      <w:r w:rsidR="00EA4042" w:rsidRPr="002F164E">
        <w:rPr>
          <w:rFonts w:ascii="Times New Roman" w:hAnsi="Times New Roman"/>
          <w:color w:val="000000"/>
          <w:sz w:val="24"/>
          <w:szCs w:val="24"/>
          <w:shd w:val="clear" w:color="auto" w:fill="FFFFFF"/>
        </w:rPr>
        <w:t xml:space="preserve"> must give the licensee written notice of its decision to extend or not extend the period allowed for remediation, if requested by the licensee under </w:t>
      </w:r>
      <w:r w:rsidRPr="002F164E">
        <w:rPr>
          <w:rFonts w:ascii="Times New Roman" w:hAnsi="Times New Roman"/>
          <w:color w:val="000000"/>
          <w:sz w:val="24"/>
          <w:szCs w:val="24"/>
          <w:shd w:val="clear" w:color="auto" w:fill="FFFFFF"/>
        </w:rPr>
        <w:t>subsection</w:t>
      </w:r>
      <w:r w:rsidR="00EA4042" w:rsidRPr="002F164E">
        <w:rPr>
          <w:rFonts w:ascii="Times New Roman" w:hAnsi="Times New Roman"/>
          <w:color w:val="000000"/>
          <w:sz w:val="24"/>
          <w:szCs w:val="24"/>
          <w:shd w:val="clear" w:color="auto" w:fill="FFFFFF"/>
        </w:rPr>
        <w:t xml:space="preserve"> 16(6). </w:t>
      </w:r>
      <w:r w:rsidR="003324D4">
        <w:rPr>
          <w:rFonts w:ascii="Times New Roman" w:hAnsi="Times New Roman"/>
          <w:color w:val="000000"/>
          <w:sz w:val="24"/>
          <w:szCs w:val="24"/>
          <w:shd w:val="clear" w:color="auto" w:fill="FFFFFF"/>
        </w:rPr>
        <w:t xml:space="preserve">The </w:t>
      </w:r>
      <w:r w:rsidR="00EA4042" w:rsidRPr="002F164E">
        <w:rPr>
          <w:rFonts w:ascii="Times New Roman" w:hAnsi="Times New Roman"/>
          <w:color w:val="000000"/>
          <w:sz w:val="24"/>
          <w:szCs w:val="24"/>
          <w:shd w:val="clear" w:color="auto" w:fill="FFFFFF"/>
        </w:rPr>
        <w:t>ACMA must provide this written notice within 15 working days of receipt of the licensee’s written request.</w:t>
      </w:r>
    </w:p>
    <w:p w14:paraId="65A9DF9A" w14:textId="2CE88BBA" w:rsidR="003942F4"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CF57EC" w:rsidRPr="002F164E">
        <w:rPr>
          <w:rFonts w:ascii="Times New Roman" w:hAnsi="Times New Roman"/>
          <w:color w:val="000000"/>
          <w:sz w:val="24"/>
          <w:szCs w:val="24"/>
          <w:shd w:val="clear" w:color="auto" w:fill="FFFFFF"/>
        </w:rPr>
        <w:t xml:space="preserve"> 16(9) provides that, after the end of six months following completion of the remediation of a cable run, the licensee must demonstrate a 90 per cent reduction in the average network event volume for that cable run. This provision will ensure that the licensee’s remediation performance is assessed using objective criteria, without micro-managing its internal remediation processes. These reports must be provided to </w:t>
      </w:r>
      <w:r w:rsidR="003324D4">
        <w:rPr>
          <w:rFonts w:ascii="Times New Roman" w:hAnsi="Times New Roman"/>
          <w:color w:val="000000"/>
          <w:sz w:val="24"/>
          <w:szCs w:val="24"/>
          <w:shd w:val="clear" w:color="auto" w:fill="FFFFFF"/>
        </w:rPr>
        <w:t>the ACMA</w:t>
      </w:r>
      <w:r w:rsidR="00CF57EC" w:rsidRPr="002F164E">
        <w:rPr>
          <w:rFonts w:ascii="Times New Roman" w:hAnsi="Times New Roman"/>
          <w:color w:val="000000"/>
          <w:sz w:val="24"/>
          <w:szCs w:val="24"/>
          <w:shd w:val="clear" w:color="auto" w:fill="FFFFFF"/>
        </w:rPr>
        <w:t xml:space="preserve"> by the licensee on a monthly basis, within 10 working days of the end of each calendar month. Each monthly report should include details of all cable runs that reached, during that calendar month, the end of the six month period following the completion of the remediation. The report must include details of any reduction in the average network event volume for each cable run included in the report (i</w:t>
      </w:r>
      <w:r w:rsidR="007855EC">
        <w:rPr>
          <w:rFonts w:ascii="Times New Roman" w:hAnsi="Times New Roman"/>
          <w:color w:val="000000"/>
          <w:sz w:val="24"/>
          <w:szCs w:val="24"/>
          <w:shd w:val="clear" w:color="auto" w:fill="FFFFFF"/>
        </w:rPr>
        <w:t>.</w:t>
      </w:r>
      <w:r w:rsidR="00CF57EC" w:rsidRPr="002F164E">
        <w:rPr>
          <w:rFonts w:ascii="Times New Roman" w:hAnsi="Times New Roman"/>
          <w:color w:val="000000"/>
          <w:sz w:val="24"/>
          <w:szCs w:val="24"/>
          <w:shd w:val="clear" w:color="auto" w:fill="FFFFFF"/>
        </w:rPr>
        <w:t xml:space="preserve">e. details for individual cable runs rather than aggregate figures). Details of the average network event volume for each cable run will allow </w:t>
      </w:r>
      <w:r w:rsidR="003324D4">
        <w:rPr>
          <w:rFonts w:ascii="Times New Roman" w:hAnsi="Times New Roman"/>
          <w:color w:val="000000"/>
          <w:sz w:val="24"/>
          <w:szCs w:val="24"/>
          <w:shd w:val="clear" w:color="auto" w:fill="FFFFFF"/>
        </w:rPr>
        <w:t>the ACMA</w:t>
      </w:r>
      <w:r w:rsidR="00CF57EC" w:rsidRPr="002F164E">
        <w:rPr>
          <w:rFonts w:ascii="Times New Roman" w:hAnsi="Times New Roman"/>
          <w:color w:val="000000"/>
          <w:sz w:val="24"/>
          <w:szCs w:val="24"/>
          <w:shd w:val="clear" w:color="auto" w:fill="FFFFFF"/>
        </w:rPr>
        <w:t xml:space="preserve"> to verify the 90 per cent reduction for each cable run, by comparing it to the data provided under paragraph 16(2)(a).</w:t>
      </w:r>
    </w:p>
    <w:p w14:paraId="7D540AF0" w14:textId="16FFDE8A" w:rsidR="00E70282" w:rsidRPr="002F164E" w:rsidRDefault="004A5CD3"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Subsection</w:t>
      </w:r>
      <w:r w:rsidR="000916DB" w:rsidRPr="002F164E">
        <w:rPr>
          <w:rFonts w:ascii="Times New Roman" w:hAnsi="Times New Roman"/>
          <w:color w:val="000000"/>
          <w:sz w:val="24"/>
          <w:szCs w:val="24"/>
          <w:shd w:val="clear" w:color="auto" w:fill="FFFFFF"/>
        </w:rPr>
        <w:t xml:space="preserve"> 16(10</w:t>
      </w:r>
      <w:r w:rsidR="00E70282" w:rsidRPr="002F164E">
        <w:rPr>
          <w:rFonts w:ascii="Times New Roman" w:hAnsi="Times New Roman"/>
          <w:color w:val="000000"/>
          <w:sz w:val="24"/>
          <w:szCs w:val="24"/>
          <w:shd w:val="clear" w:color="auto" w:fill="FFFFFF"/>
        </w:rPr>
        <w:t xml:space="preserve">) provides that there are two options that the licensee can pursue if it has not achieved the 90 per cent reduction in average network event volume for a cable </w:t>
      </w:r>
      <w:r w:rsidR="000916DB" w:rsidRPr="002F164E">
        <w:rPr>
          <w:rFonts w:ascii="Times New Roman" w:hAnsi="Times New Roman"/>
          <w:color w:val="000000"/>
          <w:sz w:val="24"/>
          <w:szCs w:val="24"/>
          <w:shd w:val="clear" w:color="auto" w:fill="FFFFFF"/>
        </w:rPr>
        <w:t xml:space="preserve">run, as specified in </w:t>
      </w:r>
      <w:r w:rsidRPr="002F164E">
        <w:rPr>
          <w:rFonts w:ascii="Times New Roman" w:hAnsi="Times New Roman"/>
          <w:color w:val="000000"/>
          <w:sz w:val="24"/>
          <w:szCs w:val="24"/>
          <w:shd w:val="clear" w:color="auto" w:fill="FFFFFF"/>
        </w:rPr>
        <w:t>subsection</w:t>
      </w:r>
      <w:r w:rsidR="000916DB" w:rsidRPr="002F164E">
        <w:rPr>
          <w:rFonts w:ascii="Times New Roman" w:hAnsi="Times New Roman"/>
          <w:color w:val="000000"/>
          <w:sz w:val="24"/>
          <w:szCs w:val="24"/>
          <w:shd w:val="clear" w:color="auto" w:fill="FFFFFF"/>
        </w:rPr>
        <w:t xml:space="preserve"> 16(9</w:t>
      </w:r>
      <w:r w:rsidR="00E70282" w:rsidRPr="002F164E">
        <w:rPr>
          <w:rFonts w:ascii="Times New Roman" w:hAnsi="Times New Roman"/>
          <w:color w:val="000000"/>
          <w:sz w:val="24"/>
          <w:szCs w:val="24"/>
          <w:shd w:val="clear" w:color="auto" w:fill="FFFFFF"/>
        </w:rPr>
        <w:t>). The first</w:t>
      </w:r>
      <w:r w:rsidR="000916DB" w:rsidRPr="002F164E">
        <w:rPr>
          <w:rFonts w:ascii="Times New Roman" w:hAnsi="Times New Roman"/>
          <w:color w:val="000000"/>
          <w:sz w:val="24"/>
          <w:szCs w:val="24"/>
          <w:shd w:val="clear" w:color="auto" w:fill="FFFFFF"/>
        </w:rPr>
        <w:t xml:space="preserve"> option, provided at paragraph 16(10</w:t>
      </w:r>
      <w:r w:rsidR="00E70282" w:rsidRPr="002F164E">
        <w:rPr>
          <w:rFonts w:ascii="Times New Roman" w:hAnsi="Times New Roman"/>
          <w:color w:val="000000"/>
          <w:sz w:val="24"/>
          <w:szCs w:val="24"/>
          <w:shd w:val="clear" w:color="auto" w:fill="FFFFFF"/>
        </w:rPr>
        <w:t xml:space="preserve">)(a), is to provide a fresh remediation plan to </w:t>
      </w:r>
      <w:r w:rsidR="003324D4">
        <w:rPr>
          <w:rFonts w:ascii="Times New Roman" w:hAnsi="Times New Roman"/>
          <w:color w:val="000000"/>
          <w:sz w:val="24"/>
          <w:szCs w:val="24"/>
          <w:shd w:val="clear" w:color="auto" w:fill="FFFFFF"/>
        </w:rPr>
        <w:t>the ACMA</w:t>
      </w:r>
      <w:r w:rsidR="00E70282" w:rsidRPr="002F164E">
        <w:rPr>
          <w:rFonts w:ascii="Times New Roman" w:hAnsi="Times New Roman"/>
          <w:color w:val="000000"/>
          <w:sz w:val="24"/>
          <w:szCs w:val="24"/>
          <w:shd w:val="clear" w:color="auto" w:fill="FFFFFF"/>
        </w:rPr>
        <w:t xml:space="preserve"> at the same time that it provi</w:t>
      </w:r>
      <w:r w:rsidR="000916DB" w:rsidRPr="002F164E">
        <w:rPr>
          <w:rFonts w:ascii="Times New Roman" w:hAnsi="Times New Roman"/>
          <w:color w:val="000000"/>
          <w:sz w:val="24"/>
          <w:szCs w:val="24"/>
          <w:shd w:val="clear" w:color="auto" w:fill="FFFFFF"/>
        </w:rPr>
        <w:t xml:space="preserve">des its report under </w:t>
      </w:r>
      <w:r w:rsidRPr="002F164E">
        <w:rPr>
          <w:rFonts w:ascii="Times New Roman" w:hAnsi="Times New Roman"/>
          <w:color w:val="000000"/>
          <w:sz w:val="24"/>
          <w:szCs w:val="24"/>
          <w:shd w:val="clear" w:color="auto" w:fill="FFFFFF"/>
        </w:rPr>
        <w:t>subsection</w:t>
      </w:r>
      <w:r w:rsidR="000916DB" w:rsidRPr="002F164E">
        <w:rPr>
          <w:rFonts w:ascii="Times New Roman" w:hAnsi="Times New Roman"/>
          <w:color w:val="000000"/>
          <w:sz w:val="24"/>
          <w:szCs w:val="24"/>
          <w:shd w:val="clear" w:color="auto" w:fill="FFFFFF"/>
        </w:rPr>
        <w:t xml:space="preserve"> 16(9). Paragraph 16(10</w:t>
      </w:r>
      <w:r w:rsidR="00E70282" w:rsidRPr="002F164E">
        <w:rPr>
          <w:rFonts w:ascii="Times New Roman" w:hAnsi="Times New Roman"/>
          <w:color w:val="000000"/>
          <w:sz w:val="24"/>
          <w:szCs w:val="24"/>
          <w:shd w:val="clear" w:color="auto" w:fill="FFFFFF"/>
        </w:rPr>
        <w:t>)(a) provides the requirements for a fresh remediation plan. The second</w:t>
      </w:r>
      <w:r w:rsidR="000916DB" w:rsidRPr="002F164E">
        <w:rPr>
          <w:rFonts w:ascii="Times New Roman" w:hAnsi="Times New Roman"/>
          <w:color w:val="000000"/>
          <w:sz w:val="24"/>
          <w:szCs w:val="24"/>
          <w:shd w:val="clear" w:color="auto" w:fill="FFFFFF"/>
        </w:rPr>
        <w:t xml:space="preserve"> option, provided at paragraph 16(10</w:t>
      </w:r>
      <w:r w:rsidR="00E70282" w:rsidRPr="002F164E">
        <w:rPr>
          <w:rFonts w:ascii="Times New Roman" w:hAnsi="Times New Roman"/>
          <w:color w:val="000000"/>
          <w:sz w:val="24"/>
          <w:szCs w:val="24"/>
          <w:shd w:val="clear" w:color="auto" w:fill="FFFFFF"/>
        </w:rPr>
        <w:t xml:space="preserve">)(b), is to provide a written application to </w:t>
      </w:r>
      <w:r w:rsidR="003324D4">
        <w:rPr>
          <w:rFonts w:ascii="Times New Roman" w:hAnsi="Times New Roman"/>
          <w:color w:val="000000"/>
          <w:sz w:val="24"/>
          <w:szCs w:val="24"/>
          <w:shd w:val="clear" w:color="auto" w:fill="FFFFFF"/>
        </w:rPr>
        <w:t>the ACMA</w:t>
      </w:r>
      <w:r w:rsidR="00E70282" w:rsidRPr="002F164E">
        <w:rPr>
          <w:rFonts w:ascii="Times New Roman" w:hAnsi="Times New Roman"/>
          <w:color w:val="000000"/>
          <w:sz w:val="24"/>
          <w:szCs w:val="24"/>
          <w:shd w:val="clear" w:color="auto" w:fill="FFFFFF"/>
        </w:rPr>
        <w:t xml:space="preserve"> to waive the requirement for a fresh remediation plan. The licensee would need to pursue one of these options for each cable run that had not reached the 90 per cent reduction.</w:t>
      </w:r>
    </w:p>
    <w:p w14:paraId="72610F3F" w14:textId="5A3CDC91" w:rsidR="00CB0113" w:rsidRPr="002F164E" w:rsidRDefault="004A5CD3" w:rsidP="00EF7A08">
      <w:pPr>
        <w:rPr>
          <w:rFonts w:ascii="Times New Roman" w:hAnsi="Times New Roman"/>
          <w:b/>
          <w:sz w:val="24"/>
          <w:szCs w:val="24"/>
        </w:rPr>
      </w:pPr>
      <w:r w:rsidRPr="002F164E">
        <w:rPr>
          <w:rFonts w:ascii="Times New Roman" w:hAnsi="Times New Roman"/>
          <w:color w:val="000000"/>
          <w:sz w:val="24"/>
          <w:szCs w:val="24"/>
          <w:shd w:val="clear" w:color="auto" w:fill="FFFFFF"/>
        </w:rPr>
        <w:t>Subsection</w:t>
      </w:r>
      <w:r w:rsidR="000D5759" w:rsidRPr="002F164E">
        <w:rPr>
          <w:rFonts w:ascii="Times New Roman" w:hAnsi="Times New Roman"/>
          <w:color w:val="000000"/>
          <w:sz w:val="24"/>
          <w:szCs w:val="24"/>
          <w:shd w:val="clear" w:color="auto" w:fill="FFFFFF"/>
        </w:rPr>
        <w:t xml:space="preserve"> 16(11) provides a timeframe (15 working days after receipt of the application) for </w:t>
      </w:r>
      <w:r w:rsidR="003324D4">
        <w:rPr>
          <w:rFonts w:ascii="Times New Roman" w:hAnsi="Times New Roman"/>
          <w:color w:val="000000"/>
          <w:sz w:val="24"/>
          <w:szCs w:val="24"/>
          <w:shd w:val="clear" w:color="auto" w:fill="FFFFFF"/>
        </w:rPr>
        <w:t>the ACMA</w:t>
      </w:r>
      <w:r w:rsidR="000D5759" w:rsidRPr="002F164E">
        <w:rPr>
          <w:rFonts w:ascii="Times New Roman" w:hAnsi="Times New Roman"/>
          <w:color w:val="000000"/>
          <w:sz w:val="24"/>
          <w:szCs w:val="24"/>
          <w:shd w:val="clear" w:color="auto" w:fill="FFFFFF"/>
        </w:rPr>
        <w:t xml:space="preserve"> to respond to a waiver application that has been made by the licensee under paragraph 16(10)(b). It is expected that </w:t>
      </w:r>
      <w:r w:rsidR="003324D4">
        <w:rPr>
          <w:rFonts w:ascii="Times New Roman" w:hAnsi="Times New Roman"/>
          <w:color w:val="000000"/>
          <w:sz w:val="24"/>
          <w:szCs w:val="24"/>
          <w:shd w:val="clear" w:color="auto" w:fill="FFFFFF"/>
        </w:rPr>
        <w:t>the ACMA</w:t>
      </w:r>
      <w:r w:rsidR="000D5759" w:rsidRPr="002F164E">
        <w:rPr>
          <w:rFonts w:ascii="Times New Roman" w:hAnsi="Times New Roman"/>
          <w:color w:val="000000"/>
          <w:sz w:val="24"/>
          <w:szCs w:val="24"/>
          <w:shd w:val="clear" w:color="auto" w:fill="FFFFFF"/>
        </w:rPr>
        <w:t xml:space="preserve"> discuss</w:t>
      </w:r>
      <w:r w:rsidR="00FD2BC6">
        <w:rPr>
          <w:rFonts w:ascii="Times New Roman" w:hAnsi="Times New Roman"/>
          <w:color w:val="000000"/>
          <w:sz w:val="24"/>
          <w:szCs w:val="24"/>
          <w:shd w:val="clear" w:color="auto" w:fill="FFFFFF"/>
        </w:rPr>
        <w:t>es</w:t>
      </w:r>
      <w:r w:rsidR="000D5759" w:rsidRPr="002F164E">
        <w:rPr>
          <w:rFonts w:ascii="Times New Roman" w:hAnsi="Times New Roman"/>
          <w:color w:val="000000"/>
          <w:sz w:val="24"/>
          <w:szCs w:val="24"/>
          <w:shd w:val="clear" w:color="auto" w:fill="FFFFFF"/>
        </w:rPr>
        <w:t xml:space="preserve"> the reasons for its response with the licensee, where appropriate.</w:t>
      </w:r>
    </w:p>
    <w:p w14:paraId="19C2DC53" w14:textId="1B11DF61" w:rsidR="000C0F2C" w:rsidRPr="002F164E" w:rsidRDefault="004A5CD3" w:rsidP="000C0F2C">
      <w:pPr>
        <w:pStyle w:val="BodyText"/>
        <w:shd w:val="clear" w:color="auto" w:fill="FFFFFF"/>
        <w:spacing w:after="0"/>
        <w:ind w:right="-187"/>
        <w:rPr>
          <w:rFonts w:ascii="Times New Roman" w:eastAsia="Times New Roman" w:hAnsi="Times New Roman"/>
          <w:noProof w:val="0"/>
          <w:color w:val="000000"/>
          <w:sz w:val="24"/>
          <w:szCs w:val="24"/>
        </w:rPr>
      </w:pP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16(12) makes clear that</w:t>
      </w:r>
      <w:r w:rsidR="006B51A4">
        <w:rPr>
          <w:rFonts w:ascii="Times New Roman" w:hAnsi="Times New Roman"/>
          <w:color w:val="000000"/>
          <w:sz w:val="24"/>
          <w:szCs w:val="24"/>
        </w:rPr>
        <w:t xml:space="preserve"> </w:t>
      </w:r>
      <w:bookmarkStart w:id="2" w:name="OLE_LINK3"/>
      <w:bookmarkStart w:id="3" w:name="OLE_LINK2"/>
      <w:bookmarkEnd w:id="2"/>
      <w:r w:rsidR="000C0F2C" w:rsidRPr="002F164E">
        <w:rPr>
          <w:rFonts w:ascii="Times New Roman" w:hAnsi="Times New Roman"/>
          <w:color w:val="000000"/>
          <w:sz w:val="24"/>
          <w:szCs w:val="24"/>
        </w:rPr>
        <w:t xml:space="preserve">if </w:t>
      </w:r>
      <w:r w:rsidR="003324D4">
        <w:rPr>
          <w:rFonts w:ascii="Times New Roman" w:hAnsi="Times New Roman"/>
          <w:color w:val="000000"/>
          <w:sz w:val="24"/>
          <w:szCs w:val="24"/>
        </w:rPr>
        <w:t>the ACMA</w:t>
      </w:r>
      <w:r w:rsidR="000C0F2C" w:rsidRPr="002F164E">
        <w:rPr>
          <w:rFonts w:ascii="Times New Roman" w:hAnsi="Times New Roman"/>
          <w:color w:val="000000"/>
          <w:sz w:val="24"/>
          <w:szCs w:val="24"/>
        </w:rPr>
        <w:t xml:space="preserve"> approves a waiver application made by the licensee under </w:t>
      </w:r>
      <w:r w:rsidR="00FD2BC6">
        <w:rPr>
          <w:rFonts w:ascii="Times New Roman" w:hAnsi="Times New Roman"/>
          <w:color w:val="000000"/>
          <w:sz w:val="24"/>
          <w:szCs w:val="24"/>
        </w:rPr>
        <w:t xml:space="preserve">paragraph </w:t>
      </w:r>
      <w:r w:rsidR="000C0F2C" w:rsidRPr="002F164E">
        <w:rPr>
          <w:rFonts w:ascii="Times New Roman" w:hAnsi="Times New Roman"/>
          <w:color w:val="000000"/>
          <w:sz w:val="24"/>
          <w:szCs w:val="24"/>
        </w:rPr>
        <w:t>16(10)</w:t>
      </w:r>
      <w:r w:rsidR="00FD2BC6">
        <w:rPr>
          <w:rFonts w:ascii="Times New Roman" w:hAnsi="Times New Roman"/>
          <w:color w:val="000000"/>
          <w:sz w:val="24"/>
          <w:szCs w:val="24"/>
        </w:rPr>
        <w:t>(b)</w:t>
      </w:r>
      <w:r w:rsidR="000C0F2C" w:rsidRPr="002F164E">
        <w:rPr>
          <w:rFonts w:ascii="Times New Roman" w:hAnsi="Times New Roman"/>
          <w:color w:val="000000"/>
          <w:sz w:val="24"/>
          <w:szCs w:val="24"/>
        </w:rPr>
        <w:t xml:space="preserve">, </w:t>
      </w:r>
      <w:bookmarkEnd w:id="3"/>
      <w:r w:rsidR="006B51A4" w:rsidRPr="002F164E">
        <w:rPr>
          <w:rFonts w:ascii="Times New Roman" w:hAnsi="Times New Roman"/>
          <w:color w:val="000000"/>
          <w:sz w:val="24"/>
          <w:szCs w:val="24"/>
        </w:rPr>
        <w:t>then</w:t>
      </w:r>
      <w:r w:rsidR="006B51A4">
        <w:rPr>
          <w:rFonts w:ascii="Times New Roman" w:hAnsi="Times New Roman"/>
          <w:color w:val="000000"/>
          <w:sz w:val="24"/>
          <w:szCs w:val="24"/>
        </w:rPr>
        <w:t xml:space="preserve"> </w:t>
      </w:r>
      <w:r w:rsidR="000C0F2C" w:rsidRPr="002F164E">
        <w:rPr>
          <w:rFonts w:ascii="Times New Roman" w:hAnsi="Times New Roman"/>
          <w:color w:val="000000"/>
          <w:sz w:val="24"/>
          <w:szCs w:val="24"/>
        </w:rPr>
        <w:t xml:space="preserve">no further remediation of the cable run would be required at that time. However, if that same cable run is included in a future remediation list approved by </w:t>
      </w:r>
      <w:r w:rsidR="003324D4">
        <w:rPr>
          <w:rFonts w:ascii="Times New Roman" w:hAnsi="Times New Roman"/>
          <w:color w:val="000000"/>
          <w:sz w:val="24"/>
          <w:szCs w:val="24"/>
        </w:rPr>
        <w:t>the ACMA</w:t>
      </w:r>
      <w:r w:rsidR="000C0F2C" w:rsidRPr="002F164E">
        <w:rPr>
          <w:rFonts w:ascii="Times New Roman" w:hAnsi="Times New Roman"/>
          <w:color w:val="000000"/>
          <w:sz w:val="24"/>
          <w:szCs w:val="24"/>
        </w:rPr>
        <w:t xml:space="preserve"> under </w:t>
      </w: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16(3), then the licensee must remedy the cable run in the same way as all other cable runs on the future list.</w:t>
      </w:r>
    </w:p>
    <w:p w14:paraId="638B1A7E" w14:textId="18F5D5DD" w:rsidR="000C0F2C" w:rsidRPr="002F164E" w:rsidRDefault="000C0F2C" w:rsidP="000C0F2C">
      <w:pPr>
        <w:pStyle w:val="BodyText"/>
        <w:shd w:val="clear" w:color="auto" w:fill="FFFFFF"/>
        <w:spacing w:after="0"/>
        <w:ind w:right="-187"/>
        <w:rPr>
          <w:rFonts w:ascii="Times New Roman" w:hAnsi="Times New Roman"/>
          <w:color w:val="000000"/>
          <w:sz w:val="24"/>
          <w:szCs w:val="24"/>
        </w:rPr>
      </w:pPr>
    </w:p>
    <w:p w14:paraId="6A843268" w14:textId="39E7B7D6" w:rsidR="000C0F2C" w:rsidRPr="002F164E" w:rsidRDefault="004A5CD3" w:rsidP="000C0F2C">
      <w:pPr>
        <w:pStyle w:val="BodyText"/>
        <w:shd w:val="clear" w:color="auto" w:fill="FFFFFF"/>
        <w:spacing w:after="0"/>
        <w:ind w:right="-187"/>
        <w:rPr>
          <w:rFonts w:ascii="Times New Roman" w:hAnsi="Times New Roman"/>
          <w:color w:val="000000"/>
          <w:sz w:val="24"/>
          <w:szCs w:val="24"/>
        </w:rPr>
      </w:pP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16(13) provides that if </w:t>
      </w:r>
      <w:r w:rsidR="003324D4">
        <w:rPr>
          <w:rFonts w:ascii="Times New Roman" w:hAnsi="Times New Roman"/>
          <w:color w:val="000000"/>
          <w:sz w:val="24"/>
          <w:szCs w:val="24"/>
        </w:rPr>
        <w:t>the ACMA</w:t>
      </w:r>
      <w:r w:rsidR="000C0F2C" w:rsidRPr="002F164E">
        <w:rPr>
          <w:rFonts w:ascii="Times New Roman" w:hAnsi="Times New Roman"/>
          <w:color w:val="000000"/>
          <w:sz w:val="24"/>
          <w:szCs w:val="24"/>
        </w:rPr>
        <w:t xml:space="preserve"> does not approve a waiver application made by the licensee under </w:t>
      </w: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16(10), then the licensee must provide </w:t>
      </w:r>
      <w:r w:rsidR="003324D4">
        <w:rPr>
          <w:rFonts w:ascii="Times New Roman" w:hAnsi="Times New Roman"/>
          <w:color w:val="000000"/>
          <w:sz w:val="24"/>
          <w:szCs w:val="24"/>
        </w:rPr>
        <w:t>the ACMA</w:t>
      </w:r>
      <w:r w:rsidR="000C0F2C" w:rsidRPr="002F164E">
        <w:rPr>
          <w:rFonts w:ascii="Times New Roman" w:hAnsi="Times New Roman"/>
          <w:color w:val="000000"/>
          <w:sz w:val="24"/>
          <w:szCs w:val="24"/>
        </w:rPr>
        <w:t xml:space="preserve"> with a fresh remediation plan that satisfies the requirements of paragraph 16(10)(a) (i</w:t>
      </w:r>
      <w:r w:rsidR="00B3026A">
        <w:rPr>
          <w:rFonts w:ascii="Times New Roman" w:hAnsi="Times New Roman"/>
          <w:color w:val="000000"/>
          <w:sz w:val="24"/>
          <w:szCs w:val="24"/>
        </w:rPr>
        <w:t>.</w:t>
      </w:r>
      <w:r w:rsidR="000C0F2C" w:rsidRPr="002F164E">
        <w:rPr>
          <w:rFonts w:ascii="Times New Roman" w:hAnsi="Times New Roman"/>
          <w:color w:val="000000"/>
          <w:sz w:val="24"/>
          <w:szCs w:val="24"/>
        </w:rPr>
        <w:t xml:space="preserve">e. the same requirements as for a fresh remediation plan provided by the licensee under </w:t>
      </w: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16(10)). </w:t>
      </w:r>
      <w:r w:rsidR="00FD2BC6">
        <w:rPr>
          <w:rFonts w:ascii="Times New Roman" w:hAnsi="Times New Roman"/>
          <w:color w:val="000000"/>
          <w:sz w:val="24"/>
          <w:szCs w:val="24"/>
        </w:rPr>
        <w:t xml:space="preserve">Under subsection 16(3), Telstra </w:t>
      </w:r>
      <w:r w:rsidR="000C0F2C" w:rsidRPr="002F164E">
        <w:rPr>
          <w:rFonts w:ascii="Times New Roman" w:hAnsi="Times New Roman"/>
          <w:color w:val="000000"/>
          <w:sz w:val="24"/>
          <w:szCs w:val="24"/>
        </w:rPr>
        <w:t xml:space="preserve">is provided 30 working days to provide the fresh remediation plan. This will mean that the licensee must prepare a fresh remediation plan, and must also undertake the remediation requirements specified under </w:t>
      </w: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16(14), in all cases where the 90 per cent reduction specified in </w:t>
      </w: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16(9) has not been met and </w:t>
      </w:r>
      <w:r w:rsidR="003324D4">
        <w:rPr>
          <w:rFonts w:ascii="Times New Roman" w:hAnsi="Times New Roman"/>
          <w:color w:val="000000"/>
          <w:sz w:val="24"/>
          <w:szCs w:val="24"/>
        </w:rPr>
        <w:t>the ACMA</w:t>
      </w:r>
      <w:r w:rsidR="000C0F2C" w:rsidRPr="002F164E">
        <w:rPr>
          <w:rFonts w:ascii="Times New Roman" w:hAnsi="Times New Roman"/>
          <w:color w:val="000000"/>
          <w:sz w:val="24"/>
          <w:szCs w:val="24"/>
        </w:rPr>
        <w:t xml:space="preserve"> has not provided a waiver.</w:t>
      </w:r>
    </w:p>
    <w:p w14:paraId="6C8EA96E" w14:textId="0065BC1E" w:rsidR="000C0F2C" w:rsidRPr="002F164E" w:rsidRDefault="000C0F2C" w:rsidP="000C0F2C">
      <w:pPr>
        <w:pStyle w:val="BodyText"/>
        <w:shd w:val="clear" w:color="auto" w:fill="FFFFFF"/>
        <w:spacing w:after="0"/>
        <w:ind w:right="-187"/>
        <w:rPr>
          <w:rFonts w:ascii="Times New Roman" w:hAnsi="Times New Roman"/>
          <w:color w:val="000000"/>
          <w:sz w:val="24"/>
          <w:szCs w:val="24"/>
        </w:rPr>
      </w:pPr>
    </w:p>
    <w:p w14:paraId="3806BF26" w14:textId="64DF4A69" w:rsidR="000C0F2C" w:rsidRPr="002F164E" w:rsidRDefault="004A5CD3" w:rsidP="000C0F2C">
      <w:pPr>
        <w:pStyle w:val="BodyText"/>
        <w:shd w:val="clear" w:color="auto" w:fill="FFFFFF"/>
        <w:spacing w:after="0"/>
        <w:ind w:right="-187"/>
        <w:rPr>
          <w:rFonts w:ascii="Times New Roman" w:hAnsi="Times New Roman"/>
          <w:color w:val="000000"/>
          <w:sz w:val="24"/>
          <w:szCs w:val="24"/>
        </w:rPr>
      </w:pP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16(14) provides that where the licensee has failed to achieve the required 90 per cent reduction in average network event volume, and </w:t>
      </w:r>
      <w:r w:rsidR="003324D4">
        <w:rPr>
          <w:rFonts w:ascii="Times New Roman" w:hAnsi="Times New Roman"/>
          <w:color w:val="000000"/>
          <w:sz w:val="24"/>
          <w:szCs w:val="24"/>
        </w:rPr>
        <w:t>the ACMA</w:t>
      </w:r>
      <w:r w:rsidR="000C0F2C" w:rsidRPr="002F164E">
        <w:rPr>
          <w:rFonts w:ascii="Times New Roman" w:hAnsi="Times New Roman"/>
          <w:color w:val="000000"/>
          <w:sz w:val="24"/>
          <w:szCs w:val="24"/>
        </w:rPr>
        <w:t xml:space="preserve"> has not approv</w:t>
      </w:r>
      <w:r w:rsidR="00B3026A">
        <w:rPr>
          <w:rFonts w:ascii="Times New Roman" w:hAnsi="Times New Roman"/>
          <w:color w:val="000000"/>
          <w:sz w:val="24"/>
          <w:szCs w:val="24"/>
        </w:rPr>
        <w:t>ed</w:t>
      </w:r>
      <w:r w:rsidR="000C0F2C" w:rsidRPr="002F164E">
        <w:rPr>
          <w:rFonts w:ascii="Times New Roman" w:hAnsi="Times New Roman"/>
          <w:color w:val="000000"/>
          <w:sz w:val="24"/>
          <w:szCs w:val="24"/>
        </w:rPr>
        <w:t xml:space="preserve"> a waiver, the licensee must continue to undertake remediation action until there is 90 per cent reduction in the average network event volume. The licensee is allowed a maximum of 12 calendar months to achieve this reduction, starting from the receipt of the notification under </w:t>
      </w: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16(11) or </w:t>
      </w:r>
      <w:r w:rsidR="003324D4">
        <w:rPr>
          <w:rFonts w:ascii="Times New Roman" w:hAnsi="Times New Roman"/>
          <w:color w:val="000000"/>
          <w:sz w:val="24"/>
          <w:szCs w:val="24"/>
        </w:rPr>
        <w:t>the ACMA</w:t>
      </w:r>
      <w:r w:rsidR="000C0F2C" w:rsidRPr="002F164E">
        <w:rPr>
          <w:rFonts w:ascii="Times New Roman" w:hAnsi="Times New Roman"/>
          <w:color w:val="000000"/>
          <w:sz w:val="24"/>
          <w:szCs w:val="24"/>
        </w:rPr>
        <w:t xml:space="preserve">’s receipt of a fresh remediation plan submitted under paragraph 16(10)(a). This </w:t>
      </w: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also provides that the licensee must achieve a 90 per cent reduction in the average network event volume across a continuous six month period starting no earlier than the date of completion of the original remediation activity specified in </w:t>
      </w:r>
      <w:r w:rsidRPr="002F164E">
        <w:rPr>
          <w:rFonts w:ascii="Times New Roman" w:hAnsi="Times New Roman"/>
          <w:color w:val="000000"/>
          <w:sz w:val="24"/>
          <w:szCs w:val="24"/>
        </w:rPr>
        <w:t>subsection</w:t>
      </w:r>
      <w:r w:rsidR="000C0F2C" w:rsidRPr="002F164E">
        <w:rPr>
          <w:rFonts w:ascii="Times New Roman" w:hAnsi="Times New Roman"/>
          <w:color w:val="000000"/>
          <w:sz w:val="24"/>
          <w:szCs w:val="24"/>
        </w:rPr>
        <w:t xml:space="preserve"> 16(5). This means that if a significant number of faults occur during the six month period following completion of the remediation of the cable run, the licensee could choose to begin further remediation work to reduce the incidence of faults prior to that period expiring, and begin measuring the 90 per cent reduction again from before the end of th</w:t>
      </w:r>
      <w:r w:rsidR="00826726">
        <w:rPr>
          <w:rFonts w:ascii="Times New Roman" w:hAnsi="Times New Roman"/>
          <w:color w:val="000000"/>
          <w:sz w:val="24"/>
          <w:szCs w:val="24"/>
        </w:rPr>
        <w:t xml:space="preserve">e six month </w:t>
      </w:r>
      <w:r w:rsidR="000C0F2C" w:rsidRPr="002F164E">
        <w:rPr>
          <w:rFonts w:ascii="Times New Roman" w:hAnsi="Times New Roman"/>
          <w:color w:val="000000"/>
          <w:sz w:val="24"/>
          <w:szCs w:val="24"/>
        </w:rPr>
        <w:t>period if they so chose.</w:t>
      </w:r>
    </w:p>
    <w:p w14:paraId="75DFD4B7" w14:textId="2DB1248E" w:rsidR="000C0F2C" w:rsidRPr="002F164E" w:rsidRDefault="000C0F2C" w:rsidP="000C0F2C">
      <w:pPr>
        <w:pStyle w:val="BodyText"/>
        <w:shd w:val="clear" w:color="auto" w:fill="FFFFFF"/>
        <w:spacing w:after="0"/>
        <w:ind w:right="-187"/>
        <w:rPr>
          <w:rFonts w:ascii="Times New Roman" w:hAnsi="Times New Roman"/>
          <w:color w:val="000000"/>
          <w:sz w:val="24"/>
          <w:szCs w:val="24"/>
        </w:rPr>
      </w:pPr>
    </w:p>
    <w:p w14:paraId="26F06E5D" w14:textId="7801B78A" w:rsidR="000C0F2C" w:rsidRPr="002F164E" w:rsidRDefault="004A5CD3" w:rsidP="000C0F2C">
      <w:pPr>
        <w:pStyle w:val="BodyText"/>
        <w:shd w:val="clear" w:color="auto" w:fill="FFFFFF"/>
        <w:spacing w:after="0"/>
        <w:ind w:right="-187"/>
        <w:rPr>
          <w:rFonts w:ascii="Times New Roman" w:hAnsi="Times New Roman"/>
          <w:color w:val="000000"/>
          <w:sz w:val="24"/>
          <w:szCs w:val="24"/>
        </w:rPr>
      </w:pPr>
      <w:r w:rsidRPr="002F164E">
        <w:rPr>
          <w:rFonts w:ascii="Times New Roman" w:hAnsi="Times New Roman"/>
          <w:color w:val="000000"/>
          <w:sz w:val="24"/>
          <w:szCs w:val="24"/>
        </w:rPr>
        <w:t>Subsection</w:t>
      </w:r>
      <w:r w:rsidR="00731ECA" w:rsidRPr="002F164E">
        <w:rPr>
          <w:rFonts w:ascii="Times New Roman" w:hAnsi="Times New Roman"/>
          <w:color w:val="000000"/>
          <w:sz w:val="24"/>
          <w:szCs w:val="24"/>
        </w:rPr>
        <w:t xml:space="preserve"> 16(15</w:t>
      </w:r>
      <w:r w:rsidR="000C0F2C" w:rsidRPr="002F164E">
        <w:rPr>
          <w:rFonts w:ascii="Times New Roman" w:hAnsi="Times New Roman"/>
          <w:color w:val="000000"/>
          <w:sz w:val="24"/>
          <w:szCs w:val="24"/>
        </w:rPr>
        <w:t xml:space="preserve">) provides that the licensee must provide an annual report to </w:t>
      </w:r>
      <w:r w:rsidR="003324D4">
        <w:rPr>
          <w:rFonts w:ascii="Times New Roman" w:hAnsi="Times New Roman"/>
          <w:color w:val="000000"/>
          <w:sz w:val="24"/>
          <w:szCs w:val="24"/>
        </w:rPr>
        <w:t>the ACMA</w:t>
      </w:r>
      <w:r w:rsidR="000C0F2C" w:rsidRPr="002F164E">
        <w:rPr>
          <w:rFonts w:ascii="Times New Roman" w:hAnsi="Times New Roman"/>
          <w:color w:val="000000"/>
          <w:sz w:val="24"/>
          <w:szCs w:val="24"/>
        </w:rPr>
        <w:t xml:space="preserve"> on remediation activity conducted under </w:t>
      </w:r>
      <w:r w:rsidR="00E16F7B">
        <w:rPr>
          <w:rFonts w:ascii="Times New Roman" w:hAnsi="Times New Roman"/>
          <w:color w:val="000000"/>
          <w:sz w:val="24"/>
          <w:szCs w:val="24"/>
        </w:rPr>
        <w:t>section</w:t>
      </w:r>
      <w:r w:rsidR="00E16F7B" w:rsidRPr="002F164E">
        <w:rPr>
          <w:rFonts w:ascii="Times New Roman" w:hAnsi="Times New Roman"/>
          <w:color w:val="000000"/>
          <w:sz w:val="24"/>
          <w:szCs w:val="24"/>
        </w:rPr>
        <w:t xml:space="preserve"> </w:t>
      </w:r>
      <w:r w:rsidR="00731ECA" w:rsidRPr="002F164E">
        <w:rPr>
          <w:rFonts w:ascii="Times New Roman" w:hAnsi="Times New Roman"/>
          <w:color w:val="000000"/>
          <w:sz w:val="24"/>
          <w:szCs w:val="24"/>
        </w:rPr>
        <w:t>1</w:t>
      </w:r>
      <w:r w:rsidR="000C0F2C" w:rsidRPr="002F164E">
        <w:rPr>
          <w:rFonts w:ascii="Times New Roman" w:hAnsi="Times New Roman"/>
          <w:color w:val="000000"/>
          <w:sz w:val="24"/>
          <w:szCs w:val="24"/>
        </w:rPr>
        <w:t>6. The report must cover remediation undertaken in that financial year, and be provided within 20 days of the end of the financial year.</w:t>
      </w:r>
      <w:r w:rsidR="000C0F2C" w:rsidRPr="002F164E">
        <w:rPr>
          <w:rFonts w:ascii="Times New Roman" w:hAnsi="Times New Roman"/>
          <w:color w:val="000000"/>
          <w:sz w:val="24"/>
          <w:szCs w:val="24"/>
        </w:rPr>
        <w:br/>
      </w:r>
      <w:r w:rsidR="00731ECA" w:rsidRPr="002F164E">
        <w:rPr>
          <w:rFonts w:ascii="Times New Roman" w:hAnsi="Times New Roman"/>
          <w:color w:val="000000"/>
          <w:sz w:val="24"/>
          <w:szCs w:val="24"/>
        </w:rPr>
        <w:br/>
        <w:t>Paragraph 16(15</w:t>
      </w:r>
      <w:r w:rsidR="000C0F2C" w:rsidRPr="002F164E">
        <w:rPr>
          <w:rFonts w:ascii="Times New Roman" w:hAnsi="Times New Roman"/>
          <w:color w:val="000000"/>
          <w:sz w:val="24"/>
          <w:szCs w:val="24"/>
        </w:rPr>
        <w:t xml:space="preserve">)(a) provides that the </w:t>
      </w:r>
      <w:r w:rsidR="00487FF1">
        <w:rPr>
          <w:rFonts w:ascii="Times New Roman" w:hAnsi="Times New Roman"/>
          <w:color w:val="000000"/>
          <w:sz w:val="24"/>
          <w:szCs w:val="24"/>
        </w:rPr>
        <w:t xml:space="preserve">annual </w:t>
      </w:r>
      <w:r w:rsidR="000C0F2C" w:rsidRPr="002F164E">
        <w:rPr>
          <w:rFonts w:ascii="Times New Roman" w:hAnsi="Times New Roman"/>
          <w:color w:val="000000"/>
          <w:sz w:val="24"/>
          <w:szCs w:val="24"/>
        </w:rPr>
        <w:t>report must include a single figure for the total number of services affected (e</w:t>
      </w:r>
      <w:r w:rsidR="004D54F5">
        <w:rPr>
          <w:rFonts w:ascii="Times New Roman" w:hAnsi="Times New Roman"/>
          <w:color w:val="000000"/>
          <w:sz w:val="24"/>
          <w:szCs w:val="24"/>
        </w:rPr>
        <w:t>.</w:t>
      </w:r>
      <w:r w:rsidR="000C0F2C" w:rsidRPr="002F164E">
        <w:rPr>
          <w:rFonts w:ascii="Times New Roman" w:hAnsi="Times New Roman"/>
          <w:color w:val="000000"/>
          <w:sz w:val="24"/>
          <w:szCs w:val="24"/>
        </w:rPr>
        <w:t xml:space="preserve">g. either improved, remediated or otherwise benefiting) by either remediation undertaken or by the remediation of other cable runs referred to in paragraph </w:t>
      </w:r>
      <w:r w:rsidR="00731ECA" w:rsidRPr="002F164E">
        <w:rPr>
          <w:rFonts w:ascii="Times New Roman" w:hAnsi="Times New Roman"/>
          <w:color w:val="000000"/>
          <w:sz w:val="24"/>
          <w:szCs w:val="24"/>
        </w:rPr>
        <w:t>16(15</w:t>
      </w:r>
      <w:r w:rsidR="000C0F2C" w:rsidRPr="002F164E">
        <w:rPr>
          <w:rFonts w:ascii="Times New Roman" w:hAnsi="Times New Roman"/>
          <w:color w:val="000000"/>
          <w:sz w:val="24"/>
          <w:szCs w:val="24"/>
        </w:rPr>
        <w:t>)(d). This figure will therefore include all services provided by cable runs identified for remediation in a remediation list ap</w:t>
      </w:r>
      <w:r w:rsidR="00731ECA" w:rsidRPr="002F164E">
        <w:rPr>
          <w:rFonts w:ascii="Times New Roman" w:hAnsi="Times New Roman"/>
          <w:color w:val="000000"/>
          <w:sz w:val="24"/>
          <w:szCs w:val="24"/>
        </w:rPr>
        <w:t xml:space="preserve">proved by </w:t>
      </w:r>
      <w:r w:rsidR="003324D4">
        <w:rPr>
          <w:rFonts w:ascii="Times New Roman" w:hAnsi="Times New Roman"/>
          <w:color w:val="000000"/>
          <w:sz w:val="24"/>
          <w:szCs w:val="24"/>
        </w:rPr>
        <w:t>the ACMA</w:t>
      </w:r>
      <w:r w:rsidR="00731ECA" w:rsidRPr="002F164E">
        <w:rPr>
          <w:rFonts w:ascii="Times New Roman" w:hAnsi="Times New Roman"/>
          <w:color w:val="000000"/>
          <w:sz w:val="24"/>
          <w:szCs w:val="24"/>
        </w:rPr>
        <w:t xml:space="preserve"> under </w:t>
      </w:r>
      <w:r w:rsidRPr="002F164E">
        <w:rPr>
          <w:rFonts w:ascii="Times New Roman" w:hAnsi="Times New Roman"/>
          <w:color w:val="000000"/>
          <w:sz w:val="24"/>
          <w:szCs w:val="24"/>
        </w:rPr>
        <w:t>subsection</w:t>
      </w:r>
      <w:r w:rsidR="00731ECA" w:rsidRPr="002F164E">
        <w:rPr>
          <w:rFonts w:ascii="Times New Roman" w:hAnsi="Times New Roman"/>
          <w:color w:val="000000"/>
          <w:sz w:val="24"/>
          <w:szCs w:val="24"/>
        </w:rPr>
        <w:t xml:space="preserve"> 16(3</w:t>
      </w:r>
      <w:r w:rsidR="000C0F2C" w:rsidRPr="002F164E">
        <w:rPr>
          <w:rFonts w:ascii="Times New Roman" w:hAnsi="Times New Roman"/>
          <w:color w:val="000000"/>
          <w:sz w:val="24"/>
          <w:szCs w:val="24"/>
        </w:rPr>
        <w:t xml:space="preserve">), as well as any other cable runs that the licensee remedied in conjunction with remediation under this </w:t>
      </w:r>
      <w:r w:rsidR="00E16F7B">
        <w:rPr>
          <w:rFonts w:ascii="Times New Roman" w:hAnsi="Times New Roman"/>
          <w:color w:val="000000"/>
          <w:sz w:val="24"/>
          <w:szCs w:val="24"/>
        </w:rPr>
        <w:t>section</w:t>
      </w:r>
      <w:r w:rsidR="000C0F2C" w:rsidRPr="002F164E">
        <w:rPr>
          <w:rFonts w:ascii="Times New Roman" w:hAnsi="Times New Roman"/>
          <w:color w:val="000000"/>
          <w:sz w:val="24"/>
          <w:szCs w:val="24"/>
        </w:rPr>
        <w:t xml:space="preserve">. For example, if a 10 pair cable run identified for </w:t>
      </w:r>
      <w:r w:rsidR="00731ECA" w:rsidRPr="002F164E">
        <w:rPr>
          <w:rFonts w:ascii="Times New Roman" w:hAnsi="Times New Roman"/>
          <w:color w:val="000000"/>
          <w:sz w:val="24"/>
          <w:szCs w:val="24"/>
        </w:rPr>
        <w:t xml:space="preserve">remediation under </w:t>
      </w:r>
      <w:r w:rsidRPr="002F164E">
        <w:rPr>
          <w:rFonts w:ascii="Times New Roman" w:hAnsi="Times New Roman"/>
          <w:color w:val="000000"/>
          <w:sz w:val="24"/>
          <w:szCs w:val="24"/>
        </w:rPr>
        <w:t>subsection</w:t>
      </w:r>
      <w:r w:rsidR="00731ECA" w:rsidRPr="002F164E">
        <w:rPr>
          <w:rFonts w:ascii="Times New Roman" w:hAnsi="Times New Roman"/>
          <w:color w:val="000000"/>
          <w:sz w:val="24"/>
          <w:szCs w:val="24"/>
        </w:rPr>
        <w:t xml:space="preserve"> 16(3</w:t>
      </w:r>
      <w:r w:rsidR="000C0F2C" w:rsidRPr="002F164E">
        <w:rPr>
          <w:rFonts w:ascii="Times New Roman" w:hAnsi="Times New Roman"/>
          <w:color w:val="000000"/>
          <w:sz w:val="24"/>
          <w:szCs w:val="24"/>
        </w:rPr>
        <w:t>) formed part of an existing 50 pair cable, and as part of the remediation activity the licensee replaced the entire 50 pair cable, then all the services provided by the 50 pair cable would be reported under this paragraph.</w:t>
      </w:r>
    </w:p>
    <w:p w14:paraId="70C69F41" w14:textId="0EA0386C" w:rsidR="000C0F2C" w:rsidRPr="002F164E" w:rsidRDefault="000C0F2C" w:rsidP="000C0F2C">
      <w:pPr>
        <w:pStyle w:val="BodyText"/>
        <w:shd w:val="clear" w:color="auto" w:fill="FFFFFF"/>
        <w:spacing w:after="0"/>
        <w:ind w:right="-187"/>
        <w:rPr>
          <w:rFonts w:ascii="Times New Roman" w:hAnsi="Times New Roman"/>
          <w:color w:val="000000"/>
          <w:sz w:val="24"/>
          <w:szCs w:val="24"/>
        </w:rPr>
      </w:pPr>
    </w:p>
    <w:p w14:paraId="0ED866AB" w14:textId="5ADD28F7" w:rsidR="000C0F2C" w:rsidRPr="002F164E" w:rsidRDefault="00731ECA" w:rsidP="000C0F2C">
      <w:pPr>
        <w:pStyle w:val="BodyText"/>
        <w:shd w:val="clear" w:color="auto" w:fill="FFFFFF"/>
        <w:spacing w:after="0"/>
        <w:ind w:right="-187"/>
        <w:rPr>
          <w:rFonts w:ascii="Times New Roman" w:hAnsi="Times New Roman"/>
          <w:color w:val="000000"/>
          <w:sz w:val="24"/>
          <w:szCs w:val="24"/>
        </w:rPr>
      </w:pPr>
      <w:r w:rsidRPr="002F164E">
        <w:rPr>
          <w:rFonts w:ascii="Times New Roman" w:hAnsi="Times New Roman"/>
          <w:color w:val="000000"/>
          <w:sz w:val="24"/>
          <w:szCs w:val="24"/>
        </w:rPr>
        <w:t>Paragraph 16(15</w:t>
      </w:r>
      <w:r w:rsidR="000C0F2C" w:rsidRPr="002F164E">
        <w:rPr>
          <w:rFonts w:ascii="Times New Roman" w:hAnsi="Times New Roman"/>
          <w:color w:val="000000"/>
          <w:sz w:val="24"/>
          <w:szCs w:val="24"/>
        </w:rPr>
        <w:t>)(b) provides that the report must include a summary of the types of network plant remedied and the nature of the remediation work undertaken on those types of plant.</w:t>
      </w:r>
    </w:p>
    <w:p w14:paraId="1EE770E2" w14:textId="5325EB7B" w:rsidR="000C0F2C" w:rsidRPr="002F164E" w:rsidRDefault="000C0F2C" w:rsidP="000C0F2C">
      <w:pPr>
        <w:pStyle w:val="BodyText"/>
        <w:shd w:val="clear" w:color="auto" w:fill="FFFFFF"/>
        <w:spacing w:after="0"/>
        <w:ind w:right="-187"/>
        <w:rPr>
          <w:rFonts w:ascii="Times New Roman" w:hAnsi="Times New Roman"/>
          <w:color w:val="000000"/>
          <w:sz w:val="24"/>
          <w:szCs w:val="24"/>
        </w:rPr>
      </w:pPr>
    </w:p>
    <w:p w14:paraId="26DCE84F" w14:textId="77777777" w:rsidR="009F1B98" w:rsidRDefault="00731ECA" w:rsidP="000C0F2C">
      <w:pPr>
        <w:pStyle w:val="BodyText"/>
        <w:shd w:val="clear" w:color="auto" w:fill="FFFFFF"/>
        <w:spacing w:after="0"/>
        <w:ind w:right="-187"/>
        <w:rPr>
          <w:rFonts w:ascii="Times New Roman" w:hAnsi="Times New Roman"/>
          <w:color w:val="000000"/>
          <w:sz w:val="24"/>
          <w:szCs w:val="24"/>
        </w:rPr>
      </w:pPr>
      <w:r w:rsidRPr="002F164E">
        <w:rPr>
          <w:rFonts w:ascii="Times New Roman" w:hAnsi="Times New Roman"/>
          <w:color w:val="000000"/>
          <w:sz w:val="24"/>
          <w:szCs w:val="24"/>
        </w:rPr>
        <w:t>Paragraph 16(15</w:t>
      </w:r>
      <w:r w:rsidR="000C0F2C" w:rsidRPr="002F164E">
        <w:rPr>
          <w:rFonts w:ascii="Times New Roman" w:hAnsi="Times New Roman"/>
          <w:color w:val="000000"/>
          <w:sz w:val="24"/>
          <w:szCs w:val="24"/>
        </w:rPr>
        <w:t>)(c) provides that the report must include the size (i</w:t>
      </w:r>
      <w:r w:rsidR="009C15CD">
        <w:rPr>
          <w:rFonts w:ascii="Times New Roman" w:hAnsi="Times New Roman"/>
          <w:color w:val="000000"/>
          <w:sz w:val="24"/>
          <w:szCs w:val="24"/>
        </w:rPr>
        <w:t>.</w:t>
      </w:r>
      <w:r w:rsidR="000C0F2C" w:rsidRPr="002F164E">
        <w:rPr>
          <w:rFonts w:ascii="Times New Roman" w:hAnsi="Times New Roman"/>
          <w:color w:val="000000"/>
          <w:sz w:val="24"/>
          <w:szCs w:val="24"/>
        </w:rPr>
        <w:t>e. whether it included 10 or 100 copper pairs), the ESA category, and the number of services in operation supplied by each cable run identified for remediation in a remediation list ap</w:t>
      </w:r>
      <w:r w:rsidRPr="002F164E">
        <w:rPr>
          <w:rFonts w:ascii="Times New Roman" w:hAnsi="Times New Roman"/>
          <w:color w:val="000000"/>
          <w:sz w:val="24"/>
          <w:szCs w:val="24"/>
        </w:rPr>
        <w:t xml:space="preserve">proved by </w:t>
      </w:r>
      <w:r w:rsidR="003324D4">
        <w:rPr>
          <w:rFonts w:ascii="Times New Roman" w:hAnsi="Times New Roman"/>
          <w:color w:val="000000"/>
          <w:sz w:val="24"/>
          <w:szCs w:val="24"/>
        </w:rPr>
        <w:t>the ACMA</w:t>
      </w:r>
      <w:r w:rsidRPr="002F164E">
        <w:rPr>
          <w:rFonts w:ascii="Times New Roman" w:hAnsi="Times New Roman"/>
          <w:color w:val="000000"/>
          <w:sz w:val="24"/>
          <w:szCs w:val="24"/>
        </w:rPr>
        <w:t xml:space="preserve"> under </w:t>
      </w:r>
      <w:r w:rsidR="004A5CD3" w:rsidRPr="002F164E">
        <w:rPr>
          <w:rFonts w:ascii="Times New Roman" w:hAnsi="Times New Roman"/>
          <w:color w:val="000000"/>
          <w:sz w:val="24"/>
          <w:szCs w:val="24"/>
        </w:rPr>
        <w:t>subsection</w:t>
      </w:r>
      <w:r w:rsidRPr="002F164E">
        <w:rPr>
          <w:rFonts w:ascii="Times New Roman" w:hAnsi="Times New Roman"/>
          <w:color w:val="000000"/>
          <w:sz w:val="24"/>
          <w:szCs w:val="24"/>
        </w:rPr>
        <w:t xml:space="preserve"> 16(3</w:t>
      </w:r>
      <w:r w:rsidR="000C0F2C" w:rsidRPr="002F164E">
        <w:rPr>
          <w:rFonts w:ascii="Times New Roman" w:hAnsi="Times New Roman"/>
          <w:color w:val="000000"/>
          <w:sz w:val="24"/>
          <w:szCs w:val="24"/>
        </w:rPr>
        <w:t xml:space="preserve">). </w:t>
      </w:r>
    </w:p>
    <w:p w14:paraId="1AD184B3" w14:textId="11DF4904" w:rsidR="000C0F2C" w:rsidRPr="002F164E" w:rsidRDefault="000C0F2C" w:rsidP="000C0F2C">
      <w:pPr>
        <w:pStyle w:val="BodyText"/>
        <w:shd w:val="clear" w:color="auto" w:fill="FFFFFF"/>
        <w:spacing w:after="0"/>
        <w:ind w:right="-187"/>
        <w:rPr>
          <w:rFonts w:ascii="Times New Roman" w:hAnsi="Times New Roman"/>
          <w:color w:val="000000"/>
          <w:sz w:val="24"/>
          <w:szCs w:val="24"/>
        </w:rPr>
      </w:pPr>
    </w:p>
    <w:p w14:paraId="72DC94F3" w14:textId="7A5D9D85" w:rsidR="000C0F2C" w:rsidRPr="002F164E" w:rsidRDefault="00731ECA" w:rsidP="000C0F2C">
      <w:pPr>
        <w:pStyle w:val="BodyText"/>
        <w:shd w:val="clear" w:color="auto" w:fill="FFFFFF"/>
        <w:spacing w:after="0"/>
        <w:ind w:right="-187"/>
        <w:rPr>
          <w:rFonts w:ascii="Times New Roman" w:hAnsi="Times New Roman"/>
          <w:color w:val="000000"/>
          <w:sz w:val="24"/>
          <w:szCs w:val="24"/>
        </w:rPr>
      </w:pPr>
      <w:r w:rsidRPr="002F164E">
        <w:rPr>
          <w:rFonts w:ascii="Times New Roman" w:hAnsi="Times New Roman"/>
          <w:color w:val="000000"/>
          <w:sz w:val="24"/>
          <w:szCs w:val="24"/>
        </w:rPr>
        <w:t>Paragraph 16(15</w:t>
      </w:r>
      <w:r w:rsidR="000C0F2C" w:rsidRPr="002F164E">
        <w:rPr>
          <w:rFonts w:ascii="Times New Roman" w:hAnsi="Times New Roman"/>
          <w:color w:val="000000"/>
          <w:sz w:val="24"/>
          <w:szCs w:val="24"/>
        </w:rPr>
        <w:t>)(d) provides that the report must include details of other cable runs </w:t>
      </w:r>
      <w:bookmarkStart w:id="4" w:name="OLE_LINK19"/>
      <w:bookmarkStart w:id="5" w:name="OLE_LINK18"/>
      <w:bookmarkEnd w:id="4"/>
      <w:r w:rsidR="000C0F2C" w:rsidRPr="002F164E">
        <w:rPr>
          <w:rFonts w:ascii="Times New Roman" w:hAnsi="Times New Roman"/>
          <w:color w:val="000000"/>
          <w:sz w:val="24"/>
          <w:szCs w:val="24"/>
        </w:rPr>
        <w:t xml:space="preserve">remedied in conjunction with remediation under </w:t>
      </w:r>
      <w:bookmarkEnd w:id="5"/>
      <w:r w:rsidR="00E16F7B">
        <w:rPr>
          <w:rFonts w:ascii="Times New Roman" w:hAnsi="Times New Roman"/>
          <w:color w:val="000000"/>
          <w:sz w:val="24"/>
          <w:szCs w:val="24"/>
        </w:rPr>
        <w:t>section</w:t>
      </w:r>
      <w:r w:rsidR="00E16F7B" w:rsidRPr="002F164E">
        <w:rPr>
          <w:rFonts w:ascii="Times New Roman" w:hAnsi="Times New Roman"/>
          <w:color w:val="000000"/>
          <w:sz w:val="24"/>
          <w:szCs w:val="24"/>
        </w:rPr>
        <w:t> </w:t>
      </w:r>
      <w:r w:rsidRPr="002F164E">
        <w:rPr>
          <w:rFonts w:ascii="Times New Roman" w:hAnsi="Times New Roman"/>
          <w:color w:val="000000"/>
          <w:sz w:val="24"/>
          <w:szCs w:val="24"/>
        </w:rPr>
        <w:t>1</w:t>
      </w:r>
      <w:r w:rsidR="000C0F2C" w:rsidRPr="002F164E">
        <w:rPr>
          <w:rFonts w:ascii="Times New Roman" w:hAnsi="Times New Roman"/>
          <w:color w:val="000000"/>
          <w:sz w:val="24"/>
          <w:szCs w:val="24"/>
        </w:rPr>
        <w:t xml:space="preserve">6. This would include cable runs positively affected by remediation undertaken under this </w:t>
      </w:r>
      <w:r w:rsidR="00E16F7B">
        <w:rPr>
          <w:rFonts w:ascii="Times New Roman" w:hAnsi="Times New Roman"/>
          <w:color w:val="000000"/>
          <w:sz w:val="24"/>
          <w:szCs w:val="24"/>
        </w:rPr>
        <w:t>section</w:t>
      </w:r>
      <w:r w:rsidR="000C0F2C" w:rsidRPr="002F164E">
        <w:rPr>
          <w:rFonts w:ascii="Times New Roman" w:hAnsi="Times New Roman"/>
          <w:color w:val="000000"/>
          <w:sz w:val="24"/>
          <w:szCs w:val="24"/>
        </w:rPr>
        <w:t>, other than those identified for remediation in a remediation list ap</w:t>
      </w:r>
      <w:r w:rsidRPr="002F164E">
        <w:rPr>
          <w:rFonts w:ascii="Times New Roman" w:hAnsi="Times New Roman"/>
          <w:color w:val="000000"/>
          <w:sz w:val="24"/>
          <w:szCs w:val="24"/>
        </w:rPr>
        <w:t xml:space="preserve">proved by </w:t>
      </w:r>
      <w:r w:rsidR="003324D4">
        <w:rPr>
          <w:rFonts w:ascii="Times New Roman" w:hAnsi="Times New Roman"/>
          <w:color w:val="000000"/>
          <w:sz w:val="24"/>
          <w:szCs w:val="24"/>
        </w:rPr>
        <w:t>the ACMA</w:t>
      </w:r>
      <w:r w:rsidRPr="002F164E">
        <w:rPr>
          <w:rFonts w:ascii="Times New Roman" w:hAnsi="Times New Roman"/>
          <w:color w:val="000000"/>
          <w:sz w:val="24"/>
          <w:szCs w:val="24"/>
        </w:rPr>
        <w:t xml:space="preserve"> under </w:t>
      </w:r>
      <w:r w:rsidR="004A5CD3" w:rsidRPr="002F164E">
        <w:rPr>
          <w:rFonts w:ascii="Times New Roman" w:hAnsi="Times New Roman"/>
          <w:color w:val="000000"/>
          <w:sz w:val="24"/>
          <w:szCs w:val="24"/>
        </w:rPr>
        <w:t>subsection</w:t>
      </w:r>
      <w:r w:rsidRPr="002F164E">
        <w:rPr>
          <w:rFonts w:ascii="Times New Roman" w:hAnsi="Times New Roman"/>
          <w:color w:val="000000"/>
          <w:sz w:val="24"/>
          <w:szCs w:val="24"/>
        </w:rPr>
        <w:t xml:space="preserve"> 16(3</w:t>
      </w:r>
      <w:r w:rsidR="000C0F2C" w:rsidRPr="002F164E">
        <w:rPr>
          <w:rFonts w:ascii="Times New Roman" w:hAnsi="Times New Roman"/>
          <w:color w:val="000000"/>
          <w:sz w:val="24"/>
          <w:szCs w:val="24"/>
        </w:rPr>
        <w:t>). For example, if a 10 pair cable run identified f</w:t>
      </w:r>
      <w:r w:rsidRPr="002F164E">
        <w:rPr>
          <w:rFonts w:ascii="Times New Roman" w:hAnsi="Times New Roman"/>
          <w:color w:val="000000"/>
          <w:sz w:val="24"/>
          <w:szCs w:val="24"/>
        </w:rPr>
        <w:t xml:space="preserve">or remediation under </w:t>
      </w:r>
      <w:r w:rsidR="004A5CD3" w:rsidRPr="002F164E">
        <w:rPr>
          <w:rFonts w:ascii="Times New Roman" w:hAnsi="Times New Roman"/>
          <w:color w:val="000000"/>
          <w:sz w:val="24"/>
          <w:szCs w:val="24"/>
        </w:rPr>
        <w:t>subsection</w:t>
      </w:r>
      <w:r w:rsidRPr="002F164E">
        <w:rPr>
          <w:rFonts w:ascii="Times New Roman" w:hAnsi="Times New Roman"/>
          <w:color w:val="000000"/>
          <w:sz w:val="24"/>
          <w:szCs w:val="24"/>
        </w:rPr>
        <w:t xml:space="preserve"> 16(3</w:t>
      </w:r>
      <w:r w:rsidR="000C0F2C" w:rsidRPr="002F164E">
        <w:rPr>
          <w:rFonts w:ascii="Times New Roman" w:hAnsi="Times New Roman"/>
          <w:color w:val="000000"/>
          <w:sz w:val="24"/>
          <w:szCs w:val="24"/>
        </w:rPr>
        <w:t>) formed part of an existing 50 pair cable, and as part of the remediation activity the licensee replaced the entire 50 pair cable, then details of this 50 pair cable would be provided under this paragraph.</w:t>
      </w:r>
    </w:p>
    <w:p w14:paraId="48697C00" w14:textId="77777777" w:rsidR="00EE0216" w:rsidRDefault="00EE0216" w:rsidP="00EF7A08">
      <w:pPr>
        <w:rPr>
          <w:rFonts w:ascii="Times New Roman" w:hAnsi="Times New Roman"/>
          <w:b/>
          <w:sz w:val="24"/>
          <w:szCs w:val="24"/>
        </w:rPr>
      </w:pPr>
    </w:p>
    <w:p w14:paraId="51696E60" w14:textId="74741FBE" w:rsidR="00EF7A08" w:rsidRPr="002F164E" w:rsidRDefault="00EF7A08" w:rsidP="00EF7A08">
      <w:pPr>
        <w:rPr>
          <w:rFonts w:ascii="Times New Roman" w:hAnsi="Times New Roman"/>
          <w:b/>
          <w:sz w:val="24"/>
          <w:szCs w:val="24"/>
        </w:rPr>
      </w:pPr>
      <w:r w:rsidRPr="002F164E">
        <w:rPr>
          <w:rFonts w:ascii="Times New Roman" w:hAnsi="Times New Roman"/>
          <w:b/>
          <w:sz w:val="24"/>
          <w:szCs w:val="24"/>
        </w:rPr>
        <w:t>Section 17 – Monitoring, Prevention, Remediation and Reporting at the</w:t>
      </w:r>
      <w:r w:rsidR="003C68F7" w:rsidRPr="002F164E">
        <w:rPr>
          <w:rFonts w:ascii="Times New Roman" w:hAnsi="Times New Roman"/>
          <w:b/>
          <w:sz w:val="24"/>
          <w:szCs w:val="24"/>
        </w:rPr>
        <w:t xml:space="preserve"> CSG Service Level</w:t>
      </w:r>
    </w:p>
    <w:p w14:paraId="3F19B82F" w14:textId="626898F3" w:rsidR="00DB5A02" w:rsidRPr="002F164E" w:rsidRDefault="00E16F7B" w:rsidP="00DB5A02">
      <w:pPr>
        <w:pStyle w:val="BodyText"/>
        <w:shd w:val="clear" w:color="auto" w:fill="FFFFFF"/>
        <w:spacing w:after="0"/>
        <w:rPr>
          <w:rFonts w:ascii="Times New Roman" w:eastAsia="Times New Roman" w:hAnsi="Times New Roman"/>
          <w:noProof w:val="0"/>
          <w:color w:val="000000"/>
          <w:sz w:val="24"/>
          <w:szCs w:val="24"/>
        </w:rPr>
      </w:pPr>
      <w:r>
        <w:rPr>
          <w:rFonts w:ascii="Times New Roman" w:hAnsi="Times New Roman"/>
          <w:color w:val="000000"/>
          <w:sz w:val="24"/>
          <w:szCs w:val="24"/>
        </w:rPr>
        <w:t>Section</w:t>
      </w:r>
      <w:r w:rsidRPr="002F164E">
        <w:rPr>
          <w:rFonts w:ascii="Times New Roman" w:hAnsi="Times New Roman"/>
          <w:color w:val="000000"/>
          <w:sz w:val="24"/>
          <w:szCs w:val="24"/>
        </w:rPr>
        <w:t xml:space="preserve"> </w:t>
      </w:r>
      <w:r w:rsidR="00DB5A02" w:rsidRPr="002F164E">
        <w:rPr>
          <w:rFonts w:ascii="Times New Roman" w:hAnsi="Times New Roman"/>
          <w:color w:val="000000"/>
          <w:sz w:val="24"/>
          <w:szCs w:val="24"/>
        </w:rPr>
        <w:t xml:space="preserve">17 gives effect to ‘Level 3’ of NRF, the purpose of which is to prevent individual CSG services experiencing high numbers of faults or service difficulties and to require the remediation of individual CSG services that exceed specified recurrent fault thresholds. Under </w:t>
      </w:r>
      <w:r>
        <w:rPr>
          <w:rFonts w:ascii="Times New Roman" w:hAnsi="Times New Roman"/>
          <w:color w:val="000000"/>
          <w:sz w:val="24"/>
          <w:szCs w:val="24"/>
        </w:rPr>
        <w:t>section</w:t>
      </w:r>
      <w:r w:rsidRPr="002F164E">
        <w:rPr>
          <w:rFonts w:ascii="Times New Roman" w:hAnsi="Times New Roman"/>
          <w:color w:val="000000"/>
          <w:sz w:val="24"/>
          <w:szCs w:val="24"/>
        </w:rPr>
        <w:t xml:space="preserve"> </w:t>
      </w:r>
      <w:r w:rsidR="00DB5A02" w:rsidRPr="002F164E">
        <w:rPr>
          <w:rFonts w:ascii="Times New Roman" w:hAnsi="Times New Roman"/>
          <w:color w:val="000000"/>
          <w:sz w:val="24"/>
          <w:szCs w:val="24"/>
        </w:rPr>
        <w:t xml:space="preserve">17, investigation and remediation must be undertaken by the licensee if fault levels exceed specified levels, and this work will be subject to oversight by </w:t>
      </w:r>
      <w:r w:rsidR="00ED0D3D">
        <w:rPr>
          <w:rFonts w:ascii="Times New Roman" w:hAnsi="Times New Roman"/>
          <w:color w:val="000000"/>
          <w:sz w:val="24"/>
          <w:szCs w:val="24"/>
        </w:rPr>
        <w:t xml:space="preserve">the </w:t>
      </w:r>
      <w:r w:rsidR="00DB5A02" w:rsidRPr="002F164E">
        <w:rPr>
          <w:rFonts w:ascii="Times New Roman" w:hAnsi="Times New Roman"/>
          <w:color w:val="000000"/>
          <w:sz w:val="24"/>
          <w:szCs w:val="24"/>
        </w:rPr>
        <w:t>AMCA.</w:t>
      </w:r>
    </w:p>
    <w:p w14:paraId="58BBC634" w14:textId="6899E9C7" w:rsidR="00DB5A02" w:rsidRPr="002F164E" w:rsidRDefault="00DB5A02" w:rsidP="00DB5A02">
      <w:pPr>
        <w:pStyle w:val="BodyText"/>
        <w:shd w:val="clear" w:color="auto" w:fill="FFFFFF"/>
        <w:spacing w:after="0"/>
        <w:rPr>
          <w:rFonts w:ascii="Times New Roman" w:hAnsi="Times New Roman"/>
          <w:color w:val="000000"/>
          <w:sz w:val="24"/>
          <w:szCs w:val="24"/>
        </w:rPr>
      </w:pPr>
    </w:p>
    <w:p w14:paraId="36AF9EA5" w14:textId="0CBEF1FD" w:rsidR="00DB5A02" w:rsidRPr="002F164E" w:rsidRDefault="000D1A1F" w:rsidP="00DB5A02">
      <w:pPr>
        <w:pStyle w:val="BodyText"/>
        <w:shd w:val="clear" w:color="auto" w:fill="FFFFFF"/>
        <w:spacing w:after="0"/>
        <w:rPr>
          <w:rFonts w:ascii="Times New Roman" w:hAnsi="Times New Roman"/>
          <w:color w:val="000000"/>
          <w:sz w:val="24"/>
          <w:szCs w:val="24"/>
        </w:rPr>
      </w:pPr>
      <w:r>
        <w:rPr>
          <w:rFonts w:ascii="Times New Roman" w:hAnsi="Times New Roman"/>
          <w:color w:val="000000"/>
          <w:sz w:val="24"/>
          <w:szCs w:val="24"/>
        </w:rPr>
        <w:t>S</w:t>
      </w:r>
      <w:r w:rsidR="004A5CD3" w:rsidRPr="002F164E">
        <w:rPr>
          <w:rFonts w:ascii="Times New Roman" w:hAnsi="Times New Roman"/>
          <w:color w:val="000000"/>
          <w:sz w:val="24"/>
          <w:szCs w:val="24"/>
        </w:rPr>
        <w:t>ubsection</w:t>
      </w:r>
      <w:r w:rsidR="00DB5A02" w:rsidRPr="002F164E">
        <w:rPr>
          <w:rFonts w:ascii="Times New Roman" w:hAnsi="Times New Roman"/>
          <w:color w:val="000000"/>
          <w:sz w:val="24"/>
          <w:szCs w:val="24"/>
        </w:rPr>
        <w:t xml:space="preserve"> 17(13) provides that in the event that one or more fault or service difficulties occur during the ‘remediation period’ (defined in </w:t>
      </w:r>
      <w:r w:rsidR="004A5CD3"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 xml:space="preserve"> 17(18)), the licensee is required to review its planned remediation to ensure it addresses the root cause or causes of the new faults (called ‘subsequent faults’). This requirement ensures that the root cause or causes of all fault and service difficulties are addressed during the remediation of a CSG service under this </w:t>
      </w:r>
      <w:r w:rsidR="00E16F7B">
        <w:rPr>
          <w:rFonts w:ascii="Times New Roman" w:hAnsi="Times New Roman"/>
          <w:color w:val="000000"/>
          <w:sz w:val="24"/>
          <w:szCs w:val="24"/>
        </w:rPr>
        <w:t>section</w:t>
      </w:r>
      <w:r w:rsidR="00DB5A02" w:rsidRPr="002F164E">
        <w:rPr>
          <w:rFonts w:ascii="Times New Roman" w:hAnsi="Times New Roman"/>
          <w:color w:val="000000"/>
          <w:sz w:val="24"/>
          <w:szCs w:val="24"/>
        </w:rPr>
        <w:t xml:space="preserve">, and some are not excluded simply because remediation has already been planned or commenced. As the root cause or causes of these faults is required to be addressed by remediation under this </w:t>
      </w:r>
      <w:r w:rsidR="004A5CD3"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 xml:space="preserve">, they are not otherwise treated as faults or service difficulties for the purposes of </w:t>
      </w:r>
      <w:r w:rsidR="00E16F7B">
        <w:rPr>
          <w:rFonts w:ascii="Times New Roman" w:hAnsi="Times New Roman"/>
          <w:color w:val="000000"/>
          <w:sz w:val="24"/>
          <w:szCs w:val="24"/>
        </w:rPr>
        <w:t>section</w:t>
      </w:r>
      <w:r w:rsidR="00E16F7B" w:rsidRPr="002F164E">
        <w:rPr>
          <w:rFonts w:ascii="Times New Roman" w:hAnsi="Times New Roman"/>
          <w:color w:val="000000"/>
          <w:sz w:val="24"/>
          <w:szCs w:val="24"/>
        </w:rPr>
        <w:t xml:space="preserve"> </w:t>
      </w:r>
      <w:r w:rsidR="00DB5A02" w:rsidRPr="002F164E">
        <w:rPr>
          <w:rFonts w:ascii="Times New Roman" w:hAnsi="Times New Roman"/>
          <w:color w:val="000000"/>
          <w:sz w:val="24"/>
          <w:szCs w:val="24"/>
        </w:rPr>
        <w:t>17.</w:t>
      </w:r>
    </w:p>
    <w:p w14:paraId="0A65ED0C" w14:textId="7ECE64AA" w:rsidR="00DB5A02" w:rsidRPr="002F164E" w:rsidRDefault="00DB5A02" w:rsidP="00DB5A02">
      <w:pPr>
        <w:pStyle w:val="BodyText"/>
        <w:shd w:val="clear" w:color="auto" w:fill="FFFFFF"/>
        <w:spacing w:after="0"/>
        <w:rPr>
          <w:rFonts w:ascii="Times New Roman" w:hAnsi="Times New Roman"/>
          <w:color w:val="000000"/>
          <w:sz w:val="24"/>
          <w:szCs w:val="24"/>
        </w:rPr>
      </w:pPr>
    </w:p>
    <w:p w14:paraId="03439551" w14:textId="4973E053" w:rsidR="00DB5A02" w:rsidRPr="002F164E" w:rsidRDefault="000D1A1F" w:rsidP="00DB5A02">
      <w:pPr>
        <w:pStyle w:val="BodyText"/>
        <w:shd w:val="clear" w:color="auto" w:fill="FFFFFF"/>
        <w:spacing w:after="0"/>
        <w:rPr>
          <w:rFonts w:ascii="Times New Roman" w:hAnsi="Times New Roman"/>
          <w:color w:val="000000"/>
          <w:sz w:val="24"/>
          <w:szCs w:val="24"/>
        </w:rPr>
      </w:pPr>
      <w:r>
        <w:rPr>
          <w:rFonts w:ascii="Times New Roman" w:hAnsi="Times New Roman"/>
          <w:color w:val="000000"/>
          <w:sz w:val="24"/>
          <w:szCs w:val="24"/>
        </w:rPr>
        <w:t>S</w:t>
      </w:r>
      <w:r w:rsidR="004A5CD3" w:rsidRPr="002F164E">
        <w:rPr>
          <w:rFonts w:ascii="Times New Roman" w:hAnsi="Times New Roman"/>
          <w:color w:val="000000"/>
          <w:sz w:val="24"/>
          <w:szCs w:val="24"/>
        </w:rPr>
        <w:t>ubsection</w:t>
      </w:r>
      <w:r w:rsidR="00DB5A02" w:rsidRPr="002F164E">
        <w:rPr>
          <w:rFonts w:ascii="Times New Roman" w:hAnsi="Times New Roman"/>
          <w:color w:val="000000"/>
          <w:sz w:val="24"/>
          <w:szCs w:val="24"/>
        </w:rPr>
        <w:t xml:space="preserve"> 17(14) establishes a ‘monitoring period’ (defined in </w:t>
      </w:r>
      <w:r w:rsidR="004A5CD3"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 xml:space="preserve"> 17(18)) for a CSG service during which the licensee must report all fault o</w:t>
      </w:r>
      <w:r w:rsidR="00ED0D3D">
        <w:rPr>
          <w:rFonts w:ascii="Times New Roman" w:hAnsi="Times New Roman"/>
          <w:color w:val="000000"/>
          <w:sz w:val="24"/>
          <w:szCs w:val="24"/>
        </w:rPr>
        <w:t>r</w:t>
      </w:r>
      <w:r w:rsidR="00DB5A02" w:rsidRPr="002F164E">
        <w:rPr>
          <w:rFonts w:ascii="Times New Roman" w:hAnsi="Times New Roman"/>
          <w:color w:val="000000"/>
          <w:sz w:val="24"/>
          <w:szCs w:val="24"/>
        </w:rPr>
        <w:t xml:space="preserve"> service difficulties to </w:t>
      </w:r>
      <w:r w:rsidR="003324D4">
        <w:rPr>
          <w:rFonts w:ascii="Times New Roman" w:hAnsi="Times New Roman"/>
          <w:color w:val="000000"/>
          <w:sz w:val="24"/>
          <w:szCs w:val="24"/>
        </w:rPr>
        <w:t>the ACMA</w:t>
      </w:r>
      <w:r w:rsidR="00DB5A02" w:rsidRPr="002F164E">
        <w:rPr>
          <w:rFonts w:ascii="Times New Roman" w:hAnsi="Times New Roman"/>
          <w:color w:val="000000"/>
          <w:sz w:val="24"/>
          <w:szCs w:val="24"/>
        </w:rPr>
        <w:t xml:space="preserve">, and specifies a timeframe for the provision of such reports (within 10 working days after the end of each calendar month in which the difficulties occurred). Similar to </w:t>
      </w:r>
      <w:r w:rsidR="004A5CD3"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s 17(13), (14) and (15), the intention of this monitoring period is to ensure that remediation work undertaken under Level 3 has been successful and has raised the reliability of the CSG service to a higher level.</w:t>
      </w:r>
    </w:p>
    <w:p w14:paraId="52C4017E" w14:textId="60FC39D0" w:rsidR="00DB5A02" w:rsidRPr="002F164E" w:rsidRDefault="00DB5A02" w:rsidP="00DB5A02">
      <w:pPr>
        <w:pStyle w:val="BodyText"/>
        <w:shd w:val="clear" w:color="auto" w:fill="FFFFFF"/>
        <w:spacing w:after="0"/>
        <w:rPr>
          <w:rFonts w:ascii="Times New Roman" w:hAnsi="Times New Roman"/>
          <w:color w:val="000000"/>
          <w:sz w:val="24"/>
          <w:szCs w:val="24"/>
        </w:rPr>
      </w:pPr>
    </w:p>
    <w:p w14:paraId="5D10FC84" w14:textId="08D75118" w:rsidR="00FD2BC6" w:rsidRDefault="000D1A1F" w:rsidP="00DB5A02">
      <w:pPr>
        <w:pStyle w:val="BodyText"/>
        <w:shd w:val="clear" w:color="auto" w:fill="FFFFFF"/>
        <w:spacing w:after="0"/>
        <w:rPr>
          <w:rFonts w:ascii="Times New Roman" w:hAnsi="Times New Roman"/>
          <w:color w:val="000000"/>
          <w:sz w:val="24"/>
          <w:szCs w:val="24"/>
        </w:rPr>
      </w:pPr>
      <w:r>
        <w:rPr>
          <w:rFonts w:ascii="Times New Roman" w:hAnsi="Times New Roman"/>
          <w:color w:val="000000"/>
          <w:sz w:val="24"/>
          <w:szCs w:val="24"/>
        </w:rPr>
        <w:t>S</w:t>
      </w:r>
      <w:r w:rsidR="004A5CD3" w:rsidRPr="002F164E">
        <w:rPr>
          <w:rFonts w:ascii="Times New Roman" w:hAnsi="Times New Roman"/>
          <w:color w:val="000000"/>
          <w:sz w:val="24"/>
          <w:szCs w:val="24"/>
        </w:rPr>
        <w:t>ubsection</w:t>
      </w:r>
      <w:r w:rsidR="00DB5A02" w:rsidRPr="002F164E">
        <w:rPr>
          <w:rFonts w:ascii="Times New Roman" w:hAnsi="Times New Roman"/>
          <w:color w:val="000000"/>
          <w:sz w:val="24"/>
          <w:szCs w:val="24"/>
        </w:rPr>
        <w:t xml:space="preserve"> 17(15) provides that the licensee must provide sufficient information to allow </w:t>
      </w:r>
      <w:r w:rsidR="003324D4">
        <w:rPr>
          <w:rFonts w:ascii="Times New Roman" w:hAnsi="Times New Roman"/>
          <w:color w:val="000000"/>
          <w:sz w:val="24"/>
          <w:szCs w:val="24"/>
        </w:rPr>
        <w:t>the ACMA</w:t>
      </w:r>
      <w:r w:rsidR="00DB5A02" w:rsidRPr="002F164E">
        <w:rPr>
          <w:rFonts w:ascii="Times New Roman" w:hAnsi="Times New Roman"/>
          <w:color w:val="000000"/>
          <w:sz w:val="24"/>
          <w:szCs w:val="24"/>
        </w:rPr>
        <w:t xml:space="preserve"> to satisfy itself whether a fault or service difficulty that occurs during the monitoring period is or is not a ‘related fault or service difficulty’ (defined at </w:t>
      </w:r>
      <w:r w:rsidR="004A5CD3"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 xml:space="preserve"> </w:t>
      </w:r>
      <w:r>
        <w:rPr>
          <w:rFonts w:ascii="Times New Roman" w:hAnsi="Times New Roman"/>
          <w:color w:val="000000"/>
          <w:sz w:val="24"/>
          <w:szCs w:val="24"/>
        </w:rPr>
        <w:t>14(1)</w:t>
      </w:r>
      <w:r w:rsidR="00DB5A02" w:rsidRPr="002F164E">
        <w:rPr>
          <w:rFonts w:ascii="Times New Roman" w:hAnsi="Times New Roman"/>
          <w:color w:val="000000"/>
          <w:sz w:val="24"/>
          <w:szCs w:val="24"/>
        </w:rPr>
        <w:t xml:space="preserve">). This information would include the licensee’s own assessment, including reasons, as to whether or not a fault or service difficulty that occurs during the monitoring period is a related fault or service difficulty. The licence condition operates on the assumption that each fault or service difficulty that occurs during the monitoring period needs to be considered on its merits as to whether or not it is a ‘related fault or service difficulty’. This is consistent with </w:t>
      </w:r>
      <w:r w:rsidR="003324D4">
        <w:rPr>
          <w:rFonts w:ascii="Times New Roman" w:hAnsi="Times New Roman"/>
          <w:color w:val="000000"/>
          <w:sz w:val="24"/>
          <w:szCs w:val="24"/>
        </w:rPr>
        <w:t>the ACMA</w:t>
      </w:r>
      <w:r w:rsidR="00DB5A02" w:rsidRPr="002F164E">
        <w:rPr>
          <w:rFonts w:ascii="Times New Roman" w:hAnsi="Times New Roman"/>
          <w:color w:val="000000"/>
          <w:sz w:val="24"/>
          <w:szCs w:val="24"/>
        </w:rPr>
        <w:t xml:space="preserve">’s role as the regulator in making decisions in the case of disagreement. It is anticipated that operational protocols may be developed between the licensee and </w:t>
      </w:r>
      <w:r w:rsidR="003324D4">
        <w:rPr>
          <w:rFonts w:ascii="Times New Roman" w:hAnsi="Times New Roman"/>
          <w:color w:val="000000"/>
          <w:sz w:val="24"/>
          <w:szCs w:val="24"/>
        </w:rPr>
        <w:t>the ACMA</w:t>
      </w:r>
      <w:r w:rsidR="00DB5A02" w:rsidRPr="002F164E">
        <w:rPr>
          <w:rFonts w:ascii="Times New Roman" w:hAnsi="Times New Roman"/>
          <w:color w:val="000000"/>
          <w:sz w:val="24"/>
          <w:szCs w:val="24"/>
        </w:rPr>
        <w:t xml:space="preserve"> to streamline the exchange of information under this </w:t>
      </w:r>
      <w:r w:rsidR="004A5CD3"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 xml:space="preserve">. </w:t>
      </w:r>
    </w:p>
    <w:p w14:paraId="26473128" w14:textId="77777777" w:rsidR="00FD2BC6" w:rsidRDefault="00FD2BC6" w:rsidP="00DB5A02">
      <w:pPr>
        <w:pStyle w:val="BodyText"/>
        <w:shd w:val="clear" w:color="auto" w:fill="FFFFFF"/>
        <w:spacing w:after="0"/>
        <w:rPr>
          <w:rFonts w:ascii="Times New Roman" w:hAnsi="Times New Roman"/>
          <w:color w:val="000000"/>
          <w:sz w:val="24"/>
          <w:szCs w:val="24"/>
        </w:rPr>
      </w:pPr>
    </w:p>
    <w:p w14:paraId="447A1A0A" w14:textId="7B9ABB3E" w:rsidR="00DB5A02" w:rsidRPr="002F164E" w:rsidRDefault="00DB5A02" w:rsidP="00DB5A02">
      <w:pPr>
        <w:pStyle w:val="BodyText"/>
        <w:shd w:val="clear" w:color="auto" w:fill="FFFFFF"/>
        <w:spacing w:after="0"/>
        <w:rPr>
          <w:rFonts w:ascii="Times New Roman" w:hAnsi="Times New Roman"/>
          <w:color w:val="000000"/>
          <w:sz w:val="24"/>
          <w:szCs w:val="24"/>
        </w:rPr>
      </w:pPr>
      <w:r w:rsidRPr="002F164E">
        <w:rPr>
          <w:rFonts w:ascii="Times New Roman" w:hAnsi="Times New Roman"/>
          <w:color w:val="000000"/>
          <w:sz w:val="24"/>
          <w:szCs w:val="24"/>
        </w:rPr>
        <w:t xml:space="preserve">The </w:t>
      </w:r>
      <w:r w:rsidR="004A5CD3" w:rsidRPr="002F164E">
        <w:rPr>
          <w:rFonts w:ascii="Times New Roman" w:hAnsi="Times New Roman"/>
          <w:color w:val="000000"/>
          <w:sz w:val="24"/>
          <w:szCs w:val="24"/>
        </w:rPr>
        <w:t>subsection</w:t>
      </w:r>
      <w:r w:rsidRPr="002F164E">
        <w:rPr>
          <w:rFonts w:ascii="Times New Roman" w:hAnsi="Times New Roman"/>
          <w:color w:val="000000"/>
          <w:sz w:val="24"/>
          <w:szCs w:val="24"/>
        </w:rPr>
        <w:t xml:space="preserve"> also provides a timeframe of 15 working days for the licensee to provide sufficient information to </w:t>
      </w:r>
      <w:r w:rsidR="003324D4">
        <w:rPr>
          <w:rFonts w:ascii="Times New Roman" w:hAnsi="Times New Roman"/>
          <w:color w:val="000000"/>
          <w:sz w:val="24"/>
          <w:szCs w:val="24"/>
        </w:rPr>
        <w:t>the ACMA</w:t>
      </w:r>
      <w:r w:rsidRPr="002F164E">
        <w:rPr>
          <w:rFonts w:ascii="Times New Roman" w:hAnsi="Times New Roman"/>
          <w:color w:val="000000"/>
          <w:sz w:val="24"/>
          <w:szCs w:val="24"/>
        </w:rPr>
        <w:t xml:space="preserve"> to determine whether the fault or service difficulty is related. This will ensure that the monitoring period is not circumvented by unnecessary delays. If a fault or service difficulty that occurs in the monitoring period is not a related fault or service difficulty, then it is to be treated as a fault or service difficulty for the purposes of </w:t>
      </w:r>
      <w:r w:rsidR="004A5CD3" w:rsidRPr="002F164E">
        <w:rPr>
          <w:rFonts w:ascii="Times New Roman" w:hAnsi="Times New Roman"/>
          <w:color w:val="000000"/>
          <w:sz w:val="24"/>
          <w:szCs w:val="24"/>
        </w:rPr>
        <w:t>subsection</w:t>
      </w:r>
      <w:r w:rsidRPr="002F164E">
        <w:rPr>
          <w:rFonts w:ascii="Times New Roman" w:hAnsi="Times New Roman"/>
          <w:color w:val="000000"/>
          <w:sz w:val="24"/>
          <w:szCs w:val="24"/>
        </w:rPr>
        <w:t xml:space="preserve"> 17(4) (i</w:t>
      </w:r>
      <w:r w:rsidR="009164E5">
        <w:rPr>
          <w:rFonts w:ascii="Times New Roman" w:hAnsi="Times New Roman"/>
          <w:color w:val="000000"/>
          <w:sz w:val="24"/>
          <w:szCs w:val="24"/>
        </w:rPr>
        <w:t>.</w:t>
      </w:r>
      <w:r w:rsidRPr="002F164E">
        <w:rPr>
          <w:rFonts w:ascii="Times New Roman" w:hAnsi="Times New Roman"/>
          <w:color w:val="000000"/>
          <w:sz w:val="24"/>
          <w:szCs w:val="24"/>
        </w:rPr>
        <w:t>e. a fault in a new Level 3 cycle for that CSG service).</w:t>
      </w:r>
    </w:p>
    <w:p w14:paraId="1B45C541" w14:textId="468090BF" w:rsidR="00DB5A02" w:rsidRPr="002F164E" w:rsidRDefault="00DB5A02" w:rsidP="00DB5A02">
      <w:pPr>
        <w:pStyle w:val="BodyText"/>
        <w:shd w:val="clear" w:color="auto" w:fill="FFFFFF"/>
        <w:spacing w:after="0"/>
        <w:rPr>
          <w:rFonts w:ascii="Times New Roman" w:hAnsi="Times New Roman"/>
          <w:color w:val="000000"/>
          <w:sz w:val="24"/>
          <w:szCs w:val="24"/>
        </w:rPr>
      </w:pPr>
    </w:p>
    <w:p w14:paraId="5EAD1D5D" w14:textId="6B712E98" w:rsidR="00DB5A02" w:rsidRPr="002F164E" w:rsidRDefault="004A5CD3" w:rsidP="00DB5A02">
      <w:pPr>
        <w:pStyle w:val="BodyText"/>
        <w:shd w:val="clear" w:color="auto" w:fill="FFFFFF"/>
        <w:spacing w:after="0"/>
        <w:rPr>
          <w:rFonts w:ascii="Times New Roman" w:hAnsi="Times New Roman"/>
          <w:color w:val="000000"/>
          <w:sz w:val="24"/>
          <w:szCs w:val="24"/>
        </w:rPr>
      </w:pPr>
      <w:r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 xml:space="preserve"> 17(16) specifies the actions that the licensee must undertake if one or more related fault or service difficulties occur during the monitoring period. Paragraph 17(16)(a) provides that the licensee must re-examine its previous remediation activity and undertake further remediation activity to address the root cause of causes of the new fault or service difficulties. The licensee must undertake these activities within 20 working days after the end of the period mentioned in </w:t>
      </w:r>
      <w:r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 xml:space="preserve"> (15). Paragraph 17(16)(b) provides that the licensee must report to </w:t>
      </w:r>
      <w:r w:rsidR="003324D4">
        <w:rPr>
          <w:rFonts w:ascii="Times New Roman" w:hAnsi="Times New Roman"/>
          <w:color w:val="000000"/>
          <w:sz w:val="24"/>
          <w:szCs w:val="24"/>
        </w:rPr>
        <w:t>the ACMA</w:t>
      </w:r>
      <w:r w:rsidR="00DB5A02" w:rsidRPr="002F164E">
        <w:rPr>
          <w:rFonts w:ascii="Times New Roman" w:hAnsi="Times New Roman"/>
          <w:color w:val="000000"/>
          <w:sz w:val="24"/>
          <w:szCs w:val="24"/>
        </w:rPr>
        <w:t xml:space="preserve"> on its further remediation activities within 20 working days of their completion.</w:t>
      </w:r>
    </w:p>
    <w:p w14:paraId="324C4EF4" w14:textId="701563A5" w:rsidR="00DB5A02" w:rsidRPr="002F164E" w:rsidRDefault="00DB5A02" w:rsidP="00DB5A02">
      <w:pPr>
        <w:pStyle w:val="BodyText"/>
        <w:shd w:val="clear" w:color="auto" w:fill="FFFFFF"/>
        <w:spacing w:after="0"/>
        <w:rPr>
          <w:rFonts w:ascii="Times New Roman" w:hAnsi="Times New Roman"/>
          <w:color w:val="000000"/>
          <w:sz w:val="24"/>
          <w:szCs w:val="24"/>
        </w:rPr>
      </w:pPr>
    </w:p>
    <w:p w14:paraId="347DBC23" w14:textId="3B613D23" w:rsidR="00DB5A02" w:rsidRDefault="004A5CD3" w:rsidP="00DB5A02">
      <w:pPr>
        <w:pStyle w:val="BodyText"/>
        <w:shd w:val="clear" w:color="auto" w:fill="FFFFFF"/>
        <w:spacing w:after="0"/>
        <w:rPr>
          <w:rFonts w:ascii="Times New Roman" w:hAnsi="Times New Roman"/>
          <w:color w:val="000000"/>
          <w:sz w:val="24"/>
          <w:szCs w:val="24"/>
        </w:rPr>
      </w:pPr>
      <w:r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 xml:space="preserve"> 17(17) provides that the monitoring period commences again after </w:t>
      </w:r>
      <w:r w:rsidR="003324D4">
        <w:rPr>
          <w:rFonts w:ascii="Times New Roman" w:hAnsi="Times New Roman"/>
          <w:color w:val="000000"/>
          <w:sz w:val="24"/>
          <w:szCs w:val="24"/>
        </w:rPr>
        <w:t>the ACMA</w:t>
      </w:r>
      <w:r w:rsidR="00DB5A02" w:rsidRPr="002F164E">
        <w:rPr>
          <w:rFonts w:ascii="Times New Roman" w:hAnsi="Times New Roman"/>
          <w:color w:val="000000"/>
          <w:sz w:val="24"/>
          <w:szCs w:val="24"/>
        </w:rPr>
        <w:t xml:space="preserve"> notifies the licensee that it has received a report under </w:t>
      </w:r>
      <w:r w:rsidRPr="002F164E">
        <w:rPr>
          <w:rFonts w:ascii="Times New Roman" w:hAnsi="Times New Roman"/>
          <w:color w:val="000000"/>
          <w:sz w:val="24"/>
          <w:szCs w:val="24"/>
        </w:rPr>
        <w:t>subsection</w:t>
      </w:r>
      <w:r w:rsidR="00DB5A02" w:rsidRPr="002F164E">
        <w:rPr>
          <w:rFonts w:ascii="Times New Roman" w:hAnsi="Times New Roman"/>
          <w:color w:val="000000"/>
          <w:sz w:val="24"/>
          <w:szCs w:val="24"/>
        </w:rPr>
        <w:t xml:space="preserve"> 17(16). This means that the monitoring period will not cease until an entire eight month monitoring period passes without the occurrence of a related fault.</w:t>
      </w:r>
    </w:p>
    <w:p w14:paraId="36B5FADA" w14:textId="77777777" w:rsidR="00E44A7A" w:rsidRPr="002F164E" w:rsidRDefault="00E44A7A" w:rsidP="00DB5A02">
      <w:pPr>
        <w:pStyle w:val="BodyText"/>
        <w:shd w:val="clear" w:color="auto" w:fill="FFFFFF"/>
        <w:spacing w:after="0"/>
        <w:rPr>
          <w:rFonts w:ascii="Times New Roman" w:hAnsi="Times New Roman"/>
          <w:color w:val="000000"/>
          <w:sz w:val="24"/>
          <w:szCs w:val="24"/>
        </w:rPr>
      </w:pPr>
    </w:p>
    <w:p w14:paraId="26B1220D" w14:textId="0607F00A" w:rsidR="003C68F7" w:rsidRPr="002F164E" w:rsidRDefault="003C68F7" w:rsidP="00EF7A08">
      <w:pPr>
        <w:rPr>
          <w:rFonts w:ascii="Times New Roman" w:hAnsi="Times New Roman"/>
          <w:b/>
          <w:sz w:val="24"/>
          <w:szCs w:val="24"/>
        </w:rPr>
      </w:pPr>
      <w:r w:rsidRPr="002F164E">
        <w:rPr>
          <w:rFonts w:ascii="Times New Roman" w:hAnsi="Times New Roman"/>
          <w:b/>
          <w:sz w:val="24"/>
          <w:szCs w:val="24"/>
        </w:rPr>
        <w:t>Section 18 – Methodologies and Variations to Methodologies</w:t>
      </w:r>
    </w:p>
    <w:p w14:paraId="0CF95514" w14:textId="1ED4C6C8" w:rsidR="00B16AFC" w:rsidRPr="002F164E" w:rsidRDefault="009F2074"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 xml:space="preserve">This </w:t>
      </w:r>
      <w:r w:rsidR="00E16F7B">
        <w:rPr>
          <w:rFonts w:ascii="Times New Roman" w:hAnsi="Times New Roman"/>
          <w:color w:val="000000"/>
          <w:sz w:val="24"/>
          <w:szCs w:val="24"/>
          <w:shd w:val="clear" w:color="auto" w:fill="FFFFFF"/>
        </w:rPr>
        <w:t xml:space="preserve">section </w:t>
      </w:r>
      <w:r w:rsidRPr="002F164E">
        <w:rPr>
          <w:rFonts w:ascii="Times New Roman" w:hAnsi="Times New Roman"/>
          <w:color w:val="000000"/>
          <w:sz w:val="24"/>
          <w:szCs w:val="24"/>
          <w:shd w:val="clear" w:color="auto" w:fill="FFFFFF"/>
        </w:rPr>
        <w:t xml:space="preserve">requires Telstra to have in place methodologies for preparing and verifying data for the purposes of </w:t>
      </w:r>
      <w:r w:rsidR="00E16F7B">
        <w:rPr>
          <w:rFonts w:ascii="Times New Roman" w:hAnsi="Times New Roman"/>
          <w:color w:val="000000"/>
          <w:sz w:val="24"/>
          <w:szCs w:val="24"/>
          <w:shd w:val="clear" w:color="auto" w:fill="FFFFFF"/>
        </w:rPr>
        <w:t xml:space="preserve">sections </w:t>
      </w:r>
      <w:r w:rsidR="00E16F7B" w:rsidRPr="002F164E">
        <w:rPr>
          <w:rFonts w:ascii="Times New Roman" w:hAnsi="Times New Roman"/>
          <w:color w:val="000000"/>
          <w:sz w:val="24"/>
          <w:szCs w:val="24"/>
          <w:shd w:val="clear" w:color="auto" w:fill="FFFFFF"/>
        </w:rPr>
        <w:t xml:space="preserve"> </w:t>
      </w:r>
      <w:r w:rsidRPr="002F164E">
        <w:rPr>
          <w:rFonts w:ascii="Times New Roman" w:hAnsi="Times New Roman"/>
          <w:color w:val="000000"/>
          <w:sz w:val="24"/>
          <w:szCs w:val="24"/>
          <w:shd w:val="clear" w:color="auto" w:fill="FFFFFF"/>
        </w:rPr>
        <w:t>15, 16 and 17.</w:t>
      </w:r>
    </w:p>
    <w:p w14:paraId="2E7D810B" w14:textId="249732F5" w:rsidR="002713CE" w:rsidRPr="002F164E" w:rsidRDefault="00FD2BC6" w:rsidP="00EF7A08">
      <w:pPr>
        <w:rPr>
          <w:rFonts w:ascii="Times New Roman" w:hAnsi="Times New Roman"/>
          <w:b/>
          <w:sz w:val="24"/>
          <w:szCs w:val="24"/>
        </w:rPr>
      </w:pPr>
      <w:r>
        <w:rPr>
          <w:rFonts w:ascii="Times New Roman" w:hAnsi="Times New Roman"/>
          <w:b/>
          <w:sz w:val="24"/>
          <w:szCs w:val="24"/>
        </w:rPr>
        <w:br w:type="column"/>
      </w:r>
      <w:r w:rsidR="003C68F7" w:rsidRPr="002F164E">
        <w:rPr>
          <w:rFonts w:ascii="Times New Roman" w:hAnsi="Times New Roman"/>
          <w:b/>
          <w:sz w:val="24"/>
          <w:szCs w:val="24"/>
        </w:rPr>
        <w:t xml:space="preserve">Schedule 1 – Objectives to be Addressed in the Licensees’s Priority Assistance Policy </w:t>
      </w:r>
      <w:r w:rsidR="00EE0216">
        <w:rPr>
          <w:rFonts w:ascii="Times New Roman" w:hAnsi="Times New Roman"/>
          <w:b/>
          <w:sz w:val="24"/>
          <w:szCs w:val="24"/>
        </w:rPr>
        <w:t>u</w:t>
      </w:r>
      <w:r w:rsidR="003C68F7" w:rsidRPr="002F164E">
        <w:rPr>
          <w:rFonts w:ascii="Times New Roman" w:hAnsi="Times New Roman"/>
          <w:b/>
          <w:sz w:val="24"/>
          <w:szCs w:val="24"/>
        </w:rPr>
        <w:t xml:space="preserve">nder </w:t>
      </w:r>
      <w:r w:rsidR="003C68F7" w:rsidRPr="001C1294">
        <w:rPr>
          <w:rFonts w:ascii="Times New Roman" w:hAnsi="Times New Roman"/>
          <w:b/>
          <w:sz w:val="24"/>
          <w:szCs w:val="24"/>
        </w:rPr>
        <w:t>sub</w:t>
      </w:r>
      <w:r w:rsidR="00D07464" w:rsidRPr="001C1294">
        <w:rPr>
          <w:rFonts w:ascii="Times New Roman" w:hAnsi="Times New Roman"/>
          <w:b/>
          <w:sz w:val="24"/>
          <w:szCs w:val="24"/>
        </w:rPr>
        <w:t>s</w:t>
      </w:r>
      <w:r w:rsidR="003C68F7" w:rsidRPr="001C1294">
        <w:rPr>
          <w:rFonts w:ascii="Times New Roman" w:hAnsi="Times New Roman"/>
          <w:b/>
          <w:sz w:val="24"/>
          <w:szCs w:val="24"/>
        </w:rPr>
        <w:t xml:space="preserve">ection </w:t>
      </w:r>
      <w:r w:rsidR="003C68F7" w:rsidRPr="001F1750">
        <w:rPr>
          <w:rFonts w:ascii="Times New Roman" w:hAnsi="Times New Roman"/>
          <w:b/>
          <w:sz w:val="24"/>
          <w:szCs w:val="24"/>
        </w:rPr>
        <w:t>1</w:t>
      </w:r>
      <w:r w:rsidR="00D07464" w:rsidRPr="001F1750">
        <w:rPr>
          <w:rFonts w:ascii="Times New Roman" w:hAnsi="Times New Roman"/>
          <w:b/>
          <w:sz w:val="24"/>
          <w:szCs w:val="24"/>
        </w:rPr>
        <w:t>2</w:t>
      </w:r>
      <w:r w:rsidR="003C68F7" w:rsidRPr="001F1750">
        <w:rPr>
          <w:rFonts w:ascii="Times New Roman" w:hAnsi="Times New Roman"/>
          <w:b/>
          <w:sz w:val="24"/>
          <w:szCs w:val="24"/>
        </w:rPr>
        <w:t>(2)</w:t>
      </w:r>
    </w:p>
    <w:p w14:paraId="05C76B23" w14:textId="7A0E3BAC" w:rsidR="00E16F7B" w:rsidRDefault="00205910"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 xml:space="preserve">Schedule 1 sets out </w:t>
      </w:r>
      <w:r w:rsidR="006151E6">
        <w:rPr>
          <w:rFonts w:ascii="Times New Roman" w:hAnsi="Times New Roman"/>
          <w:color w:val="000000"/>
          <w:sz w:val="24"/>
          <w:szCs w:val="24"/>
          <w:shd w:val="clear" w:color="auto" w:fill="FFFFFF"/>
        </w:rPr>
        <w:t>several definitions used elsewh</w:t>
      </w:r>
      <w:r w:rsidR="000F4FCE">
        <w:rPr>
          <w:rFonts w:ascii="Times New Roman" w:hAnsi="Times New Roman"/>
          <w:color w:val="000000"/>
          <w:sz w:val="24"/>
          <w:szCs w:val="24"/>
          <w:shd w:val="clear" w:color="auto" w:fill="FFFFFF"/>
        </w:rPr>
        <w:t>e</w:t>
      </w:r>
      <w:r w:rsidR="006151E6">
        <w:rPr>
          <w:rFonts w:ascii="Times New Roman" w:hAnsi="Times New Roman"/>
          <w:color w:val="000000"/>
          <w:sz w:val="24"/>
          <w:szCs w:val="24"/>
          <w:shd w:val="clear" w:color="auto" w:fill="FFFFFF"/>
        </w:rPr>
        <w:t xml:space="preserve">re in Schedule 1, and </w:t>
      </w:r>
      <w:r w:rsidRPr="002F164E">
        <w:rPr>
          <w:rFonts w:ascii="Times New Roman" w:hAnsi="Times New Roman"/>
          <w:color w:val="000000"/>
          <w:sz w:val="24"/>
          <w:szCs w:val="24"/>
          <w:shd w:val="clear" w:color="auto" w:fill="FFFFFF"/>
        </w:rPr>
        <w:t xml:space="preserve">objectives </w:t>
      </w:r>
      <w:r w:rsidR="00D07464" w:rsidRPr="002F164E">
        <w:rPr>
          <w:rFonts w:ascii="Times New Roman" w:hAnsi="Times New Roman"/>
          <w:color w:val="000000"/>
          <w:sz w:val="24"/>
          <w:szCs w:val="24"/>
          <w:shd w:val="clear" w:color="auto" w:fill="FFFFFF"/>
        </w:rPr>
        <w:t xml:space="preserve">that need to be addressed by Telstra’s Priority Assistance Policy arrangements to meet the obligation under </w:t>
      </w:r>
      <w:r w:rsidR="00826726">
        <w:rPr>
          <w:rFonts w:ascii="Times New Roman" w:hAnsi="Times New Roman"/>
          <w:color w:val="000000"/>
          <w:sz w:val="24"/>
          <w:szCs w:val="24"/>
          <w:shd w:val="clear" w:color="auto" w:fill="FFFFFF"/>
        </w:rPr>
        <w:t xml:space="preserve">paragraph </w:t>
      </w:r>
      <w:r w:rsidR="00D07464" w:rsidRPr="002F164E">
        <w:rPr>
          <w:rFonts w:ascii="Times New Roman" w:hAnsi="Times New Roman"/>
          <w:color w:val="000000"/>
          <w:sz w:val="24"/>
          <w:szCs w:val="24"/>
          <w:shd w:val="clear" w:color="auto" w:fill="FFFFFF"/>
        </w:rPr>
        <w:t xml:space="preserve">12(2)(b). </w:t>
      </w:r>
    </w:p>
    <w:p w14:paraId="1E2FADDC" w14:textId="4598F2BF" w:rsidR="00FD2BC6" w:rsidRDefault="00E16F7B" w:rsidP="00EF7A08">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As noted above, </w:t>
      </w:r>
      <w:r w:rsidR="000D1A1F">
        <w:rPr>
          <w:rFonts w:ascii="Times New Roman" w:hAnsi="Times New Roman"/>
          <w:color w:val="000000"/>
          <w:sz w:val="24"/>
          <w:szCs w:val="24"/>
          <w:shd w:val="clear" w:color="auto" w:fill="FFFFFF"/>
        </w:rPr>
        <w:t>sub</w:t>
      </w:r>
      <w:r>
        <w:rPr>
          <w:rFonts w:ascii="Times New Roman" w:hAnsi="Times New Roman"/>
          <w:color w:val="000000"/>
          <w:sz w:val="24"/>
          <w:szCs w:val="24"/>
          <w:shd w:val="clear" w:color="auto" w:fill="FFFFFF"/>
        </w:rPr>
        <w:t>s</w:t>
      </w:r>
      <w:r w:rsidR="00D07464" w:rsidRPr="002F164E">
        <w:rPr>
          <w:rFonts w:ascii="Times New Roman" w:hAnsi="Times New Roman"/>
          <w:color w:val="000000"/>
          <w:sz w:val="24"/>
          <w:szCs w:val="24"/>
          <w:shd w:val="clear" w:color="auto" w:fill="FFFFFF"/>
        </w:rPr>
        <w:t>ection 12(2) requires Telstra to implement arrange</w:t>
      </w:r>
      <w:r w:rsidR="006151E6">
        <w:rPr>
          <w:rFonts w:ascii="Times New Roman" w:hAnsi="Times New Roman"/>
          <w:color w:val="000000"/>
          <w:sz w:val="24"/>
          <w:szCs w:val="24"/>
          <w:shd w:val="clear" w:color="auto" w:fill="FFFFFF"/>
        </w:rPr>
        <w:t>ment</w:t>
      </w:r>
      <w:r w:rsidR="00D07464" w:rsidRPr="002F164E">
        <w:rPr>
          <w:rFonts w:ascii="Times New Roman" w:hAnsi="Times New Roman"/>
          <w:color w:val="000000"/>
          <w:sz w:val="24"/>
          <w:szCs w:val="24"/>
          <w:shd w:val="clear" w:color="auto" w:fill="FFFFFF"/>
        </w:rPr>
        <w:t>s for maximising service continuity to priority customers.</w:t>
      </w:r>
      <w:r w:rsidR="001431B8" w:rsidRPr="002F164E">
        <w:rPr>
          <w:rFonts w:ascii="Times New Roman" w:hAnsi="Times New Roman"/>
          <w:color w:val="000000"/>
          <w:sz w:val="24"/>
          <w:szCs w:val="24"/>
          <w:shd w:val="clear" w:color="auto" w:fill="FFFFFF"/>
        </w:rPr>
        <w:t xml:space="preserve"> </w:t>
      </w:r>
    </w:p>
    <w:p w14:paraId="73E8FE5D" w14:textId="5086DA50" w:rsidR="00FD2BC6" w:rsidRDefault="001431B8" w:rsidP="00EF7A08">
      <w:pPr>
        <w:rPr>
          <w:rFonts w:ascii="Times New Roman" w:hAnsi="Times New Roman"/>
          <w:color w:val="000000"/>
          <w:sz w:val="24"/>
          <w:szCs w:val="24"/>
          <w:shd w:val="clear" w:color="auto" w:fill="FFFFFF"/>
        </w:rPr>
      </w:pPr>
      <w:r w:rsidRPr="002F164E">
        <w:rPr>
          <w:rFonts w:ascii="Times New Roman" w:hAnsi="Times New Roman"/>
          <w:color w:val="000000"/>
          <w:sz w:val="24"/>
          <w:szCs w:val="24"/>
          <w:shd w:val="clear" w:color="auto" w:fill="FFFFFF"/>
        </w:rPr>
        <w:t xml:space="preserve">Schedule 1 </w:t>
      </w:r>
      <w:r w:rsidR="006151E6">
        <w:rPr>
          <w:rFonts w:ascii="Times New Roman" w:hAnsi="Times New Roman"/>
          <w:color w:val="000000"/>
          <w:sz w:val="24"/>
          <w:szCs w:val="24"/>
          <w:shd w:val="clear" w:color="auto" w:fill="FFFFFF"/>
        </w:rPr>
        <w:t xml:space="preserve">sets out objectives that </w:t>
      </w:r>
      <w:r w:rsidRPr="002F164E">
        <w:rPr>
          <w:rFonts w:ascii="Times New Roman" w:hAnsi="Times New Roman"/>
          <w:color w:val="000000"/>
          <w:sz w:val="24"/>
          <w:szCs w:val="24"/>
          <w:shd w:val="clear" w:color="auto" w:fill="FFFFFF"/>
        </w:rPr>
        <w:t xml:space="preserve">Telstra </w:t>
      </w:r>
      <w:r w:rsidR="006151E6">
        <w:rPr>
          <w:rFonts w:ascii="Times New Roman" w:hAnsi="Times New Roman"/>
          <w:color w:val="000000"/>
          <w:sz w:val="24"/>
          <w:szCs w:val="24"/>
          <w:shd w:val="clear" w:color="auto" w:fill="FFFFFF"/>
        </w:rPr>
        <w:t xml:space="preserve">must ensure it adequately addresses </w:t>
      </w:r>
      <w:r w:rsidRPr="002F164E">
        <w:rPr>
          <w:rFonts w:ascii="Times New Roman" w:hAnsi="Times New Roman"/>
          <w:color w:val="000000"/>
          <w:sz w:val="24"/>
          <w:szCs w:val="24"/>
          <w:shd w:val="clear" w:color="auto" w:fill="FFFFFF"/>
        </w:rPr>
        <w:t>when developing its Priority Assistance Policy</w:t>
      </w:r>
      <w:r w:rsidR="006151E6">
        <w:rPr>
          <w:rFonts w:ascii="Times New Roman" w:hAnsi="Times New Roman"/>
          <w:color w:val="000000"/>
          <w:sz w:val="24"/>
          <w:szCs w:val="24"/>
          <w:shd w:val="clear" w:color="auto" w:fill="FFFFFF"/>
        </w:rPr>
        <w:t>. These are</w:t>
      </w:r>
      <w:r w:rsidR="00FD2BC6">
        <w:rPr>
          <w:rFonts w:ascii="Times New Roman" w:hAnsi="Times New Roman"/>
          <w:color w:val="000000"/>
          <w:sz w:val="24"/>
          <w:szCs w:val="24"/>
          <w:shd w:val="clear" w:color="auto" w:fill="FFFFFF"/>
        </w:rPr>
        <w:t>:</w:t>
      </w:r>
    </w:p>
    <w:p w14:paraId="58D23F9D" w14:textId="6205BC85" w:rsidR="00FD2BC6" w:rsidRPr="00E958F8" w:rsidRDefault="001431B8" w:rsidP="00E958F8">
      <w:pPr>
        <w:pStyle w:val="ListParagraph"/>
        <w:numPr>
          <w:ilvl w:val="0"/>
          <w:numId w:val="19"/>
        </w:numPr>
        <w:rPr>
          <w:rFonts w:ascii="Times New Roman" w:hAnsi="Times New Roman"/>
          <w:color w:val="000000"/>
          <w:sz w:val="24"/>
          <w:szCs w:val="24"/>
          <w:shd w:val="clear" w:color="auto" w:fill="FFFFFF"/>
        </w:rPr>
      </w:pPr>
      <w:r w:rsidRPr="00E958F8">
        <w:rPr>
          <w:rFonts w:ascii="Times New Roman" w:hAnsi="Times New Roman"/>
          <w:color w:val="000000"/>
          <w:sz w:val="24"/>
          <w:szCs w:val="24"/>
          <w:shd w:val="clear" w:color="auto" w:fill="FFFFFF"/>
        </w:rPr>
        <w:t xml:space="preserve">the process for determining priority customers; </w:t>
      </w:r>
    </w:p>
    <w:p w14:paraId="57ED6F7F" w14:textId="77777777" w:rsidR="00FD2BC6" w:rsidRPr="00E958F8" w:rsidRDefault="001431B8" w:rsidP="00E958F8">
      <w:pPr>
        <w:pStyle w:val="ListParagraph"/>
        <w:numPr>
          <w:ilvl w:val="0"/>
          <w:numId w:val="19"/>
        </w:numPr>
        <w:rPr>
          <w:rFonts w:ascii="Times New Roman" w:hAnsi="Times New Roman"/>
          <w:color w:val="000000"/>
          <w:sz w:val="24"/>
          <w:szCs w:val="24"/>
          <w:shd w:val="clear" w:color="auto" w:fill="FFFFFF"/>
        </w:rPr>
      </w:pPr>
      <w:r w:rsidRPr="00E958F8">
        <w:rPr>
          <w:rFonts w:ascii="Times New Roman" w:hAnsi="Times New Roman"/>
          <w:color w:val="000000"/>
          <w:sz w:val="24"/>
          <w:szCs w:val="24"/>
          <w:shd w:val="clear" w:color="auto" w:fill="FFFFFF"/>
        </w:rPr>
        <w:t xml:space="preserve">the application and assessment process for priority customers; </w:t>
      </w:r>
    </w:p>
    <w:p w14:paraId="5A43A1AF" w14:textId="398F466D" w:rsidR="00FD2BC6" w:rsidRPr="00E958F8" w:rsidRDefault="001431B8" w:rsidP="00E958F8">
      <w:pPr>
        <w:pStyle w:val="ListParagraph"/>
        <w:numPr>
          <w:ilvl w:val="0"/>
          <w:numId w:val="19"/>
        </w:numPr>
        <w:rPr>
          <w:rFonts w:ascii="Times New Roman" w:hAnsi="Times New Roman"/>
          <w:color w:val="000000"/>
          <w:sz w:val="24"/>
          <w:szCs w:val="24"/>
          <w:shd w:val="clear" w:color="auto" w:fill="FFFFFF"/>
        </w:rPr>
      </w:pPr>
      <w:r w:rsidRPr="00E958F8">
        <w:rPr>
          <w:rFonts w:ascii="Times New Roman" w:hAnsi="Times New Roman"/>
          <w:color w:val="000000"/>
          <w:sz w:val="24"/>
          <w:szCs w:val="24"/>
          <w:shd w:val="clear" w:color="auto" w:fill="FFFFFF"/>
        </w:rPr>
        <w:t>the level of service and service reliability that must be provided</w:t>
      </w:r>
      <w:r w:rsidR="000F4FCE" w:rsidRPr="00E958F8">
        <w:rPr>
          <w:rFonts w:ascii="Times New Roman" w:hAnsi="Times New Roman"/>
          <w:color w:val="000000"/>
          <w:sz w:val="24"/>
          <w:szCs w:val="24"/>
          <w:shd w:val="clear" w:color="auto" w:fill="FFFFFF"/>
        </w:rPr>
        <w:t xml:space="preserve"> for priority customers</w:t>
      </w:r>
      <w:r w:rsidRPr="00E958F8">
        <w:rPr>
          <w:rFonts w:ascii="Times New Roman" w:hAnsi="Times New Roman"/>
          <w:color w:val="000000"/>
          <w:sz w:val="24"/>
          <w:szCs w:val="24"/>
          <w:shd w:val="clear" w:color="auto" w:fill="FFFFFF"/>
        </w:rPr>
        <w:t xml:space="preserve">; </w:t>
      </w:r>
    </w:p>
    <w:p w14:paraId="3392479A" w14:textId="488DA7B4" w:rsidR="00FD2BC6" w:rsidRPr="00E958F8" w:rsidRDefault="001431B8" w:rsidP="00E958F8">
      <w:pPr>
        <w:pStyle w:val="ListParagraph"/>
        <w:numPr>
          <w:ilvl w:val="0"/>
          <w:numId w:val="19"/>
        </w:numPr>
        <w:rPr>
          <w:rFonts w:ascii="Times New Roman" w:hAnsi="Times New Roman"/>
          <w:color w:val="000000"/>
          <w:sz w:val="24"/>
          <w:szCs w:val="24"/>
          <w:shd w:val="clear" w:color="auto" w:fill="FFFFFF"/>
        </w:rPr>
      </w:pPr>
      <w:r w:rsidRPr="00E958F8">
        <w:rPr>
          <w:rFonts w:ascii="Times New Roman" w:hAnsi="Times New Roman"/>
          <w:color w:val="000000"/>
          <w:sz w:val="24"/>
          <w:szCs w:val="24"/>
          <w:shd w:val="clear" w:color="auto" w:fill="FFFFFF"/>
        </w:rPr>
        <w:t>fault rectification timeframes and the provision of interim services</w:t>
      </w:r>
      <w:r w:rsidR="000F4FCE" w:rsidRPr="00E958F8">
        <w:rPr>
          <w:rFonts w:ascii="Times New Roman" w:hAnsi="Times New Roman"/>
          <w:color w:val="000000"/>
          <w:sz w:val="24"/>
          <w:szCs w:val="24"/>
          <w:shd w:val="clear" w:color="auto" w:fill="FFFFFF"/>
        </w:rPr>
        <w:t xml:space="preserve"> for priority customers</w:t>
      </w:r>
      <w:r w:rsidRPr="00E958F8">
        <w:rPr>
          <w:rFonts w:ascii="Times New Roman" w:hAnsi="Times New Roman"/>
          <w:color w:val="000000"/>
          <w:sz w:val="24"/>
          <w:szCs w:val="24"/>
          <w:shd w:val="clear" w:color="auto" w:fill="FFFFFF"/>
        </w:rPr>
        <w:t xml:space="preserve">; </w:t>
      </w:r>
    </w:p>
    <w:p w14:paraId="62B02AD2" w14:textId="7D6771A3" w:rsidR="000F4FCE" w:rsidRPr="00E958F8" w:rsidRDefault="001431B8" w:rsidP="00E958F8">
      <w:pPr>
        <w:pStyle w:val="ListParagraph"/>
        <w:numPr>
          <w:ilvl w:val="0"/>
          <w:numId w:val="19"/>
        </w:numPr>
        <w:rPr>
          <w:rFonts w:ascii="Times New Roman" w:hAnsi="Times New Roman"/>
          <w:color w:val="000000"/>
          <w:sz w:val="24"/>
          <w:szCs w:val="24"/>
          <w:shd w:val="clear" w:color="auto" w:fill="FFFFFF"/>
        </w:rPr>
      </w:pPr>
      <w:r w:rsidRPr="00E958F8">
        <w:rPr>
          <w:rFonts w:ascii="Times New Roman" w:hAnsi="Times New Roman"/>
          <w:color w:val="000000"/>
          <w:sz w:val="24"/>
          <w:szCs w:val="24"/>
          <w:shd w:val="clear" w:color="auto" w:fill="FFFFFF"/>
        </w:rPr>
        <w:t>the reduction of risks and impact of disconnection</w:t>
      </w:r>
      <w:r w:rsidR="000F4FCE" w:rsidRPr="00E958F8">
        <w:rPr>
          <w:rFonts w:ascii="Times New Roman" w:hAnsi="Times New Roman"/>
          <w:color w:val="000000"/>
          <w:sz w:val="24"/>
          <w:szCs w:val="24"/>
          <w:shd w:val="clear" w:color="auto" w:fill="FFFFFF"/>
        </w:rPr>
        <w:t xml:space="preserve"> on priority customers</w:t>
      </w:r>
      <w:r w:rsidRPr="00E958F8">
        <w:rPr>
          <w:rFonts w:ascii="Times New Roman" w:hAnsi="Times New Roman"/>
          <w:color w:val="000000"/>
          <w:sz w:val="24"/>
          <w:szCs w:val="24"/>
          <w:shd w:val="clear" w:color="auto" w:fill="FFFFFF"/>
        </w:rPr>
        <w:t xml:space="preserve">; </w:t>
      </w:r>
    </w:p>
    <w:p w14:paraId="3D5AFA5A" w14:textId="61F47228" w:rsidR="00FD2BC6" w:rsidRPr="00E958F8" w:rsidRDefault="000F4FCE" w:rsidP="00E958F8">
      <w:pPr>
        <w:pStyle w:val="ListParagraph"/>
        <w:numPr>
          <w:ilvl w:val="0"/>
          <w:numId w:val="19"/>
        </w:numPr>
        <w:rPr>
          <w:rFonts w:ascii="Times New Roman" w:hAnsi="Times New Roman"/>
          <w:color w:val="000000"/>
          <w:sz w:val="24"/>
          <w:szCs w:val="24"/>
          <w:shd w:val="clear" w:color="auto" w:fill="FFFFFF"/>
        </w:rPr>
      </w:pPr>
      <w:r w:rsidRPr="00E958F8">
        <w:rPr>
          <w:rFonts w:ascii="Times New Roman" w:hAnsi="Times New Roman"/>
          <w:color w:val="000000"/>
          <w:sz w:val="24"/>
          <w:szCs w:val="24"/>
          <w:shd w:val="clear" w:color="auto" w:fill="FFFFFF"/>
        </w:rPr>
        <w:t xml:space="preserve">supply and repair of services to priority customers in exceptional circumstances; </w:t>
      </w:r>
      <w:r w:rsidR="001431B8" w:rsidRPr="00E958F8">
        <w:rPr>
          <w:rFonts w:ascii="Times New Roman" w:hAnsi="Times New Roman"/>
          <w:color w:val="000000"/>
          <w:sz w:val="24"/>
          <w:szCs w:val="24"/>
          <w:shd w:val="clear" w:color="auto" w:fill="FFFFFF"/>
        </w:rPr>
        <w:t xml:space="preserve">and </w:t>
      </w:r>
    </w:p>
    <w:p w14:paraId="2DB4AAF4" w14:textId="664331AC" w:rsidR="00205910" w:rsidRPr="00E958F8" w:rsidRDefault="001431B8" w:rsidP="00E958F8">
      <w:pPr>
        <w:pStyle w:val="ListParagraph"/>
        <w:numPr>
          <w:ilvl w:val="0"/>
          <w:numId w:val="19"/>
        </w:numPr>
        <w:rPr>
          <w:rFonts w:ascii="Times New Roman" w:hAnsi="Times New Roman"/>
          <w:color w:val="000000"/>
          <w:sz w:val="24"/>
          <w:szCs w:val="24"/>
          <w:shd w:val="clear" w:color="auto" w:fill="FFFFFF"/>
        </w:rPr>
      </w:pPr>
      <w:r w:rsidRPr="00E958F8">
        <w:rPr>
          <w:rFonts w:ascii="Times New Roman" w:hAnsi="Times New Roman"/>
          <w:color w:val="000000"/>
          <w:sz w:val="24"/>
          <w:szCs w:val="24"/>
          <w:shd w:val="clear" w:color="auto" w:fill="FFFFFF"/>
        </w:rPr>
        <w:t>ensuring public awareness as to the existence of the services available under Telstra’s Priority Assistance Policy.</w:t>
      </w:r>
    </w:p>
    <w:p w14:paraId="77434B37" w14:textId="6F6570B4" w:rsidR="00EF7A08" w:rsidRPr="002F164E" w:rsidRDefault="007A54D7" w:rsidP="00EF7A08">
      <w:pPr>
        <w:rPr>
          <w:rFonts w:ascii="Times New Roman" w:hAnsi="Times New Roman"/>
          <w:b/>
          <w:sz w:val="24"/>
          <w:szCs w:val="24"/>
        </w:rPr>
      </w:pPr>
      <w:r w:rsidRPr="002F164E">
        <w:rPr>
          <w:rFonts w:ascii="Times New Roman" w:hAnsi="Times New Roman"/>
          <w:b/>
          <w:sz w:val="24"/>
          <w:szCs w:val="24"/>
        </w:rPr>
        <w:t>Schedule 2 – Repeals</w:t>
      </w:r>
    </w:p>
    <w:p w14:paraId="51EA2336" w14:textId="160385D3" w:rsidR="00475DFE" w:rsidRPr="00E958F8" w:rsidRDefault="007A54D7" w:rsidP="00D9162D">
      <w:pPr>
        <w:rPr>
          <w:rFonts w:ascii="Times New Roman" w:hAnsi="Times New Roman"/>
          <w:sz w:val="24"/>
          <w:szCs w:val="24"/>
        </w:rPr>
      </w:pPr>
      <w:r w:rsidRPr="002F164E">
        <w:rPr>
          <w:rFonts w:ascii="Times New Roman" w:hAnsi="Times New Roman"/>
          <w:sz w:val="24"/>
          <w:szCs w:val="24"/>
        </w:rPr>
        <w:t>Schedule 2</w:t>
      </w:r>
      <w:r w:rsidR="00FD2BC6">
        <w:rPr>
          <w:rFonts w:ascii="Times New Roman" w:hAnsi="Times New Roman"/>
          <w:sz w:val="24"/>
          <w:szCs w:val="24"/>
        </w:rPr>
        <w:t>, in conjunction with sec</w:t>
      </w:r>
      <w:r w:rsidR="003E107D">
        <w:rPr>
          <w:rFonts w:ascii="Times New Roman" w:hAnsi="Times New Roman"/>
          <w:sz w:val="24"/>
          <w:szCs w:val="24"/>
        </w:rPr>
        <w:t>ti</w:t>
      </w:r>
      <w:r w:rsidR="00FD2BC6">
        <w:rPr>
          <w:rFonts w:ascii="Times New Roman" w:hAnsi="Times New Roman"/>
          <w:sz w:val="24"/>
          <w:szCs w:val="24"/>
        </w:rPr>
        <w:t>on</w:t>
      </w:r>
      <w:r w:rsidR="003E107D">
        <w:rPr>
          <w:rFonts w:ascii="Times New Roman" w:hAnsi="Times New Roman"/>
          <w:sz w:val="24"/>
          <w:szCs w:val="24"/>
        </w:rPr>
        <w:t xml:space="preserve"> </w:t>
      </w:r>
      <w:r w:rsidR="00FD2BC6">
        <w:rPr>
          <w:rFonts w:ascii="Times New Roman" w:hAnsi="Times New Roman"/>
          <w:sz w:val="24"/>
          <w:szCs w:val="24"/>
        </w:rPr>
        <w:t xml:space="preserve">5, </w:t>
      </w:r>
      <w:r w:rsidRPr="002F164E">
        <w:rPr>
          <w:rFonts w:ascii="Times New Roman" w:hAnsi="Times New Roman"/>
          <w:sz w:val="24"/>
          <w:szCs w:val="24"/>
        </w:rPr>
        <w:t xml:space="preserve">provides </w:t>
      </w:r>
      <w:r w:rsidR="00752801">
        <w:rPr>
          <w:rFonts w:ascii="Times New Roman" w:hAnsi="Times New Roman"/>
          <w:sz w:val="24"/>
          <w:szCs w:val="24"/>
        </w:rPr>
        <w:t xml:space="preserve">for the </w:t>
      </w:r>
      <w:r w:rsidRPr="002F164E">
        <w:rPr>
          <w:rFonts w:ascii="Times New Roman" w:hAnsi="Times New Roman"/>
          <w:sz w:val="24"/>
          <w:szCs w:val="24"/>
        </w:rPr>
        <w:t xml:space="preserve">repeal </w:t>
      </w:r>
      <w:r w:rsidR="00752801">
        <w:rPr>
          <w:rFonts w:ascii="Times New Roman" w:hAnsi="Times New Roman"/>
          <w:sz w:val="24"/>
          <w:szCs w:val="24"/>
        </w:rPr>
        <w:t xml:space="preserve">of </w:t>
      </w:r>
      <w:r w:rsidRPr="002F164E">
        <w:rPr>
          <w:rFonts w:ascii="Times New Roman" w:hAnsi="Times New Roman"/>
          <w:sz w:val="24"/>
          <w:szCs w:val="24"/>
        </w:rPr>
        <w:t xml:space="preserve">the </w:t>
      </w:r>
      <w:r w:rsidRPr="002F164E">
        <w:rPr>
          <w:rFonts w:ascii="Times New Roman" w:hAnsi="Times New Roman"/>
          <w:i/>
          <w:sz w:val="24"/>
          <w:szCs w:val="24"/>
        </w:rPr>
        <w:t>Carrier Licence Conditions (Telstra Corporation Limited) Declaration 1997.</w:t>
      </w:r>
      <w:r w:rsidR="00FF783D">
        <w:rPr>
          <w:rFonts w:ascii="Times New Roman" w:hAnsi="Times New Roman"/>
          <w:i/>
          <w:sz w:val="24"/>
          <w:szCs w:val="24"/>
        </w:rPr>
        <w:t xml:space="preserve"> </w:t>
      </w:r>
      <w:r w:rsidR="00FF783D">
        <w:rPr>
          <w:rFonts w:ascii="Times New Roman" w:hAnsi="Times New Roman"/>
          <w:sz w:val="24"/>
          <w:szCs w:val="24"/>
        </w:rPr>
        <w:t xml:space="preserve">This instrument was due to sunset on 1 April 2019. </w:t>
      </w:r>
    </w:p>
    <w:p w14:paraId="5308AAC1" w14:textId="77777777" w:rsidR="00475DFE" w:rsidRPr="002F164E" w:rsidRDefault="00475DFE" w:rsidP="00475DFE">
      <w:pPr>
        <w:rPr>
          <w:rFonts w:ascii="Times New Roman" w:hAnsi="Times New Roman"/>
          <w:i/>
          <w:sz w:val="24"/>
          <w:szCs w:val="24"/>
          <w:lang w:eastAsia="en-AU"/>
        </w:rPr>
      </w:pPr>
    </w:p>
    <w:p w14:paraId="4922ECC4" w14:textId="667454A5" w:rsidR="00475DFE" w:rsidRDefault="00752801" w:rsidP="00D9162D">
      <w:pPr>
        <w:rPr>
          <w:rFonts w:ascii="Times New Roman" w:eastAsia="Times New Roman" w:hAnsi="Times New Roman"/>
          <w:b/>
          <w:noProof w:val="0"/>
          <w:sz w:val="24"/>
          <w:szCs w:val="24"/>
          <w:lang w:eastAsia="en-AU"/>
        </w:rPr>
      </w:pPr>
      <w:r>
        <w:rPr>
          <w:rFonts w:ascii="Times New Roman" w:eastAsia="Times New Roman" w:hAnsi="Times New Roman"/>
          <w:b/>
          <w:noProof w:val="0"/>
          <w:sz w:val="24"/>
          <w:szCs w:val="24"/>
          <w:lang w:eastAsia="en-AU"/>
        </w:rPr>
        <w:br w:type="column"/>
      </w:r>
      <w:r w:rsidR="00475DFE">
        <w:rPr>
          <w:rFonts w:ascii="Times New Roman" w:eastAsia="Times New Roman" w:hAnsi="Times New Roman"/>
          <w:b/>
          <w:noProof w:val="0"/>
          <w:sz w:val="24"/>
          <w:szCs w:val="24"/>
          <w:lang w:eastAsia="en-AU"/>
        </w:rPr>
        <w:t>Attachment 2</w:t>
      </w:r>
    </w:p>
    <w:p w14:paraId="390C0B40" w14:textId="59668623" w:rsidR="00683DBD" w:rsidRPr="001F1750" w:rsidRDefault="00475DFE" w:rsidP="001F1750">
      <w:pPr>
        <w:jc w:val="center"/>
        <w:rPr>
          <w:rFonts w:ascii="Times New Roman" w:eastAsia="Times New Roman" w:hAnsi="Times New Roman"/>
          <w:b/>
          <w:noProof w:val="0"/>
          <w:sz w:val="28"/>
          <w:szCs w:val="24"/>
          <w:lang w:eastAsia="en-AU"/>
        </w:rPr>
      </w:pPr>
      <w:r w:rsidRPr="001F1750">
        <w:rPr>
          <w:rFonts w:ascii="Times New Roman" w:eastAsia="Times New Roman" w:hAnsi="Times New Roman"/>
          <w:b/>
          <w:noProof w:val="0"/>
          <w:sz w:val="28"/>
          <w:szCs w:val="24"/>
          <w:lang w:eastAsia="en-AU"/>
        </w:rPr>
        <w:t>Statement of Compatibility with Human Rights</w:t>
      </w:r>
    </w:p>
    <w:p w14:paraId="0EA14EAA" w14:textId="105E9E62" w:rsidR="00C25FDD" w:rsidRPr="001F1750" w:rsidRDefault="00C25FDD" w:rsidP="001F1750">
      <w:pPr>
        <w:pStyle w:val="Heading2"/>
        <w:rPr>
          <w:rFonts w:ascii="Times New Roman" w:hAnsi="Times New Roman"/>
          <w:color w:val="auto"/>
          <w:sz w:val="24"/>
          <w:szCs w:val="24"/>
        </w:rPr>
      </w:pPr>
      <w:r w:rsidRPr="001F1750">
        <w:rPr>
          <w:rFonts w:ascii="Times New Roman" w:hAnsi="Times New Roman"/>
          <w:i/>
          <w:color w:val="auto"/>
          <w:sz w:val="24"/>
          <w:szCs w:val="24"/>
        </w:rPr>
        <w:t>Prepared in accordance with Part 3 of the Human Rights (Parliamentary Scrutiny) Act 2011</w:t>
      </w:r>
    </w:p>
    <w:p w14:paraId="5D5388ED" w14:textId="77777777" w:rsidR="00C25FDD" w:rsidRDefault="00C25FDD" w:rsidP="00C25FDD">
      <w:pPr>
        <w:spacing w:before="120" w:after="120" w:line="240" w:lineRule="auto"/>
        <w:jc w:val="center"/>
        <w:rPr>
          <w:rFonts w:ascii="Times New Roman" w:hAnsi="Times New Roman"/>
          <w:sz w:val="24"/>
          <w:szCs w:val="24"/>
        </w:rPr>
      </w:pPr>
    </w:p>
    <w:p w14:paraId="68B8DCA3" w14:textId="77777777" w:rsidR="00C25FDD" w:rsidRDefault="00C25FDD" w:rsidP="00C25FDD">
      <w:pPr>
        <w:spacing w:before="120" w:after="120" w:line="240" w:lineRule="auto"/>
        <w:jc w:val="center"/>
        <w:rPr>
          <w:rFonts w:ascii="Times New Roman" w:hAnsi="Times New Roman"/>
          <w:sz w:val="24"/>
          <w:szCs w:val="24"/>
        </w:rPr>
      </w:pPr>
      <w:r w:rsidRPr="0099665F">
        <w:rPr>
          <w:rFonts w:ascii="Times New Roman" w:hAnsi="Times New Roman"/>
          <w:b/>
          <w:bCs/>
          <w:i/>
          <w:iCs/>
          <w:sz w:val="24"/>
          <w:szCs w:val="24"/>
        </w:rPr>
        <w:t>Telecommunications (Carrier Licence Conditions - Telstra Corpo</w:t>
      </w:r>
      <w:r>
        <w:rPr>
          <w:rFonts w:ascii="Times New Roman" w:hAnsi="Times New Roman"/>
          <w:b/>
          <w:bCs/>
          <w:i/>
          <w:iCs/>
          <w:sz w:val="24"/>
          <w:szCs w:val="24"/>
        </w:rPr>
        <w:t>ration Limited) Declaration 2019</w:t>
      </w:r>
    </w:p>
    <w:p w14:paraId="16F552AD" w14:textId="77777777" w:rsidR="00C25FDD" w:rsidRDefault="00C25FDD" w:rsidP="00284BE1">
      <w:pPr>
        <w:spacing w:before="120" w:after="120" w:line="240" w:lineRule="auto"/>
        <w:rPr>
          <w:rFonts w:ascii="Times New Roman" w:hAnsi="Times New Roman"/>
          <w:sz w:val="24"/>
          <w:szCs w:val="24"/>
        </w:rPr>
      </w:pPr>
      <w:r>
        <w:rPr>
          <w:rFonts w:ascii="Times New Roman" w:hAnsi="Times New Roman"/>
          <w:sz w:val="24"/>
          <w:szCs w:val="24"/>
        </w:rPr>
        <w:t xml:space="preserve">This Declaration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5C717B2E" w14:textId="77777777" w:rsidR="00C25FDD" w:rsidRDefault="00C25FDD" w:rsidP="00C25FDD">
      <w:pPr>
        <w:spacing w:before="120" w:after="120" w:line="240" w:lineRule="auto"/>
        <w:rPr>
          <w:rFonts w:ascii="Times New Roman" w:hAnsi="Times New Roman"/>
          <w:sz w:val="24"/>
          <w:szCs w:val="24"/>
        </w:rPr>
      </w:pPr>
    </w:p>
    <w:p w14:paraId="088F86BB" w14:textId="77394613" w:rsidR="00C25FDD" w:rsidRPr="001F1750" w:rsidRDefault="00C25FDD" w:rsidP="00C25FDD">
      <w:pPr>
        <w:pStyle w:val="Heading3"/>
        <w:rPr>
          <w:rFonts w:ascii="Times New Roman" w:hAnsi="Times New Roman" w:cs="Times New Roman"/>
          <w:b/>
          <w:color w:val="auto"/>
        </w:rPr>
      </w:pPr>
      <w:r w:rsidRPr="001F1750">
        <w:rPr>
          <w:rFonts w:ascii="Times New Roman" w:hAnsi="Times New Roman" w:cs="Times New Roman"/>
          <w:b/>
          <w:color w:val="auto"/>
        </w:rPr>
        <w:t>Overview of the Disallowable Legislative Instrument</w:t>
      </w:r>
    </w:p>
    <w:p w14:paraId="05306072" w14:textId="77777777" w:rsidR="00C25FDD" w:rsidRDefault="00C25FDD" w:rsidP="00C25FDD">
      <w:pPr>
        <w:spacing w:after="0" w:line="240" w:lineRule="auto"/>
        <w:rPr>
          <w:rFonts w:ascii="Times New Roman" w:eastAsia="Times New Roman" w:hAnsi="Times New Roman"/>
          <w:color w:val="000000"/>
          <w:sz w:val="24"/>
          <w:szCs w:val="24"/>
          <w:lang w:eastAsia="en-AU"/>
        </w:rPr>
      </w:pPr>
      <w:r w:rsidRPr="001D2BB4">
        <w:rPr>
          <w:rFonts w:ascii="Times New Roman" w:eastAsia="Times New Roman" w:hAnsi="Times New Roman"/>
          <w:color w:val="000000"/>
          <w:sz w:val="24"/>
          <w:szCs w:val="24"/>
          <w:lang w:eastAsia="en-AU"/>
        </w:rPr>
        <w:t>The purpose of the </w:t>
      </w:r>
      <w:r w:rsidRPr="001D2BB4">
        <w:rPr>
          <w:rFonts w:ascii="Times New Roman" w:eastAsia="Times New Roman" w:hAnsi="Times New Roman"/>
          <w:i/>
          <w:iCs/>
          <w:color w:val="000000"/>
          <w:sz w:val="24"/>
          <w:szCs w:val="24"/>
          <w:lang w:eastAsia="en-AU"/>
        </w:rPr>
        <w:t>Telecommunications (Carrier Licence Conditions - Telstra Corporation Limited) Declaration 2019</w:t>
      </w:r>
      <w:r w:rsidRPr="001D2BB4">
        <w:rPr>
          <w:rFonts w:ascii="Times New Roman" w:eastAsia="Times New Roman" w:hAnsi="Times New Roman"/>
          <w:color w:val="000000"/>
          <w:sz w:val="24"/>
          <w:szCs w:val="24"/>
          <w:lang w:eastAsia="en-AU"/>
        </w:rPr>
        <w:t xml:space="preserve"> (the Declaration) is to remake the </w:t>
      </w:r>
      <w:r w:rsidRPr="001D2BB4">
        <w:rPr>
          <w:rFonts w:ascii="Times New Roman" w:eastAsia="Times New Roman" w:hAnsi="Times New Roman"/>
          <w:i/>
          <w:color w:val="000000"/>
          <w:sz w:val="24"/>
          <w:szCs w:val="24"/>
          <w:lang w:eastAsia="en-AU"/>
        </w:rPr>
        <w:t xml:space="preserve">Carrier Licence Conditions (Telstra Corporation Limited) Declaration 1997 </w:t>
      </w:r>
      <w:r w:rsidRPr="001D2BB4">
        <w:rPr>
          <w:rFonts w:ascii="Times New Roman" w:eastAsia="Times New Roman" w:hAnsi="Times New Roman"/>
          <w:color w:val="000000"/>
          <w:sz w:val="24"/>
          <w:szCs w:val="24"/>
          <w:lang w:eastAsia="en-AU"/>
        </w:rPr>
        <w:t>(the Original Declaration), which was due to sunset on 1 April 2019.</w:t>
      </w:r>
      <w:r>
        <w:rPr>
          <w:rFonts w:ascii="Times New Roman" w:eastAsia="Times New Roman" w:hAnsi="Times New Roman"/>
          <w:color w:val="000000"/>
          <w:sz w:val="24"/>
          <w:szCs w:val="24"/>
          <w:lang w:eastAsia="en-AU"/>
        </w:rPr>
        <w:t xml:space="preserve"> </w:t>
      </w:r>
    </w:p>
    <w:p w14:paraId="2BF0A4D8" w14:textId="77777777" w:rsidR="00C25FDD" w:rsidRDefault="00C25FDD" w:rsidP="00C25FDD">
      <w:pPr>
        <w:spacing w:after="0" w:line="240" w:lineRule="auto"/>
        <w:rPr>
          <w:rFonts w:ascii="Times New Roman" w:eastAsia="Times New Roman" w:hAnsi="Times New Roman"/>
          <w:color w:val="000000"/>
          <w:sz w:val="24"/>
          <w:szCs w:val="24"/>
          <w:lang w:eastAsia="en-AU"/>
        </w:rPr>
      </w:pPr>
    </w:p>
    <w:p w14:paraId="49F0CB7C" w14:textId="3271DC00" w:rsidR="00C25FDD" w:rsidRDefault="00C25FDD" w:rsidP="00C25FDD">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 Declaration is made under section 63 of the </w:t>
      </w:r>
      <w:r w:rsidRPr="00D03736">
        <w:rPr>
          <w:rFonts w:ascii="Times New Roman" w:eastAsia="Times New Roman" w:hAnsi="Times New Roman"/>
          <w:i/>
          <w:color w:val="000000"/>
          <w:sz w:val="24"/>
          <w:szCs w:val="24"/>
          <w:lang w:eastAsia="en-AU"/>
        </w:rPr>
        <w:t>Telecommunications Act 1997</w:t>
      </w:r>
      <w:r w:rsidR="00E279BC">
        <w:rPr>
          <w:rFonts w:ascii="Times New Roman" w:eastAsia="Times New Roman" w:hAnsi="Times New Roman"/>
          <w:i/>
          <w:color w:val="000000"/>
          <w:sz w:val="24"/>
          <w:szCs w:val="24"/>
          <w:lang w:eastAsia="en-AU"/>
        </w:rPr>
        <w:t xml:space="preserve"> </w:t>
      </w:r>
      <w:r w:rsidR="00E279BC">
        <w:rPr>
          <w:rFonts w:ascii="Times New Roman" w:eastAsia="Times New Roman" w:hAnsi="Times New Roman"/>
          <w:color w:val="000000"/>
          <w:sz w:val="24"/>
          <w:szCs w:val="24"/>
          <w:lang w:eastAsia="en-AU"/>
        </w:rPr>
        <w:t>(the Act)</w:t>
      </w:r>
      <w:r>
        <w:rPr>
          <w:rFonts w:ascii="Times New Roman" w:eastAsia="Times New Roman" w:hAnsi="Times New Roman"/>
          <w:color w:val="000000"/>
          <w:sz w:val="24"/>
          <w:szCs w:val="24"/>
          <w:lang w:eastAsia="en-AU"/>
        </w:rPr>
        <w:t xml:space="preserve">. </w:t>
      </w:r>
    </w:p>
    <w:p w14:paraId="35BB25CB" w14:textId="77777777" w:rsidR="00C25FDD" w:rsidRPr="0099665F" w:rsidRDefault="00C25FDD" w:rsidP="00C25FDD">
      <w:pPr>
        <w:spacing w:after="0" w:line="240" w:lineRule="auto"/>
        <w:rPr>
          <w:rFonts w:ascii="Times New Roman" w:eastAsia="Times New Roman" w:hAnsi="Times New Roman"/>
          <w:color w:val="000000"/>
          <w:sz w:val="24"/>
          <w:szCs w:val="24"/>
          <w:lang w:eastAsia="en-AU"/>
        </w:rPr>
      </w:pPr>
    </w:p>
    <w:p w14:paraId="67A5BD1A" w14:textId="128DD305" w:rsidR="00C25FDD" w:rsidRDefault="00C25FDD" w:rsidP="00C25FDD">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In its capacity as a carrier under the Act, </w:t>
      </w:r>
      <w:r w:rsidRPr="0099665F">
        <w:rPr>
          <w:rFonts w:ascii="Times New Roman" w:eastAsia="Times New Roman" w:hAnsi="Times New Roman"/>
          <w:color w:val="000000"/>
          <w:sz w:val="24"/>
          <w:szCs w:val="24"/>
          <w:lang w:eastAsia="en-AU"/>
        </w:rPr>
        <w:t xml:space="preserve">Telstra </w:t>
      </w:r>
      <w:r>
        <w:rPr>
          <w:rFonts w:ascii="Times New Roman" w:eastAsia="Times New Roman" w:hAnsi="Times New Roman"/>
          <w:color w:val="000000"/>
          <w:sz w:val="24"/>
          <w:szCs w:val="24"/>
          <w:lang w:eastAsia="en-AU"/>
        </w:rPr>
        <w:t xml:space="preserve">Corporation Limited (Telstra) </w:t>
      </w:r>
      <w:r w:rsidRPr="0099665F">
        <w:rPr>
          <w:rFonts w:ascii="Times New Roman" w:eastAsia="Times New Roman" w:hAnsi="Times New Roman"/>
          <w:color w:val="000000"/>
          <w:sz w:val="24"/>
          <w:szCs w:val="24"/>
          <w:lang w:eastAsia="en-AU"/>
        </w:rPr>
        <w:t>is currently subject to two classes of carrier licence conditions: standard licence conditions under the Act; and the specific licence conditions under the Original Declaration. </w:t>
      </w:r>
    </w:p>
    <w:p w14:paraId="5C547EE9" w14:textId="77777777" w:rsidR="00C25FDD" w:rsidRDefault="00C25FDD" w:rsidP="00C25FDD">
      <w:pPr>
        <w:spacing w:after="0" w:line="240" w:lineRule="auto"/>
        <w:rPr>
          <w:rFonts w:ascii="Times New Roman" w:eastAsia="Times New Roman" w:hAnsi="Times New Roman"/>
          <w:color w:val="000000"/>
          <w:sz w:val="24"/>
          <w:szCs w:val="24"/>
          <w:lang w:eastAsia="en-AU"/>
        </w:rPr>
      </w:pPr>
    </w:p>
    <w:p w14:paraId="3095A323" w14:textId="77777777" w:rsidR="00C25FDD" w:rsidRDefault="00C25FDD" w:rsidP="00C25FDD">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The Original Declaration has been amended several times since it was first made, and imposes carrier licence conditions on Telstra to, among other things:</w:t>
      </w:r>
    </w:p>
    <w:p w14:paraId="77A03E2B" w14:textId="77777777" w:rsidR="00C25FDD" w:rsidRPr="00A7599D" w:rsidRDefault="00C25FDD" w:rsidP="003A1E64">
      <w:pPr>
        <w:pStyle w:val="ListParagraph"/>
        <w:numPr>
          <w:ilvl w:val="0"/>
          <w:numId w:val="12"/>
        </w:numPr>
        <w:spacing w:after="0" w:line="240" w:lineRule="auto"/>
        <w:contextualSpacing w:val="0"/>
        <w:rPr>
          <w:rFonts w:ascii="Times New Roman" w:eastAsia="Times New Roman" w:hAnsi="Times New Roman"/>
          <w:color w:val="000000"/>
          <w:sz w:val="24"/>
          <w:szCs w:val="24"/>
          <w:lang w:eastAsia="en-AU"/>
        </w:rPr>
      </w:pPr>
      <w:r w:rsidRPr="00A7599D">
        <w:rPr>
          <w:rFonts w:ascii="Times New Roman" w:eastAsia="Times New Roman" w:hAnsi="Times New Roman"/>
          <w:color w:val="000000"/>
          <w:sz w:val="24"/>
          <w:szCs w:val="24"/>
          <w:lang w:eastAsia="en-AU"/>
        </w:rPr>
        <w:t xml:space="preserve">establish and maintain </w:t>
      </w:r>
      <w:r>
        <w:rPr>
          <w:rFonts w:ascii="Times New Roman" w:eastAsia="Times New Roman" w:hAnsi="Times New Roman"/>
          <w:color w:val="000000"/>
          <w:sz w:val="24"/>
          <w:szCs w:val="24"/>
          <w:lang w:eastAsia="en-AU"/>
        </w:rPr>
        <w:t>an i</w:t>
      </w:r>
      <w:r w:rsidRPr="00A7599D">
        <w:rPr>
          <w:rFonts w:ascii="Times New Roman" w:eastAsia="Times New Roman" w:hAnsi="Times New Roman"/>
          <w:color w:val="000000"/>
          <w:sz w:val="24"/>
          <w:szCs w:val="24"/>
          <w:lang w:eastAsia="en-AU"/>
        </w:rPr>
        <w:t xml:space="preserve">ntegrated </w:t>
      </w:r>
      <w:r>
        <w:rPr>
          <w:rFonts w:ascii="Times New Roman" w:eastAsia="Times New Roman" w:hAnsi="Times New Roman"/>
          <w:color w:val="000000"/>
          <w:sz w:val="24"/>
          <w:szCs w:val="24"/>
          <w:lang w:eastAsia="en-AU"/>
        </w:rPr>
        <w:t>p</w:t>
      </w:r>
      <w:r w:rsidRPr="00A7599D">
        <w:rPr>
          <w:rFonts w:ascii="Times New Roman" w:eastAsia="Times New Roman" w:hAnsi="Times New Roman"/>
          <w:color w:val="000000"/>
          <w:sz w:val="24"/>
          <w:szCs w:val="24"/>
          <w:lang w:eastAsia="en-AU"/>
        </w:rPr>
        <w:t xml:space="preserve">ublic </w:t>
      </w:r>
      <w:r>
        <w:rPr>
          <w:rFonts w:ascii="Times New Roman" w:eastAsia="Times New Roman" w:hAnsi="Times New Roman"/>
          <w:color w:val="000000"/>
          <w:sz w:val="24"/>
          <w:szCs w:val="24"/>
          <w:lang w:eastAsia="en-AU"/>
        </w:rPr>
        <w:t>n</w:t>
      </w:r>
      <w:r w:rsidRPr="00A7599D">
        <w:rPr>
          <w:rFonts w:ascii="Times New Roman" w:eastAsia="Times New Roman" w:hAnsi="Times New Roman"/>
          <w:color w:val="000000"/>
          <w:sz w:val="24"/>
          <w:szCs w:val="24"/>
          <w:lang w:eastAsia="en-AU"/>
        </w:rPr>
        <w:t xml:space="preserve">umber </w:t>
      </w:r>
      <w:r>
        <w:rPr>
          <w:rFonts w:ascii="Times New Roman" w:eastAsia="Times New Roman" w:hAnsi="Times New Roman"/>
          <w:color w:val="000000"/>
          <w:sz w:val="24"/>
          <w:szCs w:val="24"/>
          <w:lang w:eastAsia="en-AU"/>
        </w:rPr>
        <w:t>d</w:t>
      </w:r>
      <w:r w:rsidRPr="00A7599D">
        <w:rPr>
          <w:rFonts w:ascii="Times New Roman" w:eastAsia="Times New Roman" w:hAnsi="Times New Roman"/>
          <w:color w:val="000000"/>
          <w:sz w:val="24"/>
          <w:szCs w:val="24"/>
          <w:lang w:eastAsia="en-AU"/>
        </w:rPr>
        <w:t>atabase</w:t>
      </w:r>
      <w:r>
        <w:rPr>
          <w:rFonts w:ascii="Times New Roman" w:eastAsia="Times New Roman" w:hAnsi="Times New Roman"/>
          <w:color w:val="000000"/>
          <w:sz w:val="24"/>
          <w:szCs w:val="24"/>
          <w:lang w:eastAsia="en-AU"/>
        </w:rPr>
        <w:t>;</w:t>
      </w:r>
    </w:p>
    <w:p w14:paraId="597DEA43" w14:textId="77777777" w:rsidR="00C25FDD" w:rsidRDefault="00C25FDD" w:rsidP="003A1E64">
      <w:pPr>
        <w:pStyle w:val="ListParagraph"/>
        <w:numPr>
          <w:ilvl w:val="0"/>
          <w:numId w:val="12"/>
        </w:numPr>
        <w:spacing w:after="0" w:line="240" w:lineRule="auto"/>
        <w:contextualSpacing w:val="0"/>
        <w:rPr>
          <w:rFonts w:ascii="Times New Roman" w:eastAsia="Times New Roman" w:hAnsi="Times New Roman"/>
          <w:color w:val="000000"/>
          <w:sz w:val="24"/>
          <w:szCs w:val="24"/>
          <w:lang w:eastAsia="en-AU"/>
        </w:rPr>
      </w:pPr>
      <w:r w:rsidRPr="00A7599D">
        <w:rPr>
          <w:rFonts w:ascii="Times New Roman" w:eastAsia="Times New Roman" w:hAnsi="Times New Roman"/>
          <w:color w:val="000000"/>
          <w:sz w:val="24"/>
          <w:szCs w:val="24"/>
          <w:lang w:eastAsia="en-AU"/>
        </w:rPr>
        <w:t>disclose specified premises location information to NBN Co Limited (NBN Co)</w:t>
      </w:r>
      <w:r>
        <w:rPr>
          <w:rFonts w:ascii="Times New Roman" w:eastAsia="Times New Roman" w:hAnsi="Times New Roman"/>
          <w:color w:val="000000"/>
          <w:sz w:val="24"/>
          <w:szCs w:val="24"/>
          <w:lang w:eastAsia="en-AU"/>
        </w:rPr>
        <w:t>;</w:t>
      </w:r>
    </w:p>
    <w:p w14:paraId="4E90E2E2" w14:textId="77777777" w:rsidR="00C25FDD" w:rsidRDefault="00C25FDD" w:rsidP="003A1E64">
      <w:pPr>
        <w:pStyle w:val="ListParagraph"/>
        <w:numPr>
          <w:ilvl w:val="0"/>
          <w:numId w:val="12"/>
        </w:numPr>
        <w:spacing w:after="0" w:line="240" w:lineRule="auto"/>
        <w:contextualSpacing w:val="0"/>
        <w:rPr>
          <w:rFonts w:ascii="Times New Roman" w:eastAsia="Times New Roman" w:hAnsi="Times New Roman"/>
          <w:color w:val="000000"/>
          <w:sz w:val="24"/>
          <w:szCs w:val="24"/>
          <w:lang w:eastAsia="en-AU"/>
        </w:rPr>
      </w:pPr>
      <w:r w:rsidRPr="00A7599D">
        <w:rPr>
          <w:rFonts w:ascii="Times New Roman" w:eastAsia="Times New Roman" w:hAnsi="Times New Roman"/>
          <w:color w:val="000000"/>
          <w:sz w:val="24"/>
          <w:szCs w:val="24"/>
          <w:lang w:eastAsia="en-AU"/>
        </w:rPr>
        <w:t xml:space="preserve">establish and comply with the </w:t>
      </w:r>
      <w:r>
        <w:rPr>
          <w:rFonts w:ascii="Times New Roman" w:eastAsia="Times New Roman" w:hAnsi="Times New Roman"/>
          <w:color w:val="000000"/>
          <w:sz w:val="24"/>
          <w:szCs w:val="24"/>
          <w:lang w:eastAsia="en-AU"/>
        </w:rPr>
        <w:t>specified p</w:t>
      </w:r>
      <w:r w:rsidRPr="00A7599D">
        <w:rPr>
          <w:rFonts w:ascii="Times New Roman" w:eastAsia="Times New Roman" w:hAnsi="Times New Roman"/>
          <w:color w:val="000000"/>
          <w:sz w:val="24"/>
          <w:szCs w:val="24"/>
          <w:lang w:eastAsia="en-AU"/>
        </w:rPr>
        <w:t xml:space="preserve">riority </w:t>
      </w:r>
      <w:r>
        <w:rPr>
          <w:rFonts w:ascii="Times New Roman" w:eastAsia="Times New Roman" w:hAnsi="Times New Roman"/>
          <w:color w:val="000000"/>
          <w:sz w:val="24"/>
          <w:szCs w:val="24"/>
          <w:lang w:eastAsia="en-AU"/>
        </w:rPr>
        <w:t>a</w:t>
      </w:r>
      <w:r w:rsidRPr="00A7599D">
        <w:rPr>
          <w:rFonts w:ascii="Times New Roman" w:eastAsia="Times New Roman" w:hAnsi="Times New Roman"/>
          <w:color w:val="000000"/>
          <w:sz w:val="24"/>
          <w:szCs w:val="24"/>
          <w:lang w:eastAsia="en-AU"/>
        </w:rPr>
        <w:t>ssistance arrang</w:t>
      </w:r>
      <w:r>
        <w:rPr>
          <w:rFonts w:ascii="Times New Roman" w:eastAsia="Times New Roman" w:hAnsi="Times New Roman"/>
          <w:color w:val="000000"/>
          <w:sz w:val="24"/>
          <w:szCs w:val="24"/>
          <w:lang w:eastAsia="en-AU"/>
        </w:rPr>
        <w:t>e</w:t>
      </w:r>
      <w:r w:rsidRPr="00A7599D">
        <w:rPr>
          <w:rFonts w:ascii="Times New Roman" w:eastAsia="Times New Roman" w:hAnsi="Times New Roman"/>
          <w:color w:val="000000"/>
          <w:sz w:val="24"/>
          <w:szCs w:val="24"/>
          <w:lang w:eastAsia="en-AU"/>
        </w:rPr>
        <w:t>ments</w:t>
      </w:r>
      <w:r>
        <w:rPr>
          <w:rFonts w:ascii="Times New Roman" w:eastAsia="Times New Roman" w:hAnsi="Times New Roman"/>
          <w:color w:val="000000"/>
          <w:sz w:val="24"/>
          <w:szCs w:val="24"/>
          <w:lang w:eastAsia="en-AU"/>
        </w:rPr>
        <w:t>;</w:t>
      </w:r>
    </w:p>
    <w:p w14:paraId="7C114DB0" w14:textId="66EBBDEC" w:rsidR="00C25FDD" w:rsidRDefault="00C25FDD" w:rsidP="003A1E64">
      <w:pPr>
        <w:pStyle w:val="ListParagraph"/>
        <w:numPr>
          <w:ilvl w:val="0"/>
          <w:numId w:val="12"/>
        </w:numPr>
        <w:spacing w:after="0" w:line="240" w:lineRule="auto"/>
        <w:contextualSpacing w:val="0"/>
        <w:rPr>
          <w:rFonts w:ascii="Times New Roman" w:eastAsia="Times New Roman" w:hAnsi="Times New Roman"/>
          <w:color w:val="000000"/>
          <w:sz w:val="24"/>
          <w:szCs w:val="24"/>
          <w:lang w:eastAsia="en-AU"/>
        </w:rPr>
      </w:pPr>
      <w:r w:rsidRPr="00A7599D">
        <w:rPr>
          <w:rFonts w:ascii="Times New Roman" w:eastAsia="Times New Roman" w:hAnsi="Times New Roman"/>
          <w:color w:val="000000"/>
          <w:sz w:val="24"/>
          <w:szCs w:val="24"/>
          <w:lang w:eastAsia="en-AU"/>
        </w:rPr>
        <w:t xml:space="preserve">comply with </w:t>
      </w:r>
      <w:r w:rsidR="000F4FCE">
        <w:rPr>
          <w:rFonts w:ascii="Times New Roman" w:eastAsia="Times New Roman" w:hAnsi="Times New Roman"/>
          <w:color w:val="000000"/>
          <w:sz w:val="24"/>
          <w:szCs w:val="24"/>
          <w:lang w:eastAsia="en-AU"/>
        </w:rPr>
        <w:t>reporting and remediation obligations under the</w:t>
      </w:r>
      <w:r w:rsidR="000F4FCE" w:rsidRPr="00A7599D">
        <w:rPr>
          <w:rFonts w:ascii="Times New Roman" w:eastAsia="Times New Roman" w:hAnsi="Times New Roman"/>
          <w:color w:val="000000"/>
          <w:sz w:val="24"/>
          <w:szCs w:val="24"/>
          <w:lang w:eastAsia="en-AU"/>
        </w:rPr>
        <w:t xml:space="preserve"> </w:t>
      </w:r>
      <w:r>
        <w:rPr>
          <w:rFonts w:ascii="Times New Roman" w:eastAsia="Times New Roman" w:hAnsi="Times New Roman"/>
          <w:color w:val="000000"/>
          <w:sz w:val="24"/>
          <w:szCs w:val="24"/>
          <w:lang w:eastAsia="en-AU"/>
        </w:rPr>
        <w:t>n</w:t>
      </w:r>
      <w:r w:rsidRPr="00A7599D">
        <w:rPr>
          <w:rFonts w:ascii="Times New Roman" w:eastAsia="Times New Roman" w:hAnsi="Times New Roman"/>
          <w:color w:val="000000"/>
          <w:sz w:val="24"/>
          <w:szCs w:val="24"/>
          <w:lang w:eastAsia="en-AU"/>
        </w:rPr>
        <w:t xml:space="preserve">etwork </w:t>
      </w:r>
      <w:r>
        <w:rPr>
          <w:rFonts w:ascii="Times New Roman" w:eastAsia="Times New Roman" w:hAnsi="Times New Roman"/>
          <w:color w:val="000000"/>
          <w:sz w:val="24"/>
          <w:szCs w:val="24"/>
          <w:lang w:eastAsia="en-AU"/>
        </w:rPr>
        <w:t>r</w:t>
      </w:r>
      <w:r w:rsidRPr="00A7599D">
        <w:rPr>
          <w:rFonts w:ascii="Times New Roman" w:eastAsia="Times New Roman" w:hAnsi="Times New Roman"/>
          <w:color w:val="000000"/>
          <w:sz w:val="24"/>
          <w:szCs w:val="24"/>
          <w:lang w:eastAsia="en-AU"/>
        </w:rPr>
        <w:t>elia</w:t>
      </w:r>
      <w:r>
        <w:rPr>
          <w:rFonts w:ascii="Times New Roman" w:eastAsia="Times New Roman" w:hAnsi="Times New Roman"/>
          <w:color w:val="000000"/>
          <w:sz w:val="24"/>
          <w:szCs w:val="24"/>
          <w:lang w:eastAsia="en-AU"/>
        </w:rPr>
        <w:t>bility framework;</w:t>
      </w:r>
    </w:p>
    <w:p w14:paraId="275CCA13" w14:textId="6FF65027" w:rsidR="00C25FDD" w:rsidRDefault="00442891" w:rsidP="003A1E64">
      <w:pPr>
        <w:pStyle w:val="ListParagraph"/>
        <w:numPr>
          <w:ilvl w:val="0"/>
          <w:numId w:val="12"/>
        </w:numPr>
        <w:spacing w:after="0" w:line="240" w:lineRule="auto"/>
        <w:contextualSpacing w:val="0"/>
        <w:rPr>
          <w:rFonts w:ascii="Times New Roman" w:eastAsia="Times New Roman" w:hAnsi="Times New Roman"/>
          <w:color w:val="000000"/>
          <w:sz w:val="24"/>
          <w:szCs w:val="24"/>
          <w:lang w:eastAsia="en-AU"/>
        </w:rPr>
      </w:pPr>
      <w:r w:rsidRPr="002F164E">
        <w:rPr>
          <w:rFonts w:ascii="Times New Roman" w:hAnsi="Times New Roman"/>
          <w:sz w:val="24"/>
          <w:szCs w:val="24"/>
        </w:rPr>
        <w:t xml:space="preserve">offer products and arrangements </w:t>
      </w:r>
      <w:r>
        <w:rPr>
          <w:rFonts w:ascii="Times New Roman" w:hAnsi="Times New Roman"/>
          <w:sz w:val="24"/>
          <w:szCs w:val="24"/>
        </w:rPr>
        <w:t>to low-income customers that have</w:t>
      </w:r>
      <w:r w:rsidRPr="002F164E">
        <w:rPr>
          <w:rFonts w:ascii="Times New Roman" w:hAnsi="Times New Roman"/>
          <w:sz w:val="24"/>
          <w:szCs w:val="24"/>
        </w:rPr>
        <w:t xml:space="preserve"> been endorsed by low-income consumer advocacy groups</w:t>
      </w:r>
      <w:r w:rsidR="00C25FDD">
        <w:rPr>
          <w:rFonts w:ascii="Times New Roman" w:eastAsia="Times New Roman" w:hAnsi="Times New Roman"/>
          <w:color w:val="000000"/>
          <w:sz w:val="24"/>
          <w:szCs w:val="24"/>
          <w:lang w:eastAsia="en-AU"/>
        </w:rPr>
        <w:t>; and</w:t>
      </w:r>
    </w:p>
    <w:p w14:paraId="2DC109CE" w14:textId="77777777" w:rsidR="00C25FDD" w:rsidRDefault="00C25FDD" w:rsidP="003A1E64">
      <w:pPr>
        <w:pStyle w:val="ListParagraph"/>
        <w:numPr>
          <w:ilvl w:val="0"/>
          <w:numId w:val="12"/>
        </w:numPr>
        <w:spacing w:after="0" w:line="360" w:lineRule="auto"/>
        <w:contextualSpacing w:val="0"/>
        <w:rPr>
          <w:rFonts w:ascii="Times New Roman" w:eastAsia="Times New Roman" w:hAnsi="Times New Roman"/>
          <w:color w:val="000000"/>
          <w:sz w:val="24"/>
          <w:szCs w:val="24"/>
          <w:lang w:eastAsia="en-AU"/>
        </w:rPr>
      </w:pPr>
      <w:r w:rsidRPr="00A7599D">
        <w:rPr>
          <w:rFonts w:ascii="Times New Roman" w:eastAsia="Times New Roman" w:hAnsi="Times New Roman"/>
          <w:color w:val="000000"/>
          <w:sz w:val="24"/>
          <w:szCs w:val="24"/>
          <w:lang w:eastAsia="en-AU"/>
        </w:rPr>
        <w:t>provide directory and operator services.</w:t>
      </w:r>
    </w:p>
    <w:p w14:paraId="61A1E193" w14:textId="77777777" w:rsidR="00C25FDD" w:rsidRPr="005205D3" w:rsidRDefault="00C25FDD" w:rsidP="00C25FDD">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The Declaration remakes the Original Declaration in the same form, but has been redrafted to remove redundant provisions, provide clarity, and update terminology and the drafting style to reflect current conventions.</w:t>
      </w:r>
    </w:p>
    <w:p w14:paraId="1A57B805" w14:textId="77777777" w:rsidR="00C25FDD" w:rsidRDefault="00C25FDD" w:rsidP="00C25FDD">
      <w:pPr>
        <w:spacing w:after="0" w:line="240" w:lineRule="auto"/>
        <w:rPr>
          <w:rFonts w:ascii="Times New Roman" w:eastAsia="Times New Roman" w:hAnsi="Times New Roman"/>
          <w:color w:val="000000"/>
          <w:sz w:val="24"/>
          <w:szCs w:val="24"/>
          <w:lang w:eastAsia="en-AU"/>
        </w:rPr>
      </w:pPr>
    </w:p>
    <w:p w14:paraId="2953DBF1" w14:textId="0BF8AB90" w:rsidR="00C25FDD" w:rsidRPr="001F1750" w:rsidRDefault="00C25FDD" w:rsidP="00C25FDD">
      <w:pPr>
        <w:spacing w:after="0" w:line="240" w:lineRule="auto"/>
        <w:rPr>
          <w:rFonts w:ascii="Times New Roman" w:eastAsia="Times New Roman" w:hAnsi="Times New Roman"/>
          <w:i/>
          <w:color w:val="000000"/>
          <w:sz w:val="24"/>
          <w:szCs w:val="24"/>
          <w:lang w:eastAsia="en-AU"/>
        </w:rPr>
      </w:pPr>
      <w:r w:rsidRPr="00D03736">
        <w:rPr>
          <w:rFonts w:ascii="Times New Roman" w:eastAsia="Times New Roman" w:hAnsi="Times New Roman"/>
          <w:i/>
          <w:color w:val="000000"/>
          <w:sz w:val="24"/>
          <w:szCs w:val="24"/>
          <w:lang w:eastAsia="en-AU"/>
        </w:rPr>
        <w:t>Establish and maintain an integrated pu</w:t>
      </w:r>
      <w:r w:rsidR="00442891">
        <w:rPr>
          <w:rFonts w:ascii="Times New Roman" w:eastAsia="Times New Roman" w:hAnsi="Times New Roman"/>
          <w:i/>
          <w:color w:val="000000"/>
          <w:sz w:val="24"/>
          <w:szCs w:val="24"/>
          <w:lang w:eastAsia="en-AU"/>
        </w:rPr>
        <w:t>blic number database</w:t>
      </w:r>
    </w:p>
    <w:p w14:paraId="64C428CA" w14:textId="2EA99A7D" w:rsidR="00CD52C9" w:rsidRDefault="00C25FDD" w:rsidP="00CD52C9">
      <w:pPr>
        <w:spacing w:before="240" w:after="24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10 of the Declaration requires Telstra to establish and maintain an </w:t>
      </w:r>
      <w:r w:rsidRPr="001F1750">
        <w:rPr>
          <w:rFonts w:ascii="Times New Roman" w:eastAsia="Times New Roman" w:hAnsi="Times New Roman"/>
          <w:color w:val="000000"/>
          <w:sz w:val="24"/>
          <w:szCs w:val="24"/>
          <w:lang w:eastAsia="en-AU"/>
        </w:rPr>
        <w:t xml:space="preserve">integrated public number database </w:t>
      </w:r>
      <w:r w:rsidR="00CD52C9">
        <w:rPr>
          <w:rFonts w:ascii="Times New Roman" w:eastAsia="Times New Roman" w:hAnsi="Times New Roman"/>
          <w:color w:val="000000"/>
          <w:sz w:val="24"/>
          <w:szCs w:val="24"/>
          <w:lang w:eastAsia="en-AU"/>
        </w:rPr>
        <w:t xml:space="preserve">(IPND) </w:t>
      </w:r>
      <w:r w:rsidRPr="001F1750">
        <w:rPr>
          <w:rFonts w:ascii="Times New Roman" w:eastAsia="Times New Roman" w:hAnsi="Times New Roman"/>
          <w:color w:val="000000"/>
          <w:sz w:val="24"/>
          <w:szCs w:val="24"/>
          <w:lang w:eastAsia="en-AU"/>
        </w:rPr>
        <w:t xml:space="preserve">for a number of purposes which includes the publishing of public number directories. </w:t>
      </w:r>
      <w:r w:rsidR="00CD52C9" w:rsidRPr="00CD52C9">
        <w:rPr>
          <w:rFonts w:ascii="Times New Roman" w:eastAsia="Times New Roman" w:hAnsi="Times New Roman"/>
          <w:color w:val="000000"/>
          <w:sz w:val="24"/>
          <w:szCs w:val="24"/>
          <w:lang w:eastAsia="en-AU"/>
        </w:rPr>
        <w:t xml:space="preserve">The </w:t>
      </w:r>
      <w:r w:rsidR="00CD52C9">
        <w:rPr>
          <w:rFonts w:ascii="Times New Roman" w:eastAsia="Times New Roman" w:hAnsi="Times New Roman"/>
          <w:color w:val="000000"/>
          <w:sz w:val="24"/>
          <w:szCs w:val="24"/>
          <w:lang w:eastAsia="en-AU"/>
        </w:rPr>
        <w:t xml:space="preserve">IPND </w:t>
      </w:r>
      <w:r w:rsidR="00CD52C9" w:rsidRPr="00CD52C9">
        <w:rPr>
          <w:rFonts w:ascii="Times New Roman" w:eastAsia="Times New Roman" w:hAnsi="Times New Roman"/>
          <w:color w:val="000000"/>
          <w:sz w:val="24"/>
          <w:szCs w:val="24"/>
          <w:lang w:eastAsia="en-AU"/>
        </w:rPr>
        <w:t xml:space="preserve">is a telecommunications industry-wide database containing records of most Australian telephone numbers and associated customer details. </w:t>
      </w:r>
      <w:r w:rsidRPr="001F1750">
        <w:rPr>
          <w:rFonts w:ascii="Times New Roman" w:eastAsia="Times New Roman" w:hAnsi="Times New Roman"/>
          <w:color w:val="000000"/>
          <w:sz w:val="24"/>
          <w:szCs w:val="24"/>
          <w:lang w:eastAsia="en-AU"/>
        </w:rPr>
        <w:t xml:space="preserve">The information included in the </w:t>
      </w:r>
      <w:r w:rsidR="00CD52C9">
        <w:rPr>
          <w:rFonts w:ascii="Times New Roman" w:eastAsia="Times New Roman" w:hAnsi="Times New Roman"/>
          <w:color w:val="000000"/>
          <w:sz w:val="24"/>
          <w:szCs w:val="24"/>
          <w:lang w:eastAsia="en-AU"/>
        </w:rPr>
        <w:t>IPND</w:t>
      </w:r>
      <w:r w:rsidRPr="001F1750">
        <w:rPr>
          <w:rFonts w:ascii="Times New Roman" w:eastAsia="Times New Roman" w:hAnsi="Times New Roman"/>
          <w:color w:val="000000"/>
          <w:sz w:val="24"/>
          <w:szCs w:val="24"/>
          <w:lang w:eastAsia="en-AU"/>
        </w:rPr>
        <w:t xml:space="preserve"> includes the public number; the name and address of the customer; and other information related to the service provided to the customer. </w:t>
      </w:r>
      <w:r w:rsidR="00CD52C9" w:rsidRPr="00CD52C9">
        <w:rPr>
          <w:rFonts w:ascii="Times New Roman" w:eastAsia="Times New Roman" w:hAnsi="Times New Roman"/>
          <w:color w:val="000000"/>
          <w:sz w:val="24"/>
          <w:szCs w:val="24"/>
          <w:lang w:eastAsia="en-AU"/>
        </w:rPr>
        <w:t xml:space="preserve">The IPND includes listed and unlisted telephone numbers. A listed number is one the customer has agreed can be published in phone number directories and directory-related services. An unlisted (or ‘silent’) number is one the customer has not agreed to make available for these services. Telephone providers are required to give customers a choice of a listed or unlisted number. </w:t>
      </w:r>
      <w:r w:rsidRPr="001F1750">
        <w:rPr>
          <w:rFonts w:ascii="Times New Roman" w:eastAsia="Times New Roman" w:hAnsi="Times New Roman"/>
          <w:color w:val="000000"/>
          <w:sz w:val="24"/>
          <w:szCs w:val="24"/>
          <w:lang w:eastAsia="en-AU"/>
        </w:rPr>
        <w:t xml:space="preserve">Telstra is required to provide access to information from the database to any </w:t>
      </w:r>
      <w:r w:rsidR="000F16D7">
        <w:rPr>
          <w:rFonts w:ascii="Times New Roman" w:eastAsia="Times New Roman" w:hAnsi="Times New Roman"/>
          <w:color w:val="000000"/>
          <w:sz w:val="24"/>
          <w:szCs w:val="24"/>
          <w:lang w:eastAsia="en-AU"/>
        </w:rPr>
        <w:t>CSP</w:t>
      </w:r>
      <w:r w:rsidRPr="001F1750">
        <w:rPr>
          <w:rFonts w:ascii="Times New Roman" w:eastAsia="Times New Roman" w:hAnsi="Times New Roman"/>
          <w:color w:val="000000"/>
          <w:sz w:val="24"/>
          <w:szCs w:val="24"/>
          <w:lang w:eastAsia="en-AU"/>
        </w:rPr>
        <w:t xml:space="preserve"> making a request for a </w:t>
      </w:r>
      <w:r w:rsidR="00CD52C9">
        <w:rPr>
          <w:rFonts w:ascii="Times New Roman" w:eastAsia="Times New Roman" w:hAnsi="Times New Roman"/>
          <w:color w:val="000000"/>
          <w:sz w:val="24"/>
          <w:szCs w:val="24"/>
          <w:lang w:eastAsia="en-AU"/>
        </w:rPr>
        <w:t xml:space="preserve">specified </w:t>
      </w:r>
      <w:r w:rsidRPr="001F1750">
        <w:rPr>
          <w:rFonts w:ascii="Times New Roman" w:eastAsia="Times New Roman" w:hAnsi="Times New Roman"/>
          <w:color w:val="000000"/>
          <w:sz w:val="24"/>
          <w:szCs w:val="24"/>
          <w:lang w:eastAsia="en-AU"/>
        </w:rPr>
        <w:t>purpose under subsection 10(1).</w:t>
      </w:r>
      <w:r w:rsidR="009F1B98">
        <w:rPr>
          <w:rFonts w:ascii="Times New Roman" w:eastAsia="Times New Roman" w:hAnsi="Times New Roman"/>
          <w:color w:val="000000"/>
          <w:sz w:val="24"/>
          <w:szCs w:val="24"/>
          <w:lang w:eastAsia="en-AU"/>
        </w:rPr>
        <w:t xml:space="preserve"> </w:t>
      </w:r>
      <w:r w:rsidR="00CD52C9">
        <w:rPr>
          <w:rFonts w:ascii="Times New Roman" w:eastAsia="Times New Roman" w:hAnsi="Times New Roman"/>
          <w:color w:val="000000"/>
          <w:sz w:val="24"/>
          <w:szCs w:val="24"/>
          <w:lang w:eastAsia="en-AU"/>
        </w:rPr>
        <w:t>There is a</w:t>
      </w:r>
      <w:r w:rsidR="009F1B98">
        <w:rPr>
          <w:rFonts w:ascii="Times New Roman" w:eastAsia="Times New Roman" w:hAnsi="Times New Roman"/>
          <w:color w:val="000000"/>
          <w:sz w:val="24"/>
          <w:szCs w:val="24"/>
          <w:lang w:eastAsia="en-AU"/>
        </w:rPr>
        <w:t xml:space="preserve"> r</w:t>
      </w:r>
      <w:r w:rsidR="00CD52C9">
        <w:rPr>
          <w:rFonts w:ascii="Times New Roman" w:eastAsia="Times New Roman" w:hAnsi="Times New Roman"/>
          <w:color w:val="000000"/>
          <w:sz w:val="24"/>
          <w:szCs w:val="24"/>
          <w:lang w:eastAsia="en-AU"/>
        </w:rPr>
        <w:t>igorous statutory regime under P</w:t>
      </w:r>
      <w:r w:rsidR="009F1B98">
        <w:rPr>
          <w:rFonts w:ascii="Times New Roman" w:eastAsia="Times New Roman" w:hAnsi="Times New Roman"/>
          <w:color w:val="000000"/>
          <w:sz w:val="24"/>
          <w:szCs w:val="24"/>
          <w:lang w:eastAsia="en-AU"/>
        </w:rPr>
        <w:t>art 1</w:t>
      </w:r>
      <w:r w:rsidR="00CD52C9">
        <w:rPr>
          <w:rFonts w:ascii="Times New Roman" w:eastAsia="Times New Roman" w:hAnsi="Times New Roman"/>
          <w:color w:val="000000"/>
          <w:sz w:val="24"/>
          <w:szCs w:val="24"/>
          <w:lang w:eastAsia="en-AU"/>
        </w:rPr>
        <w:t>3</w:t>
      </w:r>
      <w:r w:rsidR="009F1B98">
        <w:rPr>
          <w:rFonts w:ascii="Times New Roman" w:eastAsia="Times New Roman" w:hAnsi="Times New Roman"/>
          <w:color w:val="000000"/>
          <w:sz w:val="24"/>
          <w:szCs w:val="24"/>
          <w:lang w:eastAsia="en-AU"/>
        </w:rPr>
        <w:t xml:space="preserve"> of the Act </w:t>
      </w:r>
      <w:r w:rsidR="00CD52C9">
        <w:rPr>
          <w:rFonts w:ascii="Times New Roman" w:eastAsia="Times New Roman" w:hAnsi="Times New Roman"/>
          <w:color w:val="000000"/>
          <w:sz w:val="24"/>
          <w:szCs w:val="24"/>
          <w:lang w:eastAsia="en-AU"/>
        </w:rPr>
        <w:t>designed to protect the confidentiality of information contained in the IPND from unauthorised use.</w:t>
      </w:r>
      <w:r w:rsidR="008B7CA3">
        <w:rPr>
          <w:rFonts w:ascii="Times New Roman" w:eastAsia="Times New Roman" w:hAnsi="Times New Roman"/>
          <w:color w:val="000000"/>
          <w:sz w:val="24"/>
          <w:szCs w:val="24"/>
          <w:lang w:eastAsia="en-AU"/>
        </w:rPr>
        <w:t xml:space="preserve"> For example, </w:t>
      </w:r>
      <w:r w:rsidR="00CD52C9">
        <w:rPr>
          <w:rFonts w:ascii="Times New Roman" w:eastAsia="Times New Roman" w:hAnsi="Times New Roman"/>
          <w:color w:val="000000"/>
          <w:sz w:val="24"/>
          <w:szCs w:val="24"/>
          <w:lang w:eastAsia="en-AU"/>
        </w:rPr>
        <w:t xml:space="preserve">under </w:t>
      </w:r>
      <w:r w:rsidR="00CD52C9" w:rsidRPr="00CD52C9">
        <w:rPr>
          <w:rFonts w:ascii="Times New Roman" w:eastAsia="Times New Roman" w:hAnsi="Times New Roman"/>
          <w:color w:val="000000"/>
          <w:sz w:val="24"/>
          <w:szCs w:val="24"/>
          <w:lang w:eastAsia="en-AU"/>
        </w:rPr>
        <w:t xml:space="preserve">Part 13 of the </w:t>
      </w:r>
      <w:r w:rsidR="00CD52C9">
        <w:rPr>
          <w:rFonts w:ascii="Times New Roman" w:eastAsia="Times New Roman" w:hAnsi="Times New Roman"/>
          <w:color w:val="000000"/>
          <w:sz w:val="24"/>
          <w:szCs w:val="24"/>
          <w:lang w:eastAsia="en-AU"/>
        </w:rPr>
        <w:t>Act</w:t>
      </w:r>
      <w:r w:rsidR="008B7CA3">
        <w:rPr>
          <w:rFonts w:ascii="Times New Roman" w:eastAsia="Times New Roman" w:hAnsi="Times New Roman"/>
          <w:color w:val="000000"/>
          <w:sz w:val="24"/>
          <w:szCs w:val="24"/>
          <w:lang w:eastAsia="en-AU"/>
        </w:rPr>
        <w:t xml:space="preserve">, </w:t>
      </w:r>
      <w:r w:rsidR="00CD52C9" w:rsidRPr="00CD52C9">
        <w:rPr>
          <w:rFonts w:ascii="Times New Roman" w:eastAsia="Times New Roman" w:hAnsi="Times New Roman"/>
          <w:color w:val="000000"/>
          <w:sz w:val="24"/>
          <w:szCs w:val="24"/>
          <w:lang w:eastAsia="en-AU"/>
        </w:rPr>
        <w:t xml:space="preserve">disclosure or use of </w:t>
      </w:r>
      <w:r w:rsidR="008B7CA3">
        <w:rPr>
          <w:rFonts w:ascii="Times New Roman" w:eastAsia="Times New Roman" w:hAnsi="Times New Roman"/>
          <w:color w:val="000000"/>
          <w:sz w:val="24"/>
          <w:szCs w:val="24"/>
          <w:lang w:eastAsia="en-AU"/>
        </w:rPr>
        <w:t xml:space="preserve">protected </w:t>
      </w:r>
      <w:r w:rsidR="00CD52C9" w:rsidRPr="00CD52C9">
        <w:rPr>
          <w:rFonts w:ascii="Times New Roman" w:eastAsia="Times New Roman" w:hAnsi="Times New Roman"/>
          <w:color w:val="000000"/>
          <w:sz w:val="24"/>
          <w:szCs w:val="24"/>
          <w:lang w:eastAsia="en-AU"/>
        </w:rPr>
        <w:t>information is prohibited except in limited circumstances</w:t>
      </w:r>
      <w:r w:rsidR="00CD52C9">
        <w:rPr>
          <w:rFonts w:ascii="Times New Roman" w:eastAsia="Times New Roman" w:hAnsi="Times New Roman"/>
          <w:color w:val="000000"/>
          <w:sz w:val="24"/>
          <w:szCs w:val="24"/>
          <w:lang w:eastAsia="en-AU"/>
        </w:rPr>
        <w:t xml:space="preserve">. </w:t>
      </w:r>
    </w:p>
    <w:p w14:paraId="2E3CE438" w14:textId="77777777" w:rsidR="00C25FDD" w:rsidRPr="00D03736" w:rsidRDefault="00C25FDD" w:rsidP="00C25FDD">
      <w:pPr>
        <w:spacing w:after="0" w:line="240" w:lineRule="auto"/>
        <w:rPr>
          <w:rFonts w:ascii="Times New Roman" w:eastAsia="Times New Roman" w:hAnsi="Times New Roman"/>
          <w:i/>
          <w:color w:val="000000"/>
          <w:sz w:val="24"/>
          <w:szCs w:val="24"/>
          <w:lang w:eastAsia="en-AU"/>
        </w:rPr>
      </w:pPr>
      <w:r w:rsidRPr="00D03736">
        <w:rPr>
          <w:rFonts w:ascii="Times New Roman" w:eastAsia="Times New Roman" w:hAnsi="Times New Roman"/>
          <w:i/>
          <w:color w:val="000000"/>
          <w:sz w:val="24"/>
          <w:szCs w:val="24"/>
          <w:lang w:eastAsia="en-AU"/>
        </w:rPr>
        <w:t xml:space="preserve">Operator and Directory services  </w:t>
      </w:r>
    </w:p>
    <w:p w14:paraId="710C116F" w14:textId="28494B2F" w:rsidR="00C25FDD" w:rsidRDefault="00C25FDD" w:rsidP="00C25FDD">
      <w:pPr>
        <w:spacing w:before="24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7 and section 8 require Telstra to make operator services and directory assistance services available to end-users of its standard telephone services. Other </w:t>
      </w:r>
      <w:r w:rsidR="000F16D7">
        <w:rPr>
          <w:rFonts w:ascii="Times New Roman" w:eastAsia="Times New Roman" w:hAnsi="Times New Roman"/>
          <w:color w:val="000000"/>
          <w:sz w:val="24"/>
          <w:szCs w:val="24"/>
          <w:lang w:eastAsia="en-AU"/>
        </w:rPr>
        <w:t>CSP</w:t>
      </w:r>
      <w:r>
        <w:rPr>
          <w:rFonts w:ascii="Times New Roman" w:eastAsia="Times New Roman" w:hAnsi="Times New Roman"/>
          <w:color w:val="000000"/>
          <w:sz w:val="24"/>
          <w:szCs w:val="24"/>
          <w:lang w:eastAsia="en-AU"/>
        </w:rPr>
        <w:t xml:space="preserve">s are also able to seek access to these services from Telstra in order to fulfil their obligations under Schedule 2 to the </w:t>
      </w:r>
      <w:r w:rsidR="00E279BC">
        <w:rPr>
          <w:rFonts w:ascii="Times New Roman" w:eastAsia="Times New Roman" w:hAnsi="Times New Roman"/>
          <w:color w:val="000000"/>
          <w:sz w:val="24"/>
          <w:szCs w:val="24"/>
          <w:lang w:eastAsia="en-AU"/>
        </w:rPr>
        <w:t>Act</w:t>
      </w:r>
      <w:r>
        <w:rPr>
          <w:rFonts w:ascii="Times New Roman" w:eastAsia="Times New Roman" w:hAnsi="Times New Roman"/>
          <w:color w:val="000000"/>
          <w:sz w:val="24"/>
          <w:szCs w:val="24"/>
          <w:lang w:eastAsia="en-AU"/>
        </w:rPr>
        <w:t xml:space="preserve">. The fulfilment of these obligations is enabled by the maintenance of </w:t>
      </w:r>
      <w:r w:rsidR="00E958F8">
        <w:rPr>
          <w:rFonts w:ascii="Times New Roman" w:eastAsia="Times New Roman" w:hAnsi="Times New Roman"/>
          <w:color w:val="000000"/>
          <w:sz w:val="24"/>
          <w:szCs w:val="24"/>
          <w:lang w:eastAsia="en-AU"/>
        </w:rPr>
        <w:t>the IPND</w:t>
      </w:r>
      <w:r>
        <w:rPr>
          <w:rFonts w:ascii="Times New Roman" w:eastAsia="Times New Roman" w:hAnsi="Times New Roman"/>
          <w:color w:val="000000"/>
          <w:sz w:val="24"/>
          <w:szCs w:val="24"/>
          <w:lang w:eastAsia="en-AU"/>
        </w:rPr>
        <w:t xml:space="preserve"> as set out in section 10, which entails disclosure of customer names, addresses and public numbers.</w:t>
      </w:r>
    </w:p>
    <w:p w14:paraId="7705B38A" w14:textId="1ED61F32" w:rsidR="00C25FDD" w:rsidRDefault="00C25FDD" w:rsidP="00C25FDD">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9 requires Telstra to produce, publish and distribute an alphabetical telephone or public number directory and distribute the directory to its own customers and the customers of other </w:t>
      </w:r>
      <w:r w:rsidR="000F16D7">
        <w:rPr>
          <w:rFonts w:ascii="Times New Roman" w:eastAsia="Times New Roman" w:hAnsi="Times New Roman"/>
          <w:color w:val="000000"/>
          <w:sz w:val="24"/>
          <w:szCs w:val="24"/>
          <w:lang w:eastAsia="en-AU"/>
        </w:rPr>
        <w:t>CSPs</w:t>
      </w:r>
      <w:r>
        <w:rPr>
          <w:rFonts w:ascii="Times New Roman" w:eastAsia="Times New Roman" w:hAnsi="Times New Roman"/>
          <w:color w:val="000000"/>
          <w:sz w:val="24"/>
          <w:szCs w:val="24"/>
          <w:lang w:eastAsia="en-AU"/>
        </w:rPr>
        <w:t xml:space="preserve">. The directory includes information such as the customer’s name, address and public </w:t>
      </w:r>
      <w:r w:rsidR="009F1B98">
        <w:rPr>
          <w:rFonts w:ascii="Times New Roman" w:eastAsia="Times New Roman" w:hAnsi="Times New Roman"/>
          <w:color w:val="000000"/>
          <w:sz w:val="24"/>
          <w:szCs w:val="24"/>
          <w:lang w:eastAsia="en-AU"/>
        </w:rPr>
        <w:t xml:space="preserve">‘listed’ </w:t>
      </w:r>
      <w:r>
        <w:rPr>
          <w:rFonts w:ascii="Times New Roman" w:eastAsia="Times New Roman" w:hAnsi="Times New Roman"/>
          <w:color w:val="000000"/>
          <w:sz w:val="24"/>
          <w:szCs w:val="24"/>
          <w:lang w:eastAsia="en-AU"/>
        </w:rPr>
        <w:t>number</w:t>
      </w:r>
      <w:r w:rsidR="009F1B98">
        <w:rPr>
          <w:rFonts w:ascii="Times New Roman" w:eastAsia="Times New Roman" w:hAnsi="Times New Roman"/>
          <w:color w:val="000000"/>
          <w:sz w:val="24"/>
          <w:szCs w:val="24"/>
          <w:lang w:eastAsia="en-AU"/>
        </w:rPr>
        <w:t xml:space="preserve">. Unlisted </w:t>
      </w:r>
      <w:r w:rsidR="00CD52C9">
        <w:rPr>
          <w:rFonts w:ascii="Times New Roman" w:eastAsia="Times New Roman" w:hAnsi="Times New Roman"/>
          <w:color w:val="000000"/>
          <w:sz w:val="24"/>
          <w:szCs w:val="24"/>
          <w:lang w:eastAsia="en-AU"/>
        </w:rPr>
        <w:t xml:space="preserve">(or ‘silent’) </w:t>
      </w:r>
      <w:r w:rsidR="009F1B98">
        <w:rPr>
          <w:rFonts w:ascii="Times New Roman" w:eastAsia="Times New Roman" w:hAnsi="Times New Roman"/>
          <w:color w:val="000000"/>
          <w:sz w:val="24"/>
          <w:szCs w:val="24"/>
          <w:lang w:eastAsia="en-AU"/>
        </w:rPr>
        <w:t>numbers are not published</w:t>
      </w:r>
      <w:r w:rsidR="00CD52C9">
        <w:rPr>
          <w:rFonts w:ascii="Times New Roman" w:eastAsia="Times New Roman" w:hAnsi="Times New Roman"/>
          <w:color w:val="000000"/>
          <w:sz w:val="24"/>
          <w:szCs w:val="24"/>
          <w:lang w:eastAsia="en-AU"/>
        </w:rPr>
        <w:t xml:space="preserve"> in directories</w:t>
      </w:r>
      <w:r>
        <w:rPr>
          <w:rFonts w:ascii="Times New Roman" w:eastAsia="Times New Roman" w:hAnsi="Times New Roman"/>
          <w:color w:val="000000"/>
          <w:sz w:val="24"/>
          <w:szCs w:val="24"/>
          <w:lang w:eastAsia="en-AU"/>
        </w:rPr>
        <w:t>.</w:t>
      </w:r>
    </w:p>
    <w:p w14:paraId="30C5A00F" w14:textId="77777777" w:rsidR="00C25FDD" w:rsidRDefault="00C25FDD" w:rsidP="00C25FDD">
      <w:pPr>
        <w:spacing w:after="0" w:line="240" w:lineRule="auto"/>
        <w:rPr>
          <w:rFonts w:ascii="Times New Roman" w:eastAsia="Times New Roman" w:hAnsi="Times New Roman"/>
          <w:color w:val="000000"/>
          <w:sz w:val="24"/>
          <w:szCs w:val="24"/>
          <w:lang w:eastAsia="en-AU"/>
        </w:rPr>
      </w:pPr>
    </w:p>
    <w:p w14:paraId="289A1AB8" w14:textId="77777777" w:rsidR="00C25FDD" w:rsidRDefault="00C25FDD" w:rsidP="00C25FDD">
      <w:pPr>
        <w:spacing w:after="0" w:line="240" w:lineRule="auto"/>
        <w:rPr>
          <w:rFonts w:ascii="Times New Roman" w:eastAsia="Times New Roman" w:hAnsi="Times New Roman"/>
          <w:i/>
          <w:color w:val="000000"/>
          <w:sz w:val="24"/>
          <w:szCs w:val="24"/>
          <w:lang w:eastAsia="en-AU"/>
        </w:rPr>
      </w:pPr>
      <w:r>
        <w:rPr>
          <w:rFonts w:ascii="Times New Roman" w:eastAsia="Times New Roman" w:hAnsi="Times New Roman"/>
          <w:i/>
          <w:color w:val="000000"/>
          <w:sz w:val="24"/>
          <w:szCs w:val="24"/>
          <w:lang w:eastAsia="en-AU"/>
        </w:rPr>
        <w:t>Disclosure of Specified Premises Location Information to NBN Co</w:t>
      </w:r>
    </w:p>
    <w:p w14:paraId="4713712C" w14:textId="77777777" w:rsidR="000040D8" w:rsidRPr="00150535" w:rsidRDefault="000040D8" w:rsidP="00C25FDD">
      <w:pPr>
        <w:spacing w:after="0" w:line="240" w:lineRule="auto"/>
        <w:rPr>
          <w:rFonts w:ascii="Times New Roman" w:eastAsia="Times New Roman" w:hAnsi="Times New Roman"/>
          <w:i/>
          <w:color w:val="000000"/>
          <w:sz w:val="24"/>
          <w:szCs w:val="24"/>
          <w:lang w:eastAsia="en-AU"/>
        </w:rPr>
      </w:pPr>
    </w:p>
    <w:p w14:paraId="3AFFD252" w14:textId="49BABC3C" w:rsidR="00C25FDD" w:rsidRPr="0099665F" w:rsidRDefault="00C25FDD" w:rsidP="00C25FDD">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The Declaration includes a</w:t>
      </w:r>
      <w:r w:rsidRPr="0099665F">
        <w:rPr>
          <w:rFonts w:ascii="Times New Roman" w:eastAsia="Times New Roman" w:hAnsi="Times New Roman"/>
          <w:color w:val="000000"/>
          <w:sz w:val="24"/>
          <w:szCs w:val="24"/>
          <w:lang w:eastAsia="en-AU"/>
        </w:rPr>
        <w:t xml:space="preserve"> requirement for Telstra to disclose to NBN Co Limited (NBN Co) the location of each business special service, in train order, and multi-dwelling premises common area receiving active copper services. </w:t>
      </w:r>
    </w:p>
    <w:p w14:paraId="03346697" w14:textId="1DDB7CDD" w:rsidR="00C25FDD" w:rsidRPr="0099665F" w:rsidRDefault="00C25FDD" w:rsidP="00C25FDD">
      <w:pPr>
        <w:spacing w:after="0" w:line="240" w:lineRule="auto"/>
        <w:rPr>
          <w:rFonts w:ascii="Times New Roman" w:eastAsia="Times New Roman" w:hAnsi="Times New Roman"/>
          <w:color w:val="000000"/>
          <w:sz w:val="24"/>
          <w:szCs w:val="24"/>
          <w:lang w:eastAsia="en-AU"/>
        </w:rPr>
      </w:pPr>
    </w:p>
    <w:p w14:paraId="0C505752" w14:textId="77777777" w:rsidR="00C25FDD" w:rsidRPr="0099665F" w:rsidRDefault="00C25FDD" w:rsidP="000040D8">
      <w:pPr>
        <w:spacing w:after="120" w:line="240" w:lineRule="auto"/>
        <w:rPr>
          <w:rFonts w:ascii="Times New Roman" w:eastAsia="Times New Roman" w:hAnsi="Times New Roman"/>
          <w:color w:val="000000"/>
          <w:sz w:val="24"/>
          <w:szCs w:val="24"/>
          <w:lang w:eastAsia="en-AU"/>
        </w:rPr>
      </w:pPr>
      <w:r w:rsidRPr="0099665F">
        <w:rPr>
          <w:rFonts w:ascii="Times New Roman" w:eastAsia="Times New Roman" w:hAnsi="Times New Roman"/>
          <w:color w:val="000000"/>
          <w:sz w:val="24"/>
          <w:szCs w:val="24"/>
          <w:lang w:eastAsia="en-AU"/>
        </w:rPr>
        <w:t>Telstra supplies wholesale services over its copper network to other telecommunications companies (i.e. retail service providers). In turn, those retail service providers supply carriage services to consumers. The wholesale carriage services supplied by Telstra generally cover:</w:t>
      </w:r>
    </w:p>
    <w:p w14:paraId="6586C264" w14:textId="77777777" w:rsidR="00AB4E62" w:rsidRDefault="00C25FDD" w:rsidP="003A1E64">
      <w:pPr>
        <w:pStyle w:val="ListParagraph"/>
        <w:numPr>
          <w:ilvl w:val="0"/>
          <w:numId w:val="13"/>
        </w:numPr>
        <w:spacing w:after="0" w:line="240" w:lineRule="auto"/>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fixed-line wholesale carriage services;</w:t>
      </w:r>
    </w:p>
    <w:p w14:paraId="321A9D96" w14:textId="77777777" w:rsidR="00AB4E62" w:rsidRDefault="00C25FDD" w:rsidP="003A1E64">
      <w:pPr>
        <w:pStyle w:val="ListParagraph"/>
        <w:numPr>
          <w:ilvl w:val="0"/>
          <w:numId w:val="13"/>
        </w:numPr>
        <w:spacing w:after="0" w:line="240" w:lineRule="auto"/>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unconditioned local loop service (‘ULLS’) (i.e. where a third party rents from Telstra the copper line between an exchange and a customer premises); and</w:t>
      </w:r>
    </w:p>
    <w:p w14:paraId="07409DC6" w14:textId="421C3FE2" w:rsidR="00C25FDD" w:rsidRPr="001F1750" w:rsidRDefault="00C25FDD" w:rsidP="003A1E64">
      <w:pPr>
        <w:pStyle w:val="ListParagraph"/>
        <w:numPr>
          <w:ilvl w:val="0"/>
          <w:numId w:val="13"/>
        </w:numPr>
        <w:spacing w:after="0" w:line="240" w:lineRule="auto"/>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a line sharing service (‘LSS’) (which enables a Telstra competitor to use the high frequency part of the phone line to provide ADSL2+ using its own equipment, while Telstra still provides the normal voice service to the consumer).</w:t>
      </w:r>
    </w:p>
    <w:p w14:paraId="54F1588A" w14:textId="50CBAA60" w:rsidR="00C25FDD" w:rsidRPr="0099665F" w:rsidRDefault="00C25FDD" w:rsidP="00C25FDD">
      <w:pPr>
        <w:spacing w:after="0" w:line="240" w:lineRule="auto"/>
        <w:rPr>
          <w:rFonts w:ascii="Times New Roman" w:eastAsia="Times New Roman" w:hAnsi="Times New Roman"/>
          <w:color w:val="000000"/>
          <w:sz w:val="24"/>
          <w:szCs w:val="24"/>
          <w:lang w:eastAsia="en-AU"/>
        </w:rPr>
      </w:pPr>
    </w:p>
    <w:p w14:paraId="49DE82D6" w14:textId="77777777" w:rsidR="00C25FDD" w:rsidRPr="0099665F" w:rsidRDefault="00C25FDD" w:rsidP="00C25FDD">
      <w:pPr>
        <w:spacing w:after="0" w:line="240" w:lineRule="auto"/>
        <w:rPr>
          <w:rFonts w:ascii="Times New Roman" w:eastAsia="Times New Roman" w:hAnsi="Times New Roman"/>
          <w:color w:val="000000"/>
          <w:sz w:val="24"/>
          <w:szCs w:val="24"/>
          <w:lang w:eastAsia="en-AU"/>
        </w:rPr>
      </w:pPr>
      <w:r w:rsidRPr="0099665F">
        <w:rPr>
          <w:rFonts w:ascii="Times New Roman" w:eastAsia="Times New Roman" w:hAnsi="Times New Roman"/>
          <w:color w:val="000000"/>
          <w:sz w:val="24"/>
          <w:szCs w:val="24"/>
          <w:lang w:eastAsia="en-AU"/>
        </w:rPr>
        <w:t>As part of the contractual arrangements with its wholesale customer, Telstra obtains end-user location identification data (i.e. the full address of the end-user customer) for all active copper line services in a region able to be connected to the national broadband network (‘NBN’). Telstra then converts this number to the NBN-equivalent number, which is the national broadband network location identification number (‘NBN Loc ID’).</w:t>
      </w:r>
    </w:p>
    <w:p w14:paraId="784E3829" w14:textId="77777777" w:rsidR="00C25FDD" w:rsidRPr="0099665F" w:rsidRDefault="00C25FDD" w:rsidP="00C25FDD">
      <w:pPr>
        <w:spacing w:after="0" w:line="240" w:lineRule="auto"/>
        <w:rPr>
          <w:rFonts w:ascii="Times New Roman" w:eastAsia="Times New Roman" w:hAnsi="Times New Roman"/>
          <w:color w:val="000000"/>
          <w:sz w:val="24"/>
          <w:szCs w:val="24"/>
          <w:lang w:eastAsia="en-AU"/>
        </w:rPr>
      </w:pPr>
      <w:r w:rsidRPr="0099665F">
        <w:rPr>
          <w:rFonts w:ascii="Times New Roman" w:eastAsia="Times New Roman" w:hAnsi="Times New Roman"/>
          <w:color w:val="000000"/>
          <w:sz w:val="24"/>
          <w:szCs w:val="24"/>
          <w:lang w:eastAsia="en-AU"/>
        </w:rPr>
        <w:t> </w:t>
      </w:r>
    </w:p>
    <w:p w14:paraId="6BCD76BA" w14:textId="77777777" w:rsidR="00C25FDD" w:rsidRDefault="00C25FDD" w:rsidP="000040D8">
      <w:pPr>
        <w:spacing w:after="120" w:line="240" w:lineRule="auto"/>
        <w:rPr>
          <w:rFonts w:ascii="Times New Roman" w:eastAsia="Times New Roman" w:hAnsi="Times New Roman"/>
          <w:color w:val="000000"/>
          <w:sz w:val="24"/>
          <w:szCs w:val="24"/>
          <w:lang w:eastAsia="en-AU"/>
        </w:rPr>
      </w:pPr>
      <w:r w:rsidRPr="0099665F">
        <w:rPr>
          <w:rFonts w:ascii="Times New Roman" w:eastAsia="Times New Roman" w:hAnsi="Times New Roman"/>
          <w:color w:val="000000"/>
          <w:sz w:val="24"/>
          <w:szCs w:val="24"/>
          <w:lang w:eastAsia="en-AU"/>
        </w:rPr>
        <w:t>The NBN Loc ID is of value to NBN Co and helps to ensure a smooth transition for customers to the NBN. For example, the information can assist with:</w:t>
      </w:r>
    </w:p>
    <w:p w14:paraId="4450A4E6" w14:textId="77777777" w:rsidR="00C25FDD" w:rsidRPr="007A69A7" w:rsidRDefault="00C25FDD" w:rsidP="003A1E64">
      <w:pPr>
        <w:pStyle w:val="ListParagraph"/>
        <w:numPr>
          <w:ilvl w:val="0"/>
          <w:numId w:val="13"/>
        </w:numPr>
        <w:spacing w:after="0" w:line="240" w:lineRule="auto"/>
        <w:rPr>
          <w:rFonts w:ascii="Times New Roman" w:eastAsia="Times New Roman" w:hAnsi="Times New Roman"/>
          <w:color w:val="000000"/>
          <w:sz w:val="24"/>
          <w:szCs w:val="24"/>
          <w:lang w:eastAsia="en-AU"/>
        </w:rPr>
      </w:pPr>
      <w:r w:rsidRPr="007A69A7">
        <w:rPr>
          <w:rFonts w:ascii="Times New Roman" w:eastAsia="Times New Roman" w:hAnsi="Times New Roman"/>
          <w:color w:val="000000"/>
          <w:sz w:val="24"/>
          <w:szCs w:val="24"/>
          <w:lang w:eastAsia="en-AU"/>
        </w:rPr>
        <w:t>the migration of critical legacy services such as medical alarms, fire panels and lift phones;</w:t>
      </w:r>
    </w:p>
    <w:p w14:paraId="64D2D19C" w14:textId="77777777" w:rsidR="00C25FDD" w:rsidRPr="007A69A7" w:rsidRDefault="00C25FDD" w:rsidP="003A1E64">
      <w:pPr>
        <w:pStyle w:val="ListParagraph"/>
        <w:numPr>
          <w:ilvl w:val="0"/>
          <w:numId w:val="13"/>
        </w:numPr>
        <w:spacing w:after="0" w:line="240" w:lineRule="auto"/>
        <w:rPr>
          <w:rFonts w:ascii="Times New Roman" w:eastAsia="Times New Roman" w:hAnsi="Times New Roman"/>
          <w:color w:val="000000"/>
          <w:sz w:val="24"/>
          <w:szCs w:val="24"/>
          <w:lang w:eastAsia="en-AU"/>
        </w:rPr>
      </w:pPr>
      <w:r w:rsidRPr="007A69A7">
        <w:rPr>
          <w:rFonts w:ascii="Times New Roman" w:eastAsia="Times New Roman" w:hAnsi="Times New Roman"/>
          <w:color w:val="000000"/>
          <w:sz w:val="24"/>
          <w:szCs w:val="24"/>
          <w:lang w:eastAsia="en-AU"/>
        </w:rPr>
        <w:t>the migration of services which are subject to an in train order process;</w:t>
      </w:r>
    </w:p>
    <w:p w14:paraId="06C04782" w14:textId="77777777" w:rsidR="00C25FDD" w:rsidRPr="007A69A7" w:rsidRDefault="00C25FDD" w:rsidP="003A1E64">
      <w:pPr>
        <w:pStyle w:val="ListParagraph"/>
        <w:numPr>
          <w:ilvl w:val="0"/>
          <w:numId w:val="13"/>
        </w:numPr>
        <w:spacing w:after="0" w:line="240" w:lineRule="auto"/>
        <w:rPr>
          <w:rFonts w:ascii="Times New Roman" w:eastAsia="Times New Roman" w:hAnsi="Times New Roman"/>
          <w:color w:val="000000"/>
          <w:sz w:val="24"/>
          <w:szCs w:val="24"/>
          <w:lang w:eastAsia="en-AU"/>
        </w:rPr>
      </w:pPr>
      <w:r w:rsidRPr="007A69A7">
        <w:rPr>
          <w:rFonts w:ascii="Times New Roman" w:eastAsia="Times New Roman" w:hAnsi="Times New Roman"/>
          <w:color w:val="000000"/>
          <w:sz w:val="24"/>
          <w:szCs w:val="24"/>
          <w:lang w:eastAsia="en-AU"/>
        </w:rPr>
        <w:t>the migration of complex special services, such as those used by businesses and in multi-dwelling premises common areas;</w:t>
      </w:r>
    </w:p>
    <w:p w14:paraId="1984070B" w14:textId="77777777" w:rsidR="00C25FDD" w:rsidRPr="007A69A7" w:rsidRDefault="00C25FDD" w:rsidP="003A1E64">
      <w:pPr>
        <w:pStyle w:val="ListParagraph"/>
        <w:numPr>
          <w:ilvl w:val="0"/>
          <w:numId w:val="13"/>
        </w:numPr>
        <w:spacing w:after="0" w:line="240" w:lineRule="auto"/>
        <w:rPr>
          <w:rFonts w:ascii="Times New Roman" w:eastAsia="Times New Roman" w:hAnsi="Times New Roman"/>
          <w:color w:val="000000"/>
          <w:sz w:val="24"/>
          <w:szCs w:val="24"/>
          <w:lang w:eastAsia="en-AU"/>
        </w:rPr>
      </w:pPr>
      <w:r w:rsidRPr="007A69A7">
        <w:rPr>
          <w:rFonts w:ascii="Times New Roman" w:eastAsia="Times New Roman" w:hAnsi="Times New Roman"/>
          <w:color w:val="000000"/>
          <w:sz w:val="24"/>
          <w:szCs w:val="24"/>
          <w:lang w:eastAsia="en-AU"/>
        </w:rPr>
        <w:t>the case management of vulnerable customers, such as medical alarm users, to minimise the risk of unexpected disconnection could have potentially life threatening consequences; and</w:t>
      </w:r>
    </w:p>
    <w:p w14:paraId="4C0F1FBD" w14:textId="72AFB4EB" w:rsidR="00C25FDD" w:rsidRDefault="00C25FDD" w:rsidP="003A1E64">
      <w:pPr>
        <w:pStyle w:val="ListParagraph"/>
        <w:numPr>
          <w:ilvl w:val="0"/>
          <w:numId w:val="13"/>
        </w:numPr>
        <w:spacing w:after="0" w:line="240" w:lineRule="auto"/>
        <w:rPr>
          <w:rFonts w:ascii="Times New Roman" w:eastAsia="Times New Roman" w:hAnsi="Times New Roman"/>
          <w:color w:val="000000"/>
          <w:sz w:val="24"/>
          <w:szCs w:val="24"/>
          <w:lang w:eastAsia="en-AU"/>
        </w:rPr>
      </w:pPr>
      <w:r w:rsidRPr="007A69A7">
        <w:rPr>
          <w:rFonts w:ascii="Times New Roman" w:eastAsia="Times New Roman" w:hAnsi="Times New Roman"/>
          <w:color w:val="000000"/>
          <w:sz w:val="24"/>
          <w:szCs w:val="24"/>
          <w:lang w:eastAsia="en-AU"/>
        </w:rPr>
        <w:t>NBN information campaigns directed at the last ‘hard to migrate’ segment of consumers, ensuring that such consumers are fully informed of the impending disconnection.</w:t>
      </w:r>
    </w:p>
    <w:p w14:paraId="6680C989" w14:textId="77777777" w:rsidR="000F4FCE" w:rsidRPr="001F1750" w:rsidRDefault="000F4FCE" w:rsidP="0053049B">
      <w:pPr>
        <w:pStyle w:val="ListParagraph"/>
        <w:spacing w:after="0" w:line="240" w:lineRule="auto"/>
        <w:rPr>
          <w:rFonts w:ascii="Times New Roman" w:eastAsia="Times New Roman" w:hAnsi="Times New Roman"/>
          <w:color w:val="000000"/>
          <w:sz w:val="24"/>
          <w:szCs w:val="24"/>
          <w:lang w:eastAsia="en-AU"/>
        </w:rPr>
      </w:pPr>
    </w:p>
    <w:p w14:paraId="1AE33635" w14:textId="4530E781" w:rsidR="00C25FDD" w:rsidRDefault="00C25FDD" w:rsidP="001F1750">
      <w:pPr>
        <w:spacing w:after="0" w:line="240" w:lineRule="auto"/>
        <w:rPr>
          <w:rFonts w:ascii="Times New Roman" w:eastAsia="Times New Roman" w:hAnsi="Times New Roman"/>
          <w:color w:val="000000"/>
          <w:sz w:val="24"/>
          <w:szCs w:val="24"/>
          <w:lang w:eastAsia="en-AU"/>
        </w:rPr>
      </w:pPr>
      <w:r w:rsidRPr="0099665F">
        <w:rPr>
          <w:rFonts w:ascii="Times New Roman" w:eastAsia="Times New Roman" w:hAnsi="Times New Roman"/>
          <w:color w:val="000000"/>
          <w:sz w:val="24"/>
          <w:szCs w:val="24"/>
          <w:lang w:eastAsia="en-AU"/>
        </w:rPr>
        <w:t xml:space="preserve">Under the Declaration, Telstra discloses to NBN Co the Loc ID data sourced from those wholesale customers who have not otherwise authorised the disclosure. </w:t>
      </w:r>
      <w:r>
        <w:rPr>
          <w:rFonts w:ascii="Times New Roman" w:eastAsia="Times New Roman" w:hAnsi="Times New Roman"/>
          <w:color w:val="000000"/>
          <w:sz w:val="24"/>
          <w:szCs w:val="24"/>
          <w:lang w:eastAsia="en-AU"/>
        </w:rPr>
        <w:t xml:space="preserve">This </w:t>
      </w:r>
      <w:r w:rsidRPr="0099665F">
        <w:rPr>
          <w:rFonts w:ascii="Times New Roman" w:eastAsia="Times New Roman" w:hAnsi="Times New Roman"/>
          <w:color w:val="000000"/>
          <w:sz w:val="24"/>
          <w:szCs w:val="24"/>
          <w:lang w:eastAsia="en-AU"/>
        </w:rPr>
        <w:t>include</w:t>
      </w:r>
      <w:r>
        <w:rPr>
          <w:rFonts w:ascii="Times New Roman" w:eastAsia="Times New Roman" w:hAnsi="Times New Roman"/>
          <w:color w:val="000000"/>
          <w:sz w:val="24"/>
          <w:szCs w:val="24"/>
          <w:lang w:eastAsia="en-AU"/>
        </w:rPr>
        <w:t>s</w:t>
      </w:r>
      <w:r w:rsidRPr="0099665F">
        <w:rPr>
          <w:rFonts w:ascii="Times New Roman" w:eastAsia="Times New Roman" w:hAnsi="Times New Roman"/>
          <w:color w:val="000000"/>
          <w:sz w:val="24"/>
          <w:szCs w:val="24"/>
          <w:lang w:eastAsia="en-AU"/>
        </w:rPr>
        <w:t xml:space="preserve"> special services, in train orders, and mu</w:t>
      </w:r>
      <w:r w:rsidR="00AB4E62">
        <w:rPr>
          <w:rFonts w:ascii="Times New Roman" w:eastAsia="Times New Roman" w:hAnsi="Times New Roman"/>
          <w:color w:val="000000"/>
          <w:sz w:val="24"/>
          <w:szCs w:val="24"/>
          <w:lang w:eastAsia="en-AU"/>
        </w:rPr>
        <w:t>lti-dwelling unit common areas.</w:t>
      </w:r>
    </w:p>
    <w:p w14:paraId="002E29F7" w14:textId="77777777" w:rsidR="00AB4E62" w:rsidRPr="001F1750" w:rsidRDefault="00AB4E62" w:rsidP="001F1750">
      <w:pPr>
        <w:spacing w:after="0" w:line="240" w:lineRule="auto"/>
        <w:rPr>
          <w:rFonts w:ascii="Times New Roman" w:eastAsia="Times New Roman" w:hAnsi="Times New Roman"/>
          <w:color w:val="000000"/>
          <w:sz w:val="24"/>
          <w:szCs w:val="24"/>
          <w:lang w:eastAsia="en-AU"/>
        </w:rPr>
      </w:pPr>
    </w:p>
    <w:p w14:paraId="19A34009" w14:textId="77777777" w:rsidR="00C25FDD" w:rsidRPr="001F1750" w:rsidRDefault="00C25FDD" w:rsidP="00C25FDD">
      <w:pPr>
        <w:pStyle w:val="Heading3"/>
        <w:rPr>
          <w:rFonts w:ascii="Times New Roman" w:hAnsi="Times New Roman" w:cs="Times New Roman"/>
          <w:b/>
          <w:color w:val="auto"/>
        </w:rPr>
      </w:pPr>
      <w:r w:rsidRPr="001F1750">
        <w:rPr>
          <w:rFonts w:ascii="Times New Roman" w:hAnsi="Times New Roman" w:cs="Times New Roman"/>
          <w:b/>
          <w:color w:val="auto"/>
        </w:rPr>
        <w:t>Human rights implications</w:t>
      </w:r>
    </w:p>
    <w:p w14:paraId="26DC5643" w14:textId="77777777" w:rsidR="00C25FDD" w:rsidRPr="00665E82" w:rsidRDefault="00C25FDD" w:rsidP="00C25FDD">
      <w:pPr>
        <w:spacing w:before="120" w:after="120" w:line="240" w:lineRule="auto"/>
        <w:rPr>
          <w:rFonts w:ascii="Times New Roman" w:hAnsi="Times New Roman"/>
          <w:sz w:val="24"/>
          <w:szCs w:val="24"/>
        </w:rPr>
      </w:pPr>
      <w:r>
        <w:rPr>
          <w:rFonts w:ascii="Times New Roman" w:hAnsi="Times New Roman"/>
          <w:sz w:val="24"/>
          <w:szCs w:val="24"/>
        </w:rPr>
        <w:t xml:space="preserve">This Declaration engages </w:t>
      </w:r>
      <w:r w:rsidRPr="00665E82">
        <w:rPr>
          <w:rFonts w:ascii="Times New Roman" w:hAnsi="Times New Roman"/>
          <w:sz w:val="24"/>
          <w:szCs w:val="24"/>
        </w:rPr>
        <w:t xml:space="preserve">the right to privacy in Article 17 of the </w:t>
      </w:r>
      <w:r w:rsidRPr="00665E82">
        <w:rPr>
          <w:rFonts w:ascii="Times New Roman" w:hAnsi="Times New Roman"/>
          <w:i/>
          <w:sz w:val="24"/>
          <w:szCs w:val="24"/>
        </w:rPr>
        <w:t>International Covenant on Civil and Political Rights</w:t>
      </w:r>
      <w:r>
        <w:rPr>
          <w:rFonts w:ascii="Times New Roman" w:hAnsi="Times New Roman"/>
          <w:i/>
          <w:sz w:val="24"/>
          <w:szCs w:val="24"/>
        </w:rPr>
        <w:t xml:space="preserve"> </w:t>
      </w:r>
      <w:r w:rsidRPr="00665E82">
        <w:rPr>
          <w:rFonts w:ascii="Times New Roman" w:hAnsi="Times New Roman"/>
          <w:sz w:val="24"/>
          <w:szCs w:val="24"/>
        </w:rPr>
        <w:t>(ICCPR).</w:t>
      </w:r>
    </w:p>
    <w:p w14:paraId="2FE559F4" w14:textId="77777777" w:rsidR="00C25FDD" w:rsidRPr="00665E82" w:rsidRDefault="00C25FDD" w:rsidP="000040D8">
      <w:pPr>
        <w:spacing w:before="120" w:after="240" w:line="240" w:lineRule="auto"/>
        <w:rPr>
          <w:rFonts w:ascii="Times New Roman" w:eastAsia="Times New Roman" w:hAnsi="Times New Roman"/>
          <w:i/>
          <w:color w:val="000000"/>
          <w:sz w:val="24"/>
          <w:szCs w:val="24"/>
          <w:lang w:eastAsia="en-AU"/>
        </w:rPr>
      </w:pPr>
      <w:r w:rsidRPr="00665E82">
        <w:rPr>
          <w:rFonts w:ascii="Times New Roman" w:eastAsia="Times New Roman" w:hAnsi="Times New Roman"/>
          <w:i/>
          <w:color w:val="000000"/>
          <w:sz w:val="24"/>
          <w:szCs w:val="24"/>
          <w:lang w:eastAsia="en-AU"/>
        </w:rPr>
        <w:t>Se</w:t>
      </w:r>
      <w:r>
        <w:rPr>
          <w:rFonts w:ascii="Times New Roman" w:eastAsia="Times New Roman" w:hAnsi="Times New Roman"/>
          <w:i/>
          <w:color w:val="000000"/>
          <w:sz w:val="24"/>
          <w:szCs w:val="24"/>
          <w:lang w:eastAsia="en-AU"/>
        </w:rPr>
        <w:t>c</w:t>
      </w:r>
      <w:r w:rsidRPr="00665E82">
        <w:rPr>
          <w:rFonts w:ascii="Times New Roman" w:eastAsia="Times New Roman" w:hAnsi="Times New Roman"/>
          <w:i/>
          <w:color w:val="000000"/>
          <w:sz w:val="24"/>
          <w:szCs w:val="24"/>
          <w:lang w:eastAsia="en-AU"/>
        </w:rPr>
        <w:t>tion</w:t>
      </w:r>
      <w:r>
        <w:rPr>
          <w:rFonts w:ascii="Times New Roman" w:eastAsia="Times New Roman" w:hAnsi="Times New Roman"/>
          <w:i/>
          <w:color w:val="000000"/>
          <w:sz w:val="24"/>
          <w:szCs w:val="24"/>
          <w:lang w:eastAsia="en-AU"/>
        </w:rPr>
        <w:t>s 7,</w:t>
      </w:r>
      <w:r w:rsidRPr="00665E82">
        <w:rPr>
          <w:rFonts w:ascii="Times New Roman" w:eastAsia="Times New Roman" w:hAnsi="Times New Roman"/>
          <w:i/>
          <w:color w:val="000000"/>
          <w:sz w:val="24"/>
          <w:szCs w:val="24"/>
          <w:lang w:eastAsia="en-AU"/>
        </w:rPr>
        <w:t xml:space="preserve"> </w:t>
      </w:r>
      <w:r>
        <w:rPr>
          <w:rFonts w:ascii="Times New Roman" w:eastAsia="Times New Roman" w:hAnsi="Times New Roman"/>
          <w:i/>
          <w:color w:val="000000"/>
          <w:sz w:val="24"/>
          <w:szCs w:val="24"/>
          <w:lang w:eastAsia="en-AU"/>
        </w:rPr>
        <w:t xml:space="preserve">8 and 9 – Operator assistance services, directory assistance services, and alphabetical public number directory </w:t>
      </w:r>
    </w:p>
    <w:p w14:paraId="0CB8BD16" w14:textId="77777777" w:rsidR="00C25FDD" w:rsidRDefault="00C25FDD" w:rsidP="00C25FDD">
      <w:pPr>
        <w:spacing w:before="120" w:after="120" w:line="240" w:lineRule="auto"/>
        <w:rPr>
          <w:rFonts w:ascii="Times New Roman" w:eastAsia="Times New Roman" w:hAnsi="Times New Roman"/>
          <w:iCs/>
          <w:color w:val="000000"/>
          <w:sz w:val="24"/>
          <w:szCs w:val="24"/>
          <w:lang w:eastAsia="en-AU"/>
        </w:rPr>
      </w:pPr>
      <w:r>
        <w:rPr>
          <w:rFonts w:ascii="Times New Roman" w:eastAsia="Times New Roman" w:hAnsi="Times New Roman"/>
          <w:color w:val="000000"/>
          <w:sz w:val="24"/>
          <w:szCs w:val="24"/>
          <w:lang w:eastAsia="en-AU"/>
        </w:rPr>
        <w:t xml:space="preserve">Sections 7, 8 and 9 of the Declaration require Telstra to maintain, disclose and publish potentially personal information such as the names of natural persons, address information and phone number for limited and defined purposes. </w:t>
      </w:r>
      <w:r w:rsidRPr="00685BCB">
        <w:rPr>
          <w:rFonts w:ascii="Times New Roman" w:eastAsia="Times New Roman" w:hAnsi="Times New Roman"/>
          <w:color w:val="000000"/>
          <w:sz w:val="24"/>
          <w:szCs w:val="24"/>
          <w:lang w:eastAsia="en-AU"/>
        </w:rPr>
        <w:t>It is recognised that disclosure of personal information engages the right that ‘no one shall be subjected to arbitrary or unlawful interference with his privacy, family, home or correspondence, nor to unlawful attacks on his honour and reputation’ in Article 17 of </w:t>
      </w:r>
      <w:r w:rsidRPr="00D03736">
        <w:rPr>
          <w:rFonts w:ascii="Times New Roman" w:eastAsia="Times New Roman" w:hAnsi="Times New Roman"/>
          <w:iCs/>
          <w:color w:val="000000"/>
          <w:sz w:val="24"/>
          <w:szCs w:val="24"/>
          <w:lang w:eastAsia="en-AU"/>
        </w:rPr>
        <w:t>the ICCPR</w:t>
      </w:r>
      <w:r>
        <w:rPr>
          <w:rFonts w:ascii="Times New Roman" w:eastAsia="Times New Roman" w:hAnsi="Times New Roman"/>
          <w:iCs/>
          <w:color w:val="000000"/>
          <w:sz w:val="24"/>
          <w:szCs w:val="24"/>
          <w:lang w:eastAsia="en-AU"/>
        </w:rPr>
        <w:t>.</w:t>
      </w:r>
    </w:p>
    <w:p w14:paraId="6367775B" w14:textId="77777777" w:rsidR="004E6192" w:rsidRDefault="00C25FDD" w:rsidP="001F1750">
      <w:pPr>
        <w:spacing w:before="120" w:after="120" w:line="240" w:lineRule="auto"/>
        <w:rPr>
          <w:rFonts w:ascii="Times New Roman" w:eastAsia="Times New Roman" w:hAnsi="Times New Roman"/>
          <w:iCs/>
          <w:color w:val="000000"/>
          <w:sz w:val="24"/>
          <w:szCs w:val="24"/>
          <w:lang w:eastAsia="en-AU"/>
        </w:rPr>
      </w:pPr>
      <w:r>
        <w:rPr>
          <w:rFonts w:ascii="Times New Roman" w:eastAsia="Times New Roman" w:hAnsi="Times New Roman"/>
          <w:iCs/>
          <w:color w:val="000000"/>
          <w:sz w:val="24"/>
          <w:szCs w:val="24"/>
          <w:lang w:eastAsia="en-AU"/>
        </w:rPr>
        <w:t>The licence conditions under sections 7, 8 and 9 would not be inconsistent with Article 17 because the resulting i</w:t>
      </w:r>
      <w:r w:rsidR="004E6192">
        <w:rPr>
          <w:rFonts w:ascii="Times New Roman" w:eastAsia="Times New Roman" w:hAnsi="Times New Roman"/>
          <w:iCs/>
          <w:color w:val="000000"/>
          <w:sz w:val="24"/>
          <w:szCs w:val="24"/>
          <w:lang w:eastAsia="en-AU"/>
        </w:rPr>
        <w:t>nterference with privacy would:</w:t>
      </w:r>
    </w:p>
    <w:p w14:paraId="586050AF" w14:textId="77777777" w:rsidR="004E6192" w:rsidRPr="004E6192" w:rsidRDefault="00C25FDD" w:rsidP="003A1E64">
      <w:pPr>
        <w:pStyle w:val="ListParagraph"/>
        <w:numPr>
          <w:ilvl w:val="0"/>
          <w:numId w:val="14"/>
        </w:numPr>
        <w:spacing w:before="120" w:after="120" w:line="240" w:lineRule="auto"/>
        <w:rPr>
          <w:rFonts w:ascii="Times New Roman" w:eastAsia="Times New Roman" w:hAnsi="Times New Roman"/>
          <w:iCs/>
          <w:color w:val="000000"/>
          <w:sz w:val="24"/>
          <w:szCs w:val="24"/>
          <w:lang w:eastAsia="en-AU"/>
        </w:rPr>
      </w:pPr>
      <w:r w:rsidRPr="001F1750">
        <w:rPr>
          <w:rFonts w:ascii="Times New Roman" w:eastAsia="Times New Roman" w:hAnsi="Times New Roman"/>
          <w:color w:val="000000"/>
          <w:sz w:val="24"/>
          <w:szCs w:val="24"/>
          <w:lang w:eastAsia="en-AU"/>
        </w:rPr>
        <w:t>not be unlawful, as it would be required by and authorised under the carrier licence condition contained with the Declaration; and</w:t>
      </w:r>
    </w:p>
    <w:p w14:paraId="18380A84" w14:textId="02043B9F" w:rsidR="00C25FDD" w:rsidRPr="001F1750" w:rsidRDefault="00C25FDD" w:rsidP="003A1E64">
      <w:pPr>
        <w:pStyle w:val="ListParagraph"/>
        <w:numPr>
          <w:ilvl w:val="0"/>
          <w:numId w:val="14"/>
        </w:numPr>
        <w:spacing w:before="120" w:after="120" w:line="240" w:lineRule="auto"/>
        <w:rPr>
          <w:rFonts w:ascii="Times New Roman" w:eastAsia="Times New Roman" w:hAnsi="Times New Roman"/>
          <w:iCs/>
          <w:color w:val="000000"/>
          <w:sz w:val="24"/>
          <w:szCs w:val="24"/>
          <w:lang w:eastAsia="en-AU"/>
        </w:rPr>
      </w:pPr>
      <w:r w:rsidRPr="001F1750">
        <w:rPr>
          <w:rFonts w:ascii="Times New Roman" w:eastAsia="Times New Roman" w:hAnsi="Times New Roman"/>
          <w:color w:val="000000"/>
          <w:sz w:val="24"/>
          <w:szCs w:val="24"/>
          <w:lang w:eastAsia="en-AU"/>
        </w:rPr>
        <w:t>not be arbitrary, as any limitation of the right to privacy would be reasonable, necessary and proportionate in pursuit of providing operator and directory assistance services.</w:t>
      </w:r>
    </w:p>
    <w:p w14:paraId="24D530DF" w14:textId="3933F0C8" w:rsidR="00C25FDD" w:rsidRPr="00150535" w:rsidRDefault="00C25FDD" w:rsidP="001F1750">
      <w:pPr>
        <w:spacing w:after="24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Customers, which includes both natural persons and other legal persons, also have the option of being excluded from the alphabetical public number directory under section 9 by opting for an unlisted number. Telstra is required by section 9 not to include unl</w:t>
      </w:r>
      <w:r w:rsidR="004E6192">
        <w:rPr>
          <w:rFonts w:ascii="Times New Roman" w:eastAsia="Times New Roman" w:hAnsi="Times New Roman"/>
          <w:color w:val="000000"/>
          <w:sz w:val="24"/>
          <w:szCs w:val="24"/>
          <w:lang w:eastAsia="en-AU"/>
        </w:rPr>
        <w:t>isted numbers in its directory.</w:t>
      </w:r>
    </w:p>
    <w:p w14:paraId="21C0A651" w14:textId="77777777" w:rsidR="00C25FDD" w:rsidRPr="00665E82" w:rsidRDefault="00C25FDD" w:rsidP="000040D8">
      <w:pPr>
        <w:spacing w:before="120" w:after="240" w:line="240" w:lineRule="auto"/>
        <w:rPr>
          <w:rFonts w:ascii="Times New Roman" w:eastAsia="Times New Roman" w:hAnsi="Times New Roman"/>
          <w:i/>
          <w:color w:val="000000"/>
          <w:sz w:val="24"/>
          <w:szCs w:val="24"/>
          <w:lang w:eastAsia="en-AU"/>
        </w:rPr>
      </w:pPr>
      <w:r w:rsidRPr="00665E82">
        <w:rPr>
          <w:rFonts w:ascii="Times New Roman" w:eastAsia="Times New Roman" w:hAnsi="Times New Roman"/>
          <w:i/>
          <w:color w:val="000000"/>
          <w:sz w:val="24"/>
          <w:szCs w:val="24"/>
          <w:lang w:eastAsia="en-AU"/>
        </w:rPr>
        <w:t>Se</w:t>
      </w:r>
      <w:r>
        <w:rPr>
          <w:rFonts w:ascii="Times New Roman" w:eastAsia="Times New Roman" w:hAnsi="Times New Roman"/>
          <w:i/>
          <w:color w:val="000000"/>
          <w:sz w:val="24"/>
          <w:szCs w:val="24"/>
          <w:lang w:eastAsia="en-AU"/>
        </w:rPr>
        <w:t>c</w:t>
      </w:r>
      <w:r w:rsidRPr="00665E82">
        <w:rPr>
          <w:rFonts w:ascii="Times New Roman" w:eastAsia="Times New Roman" w:hAnsi="Times New Roman"/>
          <w:i/>
          <w:color w:val="000000"/>
          <w:sz w:val="24"/>
          <w:szCs w:val="24"/>
          <w:lang w:eastAsia="en-AU"/>
        </w:rPr>
        <w:t xml:space="preserve">tion 10 </w:t>
      </w:r>
      <w:r>
        <w:rPr>
          <w:rFonts w:ascii="Times New Roman" w:eastAsia="Times New Roman" w:hAnsi="Times New Roman"/>
          <w:i/>
          <w:color w:val="000000"/>
          <w:sz w:val="24"/>
          <w:szCs w:val="24"/>
          <w:lang w:eastAsia="en-AU"/>
        </w:rPr>
        <w:t xml:space="preserve">- </w:t>
      </w:r>
      <w:r w:rsidRPr="00D03736">
        <w:rPr>
          <w:rFonts w:ascii="Times New Roman" w:eastAsia="Times New Roman" w:hAnsi="Times New Roman"/>
          <w:i/>
          <w:color w:val="000000"/>
          <w:sz w:val="24"/>
          <w:szCs w:val="24"/>
          <w:lang w:eastAsia="en-AU"/>
        </w:rPr>
        <w:t xml:space="preserve">Integrated public number </w:t>
      </w:r>
      <w:r w:rsidRPr="007A69A7">
        <w:rPr>
          <w:rFonts w:ascii="Times New Roman" w:eastAsia="Times New Roman" w:hAnsi="Times New Roman"/>
          <w:i/>
          <w:color w:val="000000"/>
          <w:sz w:val="24"/>
          <w:szCs w:val="24"/>
          <w:lang w:eastAsia="en-AU"/>
        </w:rPr>
        <w:t>database</w:t>
      </w:r>
      <w:r w:rsidRPr="00665E82">
        <w:rPr>
          <w:rFonts w:ascii="Times New Roman" w:eastAsia="Times New Roman" w:hAnsi="Times New Roman"/>
          <w:i/>
          <w:color w:val="000000"/>
          <w:sz w:val="24"/>
          <w:szCs w:val="24"/>
          <w:lang w:eastAsia="en-AU"/>
        </w:rPr>
        <w:t xml:space="preserve"> </w:t>
      </w:r>
    </w:p>
    <w:p w14:paraId="76B939F4" w14:textId="7E810265" w:rsidR="00C25FDD" w:rsidRDefault="000D1A1F" w:rsidP="00C25FDD">
      <w:pPr>
        <w:spacing w:before="120" w:after="120" w:line="240" w:lineRule="auto"/>
        <w:rPr>
          <w:rFonts w:ascii="Times New Roman" w:eastAsia="Times New Roman" w:hAnsi="Times New Roman"/>
          <w:iCs/>
          <w:color w:val="000000"/>
          <w:sz w:val="24"/>
          <w:szCs w:val="24"/>
          <w:lang w:eastAsia="en-AU"/>
        </w:rPr>
      </w:pPr>
      <w:r>
        <w:rPr>
          <w:rFonts w:ascii="Times New Roman" w:eastAsia="Times New Roman" w:hAnsi="Times New Roman"/>
          <w:color w:val="000000"/>
          <w:sz w:val="24"/>
          <w:szCs w:val="24"/>
          <w:lang w:eastAsia="en-AU"/>
        </w:rPr>
        <w:t>As noted above, s</w:t>
      </w:r>
      <w:r w:rsidR="00C25FDD">
        <w:rPr>
          <w:rFonts w:ascii="Times New Roman" w:eastAsia="Times New Roman" w:hAnsi="Times New Roman"/>
          <w:color w:val="000000"/>
          <w:sz w:val="24"/>
          <w:szCs w:val="24"/>
          <w:lang w:eastAsia="en-AU"/>
        </w:rPr>
        <w:t xml:space="preserve">ection 10 of the Declaration requires Telstra to maintain </w:t>
      </w:r>
      <w:r>
        <w:rPr>
          <w:rFonts w:ascii="Times New Roman" w:eastAsia="Times New Roman" w:hAnsi="Times New Roman"/>
          <w:color w:val="000000"/>
          <w:sz w:val="24"/>
          <w:szCs w:val="24"/>
          <w:lang w:eastAsia="en-AU"/>
        </w:rPr>
        <w:t xml:space="preserve">the IPND </w:t>
      </w:r>
      <w:r w:rsidR="00C25FDD" w:rsidRPr="00685BCB">
        <w:rPr>
          <w:rFonts w:ascii="Times New Roman" w:eastAsia="Times New Roman" w:hAnsi="Times New Roman"/>
          <w:color w:val="000000"/>
          <w:sz w:val="24"/>
          <w:szCs w:val="24"/>
          <w:lang w:eastAsia="en-AU"/>
        </w:rPr>
        <w:t>It is recognised that disclosure of personal information engages the right that ‘no one shall be subjected to arbitrary or unlawful interference with his privacy, family, home or correspondence, nor to unlawful attacks on his honour and reputation’ in Article 17 of </w:t>
      </w:r>
      <w:r w:rsidR="00C25FDD" w:rsidRPr="00D03736">
        <w:rPr>
          <w:rFonts w:ascii="Times New Roman" w:eastAsia="Times New Roman" w:hAnsi="Times New Roman"/>
          <w:iCs/>
          <w:color w:val="000000"/>
          <w:sz w:val="24"/>
          <w:szCs w:val="24"/>
          <w:lang w:eastAsia="en-AU"/>
        </w:rPr>
        <w:t>the ICCPR</w:t>
      </w:r>
      <w:r w:rsidR="00C25FDD">
        <w:rPr>
          <w:rFonts w:ascii="Times New Roman" w:eastAsia="Times New Roman" w:hAnsi="Times New Roman"/>
          <w:iCs/>
          <w:color w:val="000000"/>
          <w:sz w:val="24"/>
          <w:szCs w:val="24"/>
          <w:lang w:eastAsia="en-AU"/>
        </w:rPr>
        <w:t>.</w:t>
      </w:r>
    </w:p>
    <w:p w14:paraId="3A7CD719" w14:textId="77777777" w:rsidR="004E6192" w:rsidRDefault="00C25FDD" w:rsidP="001F1750">
      <w:pPr>
        <w:spacing w:before="120" w:after="120" w:line="240" w:lineRule="auto"/>
        <w:rPr>
          <w:rFonts w:ascii="Times New Roman" w:eastAsia="Times New Roman" w:hAnsi="Times New Roman"/>
          <w:iCs/>
          <w:color w:val="000000"/>
          <w:sz w:val="24"/>
          <w:szCs w:val="24"/>
          <w:lang w:eastAsia="en-AU"/>
        </w:rPr>
      </w:pPr>
      <w:r>
        <w:rPr>
          <w:rFonts w:ascii="Times New Roman" w:eastAsia="Times New Roman" w:hAnsi="Times New Roman"/>
          <w:iCs/>
          <w:color w:val="000000"/>
          <w:sz w:val="24"/>
          <w:szCs w:val="24"/>
          <w:lang w:eastAsia="en-AU"/>
        </w:rPr>
        <w:t>The licence conditions under section 10 would not be inconsistent with Article 17 because the resulting i</w:t>
      </w:r>
      <w:r w:rsidR="004E6192">
        <w:rPr>
          <w:rFonts w:ascii="Times New Roman" w:eastAsia="Times New Roman" w:hAnsi="Times New Roman"/>
          <w:iCs/>
          <w:color w:val="000000"/>
          <w:sz w:val="24"/>
          <w:szCs w:val="24"/>
          <w:lang w:eastAsia="en-AU"/>
        </w:rPr>
        <w:t>nterference with privacy would:</w:t>
      </w:r>
    </w:p>
    <w:p w14:paraId="76A2EEC4" w14:textId="77777777" w:rsidR="004E6192" w:rsidRPr="001F1750" w:rsidRDefault="00C25FDD" w:rsidP="003A1E64">
      <w:pPr>
        <w:pStyle w:val="ListParagraph"/>
        <w:numPr>
          <w:ilvl w:val="0"/>
          <w:numId w:val="15"/>
        </w:numPr>
        <w:spacing w:before="120" w:after="120" w:line="240" w:lineRule="auto"/>
        <w:rPr>
          <w:rFonts w:ascii="Times New Roman" w:eastAsia="Times New Roman" w:hAnsi="Times New Roman"/>
          <w:iCs/>
          <w:color w:val="000000"/>
          <w:sz w:val="24"/>
          <w:szCs w:val="24"/>
          <w:lang w:eastAsia="en-AU"/>
        </w:rPr>
      </w:pPr>
      <w:r w:rsidRPr="001F1750">
        <w:rPr>
          <w:rFonts w:ascii="Times New Roman" w:eastAsia="Times New Roman" w:hAnsi="Times New Roman"/>
          <w:color w:val="000000"/>
          <w:sz w:val="24"/>
          <w:szCs w:val="24"/>
          <w:lang w:eastAsia="en-AU"/>
        </w:rPr>
        <w:t>not be unlawful, as it would be required by and authorised under the carrier licence condition contained with the Declaration; and</w:t>
      </w:r>
    </w:p>
    <w:p w14:paraId="60E474D1" w14:textId="682A9CB8" w:rsidR="004E6192" w:rsidRPr="007F6DA1" w:rsidRDefault="00C25FDD" w:rsidP="003A1E64">
      <w:pPr>
        <w:pStyle w:val="ListParagraph"/>
        <w:numPr>
          <w:ilvl w:val="0"/>
          <w:numId w:val="15"/>
        </w:numPr>
        <w:spacing w:before="120" w:after="120" w:line="240" w:lineRule="auto"/>
        <w:ind w:left="714" w:hanging="357"/>
        <w:rPr>
          <w:rFonts w:ascii="Times New Roman" w:eastAsia="Times New Roman" w:hAnsi="Times New Roman"/>
          <w:iCs/>
          <w:color w:val="000000"/>
          <w:sz w:val="24"/>
          <w:szCs w:val="24"/>
          <w:lang w:eastAsia="en-AU"/>
        </w:rPr>
      </w:pPr>
      <w:r w:rsidRPr="001F1750">
        <w:rPr>
          <w:rFonts w:ascii="Times New Roman" w:eastAsia="Times New Roman" w:hAnsi="Times New Roman"/>
          <w:color w:val="000000"/>
          <w:sz w:val="24"/>
          <w:szCs w:val="24"/>
          <w:lang w:eastAsia="en-AU"/>
        </w:rPr>
        <w:t>not be arbitrary, as any limitation of the right to privacy would be reasonable, necessary and proportionate in pursuit of supported a limited number of purposes, which includes the opera</w:t>
      </w:r>
      <w:r w:rsidR="004E6192" w:rsidRPr="007F6DA1">
        <w:rPr>
          <w:rFonts w:ascii="Times New Roman" w:eastAsia="Times New Roman" w:hAnsi="Times New Roman"/>
          <w:color w:val="000000"/>
          <w:sz w:val="24"/>
          <w:szCs w:val="24"/>
          <w:lang w:eastAsia="en-AU"/>
        </w:rPr>
        <w:t>tion of emergency call services</w:t>
      </w:r>
      <w:r w:rsidR="004E6192">
        <w:rPr>
          <w:rFonts w:ascii="Times New Roman" w:eastAsia="Times New Roman" w:hAnsi="Times New Roman"/>
          <w:color w:val="000000"/>
          <w:sz w:val="24"/>
          <w:szCs w:val="24"/>
          <w:lang w:eastAsia="en-AU"/>
        </w:rPr>
        <w:t>.</w:t>
      </w:r>
    </w:p>
    <w:p w14:paraId="788730DD" w14:textId="54823D54" w:rsidR="00C25FDD" w:rsidRDefault="00C25FDD" w:rsidP="00C25FDD">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In addition, Telstra is required to comply with privacy safeguards contained in Part 13 of the</w:t>
      </w:r>
      <w:r w:rsidR="008B7CA3">
        <w:rPr>
          <w:rFonts w:ascii="Times New Roman" w:eastAsia="Times New Roman" w:hAnsi="Times New Roman"/>
          <w:i/>
          <w:color w:val="000000"/>
          <w:sz w:val="24"/>
          <w:szCs w:val="24"/>
          <w:lang w:eastAsia="en-AU"/>
        </w:rPr>
        <w:t xml:space="preserve"> </w:t>
      </w:r>
      <w:r w:rsidR="008B7CA3">
        <w:rPr>
          <w:rFonts w:ascii="Times New Roman" w:eastAsia="Times New Roman" w:hAnsi="Times New Roman"/>
          <w:color w:val="000000"/>
          <w:sz w:val="24"/>
          <w:szCs w:val="24"/>
          <w:lang w:eastAsia="en-AU"/>
        </w:rPr>
        <w:t>Act</w:t>
      </w:r>
      <w:r>
        <w:rPr>
          <w:rFonts w:ascii="Times New Roman" w:eastAsia="Times New Roman" w:hAnsi="Times New Roman"/>
          <w:color w:val="000000"/>
          <w:sz w:val="24"/>
          <w:szCs w:val="24"/>
          <w:lang w:eastAsia="en-AU"/>
        </w:rPr>
        <w:t>.</w:t>
      </w:r>
    </w:p>
    <w:p w14:paraId="756A83C5" w14:textId="77777777" w:rsidR="00C25FDD" w:rsidRPr="00665E82" w:rsidRDefault="00C25FDD" w:rsidP="000040D8">
      <w:pPr>
        <w:spacing w:before="120" w:after="240" w:line="240" w:lineRule="auto"/>
        <w:rPr>
          <w:rFonts w:ascii="Times New Roman" w:eastAsia="Times New Roman" w:hAnsi="Times New Roman"/>
          <w:i/>
          <w:color w:val="000000"/>
          <w:sz w:val="24"/>
          <w:szCs w:val="24"/>
          <w:lang w:eastAsia="en-AU"/>
        </w:rPr>
      </w:pPr>
      <w:bookmarkStart w:id="6" w:name="_GoBack"/>
      <w:bookmarkEnd w:id="6"/>
      <w:r w:rsidRPr="00665E82">
        <w:rPr>
          <w:rFonts w:ascii="Times New Roman" w:eastAsia="Times New Roman" w:hAnsi="Times New Roman"/>
          <w:i/>
          <w:color w:val="000000"/>
          <w:sz w:val="24"/>
          <w:szCs w:val="24"/>
          <w:lang w:eastAsia="en-AU"/>
        </w:rPr>
        <w:t xml:space="preserve">Section 11- Disclosure of specified </w:t>
      </w:r>
      <w:r w:rsidRPr="007A69A7">
        <w:rPr>
          <w:rFonts w:ascii="Times New Roman" w:eastAsia="Times New Roman" w:hAnsi="Times New Roman"/>
          <w:i/>
          <w:color w:val="000000"/>
          <w:sz w:val="24"/>
          <w:szCs w:val="24"/>
          <w:lang w:eastAsia="en-AU"/>
        </w:rPr>
        <w:t>premises</w:t>
      </w:r>
      <w:r w:rsidRPr="00665E82">
        <w:rPr>
          <w:rFonts w:ascii="Times New Roman" w:eastAsia="Times New Roman" w:hAnsi="Times New Roman"/>
          <w:i/>
          <w:color w:val="000000"/>
          <w:sz w:val="24"/>
          <w:szCs w:val="24"/>
          <w:lang w:eastAsia="en-AU"/>
        </w:rPr>
        <w:t xml:space="preserve"> </w:t>
      </w:r>
      <w:r w:rsidRPr="007A69A7">
        <w:rPr>
          <w:rFonts w:ascii="Times New Roman" w:eastAsia="Times New Roman" w:hAnsi="Times New Roman"/>
          <w:i/>
          <w:color w:val="000000"/>
          <w:sz w:val="24"/>
          <w:szCs w:val="24"/>
          <w:lang w:eastAsia="en-AU"/>
        </w:rPr>
        <w:t>location</w:t>
      </w:r>
      <w:r w:rsidRPr="00665E82">
        <w:rPr>
          <w:rFonts w:ascii="Times New Roman" w:eastAsia="Times New Roman" w:hAnsi="Times New Roman"/>
          <w:i/>
          <w:color w:val="000000"/>
          <w:sz w:val="24"/>
          <w:szCs w:val="24"/>
          <w:lang w:eastAsia="en-AU"/>
        </w:rPr>
        <w:t xml:space="preserve"> information to NB</w:t>
      </w:r>
      <w:r>
        <w:rPr>
          <w:rFonts w:ascii="Times New Roman" w:eastAsia="Times New Roman" w:hAnsi="Times New Roman"/>
          <w:i/>
          <w:color w:val="000000"/>
          <w:sz w:val="24"/>
          <w:szCs w:val="24"/>
          <w:lang w:eastAsia="en-AU"/>
        </w:rPr>
        <w:t>N</w:t>
      </w:r>
      <w:r w:rsidRPr="00665E82">
        <w:rPr>
          <w:rFonts w:ascii="Times New Roman" w:eastAsia="Times New Roman" w:hAnsi="Times New Roman"/>
          <w:i/>
          <w:color w:val="000000"/>
          <w:sz w:val="24"/>
          <w:szCs w:val="24"/>
          <w:lang w:eastAsia="en-AU"/>
        </w:rPr>
        <w:t xml:space="preserve"> Co </w:t>
      </w:r>
    </w:p>
    <w:p w14:paraId="124E1594" w14:textId="77777777" w:rsidR="00C25FDD" w:rsidRPr="00685BCB" w:rsidRDefault="00C25FDD" w:rsidP="00C25FDD">
      <w:pPr>
        <w:spacing w:before="120"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Section 11 of the Declaration requires Telstra to disclose information to NBN Co for</w:t>
      </w:r>
      <w:r w:rsidRPr="00685BCB">
        <w:rPr>
          <w:rFonts w:ascii="Times New Roman" w:eastAsia="Times New Roman" w:hAnsi="Times New Roman"/>
          <w:color w:val="000000"/>
          <w:sz w:val="24"/>
          <w:szCs w:val="24"/>
          <w:lang w:eastAsia="en-AU"/>
        </w:rPr>
        <w:t xml:space="preserve"> limited and defined purposes</w:t>
      </w:r>
      <w:r>
        <w:rPr>
          <w:rFonts w:ascii="Times New Roman" w:eastAsia="Times New Roman" w:hAnsi="Times New Roman"/>
          <w:color w:val="000000"/>
          <w:sz w:val="24"/>
          <w:szCs w:val="24"/>
          <w:lang w:eastAsia="en-AU"/>
        </w:rPr>
        <w:t>, which</w:t>
      </w:r>
      <w:r w:rsidRPr="00685BCB">
        <w:rPr>
          <w:rFonts w:ascii="Times New Roman" w:eastAsia="Times New Roman" w:hAnsi="Times New Roman"/>
          <w:color w:val="000000"/>
          <w:sz w:val="24"/>
          <w:szCs w:val="24"/>
          <w:lang w:eastAsia="en-AU"/>
        </w:rPr>
        <w:t xml:space="preserve"> will not contain account holders’ names; the information will essentially be a stand-alone physical address that will allow an individual to be contacted (on an anonymised/generic basis) by NBN Co. In the case of special services, additional information will be provided which identifies the disconnection date of that particular service. Address information is potentially personal information.</w:t>
      </w:r>
    </w:p>
    <w:p w14:paraId="589E8FBA" w14:textId="77777777" w:rsidR="00C25FDD" w:rsidRPr="00685BCB" w:rsidRDefault="00C25FDD" w:rsidP="00C25FDD">
      <w:pPr>
        <w:spacing w:before="120" w:after="120" w:line="240" w:lineRule="auto"/>
        <w:rPr>
          <w:rFonts w:ascii="Times New Roman" w:eastAsia="Times New Roman" w:hAnsi="Times New Roman"/>
          <w:color w:val="000000"/>
          <w:sz w:val="24"/>
          <w:szCs w:val="24"/>
          <w:lang w:eastAsia="en-AU"/>
        </w:rPr>
      </w:pPr>
      <w:r w:rsidRPr="00685BCB">
        <w:rPr>
          <w:rFonts w:ascii="Times New Roman" w:eastAsia="Times New Roman" w:hAnsi="Times New Roman"/>
          <w:color w:val="000000"/>
          <w:sz w:val="24"/>
          <w:szCs w:val="24"/>
          <w:lang w:eastAsia="en-AU"/>
        </w:rPr>
        <w:t>It is recognised that disclosure of personal information engages the right that ‘no one shall be subjected to arbitrary or unlawful interference with his privacy, family, home or correspondence, nor to unlawful attacks on his honour and reputation’ in Article 17 of </w:t>
      </w:r>
      <w:r w:rsidRPr="00D03736">
        <w:rPr>
          <w:rFonts w:ascii="Times New Roman" w:eastAsia="Times New Roman" w:hAnsi="Times New Roman"/>
          <w:iCs/>
          <w:color w:val="000000"/>
          <w:sz w:val="24"/>
          <w:szCs w:val="24"/>
          <w:lang w:eastAsia="en-AU"/>
        </w:rPr>
        <w:t>the ICCPR</w:t>
      </w:r>
      <w:r w:rsidRPr="00685BCB">
        <w:rPr>
          <w:rFonts w:ascii="Times New Roman" w:eastAsia="Times New Roman" w:hAnsi="Times New Roman"/>
          <w:color w:val="000000"/>
          <w:sz w:val="24"/>
          <w:szCs w:val="24"/>
          <w:lang w:eastAsia="en-AU"/>
        </w:rPr>
        <w:t>.</w:t>
      </w:r>
    </w:p>
    <w:p w14:paraId="1A52044F" w14:textId="77777777" w:rsidR="004E6192" w:rsidRDefault="00C25FDD" w:rsidP="001F1750">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The</w:t>
      </w:r>
      <w:r w:rsidRPr="00685BCB">
        <w:rPr>
          <w:rFonts w:ascii="Times New Roman" w:eastAsia="Times New Roman" w:hAnsi="Times New Roman"/>
          <w:color w:val="000000"/>
          <w:sz w:val="24"/>
          <w:szCs w:val="24"/>
          <w:lang w:eastAsia="en-AU"/>
        </w:rPr>
        <w:t xml:space="preserve"> licence condition</w:t>
      </w:r>
      <w:r>
        <w:rPr>
          <w:rFonts w:ascii="Times New Roman" w:eastAsia="Times New Roman" w:hAnsi="Times New Roman"/>
          <w:color w:val="000000"/>
          <w:sz w:val="24"/>
          <w:szCs w:val="24"/>
          <w:lang w:eastAsia="en-AU"/>
        </w:rPr>
        <w:t xml:space="preserve"> under section 11 </w:t>
      </w:r>
      <w:r w:rsidRPr="00685BCB">
        <w:rPr>
          <w:rFonts w:ascii="Times New Roman" w:eastAsia="Times New Roman" w:hAnsi="Times New Roman"/>
          <w:color w:val="000000"/>
          <w:sz w:val="24"/>
          <w:szCs w:val="24"/>
          <w:lang w:eastAsia="en-AU"/>
        </w:rPr>
        <w:t>would not be inconsistent with Article 17 because any resulting i</w:t>
      </w:r>
      <w:r w:rsidR="004E6192">
        <w:rPr>
          <w:rFonts w:ascii="Times New Roman" w:eastAsia="Times New Roman" w:hAnsi="Times New Roman"/>
          <w:color w:val="000000"/>
          <w:sz w:val="24"/>
          <w:szCs w:val="24"/>
          <w:lang w:eastAsia="en-AU"/>
        </w:rPr>
        <w:t>nterference with privacy would:</w:t>
      </w:r>
    </w:p>
    <w:p w14:paraId="40E4658F" w14:textId="77777777" w:rsidR="004E6192" w:rsidRDefault="00C25FDD" w:rsidP="003A1E64">
      <w:pPr>
        <w:pStyle w:val="ListParagraph"/>
        <w:numPr>
          <w:ilvl w:val="0"/>
          <w:numId w:val="16"/>
        </w:numPr>
        <w:spacing w:after="0" w:line="240" w:lineRule="auto"/>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not be unlawful, as it would be required by and authorised under the carrier licence condition contained with the Declaration; and</w:t>
      </w:r>
    </w:p>
    <w:p w14:paraId="6BB13167" w14:textId="77777777" w:rsidR="004E6192" w:rsidRDefault="00C25FDD" w:rsidP="003A1E64">
      <w:pPr>
        <w:pStyle w:val="ListParagraph"/>
        <w:numPr>
          <w:ilvl w:val="0"/>
          <w:numId w:val="16"/>
        </w:numPr>
        <w:spacing w:after="120" w:line="240" w:lineRule="auto"/>
        <w:ind w:left="714" w:hanging="357"/>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not be arbitrary, as any limitation of the right to privacy would be reasonable, necessary and proportionate in pursuit of the objectives of the migration of critical services, and for other customer migration purposes in the public interest.</w:t>
      </w:r>
    </w:p>
    <w:p w14:paraId="7BCB1BA2" w14:textId="07C11CA1" w:rsidR="00C25FDD" w:rsidRPr="001F1750" w:rsidRDefault="00C25FDD" w:rsidP="007F6DA1">
      <w:pPr>
        <w:spacing w:after="0" w:line="240" w:lineRule="auto"/>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The Declaration does not impose an arbitrary limitation on the right to privacy given the context and limitations on the disclosure to, and use by NBN Co of the address information, as discussed more fully below.</w:t>
      </w:r>
    </w:p>
    <w:p w14:paraId="39F01BF9" w14:textId="77777777" w:rsidR="00C25FDD" w:rsidRPr="00685BCB" w:rsidRDefault="00C25FDD" w:rsidP="00C25FDD">
      <w:pPr>
        <w:spacing w:after="0" w:line="240" w:lineRule="auto"/>
        <w:rPr>
          <w:rFonts w:ascii="Times New Roman" w:eastAsia="Times New Roman" w:hAnsi="Times New Roman"/>
          <w:color w:val="000000"/>
          <w:sz w:val="24"/>
          <w:szCs w:val="24"/>
          <w:lang w:eastAsia="en-AU"/>
        </w:rPr>
      </w:pPr>
    </w:p>
    <w:p w14:paraId="4B6DFEB1" w14:textId="77777777" w:rsidR="00C25FDD" w:rsidRPr="001F1750" w:rsidRDefault="00C25FDD" w:rsidP="001F1750">
      <w:pPr>
        <w:spacing w:after="120" w:line="240" w:lineRule="auto"/>
        <w:rPr>
          <w:rFonts w:ascii="Times New Roman" w:eastAsia="Times New Roman" w:hAnsi="Times New Roman"/>
          <w:color w:val="000000"/>
          <w:sz w:val="24"/>
          <w:szCs w:val="24"/>
          <w:u w:val="single"/>
          <w:lang w:eastAsia="en-AU"/>
        </w:rPr>
      </w:pPr>
      <w:r w:rsidRPr="001F1750">
        <w:rPr>
          <w:rFonts w:ascii="Times New Roman" w:eastAsia="Times New Roman" w:hAnsi="Times New Roman"/>
          <w:iCs/>
          <w:color w:val="000000"/>
          <w:sz w:val="24"/>
          <w:szCs w:val="24"/>
          <w:u w:val="single"/>
          <w:lang w:eastAsia="en-AU"/>
        </w:rPr>
        <w:t>Policy rationale for disclosure of information</w:t>
      </w:r>
    </w:p>
    <w:p w14:paraId="55D0A0F8" w14:textId="53114988" w:rsidR="00C25FDD" w:rsidRDefault="00C25FDD" w:rsidP="00C25FDD">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The</w:t>
      </w:r>
      <w:r w:rsidRPr="00685BCB">
        <w:rPr>
          <w:rFonts w:ascii="Times New Roman" w:eastAsia="Times New Roman" w:hAnsi="Times New Roman"/>
          <w:color w:val="000000"/>
          <w:sz w:val="24"/>
          <w:szCs w:val="24"/>
          <w:lang w:eastAsia="en-AU"/>
        </w:rPr>
        <w:t xml:space="preserve"> data can be used by NBN Co to send final disconnection letters (on an anonymised basis) to all remaining active copper line customers in NBN rollout areas approaching imminent disconnection and, where necessary, to conduct a door knocking campaign for difficult to reach customers. This minimises the risk of unexpected or inappropriate disconnection which could result in persons including vulnerable customers (such as those with medical alarms) and businesses being at risk of not having access to a communications service in time of need/emergency. All fixed-line se</w:t>
      </w:r>
      <w:r w:rsidR="0096582D">
        <w:rPr>
          <w:rFonts w:ascii="Times New Roman" w:eastAsia="Times New Roman" w:hAnsi="Times New Roman"/>
          <w:color w:val="000000"/>
          <w:sz w:val="24"/>
          <w:szCs w:val="24"/>
          <w:lang w:eastAsia="en-AU"/>
        </w:rPr>
        <w:t>rvices located in the NBN fixed-</w:t>
      </w:r>
      <w:r w:rsidRPr="00685BCB">
        <w:rPr>
          <w:rFonts w:ascii="Times New Roman" w:eastAsia="Times New Roman" w:hAnsi="Times New Roman"/>
          <w:color w:val="000000"/>
          <w:sz w:val="24"/>
          <w:szCs w:val="24"/>
          <w:lang w:eastAsia="en-AU"/>
        </w:rPr>
        <w:t>line rollout footprint will be subject to disconnection at some point before the NBN rollout is completed.</w:t>
      </w:r>
    </w:p>
    <w:p w14:paraId="18992B8A" w14:textId="77777777" w:rsidR="007F6DA1" w:rsidRPr="00685BCB" w:rsidRDefault="007F6DA1" w:rsidP="00C25FDD">
      <w:pPr>
        <w:spacing w:after="0" w:line="240" w:lineRule="auto"/>
        <w:rPr>
          <w:rFonts w:ascii="Times New Roman" w:eastAsia="Times New Roman" w:hAnsi="Times New Roman"/>
          <w:color w:val="000000"/>
          <w:sz w:val="24"/>
          <w:szCs w:val="24"/>
          <w:lang w:eastAsia="en-AU"/>
        </w:rPr>
      </w:pPr>
    </w:p>
    <w:p w14:paraId="3FBC2DAC" w14:textId="77777777" w:rsidR="00C25FDD" w:rsidRPr="001F1750" w:rsidRDefault="00C25FDD" w:rsidP="001F1750">
      <w:pPr>
        <w:spacing w:after="120" w:line="240" w:lineRule="auto"/>
        <w:rPr>
          <w:rFonts w:ascii="Times New Roman" w:eastAsia="Times New Roman" w:hAnsi="Times New Roman"/>
          <w:iCs/>
          <w:color w:val="000000"/>
          <w:sz w:val="24"/>
          <w:szCs w:val="24"/>
          <w:u w:val="single"/>
          <w:lang w:eastAsia="en-AU"/>
        </w:rPr>
      </w:pPr>
      <w:r w:rsidRPr="001F1750">
        <w:rPr>
          <w:rFonts w:ascii="Times New Roman" w:eastAsia="Times New Roman" w:hAnsi="Times New Roman"/>
          <w:iCs/>
          <w:color w:val="000000"/>
          <w:sz w:val="24"/>
          <w:szCs w:val="24"/>
          <w:u w:val="single"/>
          <w:lang w:eastAsia="en-AU"/>
        </w:rPr>
        <w:t>Limited circumstances in which information is required to be disclosed by Telstra</w:t>
      </w:r>
    </w:p>
    <w:p w14:paraId="313108AF" w14:textId="23779310" w:rsidR="00C25FDD" w:rsidRPr="00685BCB" w:rsidRDefault="00C25FDD" w:rsidP="00C25FDD">
      <w:pPr>
        <w:spacing w:before="120" w:after="120" w:line="240" w:lineRule="auto"/>
        <w:rPr>
          <w:rFonts w:ascii="Times New Roman" w:eastAsia="Times New Roman" w:hAnsi="Times New Roman"/>
          <w:color w:val="000000"/>
          <w:sz w:val="24"/>
          <w:szCs w:val="24"/>
          <w:lang w:eastAsia="en-AU"/>
        </w:rPr>
      </w:pPr>
      <w:r w:rsidRPr="00685BCB">
        <w:rPr>
          <w:rFonts w:ascii="Times New Roman" w:eastAsia="Times New Roman" w:hAnsi="Times New Roman"/>
          <w:color w:val="000000"/>
          <w:sz w:val="24"/>
          <w:szCs w:val="24"/>
          <w:lang w:eastAsia="en-AU"/>
        </w:rPr>
        <w:t xml:space="preserve">The relevant information will only be required to be disclosed by Telstra if the retail </w:t>
      </w:r>
      <w:r w:rsidR="000F16D7">
        <w:rPr>
          <w:rFonts w:ascii="Times New Roman" w:eastAsia="Times New Roman" w:hAnsi="Times New Roman"/>
          <w:color w:val="000000"/>
          <w:sz w:val="24"/>
          <w:szCs w:val="24"/>
          <w:lang w:eastAsia="en-AU"/>
        </w:rPr>
        <w:t>CSP</w:t>
      </w:r>
      <w:r w:rsidRPr="00685BCB">
        <w:rPr>
          <w:rFonts w:ascii="Times New Roman" w:eastAsia="Times New Roman" w:hAnsi="Times New Roman"/>
          <w:color w:val="000000"/>
          <w:sz w:val="24"/>
          <w:szCs w:val="24"/>
          <w:lang w:eastAsia="en-AU"/>
        </w:rPr>
        <w:t xml:space="preserve"> (being a wholesale customer of Telstra) which supplies an end-user with a carriage service on Telstra’s copper network has not otherwise authorised Telstra’s disclosure of the relevant information for the required purposes. It is understood that only a small proportion of Telstra’s wholesale customers have withheld consent in the past and most wholesale customers have authorised the disclosure voluntarily in recognition of the value of the NBN Loc ID data being used by NBN Co to assist customers to migrate their services to the NBN.</w:t>
      </w:r>
    </w:p>
    <w:p w14:paraId="4126FC50" w14:textId="3D519498" w:rsidR="00C25FDD" w:rsidRDefault="00C25FDD" w:rsidP="001F1750">
      <w:pPr>
        <w:spacing w:before="120" w:after="0" w:line="240" w:lineRule="auto"/>
        <w:rPr>
          <w:rFonts w:ascii="Times New Roman" w:eastAsia="Times New Roman" w:hAnsi="Times New Roman"/>
          <w:color w:val="000000"/>
          <w:sz w:val="24"/>
          <w:szCs w:val="24"/>
          <w:lang w:eastAsia="en-AU"/>
        </w:rPr>
      </w:pPr>
      <w:r w:rsidRPr="00685BCB">
        <w:rPr>
          <w:rFonts w:ascii="Times New Roman" w:eastAsia="Times New Roman" w:hAnsi="Times New Roman"/>
          <w:color w:val="000000"/>
          <w:sz w:val="24"/>
          <w:szCs w:val="24"/>
          <w:lang w:eastAsia="en-AU"/>
        </w:rPr>
        <w:t>Retail service providers may otherwise authorise Telstra’s disclosure of the relevant information on terms and conditions to be agreed between them. The carrier licence conditions in t</w:t>
      </w:r>
      <w:r w:rsidR="007F6DA1">
        <w:rPr>
          <w:rFonts w:ascii="Times New Roman" w:eastAsia="Times New Roman" w:hAnsi="Times New Roman"/>
          <w:color w:val="000000"/>
          <w:sz w:val="24"/>
          <w:szCs w:val="24"/>
          <w:lang w:eastAsia="en-AU"/>
        </w:rPr>
        <w:t>he Original Declaration provide that</w:t>
      </w:r>
      <w:r w:rsidRPr="00685BCB">
        <w:rPr>
          <w:rFonts w:ascii="Times New Roman" w:eastAsia="Times New Roman" w:hAnsi="Times New Roman"/>
          <w:color w:val="000000"/>
          <w:sz w:val="24"/>
          <w:szCs w:val="24"/>
          <w:lang w:eastAsia="en-AU"/>
        </w:rPr>
        <w:t xml:space="preserve"> where no agreement is made between Telstra and a retail </w:t>
      </w:r>
      <w:r w:rsidR="000F16D7">
        <w:rPr>
          <w:rFonts w:ascii="Times New Roman" w:eastAsia="Times New Roman" w:hAnsi="Times New Roman"/>
          <w:color w:val="000000"/>
          <w:sz w:val="24"/>
          <w:szCs w:val="24"/>
          <w:lang w:eastAsia="en-AU"/>
        </w:rPr>
        <w:t>CSP</w:t>
      </w:r>
      <w:r w:rsidRPr="00685BCB">
        <w:rPr>
          <w:rFonts w:ascii="Times New Roman" w:eastAsia="Times New Roman" w:hAnsi="Times New Roman"/>
          <w:color w:val="000000"/>
          <w:sz w:val="24"/>
          <w:szCs w:val="24"/>
          <w:lang w:eastAsia="en-AU"/>
        </w:rPr>
        <w:t xml:space="preserve"> for disclosure of the NBN Loc ID data (i.e. the Specified Premises Location Information) to NBN Co, Telstra is able to provide NBN Co with a complete set of location data on carriage services being supplied over its wholesale copper customer access network for migrat</w:t>
      </w:r>
      <w:r w:rsidR="007F6DA1">
        <w:rPr>
          <w:rFonts w:ascii="Times New Roman" w:eastAsia="Times New Roman" w:hAnsi="Times New Roman"/>
          <w:color w:val="000000"/>
          <w:sz w:val="24"/>
          <w:szCs w:val="24"/>
          <w:lang w:eastAsia="en-AU"/>
        </w:rPr>
        <w:t xml:space="preserve">ion purposes. This data </w:t>
      </w:r>
      <w:r w:rsidRPr="00685BCB">
        <w:rPr>
          <w:rFonts w:ascii="Times New Roman" w:eastAsia="Times New Roman" w:hAnsi="Times New Roman"/>
          <w:color w:val="000000"/>
          <w:sz w:val="24"/>
          <w:szCs w:val="24"/>
          <w:lang w:eastAsia="en-AU"/>
        </w:rPr>
        <w:t>include</w:t>
      </w:r>
      <w:r w:rsidR="007F6DA1">
        <w:rPr>
          <w:rFonts w:ascii="Times New Roman" w:eastAsia="Times New Roman" w:hAnsi="Times New Roman"/>
          <w:color w:val="000000"/>
          <w:sz w:val="24"/>
          <w:szCs w:val="24"/>
          <w:lang w:eastAsia="en-AU"/>
        </w:rPr>
        <w:t>s</w:t>
      </w:r>
      <w:r w:rsidRPr="00685BCB">
        <w:rPr>
          <w:rFonts w:ascii="Times New Roman" w:eastAsia="Times New Roman" w:hAnsi="Times New Roman"/>
          <w:color w:val="000000"/>
          <w:sz w:val="24"/>
          <w:szCs w:val="24"/>
          <w:lang w:eastAsia="en-AU"/>
        </w:rPr>
        <w:t xml:space="preserve"> special services, in train orders, and multi dwelling unit common areas.</w:t>
      </w:r>
    </w:p>
    <w:p w14:paraId="51ADD566" w14:textId="77777777" w:rsidR="007F6DA1" w:rsidRPr="00685BCB" w:rsidRDefault="007F6DA1" w:rsidP="001F1750">
      <w:pPr>
        <w:spacing w:after="0" w:line="240" w:lineRule="auto"/>
        <w:rPr>
          <w:rFonts w:ascii="Times New Roman" w:eastAsia="Times New Roman" w:hAnsi="Times New Roman"/>
          <w:color w:val="000000"/>
          <w:sz w:val="24"/>
          <w:szCs w:val="24"/>
          <w:lang w:eastAsia="en-AU"/>
        </w:rPr>
      </w:pPr>
    </w:p>
    <w:p w14:paraId="0FAA61A2" w14:textId="77777777" w:rsidR="00C25FDD" w:rsidRPr="001F1750" w:rsidRDefault="00C25FDD" w:rsidP="001F1750">
      <w:pPr>
        <w:spacing w:after="120" w:line="240" w:lineRule="auto"/>
        <w:rPr>
          <w:rFonts w:ascii="Times New Roman" w:eastAsia="Times New Roman" w:hAnsi="Times New Roman"/>
          <w:iCs/>
          <w:color w:val="000000"/>
          <w:sz w:val="24"/>
          <w:szCs w:val="24"/>
          <w:u w:val="single"/>
          <w:lang w:eastAsia="en-AU"/>
        </w:rPr>
      </w:pPr>
      <w:r w:rsidRPr="001F1750">
        <w:rPr>
          <w:rFonts w:ascii="Times New Roman" w:eastAsia="Times New Roman" w:hAnsi="Times New Roman"/>
          <w:iCs/>
          <w:color w:val="000000"/>
          <w:sz w:val="24"/>
          <w:szCs w:val="24"/>
          <w:u w:val="single"/>
          <w:lang w:eastAsia="en-AU"/>
        </w:rPr>
        <w:t>Limited circumstances in which disclosed information may be used by NBN Co</w:t>
      </w:r>
    </w:p>
    <w:p w14:paraId="16702BCB" w14:textId="77777777" w:rsidR="00C25FDD" w:rsidRPr="00685BCB" w:rsidRDefault="00C25FDD" w:rsidP="00C25FDD">
      <w:pPr>
        <w:spacing w:before="120" w:after="120" w:line="240" w:lineRule="auto"/>
        <w:rPr>
          <w:rFonts w:ascii="Times New Roman" w:eastAsia="Times New Roman" w:hAnsi="Times New Roman"/>
          <w:color w:val="000000"/>
          <w:sz w:val="24"/>
          <w:szCs w:val="24"/>
          <w:lang w:eastAsia="en-AU"/>
        </w:rPr>
      </w:pPr>
      <w:r w:rsidRPr="00685BCB">
        <w:rPr>
          <w:rFonts w:ascii="Times New Roman" w:eastAsia="Times New Roman" w:hAnsi="Times New Roman"/>
          <w:color w:val="000000"/>
          <w:sz w:val="24"/>
          <w:szCs w:val="24"/>
          <w:lang w:eastAsia="en-AU"/>
        </w:rPr>
        <w:t>The relevant information disclosed under the carrier licence condition in the determination may only be used by NBN Co for the ‘Permitted Purposes’ which include the following:</w:t>
      </w:r>
    </w:p>
    <w:p w14:paraId="684CB71A" w14:textId="77777777" w:rsidR="00C25FDD" w:rsidRPr="001F1750" w:rsidRDefault="00C25FDD" w:rsidP="003A1E64">
      <w:pPr>
        <w:pStyle w:val="ListParagraph"/>
        <w:numPr>
          <w:ilvl w:val="0"/>
          <w:numId w:val="16"/>
        </w:numPr>
        <w:spacing w:after="120" w:line="240" w:lineRule="auto"/>
        <w:ind w:left="714" w:hanging="357"/>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NBN Co’s internal reporting;</w:t>
      </w:r>
    </w:p>
    <w:p w14:paraId="62194EAA" w14:textId="77777777" w:rsidR="00C25FDD" w:rsidRPr="001F1750" w:rsidRDefault="00C25FDD" w:rsidP="003A1E64">
      <w:pPr>
        <w:pStyle w:val="ListParagraph"/>
        <w:numPr>
          <w:ilvl w:val="0"/>
          <w:numId w:val="16"/>
        </w:numPr>
        <w:spacing w:after="120" w:line="240" w:lineRule="auto"/>
        <w:ind w:left="714" w:hanging="357"/>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to guide NBN Co’s marketing activities at the rollout region level;</w:t>
      </w:r>
    </w:p>
    <w:p w14:paraId="7FEBB103" w14:textId="77777777" w:rsidR="00C25FDD" w:rsidRPr="001F1750" w:rsidRDefault="00C25FDD" w:rsidP="003A1E64">
      <w:pPr>
        <w:pStyle w:val="ListParagraph"/>
        <w:numPr>
          <w:ilvl w:val="0"/>
          <w:numId w:val="16"/>
        </w:numPr>
        <w:spacing w:after="120" w:line="240" w:lineRule="auto"/>
        <w:ind w:left="714" w:hanging="357"/>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to undertake NBN public information and migration marketing activities (such as sending “to the Occupant” type correspondence) to occupants of premises understood to be have medical alarms, fire alarms, lift alarms or other over the-top services; and</w:t>
      </w:r>
    </w:p>
    <w:p w14:paraId="0FF2B774" w14:textId="77777777" w:rsidR="00C25FDD" w:rsidRPr="001F1750" w:rsidRDefault="00C25FDD" w:rsidP="003A1E64">
      <w:pPr>
        <w:pStyle w:val="ListParagraph"/>
        <w:numPr>
          <w:ilvl w:val="0"/>
          <w:numId w:val="16"/>
        </w:numPr>
        <w:spacing w:after="240" w:line="240" w:lineRule="auto"/>
        <w:ind w:left="714" w:hanging="357"/>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to estimate installation capacity.</w:t>
      </w:r>
    </w:p>
    <w:p w14:paraId="6D749E40" w14:textId="77777777" w:rsidR="00C25FDD" w:rsidRPr="001F1750" w:rsidRDefault="00C25FDD" w:rsidP="001F1750">
      <w:pPr>
        <w:spacing w:after="120" w:line="240" w:lineRule="auto"/>
        <w:rPr>
          <w:rFonts w:ascii="Times New Roman" w:eastAsia="Times New Roman" w:hAnsi="Times New Roman"/>
          <w:iCs/>
          <w:color w:val="000000"/>
          <w:sz w:val="24"/>
          <w:szCs w:val="24"/>
          <w:u w:val="single"/>
          <w:lang w:eastAsia="en-AU"/>
        </w:rPr>
      </w:pPr>
      <w:r w:rsidRPr="001F1750">
        <w:rPr>
          <w:rFonts w:ascii="Times New Roman" w:eastAsia="Times New Roman" w:hAnsi="Times New Roman"/>
          <w:iCs/>
          <w:color w:val="000000"/>
          <w:sz w:val="24"/>
          <w:szCs w:val="24"/>
          <w:u w:val="single"/>
          <w:lang w:eastAsia="en-AU"/>
        </w:rPr>
        <w:t>Other safeguards protecting disclosed information</w:t>
      </w:r>
    </w:p>
    <w:p w14:paraId="2DE7F789" w14:textId="277E11A2" w:rsidR="00C25FDD" w:rsidRPr="00685BCB" w:rsidRDefault="00C25FDD" w:rsidP="00C25FDD">
      <w:pPr>
        <w:spacing w:before="120" w:after="120" w:line="240" w:lineRule="auto"/>
        <w:rPr>
          <w:rFonts w:ascii="Times New Roman" w:eastAsia="Times New Roman" w:hAnsi="Times New Roman"/>
          <w:color w:val="000000"/>
          <w:sz w:val="24"/>
          <w:szCs w:val="24"/>
          <w:lang w:eastAsia="en-AU"/>
        </w:rPr>
      </w:pPr>
      <w:r w:rsidRPr="00685BCB">
        <w:rPr>
          <w:rFonts w:ascii="Times New Roman" w:eastAsia="Times New Roman" w:hAnsi="Times New Roman"/>
          <w:color w:val="000000"/>
          <w:sz w:val="24"/>
          <w:szCs w:val="24"/>
          <w:lang w:eastAsia="en-AU"/>
        </w:rPr>
        <w:t xml:space="preserve">The </w:t>
      </w:r>
      <w:r>
        <w:rPr>
          <w:rFonts w:ascii="Times New Roman" w:eastAsia="Times New Roman" w:hAnsi="Times New Roman"/>
          <w:color w:val="000000"/>
          <w:sz w:val="24"/>
          <w:szCs w:val="24"/>
          <w:lang w:eastAsia="en-AU"/>
        </w:rPr>
        <w:t>licence</w:t>
      </w:r>
      <w:r w:rsidRPr="00685BCB">
        <w:rPr>
          <w:rFonts w:ascii="Times New Roman" w:eastAsia="Times New Roman" w:hAnsi="Times New Roman"/>
          <w:color w:val="000000"/>
          <w:sz w:val="24"/>
          <w:szCs w:val="24"/>
          <w:lang w:eastAsia="en-AU"/>
        </w:rPr>
        <w:t xml:space="preserve"> condition</w:t>
      </w:r>
      <w:r>
        <w:rPr>
          <w:rFonts w:ascii="Times New Roman" w:eastAsia="Times New Roman" w:hAnsi="Times New Roman"/>
          <w:color w:val="000000"/>
          <w:sz w:val="24"/>
          <w:szCs w:val="24"/>
          <w:lang w:eastAsia="en-AU"/>
        </w:rPr>
        <w:t xml:space="preserve"> under section 11</w:t>
      </w:r>
      <w:r w:rsidR="007F6DA1">
        <w:rPr>
          <w:rFonts w:ascii="Times New Roman" w:eastAsia="Times New Roman" w:hAnsi="Times New Roman"/>
          <w:color w:val="000000"/>
          <w:sz w:val="24"/>
          <w:szCs w:val="24"/>
          <w:lang w:eastAsia="en-AU"/>
        </w:rPr>
        <w:t xml:space="preserve"> has built-</w:t>
      </w:r>
      <w:r w:rsidRPr="00685BCB">
        <w:rPr>
          <w:rFonts w:ascii="Times New Roman" w:eastAsia="Times New Roman" w:hAnsi="Times New Roman"/>
          <w:color w:val="000000"/>
          <w:sz w:val="24"/>
          <w:szCs w:val="24"/>
          <w:lang w:eastAsia="en-AU"/>
        </w:rPr>
        <w:t xml:space="preserve">in protections to ensure that the Specified Premises Location Information which Telstra discloses to NBN Co in accordance with the licence conditions is only used for </w:t>
      </w:r>
      <w:r>
        <w:rPr>
          <w:rFonts w:ascii="Times New Roman" w:eastAsia="Times New Roman" w:hAnsi="Times New Roman"/>
          <w:color w:val="000000"/>
          <w:sz w:val="24"/>
          <w:szCs w:val="24"/>
          <w:lang w:eastAsia="en-AU"/>
        </w:rPr>
        <w:t xml:space="preserve">a </w:t>
      </w:r>
      <w:r w:rsidRPr="00685BCB">
        <w:rPr>
          <w:rFonts w:ascii="Times New Roman" w:eastAsia="Times New Roman" w:hAnsi="Times New Roman"/>
          <w:color w:val="000000"/>
          <w:sz w:val="24"/>
          <w:szCs w:val="24"/>
          <w:lang w:eastAsia="en-AU"/>
        </w:rPr>
        <w:t>P</w:t>
      </w:r>
      <w:r w:rsidR="007F6DA1">
        <w:rPr>
          <w:rFonts w:ascii="Times New Roman" w:eastAsia="Times New Roman" w:hAnsi="Times New Roman"/>
          <w:color w:val="000000"/>
          <w:sz w:val="24"/>
          <w:szCs w:val="24"/>
          <w:lang w:eastAsia="en-AU"/>
        </w:rPr>
        <w:t xml:space="preserve">ermitted Purpose (as defined). </w:t>
      </w:r>
      <w:r w:rsidRPr="00685BCB">
        <w:rPr>
          <w:rFonts w:ascii="Times New Roman" w:eastAsia="Times New Roman" w:hAnsi="Times New Roman"/>
          <w:color w:val="000000"/>
          <w:sz w:val="24"/>
          <w:szCs w:val="24"/>
          <w:lang w:eastAsia="en-AU"/>
        </w:rPr>
        <w:t xml:space="preserve">NBN Co is expected to provide Telstra with contractual commitments to ensure that the information is only used for </w:t>
      </w:r>
      <w:r>
        <w:rPr>
          <w:rFonts w:ascii="Times New Roman" w:eastAsia="Times New Roman" w:hAnsi="Times New Roman"/>
          <w:color w:val="000000"/>
          <w:sz w:val="24"/>
          <w:szCs w:val="24"/>
          <w:lang w:eastAsia="en-AU"/>
        </w:rPr>
        <w:t xml:space="preserve">a </w:t>
      </w:r>
      <w:r w:rsidRPr="00685BCB">
        <w:rPr>
          <w:rFonts w:ascii="Times New Roman" w:eastAsia="Times New Roman" w:hAnsi="Times New Roman"/>
          <w:color w:val="000000"/>
          <w:sz w:val="24"/>
          <w:szCs w:val="24"/>
          <w:lang w:eastAsia="en-AU"/>
        </w:rPr>
        <w:t>Permitted Purpose.</w:t>
      </w:r>
    </w:p>
    <w:p w14:paraId="37100708" w14:textId="1C92E529" w:rsidR="00C25FDD" w:rsidRPr="00685BCB" w:rsidRDefault="00C25FDD" w:rsidP="000040D8">
      <w:pPr>
        <w:spacing w:before="120" w:after="240" w:line="240" w:lineRule="auto"/>
        <w:rPr>
          <w:rFonts w:ascii="Times New Roman" w:eastAsia="Times New Roman" w:hAnsi="Times New Roman"/>
          <w:color w:val="000000"/>
          <w:sz w:val="24"/>
          <w:szCs w:val="24"/>
          <w:lang w:eastAsia="en-AU"/>
        </w:rPr>
      </w:pPr>
      <w:r w:rsidRPr="00685BCB">
        <w:rPr>
          <w:rFonts w:ascii="Times New Roman" w:eastAsia="Times New Roman" w:hAnsi="Times New Roman"/>
          <w:color w:val="000000"/>
          <w:sz w:val="24"/>
          <w:szCs w:val="24"/>
          <w:lang w:eastAsia="en-AU"/>
        </w:rPr>
        <w:t>In addition, any personal information required to be disclosed by the licence condition in the Declaration will be covered by the safeguard</w:t>
      </w:r>
      <w:r w:rsidR="004E6192">
        <w:rPr>
          <w:rFonts w:ascii="Times New Roman" w:eastAsia="Times New Roman" w:hAnsi="Times New Roman"/>
          <w:color w:val="000000"/>
          <w:sz w:val="24"/>
          <w:szCs w:val="24"/>
          <w:lang w:eastAsia="en-AU"/>
        </w:rPr>
        <w:t xml:space="preserve">s provided under Part 13 of the </w:t>
      </w:r>
      <w:r w:rsidR="00E279BC" w:rsidRPr="00284BE1">
        <w:rPr>
          <w:rFonts w:ascii="Times New Roman" w:eastAsia="Times New Roman" w:hAnsi="Times New Roman"/>
          <w:color w:val="000000"/>
          <w:sz w:val="24"/>
          <w:szCs w:val="24"/>
          <w:lang w:eastAsia="en-AU"/>
        </w:rPr>
        <w:t>Act</w:t>
      </w:r>
      <w:r w:rsidR="00E279BC">
        <w:rPr>
          <w:rFonts w:ascii="Times New Roman" w:eastAsia="Times New Roman" w:hAnsi="Times New Roman"/>
          <w:i/>
          <w:color w:val="000000"/>
          <w:sz w:val="24"/>
          <w:szCs w:val="24"/>
          <w:lang w:eastAsia="en-AU"/>
        </w:rPr>
        <w:t xml:space="preserve"> </w:t>
      </w:r>
      <w:r w:rsidRPr="00685BCB">
        <w:rPr>
          <w:rFonts w:ascii="Times New Roman" w:eastAsia="Times New Roman" w:hAnsi="Times New Roman"/>
          <w:color w:val="000000"/>
          <w:sz w:val="24"/>
          <w:szCs w:val="24"/>
          <w:lang w:eastAsia="en-AU"/>
        </w:rPr>
        <w:t>and also the </w:t>
      </w:r>
      <w:r w:rsidRPr="00685BCB">
        <w:rPr>
          <w:rFonts w:ascii="Times New Roman" w:eastAsia="Times New Roman" w:hAnsi="Times New Roman"/>
          <w:i/>
          <w:iCs/>
          <w:color w:val="000000"/>
          <w:sz w:val="24"/>
          <w:szCs w:val="24"/>
          <w:lang w:eastAsia="en-AU"/>
        </w:rPr>
        <w:t>Privacy Act 1988 </w:t>
      </w:r>
      <w:r w:rsidRPr="00685BCB">
        <w:rPr>
          <w:rFonts w:ascii="Times New Roman" w:eastAsia="Times New Roman" w:hAnsi="Times New Roman"/>
          <w:color w:val="000000"/>
          <w:sz w:val="24"/>
          <w:szCs w:val="24"/>
          <w:lang w:eastAsia="en-AU"/>
        </w:rPr>
        <w:t>(Cth). For example, in accordance with that Act, NBN Co will be required to, among other things, take steps to ensure that the individual is aware that NBN Co has collected personal information about them from Telstra and undertake its own privacy impact assessment.</w:t>
      </w:r>
    </w:p>
    <w:p w14:paraId="7CEA8396" w14:textId="77777777" w:rsidR="00C25FDD" w:rsidRPr="001F1750" w:rsidRDefault="00C25FDD" w:rsidP="00C25FDD">
      <w:pPr>
        <w:pStyle w:val="Heading3"/>
        <w:rPr>
          <w:rFonts w:ascii="Times New Roman" w:hAnsi="Times New Roman" w:cs="Times New Roman"/>
          <w:b/>
          <w:color w:val="auto"/>
        </w:rPr>
      </w:pPr>
      <w:r w:rsidRPr="001F1750">
        <w:rPr>
          <w:rFonts w:ascii="Times New Roman" w:hAnsi="Times New Roman" w:cs="Times New Roman"/>
          <w:b/>
          <w:color w:val="auto"/>
        </w:rPr>
        <w:t xml:space="preserve">Conclusion </w:t>
      </w:r>
    </w:p>
    <w:p w14:paraId="49BC4963" w14:textId="3D626368" w:rsidR="00475DFE" w:rsidRPr="0053049B" w:rsidRDefault="00C25FDD" w:rsidP="001F1750">
      <w:pPr>
        <w:spacing w:before="120" w:after="120" w:line="240" w:lineRule="auto"/>
        <w:rPr>
          <w:rFonts w:ascii="Times New Roman" w:eastAsia="Times New Roman" w:hAnsi="Times New Roman"/>
          <w:color w:val="000000"/>
          <w:sz w:val="24"/>
          <w:szCs w:val="24"/>
          <w:lang w:eastAsia="en-AU"/>
        </w:rPr>
      </w:pPr>
      <w:r w:rsidRPr="001F1750">
        <w:rPr>
          <w:rFonts w:ascii="Times New Roman" w:eastAsia="Times New Roman" w:hAnsi="Times New Roman"/>
          <w:color w:val="000000"/>
          <w:sz w:val="24"/>
          <w:szCs w:val="24"/>
          <w:lang w:eastAsia="en-AU"/>
        </w:rPr>
        <w:t>The Declaration is compatible with human rights because, to the extent that it may limit the right to privacy, this is neither unlawful nor arbitrary, as it is reasonable, necessary and proportionate to the objective</w:t>
      </w:r>
      <w:r w:rsidR="007F6DA1">
        <w:rPr>
          <w:rFonts w:ascii="Times New Roman" w:eastAsia="Times New Roman" w:hAnsi="Times New Roman"/>
          <w:color w:val="000000"/>
          <w:sz w:val="24"/>
          <w:szCs w:val="24"/>
          <w:lang w:eastAsia="en-AU"/>
        </w:rPr>
        <w:t xml:space="preserve">s </w:t>
      </w:r>
      <w:r w:rsidRPr="001F1750">
        <w:rPr>
          <w:rFonts w:ascii="Times New Roman" w:eastAsia="Times New Roman" w:hAnsi="Times New Roman"/>
          <w:color w:val="000000"/>
          <w:sz w:val="24"/>
          <w:szCs w:val="24"/>
          <w:lang w:eastAsia="en-AU"/>
        </w:rPr>
        <w:t xml:space="preserve">of </w:t>
      </w:r>
      <w:r w:rsidR="006C2704">
        <w:rPr>
          <w:rFonts w:ascii="Times New Roman" w:eastAsia="Times New Roman" w:hAnsi="Times New Roman"/>
          <w:color w:val="000000"/>
          <w:sz w:val="24"/>
          <w:szCs w:val="24"/>
          <w:lang w:eastAsia="en-AU"/>
        </w:rPr>
        <w:t>each of the relevant sections.</w:t>
      </w:r>
    </w:p>
    <w:sectPr w:rsidR="00475DFE" w:rsidRPr="0053049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20069" w14:textId="77777777" w:rsidR="00515DB8" w:rsidRDefault="00515DB8" w:rsidP="0054340F">
      <w:pPr>
        <w:spacing w:after="0" w:line="240" w:lineRule="auto"/>
      </w:pPr>
      <w:r>
        <w:separator/>
      </w:r>
    </w:p>
  </w:endnote>
  <w:endnote w:type="continuationSeparator" w:id="0">
    <w:p w14:paraId="401E293B" w14:textId="77777777" w:rsidR="00515DB8" w:rsidRDefault="00515DB8" w:rsidP="0054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59283169"/>
      <w:docPartObj>
        <w:docPartGallery w:val="Page Numbers (Bottom of Page)"/>
        <w:docPartUnique/>
      </w:docPartObj>
    </w:sdtPr>
    <w:sdtEndPr>
      <w:rPr>
        <w:noProof/>
      </w:rPr>
    </w:sdtEndPr>
    <w:sdtContent>
      <w:p w14:paraId="70C792AF" w14:textId="17B310A3" w:rsidR="00515DB8" w:rsidRDefault="00515DB8">
        <w:pPr>
          <w:pStyle w:val="Footer"/>
          <w:jc w:val="center"/>
        </w:pPr>
        <w:r>
          <w:rPr>
            <w:noProof w:val="0"/>
          </w:rPr>
          <w:fldChar w:fldCharType="begin"/>
        </w:r>
        <w:r>
          <w:instrText xml:space="preserve"> PAGE   \* MERGEFORMAT </w:instrText>
        </w:r>
        <w:r>
          <w:rPr>
            <w:noProof w:val="0"/>
          </w:rPr>
          <w:fldChar w:fldCharType="separate"/>
        </w:r>
        <w:r w:rsidR="002E4A27">
          <w:t>1</w:t>
        </w:r>
        <w:r>
          <w:fldChar w:fldCharType="end"/>
        </w:r>
      </w:p>
    </w:sdtContent>
  </w:sdt>
  <w:p w14:paraId="1BA88C28" w14:textId="77777777" w:rsidR="00515DB8" w:rsidRDefault="00515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BEF58" w14:textId="77777777" w:rsidR="00515DB8" w:rsidRDefault="00515DB8" w:rsidP="0054340F">
      <w:pPr>
        <w:spacing w:after="0" w:line="240" w:lineRule="auto"/>
      </w:pPr>
      <w:r>
        <w:separator/>
      </w:r>
    </w:p>
  </w:footnote>
  <w:footnote w:type="continuationSeparator" w:id="0">
    <w:p w14:paraId="2DAC956D" w14:textId="77777777" w:rsidR="00515DB8" w:rsidRDefault="00515DB8" w:rsidP="00543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1D3B"/>
    <w:multiLevelType w:val="hybridMultilevel"/>
    <w:tmpl w:val="F678E38A"/>
    <w:lvl w:ilvl="0" w:tplc="72CA4B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4B0683E"/>
    <w:multiLevelType w:val="hybridMultilevel"/>
    <w:tmpl w:val="C55E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F6A93"/>
    <w:multiLevelType w:val="hybridMultilevel"/>
    <w:tmpl w:val="D12E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60654D"/>
    <w:multiLevelType w:val="hybridMultilevel"/>
    <w:tmpl w:val="FEF0D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D36613"/>
    <w:multiLevelType w:val="hybridMultilevel"/>
    <w:tmpl w:val="6C046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338E9"/>
    <w:multiLevelType w:val="hybridMultilevel"/>
    <w:tmpl w:val="DE4C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71CDD"/>
    <w:multiLevelType w:val="hybridMultilevel"/>
    <w:tmpl w:val="065A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A46875"/>
    <w:multiLevelType w:val="hybridMultilevel"/>
    <w:tmpl w:val="1CD695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2836F55"/>
    <w:multiLevelType w:val="hybridMultilevel"/>
    <w:tmpl w:val="CB1EC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C111F4"/>
    <w:multiLevelType w:val="hybridMultilevel"/>
    <w:tmpl w:val="BDE82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8143C0"/>
    <w:multiLevelType w:val="hybridMultilevel"/>
    <w:tmpl w:val="E154D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1A03CE"/>
    <w:multiLevelType w:val="hybridMultilevel"/>
    <w:tmpl w:val="645CB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F5589D"/>
    <w:multiLevelType w:val="hybridMultilevel"/>
    <w:tmpl w:val="AB9A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FC4507"/>
    <w:multiLevelType w:val="hybridMultilevel"/>
    <w:tmpl w:val="B16E785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5A3B58FB"/>
    <w:multiLevelType w:val="hybridMultilevel"/>
    <w:tmpl w:val="BD0AC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60141C"/>
    <w:multiLevelType w:val="hybridMultilevel"/>
    <w:tmpl w:val="3620C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8165DF"/>
    <w:multiLevelType w:val="hybridMultilevel"/>
    <w:tmpl w:val="B4408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E5AC0"/>
    <w:multiLevelType w:val="hybridMultilevel"/>
    <w:tmpl w:val="8E4A23A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607680"/>
    <w:multiLevelType w:val="hybridMultilevel"/>
    <w:tmpl w:val="CF96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2F7711"/>
    <w:multiLevelType w:val="hybridMultilevel"/>
    <w:tmpl w:val="2162212A"/>
    <w:lvl w:ilvl="0" w:tplc="A6CED340">
      <w:start w:val="3"/>
      <w:numFmt w:val="bullet"/>
      <w:lvlText w:val="•"/>
      <w:lvlJc w:val="left"/>
      <w:pPr>
        <w:ind w:left="1144" w:hanging="720"/>
      </w:pPr>
      <w:rPr>
        <w:rFonts w:ascii="Times New Roman" w:eastAsia="Calibri"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0" w15:restartNumberingAfterBreak="0">
    <w:nsid w:val="7B802FD7"/>
    <w:multiLevelType w:val="hybridMultilevel"/>
    <w:tmpl w:val="0276B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5"/>
  </w:num>
  <w:num w:numId="4">
    <w:abstractNumId w:val="4"/>
  </w:num>
  <w:num w:numId="5">
    <w:abstractNumId w:val="2"/>
  </w:num>
  <w:num w:numId="6">
    <w:abstractNumId w:val="6"/>
  </w:num>
  <w:num w:numId="7">
    <w:abstractNumId w:val="8"/>
  </w:num>
  <w:num w:numId="8">
    <w:abstractNumId w:val="18"/>
  </w:num>
  <w:num w:numId="9">
    <w:abstractNumId w:val="19"/>
  </w:num>
  <w:num w:numId="10">
    <w:abstractNumId w:val="3"/>
  </w:num>
  <w:num w:numId="11">
    <w:abstractNumId w:val="1"/>
  </w:num>
  <w:num w:numId="12">
    <w:abstractNumId w:val="17"/>
  </w:num>
  <w:num w:numId="13">
    <w:abstractNumId w:val="5"/>
  </w:num>
  <w:num w:numId="14">
    <w:abstractNumId w:val="16"/>
  </w:num>
  <w:num w:numId="15">
    <w:abstractNumId w:val="9"/>
  </w:num>
  <w:num w:numId="16">
    <w:abstractNumId w:val="11"/>
  </w:num>
  <w:num w:numId="17">
    <w:abstractNumId w:val="7"/>
  </w:num>
  <w:num w:numId="18">
    <w:abstractNumId w:val="0"/>
  </w:num>
  <w:num w:numId="19">
    <w:abstractNumId w:val="20"/>
  </w:num>
  <w:num w:numId="20">
    <w:abstractNumId w:val="13"/>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00"/>
  <w:doNotDisplayPageBoundaries/>
  <w:hideSpellingErrors/>
  <w:hideGrammatical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5C"/>
    <w:rsid w:val="000040D8"/>
    <w:rsid w:val="000118A2"/>
    <w:rsid w:val="00017AC5"/>
    <w:rsid w:val="000215D3"/>
    <w:rsid w:val="00026C05"/>
    <w:rsid w:val="00040135"/>
    <w:rsid w:val="0005133C"/>
    <w:rsid w:val="00065FCA"/>
    <w:rsid w:val="000717AD"/>
    <w:rsid w:val="00077C00"/>
    <w:rsid w:val="00080C76"/>
    <w:rsid w:val="000854F1"/>
    <w:rsid w:val="000916DB"/>
    <w:rsid w:val="000931B5"/>
    <w:rsid w:val="000942AF"/>
    <w:rsid w:val="000C0F2C"/>
    <w:rsid w:val="000C39FB"/>
    <w:rsid w:val="000D1A1F"/>
    <w:rsid w:val="000D2E99"/>
    <w:rsid w:val="000D5759"/>
    <w:rsid w:val="000E4980"/>
    <w:rsid w:val="000F16D7"/>
    <w:rsid w:val="000F4FCE"/>
    <w:rsid w:val="00105204"/>
    <w:rsid w:val="00116B7D"/>
    <w:rsid w:val="0011751F"/>
    <w:rsid w:val="001431B8"/>
    <w:rsid w:val="00143494"/>
    <w:rsid w:val="00156B85"/>
    <w:rsid w:val="00193B21"/>
    <w:rsid w:val="0019499D"/>
    <w:rsid w:val="001A3B57"/>
    <w:rsid w:val="001A4A2B"/>
    <w:rsid w:val="001C0FB0"/>
    <w:rsid w:val="001C1294"/>
    <w:rsid w:val="001C5825"/>
    <w:rsid w:val="001D6828"/>
    <w:rsid w:val="001F1750"/>
    <w:rsid w:val="00200704"/>
    <w:rsid w:val="00205910"/>
    <w:rsid w:val="0020759A"/>
    <w:rsid w:val="00214C3C"/>
    <w:rsid w:val="0022066E"/>
    <w:rsid w:val="00224AA1"/>
    <w:rsid w:val="00224EF1"/>
    <w:rsid w:val="00227DF4"/>
    <w:rsid w:val="00246B3E"/>
    <w:rsid w:val="00253D96"/>
    <w:rsid w:val="00256CA6"/>
    <w:rsid w:val="002713CE"/>
    <w:rsid w:val="00284BE1"/>
    <w:rsid w:val="00285A11"/>
    <w:rsid w:val="002862D0"/>
    <w:rsid w:val="002903FB"/>
    <w:rsid w:val="002B0514"/>
    <w:rsid w:val="002B4C86"/>
    <w:rsid w:val="002D400A"/>
    <w:rsid w:val="002D52A6"/>
    <w:rsid w:val="002D5892"/>
    <w:rsid w:val="002E1E12"/>
    <w:rsid w:val="002E4A27"/>
    <w:rsid w:val="002E4ED4"/>
    <w:rsid w:val="002F164E"/>
    <w:rsid w:val="002F4CB1"/>
    <w:rsid w:val="003062F4"/>
    <w:rsid w:val="00313FC0"/>
    <w:rsid w:val="00315F60"/>
    <w:rsid w:val="00323792"/>
    <w:rsid w:val="00330BC2"/>
    <w:rsid w:val="00331372"/>
    <w:rsid w:val="003324D4"/>
    <w:rsid w:val="0033755F"/>
    <w:rsid w:val="0033791F"/>
    <w:rsid w:val="00337E80"/>
    <w:rsid w:val="00350D5A"/>
    <w:rsid w:val="00360B32"/>
    <w:rsid w:val="00361F52"/>
    <w:rsid w:val="00365B77"/>
    <w:rsid w:val="003769ED"/>
    <w:rsid w:val="00380AFF"/>
    <w:rsid w:val="00384A30"/>
    <w:rsid w:val="003942F4"/>
    <w:rsid w:val="003A0D4F"/>
    <w:rsid w:val="003A1E64"/>
    <w:rsid w:val="003A409D"/>
    <w:rsid w:val="003B3923"/>
    <w:rsid w:val="003B6D0D"/>
    <w:rsid w:val="003C1942"/>
    <w:rsid w:val="003C5C97"/>
    <w:rsid w:val="003C68F7"/>
    <w:rsid w:val="003D1A83"/>
    <w:rsid w:val="003D3FC7"/>
    <w:rsid w:val="003E107D"/>
    <w:rsid w:val="004001BC"/>
    <w:rsid w:val="004023D4"/>
    <w:rsid w:val="00410413"/>
    <w:rsid w:val="004124FD"/>
    <w:rsid w:val="00412C06"/>
    <w:rsid w:val="00414F44"/>
    <w:rsid w:val="0043206B"/>
    <w:rsid w:val="00433237"/>
    <w:rsid w:val="004370A1"/>
    <w:rsid w:val="00437F34"/>
    <w:rsid w:val="00442891"/>
    <w:rsid w:val="004447AD"/>
    <w:rsid w:val="00451CC1"/>
    <w:rsid w:val="00472D67"/>
    <w:rsid w:val="00473E2D"/>
    <w:rsid w:val="00475DFE"/>
    <w:rsid w:val="004769D6"/>
    <w:rsid w:val="0048696D"/>
    <w:rsid w:val="00487FF1"/>
    <w:rsid w:val="00490966"/>
    <w:rsid w:val="004A447E"/>
    <w:rsid w:val="004A5CD3"/>
    <w:rsid w:val="004B42FF"/>
    <w:rsid w:val="004C3663"/>
    <w:rsid w:val="004D359B"/>
    <w:rsid w:val="004D54F5"/>
    <w:rsid w:val="004D588C"/>
    <w:rsid w:val="004D6F0B"/>
    <w:rsid w:val="004E6192"/>
    <w:rsid w:val="0051092D"/>
    <w:rsid w:val="00515DB8"/>
    <w:rsid w:val="00527C84"/>
    <w:rsid w:val="0053049B"/>
    <w:rsid w:val="005352B4"/>
    <w:rsid w:val="0054340F"/>
    <w:rsid w:val="0054715B"/>
    <w:rsid w:val="0055151A"/>
    <w:rsid w:val="005605FC"/>
    <w:rsid w:val="00562118"/>
    <w:rsid w:val="005644D8"/>
    <w:rsid w:val="00576E87"/>
    <w:rsid w:val="00577C30"/>
    <w:rsid w:val="00580F05"/>
    <w:rsid w:val="00582179"/>
    <w:rsid w:val="005841D7"/>
    <w:rsid w:val="00585E2A"/>
    <w:rsid w:val="005A4652"/>
    <w:rsid w:val="005A7944"/>
    <w:rsid w:val="005B481E"/>
    <w:rsid w:val="005B7255"/>
    <w:rsid w:val="005D5870"/>
    <w:rsid w:val="005E1DA6"/>
    <w:rsid w:val="005F06D8"/>
    <w:rsid w:val="006030EB"/>
    <w:rsid w:val="006106CB"/>
    <w:rsid w:val="00611A89"/>
    <w:rsid w:val="006121B3"/>
    <w:rsid w:val="0061305E"/>
    <w:rsid w:val="006151E6"/>
    <w:rsid w:val="0061752C"/>
    <w:rsid w:val="00620BFE"/>
    <w:rsid w:val="0062333D"/>
    <w:rsid w:val="00626D1F"/>
    <w:rsid w:val="0063089C"/>
    <w:rsid w:val="00645175"/>
    <w:rsid w:val="00673385"/>
    <w:rsid w:val="00677D55"/>
    <w:rsid w:val="00683DBD"/>
    <w:rsid w:val="00694736"/>
    <w:rsid w:val="006A703B"/>
    <w:rsid w:val="006B1E38"/>
    <w:rsid w:val="006B51A4"/>
    <w:rsid w:val="006C2704"/>
    <w:rsid w:val="006C6F06"/>
    <w:rsid w:val="006D2E1C"/>
    <w:rsid w:val="006D314B"/>
    <w:rsid w:val="006E0769"/>
    <w:rsid w:val="006E1F8D"/>
    <w:rsid w:val="006F6EB1"/>
    <w:rsid w:val="0071130A"/>
    <w:rsid w:val="00712275"/>
    <w:rsid w:val="00723F2F"/>
    <w:rsid w:val="00731545"/>
    <w:rsid w:val="00731ECA"/>
    <w:rsid w:val="00734A11"/>
    <w:rsid w:val="0073525B"/>
    <w:rsid w:val="00747B36"/>
    <w:rsid w:val="0075055C"/>
    <w:rsid w:val="00752801"/>
    <w:rsid w:val="007719A9"/>
    <w:rsid w:val="00783D1A"/>
    <w:rsid w:val="007855EC"/>
    <w:rsid w:val="00786EF4"/>
    <w:rsid w:val="007A2E49"/>
    <w:rsid w:val="007A54D7"/>
    <w:rsid w:val="007A68C0"/>
    <w:rsid w:val="007B118E"/>
    <w:rsid w:val="007B2E86"/>
    <w:rsid w:val="007C11FB"/>
    <w:rsid w:val="007C32D0"/>
    <w:rsid w:val="007C75DE"/>
    <w:rsid w:val="007D5B03"/>
    <w:rsid w:val="007F2B54"/>
    <w:rsid w:val="007F6DA1"/>
    <w:rsid w:val="007F7065"/>
    <w:rsid w:val="007F7486"/>
    <w:rsid w:val="007F7711"/>
    <w:rsid w:val="00826726"/>
    <w:rsid w:val="00871FBB"/>
    <w:rsid w:val="0087562F"/>
    <w:rsid w:val="00880C7F"/>
    <w:rsid w:val="008B4448"/>
    <w:rsid w:val="008B7CA3"/>
    <w:rsid w:val="008C00CC"/>
    <w:rsid w:val="008C2193"/>
    <w:rsid w:val="008C51F6"/>
    <w:rsid w:val="008D22D5"/>
    <w:rsid w:val="008E1297"/>
    <w:rsid w:val="008E5BFC"/>
    <w:rsid w:val="0091139B"/>
    <w:rsid w:val="00914E3F"/>
    <w:rsid w:val="009164E5"/>
    <w:rsid w:val="00921593"/>
    <w:rsid w:val="00922C29"/>
    <w:rsid w:val="00924364"/>
    <w:rsid w:val="00931793"/>
    <w:rsid w:val="0096582D"/>
    <w:rsid w:val="009679EF"/>
    <w:rsid w:val="0097187E"/>
    <w:rsid w:val="009731A6"/>
    <w:rsid w:val="0098179C"/>
    <w:rsid w:val="009A386A"/>
    <w:rsid w:val="009A42A4"/>
    <w:rsid w:val="009B0139"/>
    <w:rsid w:val="009B30EF"/>
    <w:rsid w:val="009C15CD"/>
    <w:rsid w:val="009C18C6"/>
    <w:rsid w:val="009C6520"/>
    <w:rsid w:val="009D069D"/>
    <w:rsid w:val="009D58C4"/>
    <w:rsid w:val="009F1B98"/>
    <w:rsid w:val="009F2074"/>
    <w:rsid w:val="00A01E27"/>
    <w:rsid w:val="00A22C71"/>
    <w:rsid w:val="00A33FAF"/>
    <w:rsid w:val="00A74A1F"/>
    <w:rsid w:val="00A75E03"/>
    <w:rsid w:val="00A80A09"/>
    <w:rsid w:val="00A86035"/>
    <w:rsid w:val="00AA36C3"/>
    <w:rsid w:val="00AB3934"/>
    <w:rsid w:val="00AB4C16"/>
    <w:rsid w:val="00AB4E62"/>
    <w:rsid w:val="00AB7D8E"/>
    <w:rsid w:val="00AD6460"/>
    <w:rsid w:val="00AF4B8C"/>
    <w:rsid w:val="00B16AFC"/>
    <w:rsid w:val="00B22448"/>
    <w:rsid w:val="00B27B17"/>
    <w:rsid w:val="00B3026A"/>
    <w:rsid w:val="00B30D57"/>
    <w:rsid w:val="00B40F09"/>
    <w:rsid w:val="00B51B4A"/>
    <w:rsid w:val="00B544E8"/>
    <w:rsid w:val="00B609B8"/>
    <w:rsid w:val="00B67A9B"/>
    <w:rsid w:val="00B75DA3"/>
    <w:rsid w:val="00B809CD"/>
    <w:rsid w:val="00B8651A"/>
    <w:rsid w:val="00BA6131"/>
    <w:rsid w:val="00BB2DA4"/>
    <w:rsid w:val="00BC7419"/>
    <w:rsid w:val="00BD3DF8"/>
    <w:rsid w:val="00BD63C6"/>
    <w:rsid w:val="00BE2B17"/>
    <w:rsid w:val="00BF1B66"/>
    <w:rsid w:val="00BF207D"/>
    <w:rsid w:val="00BF575A"/>
    <w:rsid w:val="00C01B66"/>
    <w:rsid w:val="00C01D7F"/>
    <w:rsid w:val="00C03B17"/>
    <w:rsid w:val="00C15BCB"/>
    <w:rsid w:val="00C17F8A"/>
    <w:rsid w:val="00C25FDD"/>
    <w:rsid w:val="00C643D2"/>
    <w:rsid w:val="00C647C7"/>
    <w:rsid w:val="00C73AAB"/>
    <w:rsid w:val="00C84136"/>
    <w:rsid w:val="00CA3AC2"/>
    <w:rsid w:val="00CB0113"/>
    <w:rsid w:val="00CB3057"/>
    <w:rsid w:val="00CB3559"/>
    <w:rsid w:val="00CB3F34"/>
    <w:rsid w:val="00CB5016"/>
    <w:rsid w:val="00CB604B"/>
    <w:rsid w:val="00CC2C5E"/>
    <w:rsid w:val="00CC424C"/>
    <w:rsid w:val="00CD52C9"/>
    <w:rsid w:val="00CD6203"/>
    <w:rsid w:val="00CE0279"/>
    <w:rsid w:val="00CE2CD8"/>
    <w:rsid w:val="00CE61A4"/>
    <w:rsid w:val="00CF57EC"/>
    <w:rsid w:val="00D04D25"/>
    <w:rsid w:val="00D07464"/>
    <w:rsid w:val="00D37A9B"/>
    <w:rsid w:val="00D41D91"/>
    <w:rsid w:val="00D476FF"/>
    <w:rsid w:val="00D55660"/>
    <w:rsid w:val="00D562FC"/>
    <w:rsid w:val="00D85DA2"/>
    <w:rsid w:val="00D871FE"/>
    <w:rsid w:val="00D9162D"/>
    <w:rsid w:val="00D91E19"/>
    <w:rsid w:val="00DB3BF6"/>
    <w:rsid w:val="00DB5A02"/>
    <w:rsid w:val="00DE3F5F"/>
    <w:rsid w:val="00DE4768"/>
    <w:rsid w:val="00DE5390"/>
    <w:rsid w:val="00DF2C81"/>
    <w:rsid w:val="00E040A9"/>
    <w:rsid w:val="00E14447"/>
    <w:rsid w:val="00E167A1"/>
    <w:rsid w:val="00E16F7B"/>
    <w:rsid w:val="00E1702B"/>
    <w:rsid w:val="00E279BC"/>
    <w:rsid w:val="00E400E2"/>
    <w:rsid w:val="00E44A7A"/>
    <w:rsid w:val="00E5276B"/>
    <w:rsid w:val="00E62698"/>
    <w:rsid w:val="00E70282"/>
    <w:rsid w:val="00E71E57"/>
    <w:rsid w:val="00E752A7"/>
    <w:rsid w:val="00E80BA0"/>
    <w:rsid w:val="00E867EB"/>
    <w:rsid w:val="00E92611"/>
    <w:rsid w:val="00E92CDC"/>
    <w:rsid w:val="00E958F8"/>
    <w:rsid w:val="00EA4042"/>
    <w:rsid w:val="00EB66C5"/>
    <w:rsid w:val="00EC298C"/>
    <w:rsid w:val="00ED0D3D"/>
    <w:rsid w:val="00ED5824"/>
    <w:rsid w:val="00EE0216"/>
    <w:rsid w:val="00EF4889"/>
    <w:rsid w:val="00EF7A08"/>
    <w:rsid w:val="00F000ED"/>
    <w:rsid w:val="00F03161"/>
    <w:rsid w:val="00F03511"/>
    <w:rsid w:val="00F37822"/>
    <w:rsid w:val="00F46344"/>
    <w:rsid w:val="00F51C08"/>
    <w:rsid w:val="00F52636"/>
    <w:rsid w:val="00F81D54"/>
    <w:rsid w:val="00F81E47"/>
    <w:rsid w:val="00F854DB"/>
    <w:rsid w:val="00F90C5C"/>
    <w:rsid w:val="00FB422A"/>
    <w:rsid w:val="00FC1275"/>
    <w:rsid w:val="00FC3529"/>
    <w:rsid w:val="00FD2021"/>
    <w:rsid w:val="00FD2BC6"/>
    <w:rsid w:val="00FD71F0"/>
    <w:rsid w:val="00FF7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7F9ADE"/>
  <w15:chartTrackingRefBased/>
  <w15:docId w15:val="{5E6CACDD-45FD-4479-B514-47F9B9C9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5C"/>
    <w:pPr>
      <w:spacing w:after="200" w:line="276" w:lineRule="auto"/>
    </w:pPr>
    <w:rPr>
      <w:rFonts w:ascii="Calibri" w:eastAsia="Calibri" w:hAnsi="Calibri" w:cs="Times New Roman"/>
      <w:noProof/>
    </w:rPr>
  </w:style>
  <w:style w:type="paragraph" w:styleId="Heading1">
    <w:name w:val="heading 1"/>
    <w:basedOn w:val="Normal"/>
    <w:next w:val="Normal"/>
    <w:link w:val="Heading1Char"/>
    <w:uiPriority w:val="9"/>
    <w:qFormat/>
    <w:rsid w:val="0075055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25F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25F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55C"/>
    <w:rPr>
      <w:rFonts w:ascii="Cambria" w:eastAsia="Times New Roman" w:hAnsi="Cambria" w:cs="Times New Roman"/>
      <w:b/>
      <w:bCs/>
      <w:noProof/>
      <w:color w:val="365F91"/>
      <w:sz w:val="28"/>
      <w:szCs w:val="28"/>
    </w:rPr>
  </w:style>
  <w:style w:type="character" w:styleId="CommentReference">
    <w:name w:val="annotation reference"/>
    <w:basedOn w:val="DefaultParagraphFont"/>
    <w:uiPriority w:val="99"/>
    <w:semiHidden/>
    <w:unhideWhenUsed/>
    <w:rsid w:val="00F90C5C"/>
    <w:rPr>
      <w:sz w:val="16"/>
      <w:szCs w:val="16"/>
    </w:rPr>
  </w:style>
  <w:style w:type="paragraph" w:styleId="CommentText">
    <w:name w:val="annotation text"/>
    <w:basedOn w:val="Normal"/>
    <w:link w:val="CommentTextChar"/>
    <w:uiPriority w:val="99"/>
    <w:unhideWhenUsed/>
    <w:rsid w:val="00F90C5C"/>
    <w:pPr>
      <w:spacing w:line="240" w:lineRule="auto"/>
    </w:pPr>
    <w:rPr>
      <w:sz w:val="20"/>
      <w:szCs w:val="20"/>
    </w:rPr>
  </w:style>
  <w:style w:type="character" w:customStyle="1" w:styleId="CommentTextChar">
    <w:name w:val="Comment Text Char"/>
    <w:basedOn w:val="DefaultParagraphFont"/>
    <w:link w:val="CommentText"/>
    <w:uiPriority w:val="99"/>
    <w:rsid w:val="00F90C5C"/>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F90C5C"/>
    <w:rPr>
      <w:b/>
      <w:bCs/>
    </w:rPr>
  </w:style>
  <w:style w:type="character" w:customStyle="1" w:styleId="CommentSubjectChar">
    <w:name w:val="Comment Subject Char"/>
    <w:basedOn w:val="CommentTextChar"/>
    <w:link w:val="CommentSubject"/>
    <w:uiPriority w:val="99"/>
    <w:semiHidden/>
    <w:rsid w:val="00F90C5C"/>
    <w:rPr>
      <w:rFonts w:ascii="Calibri" w:eastAsia="Calibri" w:hAnsi="Calibri" w:cs="Times New Roman"/>
      <w:b/>
      <w:bCs/>
      <w:noProof/>
      <w:sz w:val="20"/>
      <w:szCs w:val="20"/>
    </w:rPr>
  </w:style>
  <w:style w:type="paragraph" w:styleId="BalloonText">
    <w:name w:val="Balloon Text"/>
    <w:basedOn w:val="Normal"/>
    <w:link w:val="BalloonTextChar"/>
    <w:uiPriority w:val="99"/>
    <w:semiHidden/>
    <w:unhideWhenUsed/>
    <w:rsid w:val="00F90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5C"/>
    <w:rPr>
      <w:rFonts w:ascii="Segoe UI" w:eastAsia="Calibri" w:hAnsi="Segoe UI" w:cs="Segoe UI"/>
      <w:noProof/>
      <w:sz w:val="18"/>
      <w:szCs w:val="18"/>
    </w:rPr>
  </w:style>
  <w:style w:type="paragraph" w:styleId="FootnoteText">
    <w:name w:val="footnote text"/>
    <w:basedOn w:val="Normal"/>
    <w:link w:val="FootnoteTextChar"/>
    <w:uiPriority w:val="99"/>
    <w:semiHidden/>
    <w:unhideWhenUsed/>
    <w:rsid w:val="0054340F"/>
    <w:pPr>
      <w:spacing w:after="0" w:line="240" w:lineRule="auto"/>
    </w:pPr>
    <w:rPr>
      <w:rFonts w:asciiTheme="minorHAnsi" w:eastAsiaTheme="minorHAnsi" w:hAnsiTheme="minorHAnsi" w:cstheme="minorBidi"/>
      <w:noProof w:val="0"/>
      <w:sz w:val="20"/>
      <w:szCs w:val="20"/>
    </w:rPr>
  </w:style>
  <w:style w:type="character" w:customStyle="1" w:styleId="FootnoteTextChar">
    <w:name w:val="Footnote Text Char"/>
    <w:basedOn w:val="DefaultParagraphFont"/>
    <w:link w:val="FootnoteText"/>
    <w:uiPriority w:val="99"/>
    <w:semiHidden/>
    <w:rsid w:val="0054340F"/>
    <w:rPr>
      <w:sz w:val="20"/>
      <w:szCs w:val="20"/>
    </w:rPr>
  </w:style>
  <w:style w:type="character" w:styleId="FootnoteReference">
    <w:name w:val="footnote reference"/>
    <w:basedOn w:val="DefaultParagraphFont"/>
    <w:uiPriority w:val="99"/>
    <w:semiHidden/>
    <w:unhideWhenUsed/>
    <w:rsid w:val="0054340F"/>
    <w:rPr>
      <w:vertAlign w:val="superscript"/>
    </w:rPr>
  </w:style>
  <w:style w:type="paragraph" w:styleId="ListParagraph">
    <w:name w:val="List Paragraph"/>
    <w:basedOn w:val="Normal"/>
    <w:uiPriority w:val="34"/>
    <w:qFormat/>
    <w:rsid w:val="0054340F"/>
    <w:pPr>
      <w:ind w:left="720"/>
      <w:contextualSpacing/>
    </w:pPr>
  </w:style>
  <w:style w:type="paragraph" w:customStyle="1" w:styleId="Default">
    <w:name w:val="Default"/>
    <w:rsid w:val="003C68F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143494"/>
    <w:pPr>
      <w:spacing w:before="100" w:beforeAutospacing="1" w:after="100" w:afterAutospacing="1" w:line="240" w:lineRule="auto"/>
    </w:pPr>
    <w:rPr>
      <w:rFonts w:ascii="Times New Roman" w:eastAsia="Times New Roman" w:hAnsi="Times New Roman"/>
      <w:noProof w:val="0"/>
      <w:sz w:val="24"/>
      <w:szCs w:val="24"/>
      <w:lang w:eastAsia="en-AU"/>
    </w:rPr>
  </w:style>
  <w:style w:type="character" w:customStyle="1" w:styleId="BodyTextIndentChar">
    <w:name w:val="Body Text Indent Char"/>
    <w:basedOn w:val="DefaultParagraphFont"/>
    <w:link w:val="BodyTextIndent"/>
    <w:uiPriority w:val="99"/>
    <w:semiHidden/>
    <w:rsid w:val="00143494"/>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semiHidden/>
    <w:unhideWhenUsed/>
    <w:rsid w:val="00143494"/>
    <w:pPr>
      <w:spacing w:before="100" w:beforeAutospacing="1" w:after="100" w:afterAutospacing="1" w:line="240" w:lineRule="auto"/>
    </w:pPr>
    <w:rPr>
      <w:rFonts w:ascii="Times New Roman" w:eastAsia="Times New Roman" w:hAnsi="Times New Roman"/>
      <w:noProof w:val="0"/>
      <w:sz w:val="24"/>
      <w:szCs w:val="24"/>
      <w:lang w:eastAsia="en-AU"/>
    </w:rPr>
  </w:style>
  <w:style w:type="character" w:customStyle="1" w:styleId="BodyTextIndent2Char">
    <w:name w:val="Body Text Indent 2 Char"/>
    <w:basedOn w:val="DefaultParagraphFont"/>
    <w:link w:val="BodyTextIndent2"/>
    <w:uiPriority w:val="99"/>
    <w:semiHidden/>
    <w:rsid w:val="00143494"/>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585E2A"/>
    <w:pPr>
      <w:spacing w:after="120"/>
    </w:pPr>
  </w:style>
  <w:style w:type="character" w:customStyle="1" w:styleId="BodyTextChar">
    <w:name w:val="Body Text Char"/>
    <w:basedOn w:val="DefaultParagraphFont"/>
    <w:link w:val="BodyText"/>
    <w:uiPriority w:val="99"/>
    <w:rsid w:val="00585E2A"/>
    <w:rPr>
      <w:rFonts w:ascii="Calibri" w:eastAsia="Calibri" w:hAnsi="Calibri" w:cs="Times New Roman"/>
      <w:noProof/>
    </w:rPr>
  </w:style>
  <w:style w:type="paragraph" w:customStyle="1" w:styleId="subsection">
    <w:name w:val="subsection"/>
    <w:aliases w:val="ss,Subsection"/>
    <w:basedOn w:val="Normal"/>
    <w:link w:val="subsectionChar"/>
    <w:rsid w:val="00BF1B66"/>
    <w:pPr>
      <w:tabs>
        <w:tab w:val="right" w:pos="1021"/>
      </w:tabs>
      <w:spacing w:before="180" w:after="0" w:line="240" w:lineRule="auto"/>
      <w:ind w:left="1134" w:hanging="1134"/>
    </w:pPr>
    <w:rPr>
      <w:rFonts w:ascii="Times New Roman" w:eastAsia="Times New Roman" w:hAnsi="Times New Roman"/>
      <w:noProof w:val="0"/>
      <w:szCs w:val="20"/>
      <w:lang w:eastAsia="en-AU"/>
    </w:rPr>
  </w:style>
  <w:style w:type="character" w:customStyle="1" w:styleId="subsectionChar">
    <w:name w:val="subsection Char"/>
    <w:aliases w:val="ss Char"/>
    <w:link w:val="subsection"/>
    <w:locked/>
    <w:rsid w:val="00BF1B66"/>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64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175"/>
    <w:rPr>
      <w:rFonts w:ascii="Calibri" w:eastAsia="Calibri" w:hAnsi="Calibri" w:cs="Times New Roman"/>
      <w:noProof/>
    </w:rPr>
  </w:style>
  <w:style w:type="paragraph" w:styleId="Footer">
    <w:name w:val="footer"/>
    <w:basedOn w:val="Normal"/>
    <w:link w:val="FooterChar"/>
    <w:uiPriority w:val="99"/>
    <w:unhideWhenUsed/>
    <w:rsid w:val="00645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175"/>
    <w:rPr>
      <w:rFonts w:ascii="Calibri" w:eastAsia="Calibri" w:hAnsi="Calibri" w:cs="Times New Roman"/>
      <w:noProof/>
    </w:rPr>
  </w:style>
  <w:style w:type="paragraph" w:styleId="Revision">
    <w:name w:val="Revision"/>
    <w:hidden/>
    <w:uiPriority w:val="99"/>
    <w:semiHidden/>
    <w:rsid w:val="003E107D"/>
    <w:pPr>
      <w:spacing w:after="0" w:line="240" w:lineRule="auto"/>
    </w:pPr>
    <w:rPr>
      <w:rFonts w:ascii="Calibri" w:eastAsia="Calibri" w:hAnsi="Calibri" w:cs="Times New Roman"/>
      <w:noProof/>
    </w:rPr>
  </w:style>
  <w:style w:type="character" w:customStyle="1" w:styleId="Heading2Char">
    <w:name w:val="Heading 2 Char"/>
    <w:basedOn w:val="DefaultParagraphFont"/>
    <w:link w:val="Heading2"/>
    <w:uiPriority w:val="9"/>
    <w:rsid w:val="00C25FDD"/>
    <w:rPr>
      <w:rFonts w:asciiTheme="majorHAnsi" w:eastAsiaTheme="majorEastAsia" w:hAnsiTheme="majorHAnsi" w:cstheme="majorBidi"/>
      <w:noProof/>
      <w:color w:val="2E74B5" w:themeColor="accent1" w:themeShade="BF"/>
      <w:sz w:val="26"/>
      <w:szCs w:val="26"/>
    </w:rPr>
  </w:style>
  <w:style w:type="character" w:customStyle="1" w:styleId="Heading3Char">
    <w:name w:val="Heading 3 Char"/>
    <w:basedOn w:val="DefaultParagraphFont"/>
    <w:link w:val="Heading3"/>
    <w:uiPriority w:val="9"/>
    <w:semiHidden/>
    <w:rsid w:val="00C25FDD"/>
    <w:rPr>
      <w:rFonts w:asciiTheme="majorHAnsi" w:eastAsiaTheme="majorEastAsia" w:hAnsiTheme="majorHAnsi" w:cstheme="majorBidi"/>
      <w:noProof/>
      <w:color w:val="1F4D78" w:themeColor="accent1" w:themeShade="7F"/>
      <w:sz w:val="24"/>
      <w:szCs w:val="24"/>
    </w:rPr>
  </w:style>
  <w:style w:type="character" w:styleId="Emphasis">
    <w:name w:val="Emphasis"/>
    <w:basedOn w:val="DefaultParagraphFont"/>
    <w:uiPriority w:val="20"/>
    <w:qFormat/>
    <w:rsid w:val="00826726"/>
    <w:rPr>
      <w:b/>
      <w:bCs/>
      <w:i w:val="0"/>
      <w:iCs w:val="0"/>
    </w:rPr>
  </w:style>
  <w:style w:type="character" w:customStyle="1" w:styleId="st1">
    <w:name w:val="st1"/>
    <w:basedOn w:val="DefaultParagraphFont"/>
    <w:rsid w:val="00826726"/>
  </w:style>
  <w:style w:type="paragraph" w:customStyle="1" w:styleId="paragraph">
    <w:name w:val="paragraph"/>
    <w:aliases w:val="a"/>
    <w:basedOn w:val="Normal"/>
    <w:rsid w:val="00E62698"/>
    <w:pPr>
      <w:tabs>
        <w:tab w:val="right" w:pos="1531"/>
      </w:tabs>
      <w:spacing w:before="40" w:after="0" w:line="240" w:lineRule="auto"/>
      <w:ind w:left="1644" w:hanging="1644"/>
    </w:pPr>
    <w:rPr>
      <w:rFonts w:ascii="Times New Roman" w:eastAsia="Times New Roman" w:hAnsi="Times New Roman"/>
      <w:noProof w:val="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213">
      <w:bodyDiv w:val="1"/>
      <w:marLeft w:val="0"/>
      <w:marRight w:val="0"/>
      <w:marTop w:val="0"/>
      <w:marBottom w:val="0"/>
      <w:divBdr>
        <w:top w:val="none" w:sz="0" w:space="0" w:color="auto"/>
        <w:left w:val="none" w:sz="0" w:space="0" w:color="auto"/>
        <w:bottom w:val="none" w:sz="0" w:space="0" w:color="auto"/>
        <w:right w:val="none" w:sz="0" w:space="0" w:color="auto"/>
      </w:divBdr>
    </w:div>
    <w:div w:id="63190544">
      <w:bodyDiv w:val="1"/>
      <w:marLeft w:val="0"/>
      <w:marRight w:val="0"/>
      <w:marTop w:val="0"/>
      <w:marBottom w:val="0"/>
      <w:divBdr>
        <w:top w:val="none" w:sz="0" w:space="0" w:color="auto"/>
        <w:left w:val="none" w:sz="0" w:space="0" w:color="auto"/>
        <w:bottom w:val="none" w:sz="0" w:space="0" w:color="auto"/>
        <w:right w:val="none" w:sz="0" w:space="0" w:color="auto"/>
      </w:divBdr>
    </w:div>
    <w:div w:id="68816854">
      <w:bodyDiv w:val="1"/>
      <w:marLeft w:val="0"/>
      <w:marRight w:val="0"/>
      <w:marTop w:val="0"/>
      <w:marBottom w:val="0"/>
      <w:divBdr>
        <w:top w:val="none" w:sz="0" w:space="0" w:color="auto"/>
        <w:left w:val="none" w:sz="0" w:space="0" w:color="auto"/>
        <w:bottom w:val="none" w:sz="0" w:space="0" w:color="auto"/>
        <w:right w:val="none" w:sz="0" w:space="0" w:color="auto"/>
      </w:divBdr>
    </w:div>
    <w:div w:id="134446244">
      <w:bodyDiv w:val="1"/>
      <w:marLeft w:val="0"/>
      <w:marRight w:val="0"/>
      <w:marTop w:val="0"/>
      <w:marBottom w:val="0"/>
      <w:divBdr>
        <w:top w:val="none" w:sz="0" w:space="0" w:color="auto"/>
        <w:left w:val="none" w:sz="0" w:space="0" w:color="auto"/>
        <w:bottom w:val="none" w:sz="0" w:space="0" w:color="auto"/>
        <w:right w:val="none" w:sz="0" w:space="0" w:color="auto"/>
      </w:divBdr>
      <w:divsChild>
        <w:div w:id="920986193">
          <w:marLeft w:val="0"/>
          <w:marRight w:val="0"/>
          <w:marTop w:val="0"/>
          <w:marBottom w:val="0"/>
          <w:divBdr>
            <w:top w:val="none" w:sz="0" w:space="0" w:color="auto"/>
            <w:left w:val="none" w:sz="0" w:space="0" w:color="auto"/>
            <w:bottom w:val="none" w:sz="0" w:space="0" w:color="auto"/>
            <w:right w:val="none" w:sz="0" w:space="0" w:color="auto"/>
          </w:divBdr>
          <w:divsChild>
            <w:div w:id="1106778992">
              <w:marLeft w:val="0"/>
              <w:marRight w:val="0"/>
              <w:marTop w:val="0"/>
              <w:marBottom w:val="0"/>
              <w:divBdr>
                <w:top w:val="none" w:sz="0" w:space="0" w:color="auto"/>
                <w:left w:val="none" w:sz="0" w:space="0" w:color="auto"/>
                <w:bottom w:val="none" w:sz="0" w:space="0" w:color="auto"/>
                <w:right w:val="none" w:sz="0" w:space="0" w:color="auto"/>
              </w:divBdr>
              <w:divsChild>
                <w:div w:id="1343052041">
                  <w:marLeft w:val="0"/>
                  <w:marRight w:val="0"/>
                  <w:marTop w:val="0"/>
                  <w:marBottom w:val="0"/>
                  <w:divBdr>
                    <w:top w:val="none" w:sz="0" w:space="0" w:color="auto"/>
                    <w:left w:val="none" w:sz="0" w:space="0" w:color="auto"/>
                    <w:bottom w:val="none" w:sz="0" w:space="0" w:color="auto"/>
                    <w:right w:val="none" w:sz="0" w:space="0" w:color="auto"/>
                  </w:divBdr>
                  <w:divsChild>
                    <w:div w:id="1463572618">
                      <w:marLeft w:val="0"/>
                      <w:marRight w:val="0"/>
                      <w:marTop w:val="0"/>
                      <w:marBottom w:val="0"/>
                      <w:divBdr>
                        <w:top w:val="none" w:sz="0" w:space="0" w:color="auto"/>
                        <w:left w:val="none" w:sz="0" w:space="0" w:color="auto"/>
                        <w:bottom w:val="none" w:sz="0" w:space="0" w:color="auto"/>
                        <w:right w:val="none" w:sz="0" w:space="0" w:color="auto"/>
                      </w:divBdr>
                      <w:divsChild>
                        <w:div w:id="436603687">
                          <w:marLeft w:val="0"/>
                          <w:marRight w:val="0"/>
                          <w:marTop w:val="0"/>
                          <w:marBottom w:val="0"/>
                          <w:divBdr>
                            <w:top w:val="none" w:sz="0" w:space="0" w:color="auto"/>
                            <w:left w:val="none" w:sz="0" w:space="0" w:color="auto"/>
                            <w:bottom w:val="none" w:sz="0" w:space="0" w:color="auto"/>
                            <w:right w:val="none" w:sz="0" w:space="0" w:color="auto"/>
                          </w:divBdr>
                          <w:divsChild>
                            <w:div w:id="1767724650">
                              <w:marLeft w:val="0"/>
                              <w:marRight w:val="0"/>
                              <w:marTop w:val="0"/>
                              <w:marBottom w:val="0"/>
                              <w:divBdr>
                                <w:top w:val="none" w:sz="0" w:space="0" w:color="auto"/>
                                <w:left w:val="none" w:sz="0" w:space="0" w:color="auto"/>
                                <w:bottom w:val="none" w:sz="0" w:space="0" w:color="auto"/>
                                <w:right w:val="none" w:sz="0" w:space="0" w:color="auto"/>
                              </w:divBdr>
                            </w:div>
                            <w:div w:id="19370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67606">
      <w:bodyDiv w:val="1"/>
      <w:marLeft w:val="0"/>
      <w:marRight w:val="0"/>
      <w:marTop w:val="0"/>
      <w:marBottom w:val="0"/>
      <w:divBdr>
        <w:top w:val="none" w:sz="0" w:space="0" w:color="auto"/>
        <w:left w:val="none" w:sz="0" w:space="0" w:color="auto"/>
        <w:bottom w:val="none" w:sz="0" w:space="0" w:color="auto"/>
        <w:right w:val="none" w:sz="0" w:space="0" w:color="auto"/>
      </w:divBdr>
      <w:divsChild>
        <w:div w:id="1495366852">
          <w:marLeft w:val="0"/>
          <w:marRight w:val="0"/>
          <w:marTop w:val="0"/>
          <w:marBottom w:val="0"/>
          <w:divBdr>
            <w:top w:val="none" w:sz="0" w:space="0" w:color="auto"/>
            <w:left w:val="none" w:sz="0" w:space="0" w:color="auto"/>
            <w:bottom w:val="none" w:sz="0" w:space="0" w:color="auto"/>
            <w:right w:val="none" w:sz="0" w:space="0" w:color="auto"/>
          </w:divBdr>
          <w:divsChild>
            <w:div w:id="614334736">
              <w:marLeft w:val="0"/>
              <w:marRight w:val="0"/>
              <w:marTop w:val="0"/>
              <w:marBottom w:val="0"/>
              <w:divBdr>
                <w:top w:val="none" w:sz="0" w:space="0" w:color="auto"/>
                <w:left w:val="none" w:sz="0" w:space="0" w:color="auto"/>
                <w:bottom w:val="none" w:sz="0" w:space="0" w:color="auto"/>
                <w:right w:val="none" w:sz="0" w:space="0" w:color="auto"/>
              </w:divBdr>
              <w:divsChild>
                <w:div w:id="2068144352">
                  <w:marLeft w:val="0"/>
                  <w:marRight w:val="0"/>
                  <w:marTop w:val="0"/>
                  <w:marBottom w:val="0"/>
                  <w:divBdr>
                    <w:top w:val="none" w:sz="0" w:space="0" w:color="auto"/>
                    <w:left w:val="none" w:sz="0" w:space="0" w:color="auto"/>
                    <w:bottom w:val="none" w:sz="0" w:space="0" w:color="auto"/>
                    <w:right w:val="none" w:sz="0" w:space="0" w:color="auto"/>
                  </w:divBdr>
                  <w:divsChild>
                    <w:div w:id="934676020">
                      <w:marLeft w:val="0"/>
                      <w:marRight w:val="0"/>
                      <w:marTop w:val="0"/>
                      <w:marBottom w:val="0"/>
                      <w:divBdr>
                        <w:top w:val="none" w:sz="0" w:space="0" w:color="auto"/>
                        <w:left w:val="none" w:sz="0" w:space="0" w:color="auto"/>
                        <w:bottom w:val="none" w:sz="0" w:space="0" w:color="auto"/>
                        <w:right w:val="none" w:sz="0" w:space="0" w:color="auto"/>
                      </w:divBdr>
                      <w:divsChild>
                        <w:div w:id="461387708">
                          <w:marLeft w:val="0"/>
                          <w:marRight w:val="0"/>
                          <w:marTop w:val="0"/>
                          <w:marBottom w:val="0"/>
                          <w:divBdr>
                            <w:top w:val="none" w:sz="0" w:space="0" w:color="auto"/>
                            <w:left w:val="none" w:sz="0" w:space="0" w:color="auto"/>
                            <w:bottom w:val="none" w:sz="0" w:space="0" w:color="auto"/>
                            <w:right w:val="none" w:sz="0" w:space="0" w:color="auto"/>
                          </w:divBdr>
                          <w:divsChild>
                            <w:div w:id="1725711829">
                              <w:marLeft w:val="0"/>
                              <w:marRight w:val="0"/>
                              <w:marTop w:val="0"/>
                              <w:marBottom w:val="0"/>
                              <w:divBdr>
                                <w:top w:val="none" w:sz="0" w:space="0" w:color="auto"/>
                                <w:left w:val="none" w:sz="0" w:space="0" w:color="auto"/>
                                <w:bottom w:val="none" w:sz="0" w:space="0" w:color="auto"/>
                                <w:right w:val="none" w:sz="0" w:space="0" w:color="auto"/>
                              </w:divBdr>
                              <w:divsChild>
                                <w:div w:id="840001272">
                                  <w:marLeft w:val="0"/>
                                  <w:marRight w:val="0"/>
                                  <w:marTop w:val="0"/>
                                  <w:marBottom w:val="0"/>
                                  <w:divBdr>
                                    <w:top w:val="none" w:sz="0" w:space="0" w:color="auto"/>
                                    <w:left w:val="none" w:sz="0" w:space="0" w:color="auto"/>
                                    <w:bottom w:val="none" w:sz="0" w:space="0" w:color="auto"/>
                                    <w:right w:val="none" w:sz="0" w:space="0" w:color="auto"/>
                                  </w:divBdr>
                                  <w:divsChild>
                                    <w:div w:id="1104614763">
                                      <w:marLeft w:val="0"/>
                                      <w:marRight w:val="0"/>
                                      <w:marTop w:val="0"/>
                                      <w:marBottom w:val="0"/>
                                      <w:divBdr>
                                        <w:top w:val="none" w:sz="0" w:space="0" w:color="auto"/>
                                        <w:left w:val="none" w:sz="0" w:space="0" w:color="auto"/>
                                        <w:bottom w:val="none" w:sz="0" w:space="0" w:color="auto"/>
                                        <w:right w:val="none" w:sz="0" w:space="0" w:color="auto"/>
                                      </w:divBdr>
                                      <w:divsChild>
                                        <w:div w:id="778834937">
                                          <w:marLeft w:val="0"/>
                                          <w:marRight w:val="0"/>
                                          <w:marTop w:val="0"/>
                                          <w:marBottom w:val="0"/>
                                          <w:divBdr>
                                            <w:top w:val="none" w:sz="0" w:space="0" w:color="auto"/>
                                            <w:left w:val="none" w:sz="0" w:space="0" w:color="auto"/>
                                            <w:bottom w:val="none" w:sz="0" w:space="0" w:color="auto"/>
                                            <w:right w:val="none" w:sz="0" w:space="0" w:color="auto"/>
                                          </w:divBdr>
                                          <w:divsChild>
                                            <w:div w:id="823352287">
                                              <w:marLeft w:val="0"/>
                                              <w:marRight w:val="0"/>
                                              <w:marTop w:val="0"/>
                                              <w:marBottom w:val="0"/>
                                              <w:divBdr>
                                                <w:top w:val="none" w:sz="0" w:space="0" w:color="auto"/>
                                                <w:left w:val="none" w:sz="0" w:space="0" w:color="auto"/>
                                                <w:bottom w:val="none" w:sz="0" w:space="0" w:color="auto"/>
                                                <w:right w:val="none" w:sz="0" w:space="0" w:color="auto"/>
                                              </w:divBdr>
                                              <w:divsChild>
                                                <w:div w:id="317534750">
                                                  <w:marLeft w:val="0"/>
                                                  <w:marRight w:val="0"/>
                                                  <w:marTop w:val="0"/>
                                                  <w:marBottom w:val="0"/>
                                                  <w:divBdr>
                                                    <w:top w:val="none" w:sz="0" w:space="0" w:color="auto"/>
                                                    <w:left w:val="none" w:sz="0" w:space="0" w:color="auto"/>
                                                    <w:bottom w:val="none" w:sz="0" w:space="0" w:color="auto"/>
                                                    <w:right w:val="none" w:sz="0" w:space="0" w:color="auto"/>
                                                  </w:divBdr>
                                                  <w:divsChild>
                                                    <w:div w:id="1996298409">
                                                      <w:marLeft w:val="0"/>
                                                      <w:marRight w:val="0"/>
                                                      <w:marTop w:val="0"/>
                                                      <w:marBottom w:val="0"/>
                                                      <w:divBdr>
                                                        <w:top w:val="none" w:sz="0" w:space="0" w:color="auto"/>
                                                        <w:left w:val="none" w:sz="0" w:space="0" w:color="auto"/>
                                                        <w:bottom w:val="none" w:sz="0" w:space="0" w:color="auto"/>
                                                        <w:right w:val="none" w:sz="0" w:space="0" w:color="auto"/>
                                                      </w:divBdr>
                                                      <w:divsChild>
                                                        <w:div w:id="70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91090">
      <w:bodyDiv w:val="1"/>
      <w:marLeft w:val="0"/>
      <w:marRight w:val="0"/>
      <w:marTop w:val="0"/>
      <w:marBottom w:val="0"/>
      <w:divBdr>
        <w:top w:val="none" w:sz="0" w:space="0" w:color="auto"/>
        <w:left w:val="none" w:sz="0" w:space="0" w:color="auto"/>
        <w:bottom w:val="none" w:sz="0" w:space="0" w:color="auto"/>
        <w:right w:val="none" w:sz="0" w:space="0" w:color="auto"/>
      </w:divBdr>
    </w:div>
    <w:div w:id="339427298">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93284717">
      <w:bodyDiv w:val="1"/>
      <w:marLeft w:val="0"/>
      <w:marRight w:val="0"/>
      <w:marTop w:val="0"/>
      <w:marBottom w:val="0"/>
      <w:divBdr>
        <w:top w:val="none" w:sz="0" w:space="0" w:color="auto"/>
        <w:left w:val="none" w:sz="0" w:space="0" w:color="auto"/>
        <w:bottom w:val="none" w:sz="0" w:space="0" w:color="auto"/>
        <w:right w:val="none" w:sz="0" w:space="0" w:color="auto"/>
      </w:divBdr>
      <w:divsChild>
        <w:div w:id="1599214754">
          <w:marLeft w:val="0"/>
          <w:marRight w:val="0"/>
          <w:marTop w:val="0"/>
          <w:marBottom w:val="0"/>
          <w:divBdr>
            <w:top w:val="none" w:sz="0" w:space="0" w:color="auto"/>
            <w:left w:val="none" w:sz="0" w:space="0" w:color="auto"/>
            <w:bottom w:val="none" w:sz="0" w:space="0" w:color="auto"/>
            <w:right w:val="none" w:sz="0" w:space="0" w:color="auto"/>
          </w:divBdr>
          <w:divsChild>
            <w:div w:id="543711194">
              <w:marLeft w:val="0"/>
              <w:marRight w:val="0"/>
              <w:marTop w:val="0"/>
              <w:marBottom w:val="0"/>
              <w:divBdr>
                <w:top w:val="none" w:sz="0" w:space="0" w:color="auto"/>
                <w:left w:val="none" w:sz="0" w:space="0" w:color="auto"/>
                <w:bottom w:val="none" w:sz="0" w:space="0" w:color="auto"/>
                <w:right w:val="none" w:sz="0" w:space="0" w:color="auto"/>
              </w:divBdr>
              <w:divsChild>
                <w:div w:id="205266036">
                  <w:marLeft w:val="0"/>
                  <w:marRight w:val="0"/>
                  <w:marTop w:val="0"/>
                  <w:marBottom w:val="0"/>
                  <w:divBdr>
                    <w:top w:val="none" w:sz="0" w:space="0" w:color="auto"/>
                    <w:left w:val="none" w:sz="0" w:space="0" w:color="auto"/>
                    <w:bottom w:val="none" w:sz="0" w:space="0" w:color="auto"/>
                    <w:right w:val="none" w:sz="0" w:space="0" w:color="auto"/>
                  </w:divBdr>
                  <w:divsChild>
                    <w:div w:id="1817144501">
                      <w:marLeft w:val="0"/>
                      <w:marRight w:val="0"/>
                      <w:marTop w:val="0"/>
                      <w:marBottom w:val="0"/>
                      <w:divBdr>
                        <w:top w:val="none" w:sz="0" w:space="0" w:color="auto"/>
                        <w:left w:val="none" w:sz="0" w:space="0" w:color="auto"/>
                        <w:bottom w:val="none" w:sz="0" w:space="0" w:color="auto"/>
                        <w:right w:val="none" w:sz="0" w:space="0" w:color="auto"/>
                      </w:divBdr>
                      <w:divsChild>
                        <w:div w:id="2003268469">
                          <w:marLeft w:val="0"/>
                          <w:marRight w:val="0"/>
                          <w:marTop w:val="0"/>
                          <w:marBottom w:val="0"/>
                          <w:divBdr>
                            <w:top w:val="none" w:sz="0" w:space="0" w:color="auto"/>
                            <w:left w:val="none" w:sz="0" w:space="0" w:color="auto"/>
                            <w:bottom w:val="none" w:sz="0" w:space="0" w:color="auto"/>
                            <w:right w:val="none" w:sz="0" w:space="0" w:color="auto"/>
                          </w:divBdr>
                          <w:divsChild>
                            <w:div w:id="1397436733">
                              <w:marLeft w:val="0"/>
                              <w:marRight w:val="0"/>
                              <w:marTop w:val="0"/>
                              <w:marBottom w:val="0"/>
                              <w:divBdr>
                                <w:top w:val="none" w:sz="0" w:space="0" w:color="auto"/>
                                <w:left w:val="none" w:sz="0" w:space="0" w:color="auto"/>
                                <w:bottom w:val="none" w:sz="0" w:space="0" w:color="auto"/>
                                <w:right w:val="none" w:sz="0" w:space="0" w:color="auto"/>
                              </w:divBdr>
                              <w:divsChild>
                                <w:div w:id="981885631">
                                  <w:marLeft w:val="0"/>
                                  <w:marRight w:val="0"/>
                                  <w:marTop w:val="0"/>
                                  <w:marBottom w:val="0"/>
                                  <w:divBdr>
                                    <w:top w:val="none" w:sz="0" w:space="0" w:color="auto"/>
                                    <w:left w:val="none" w:sz="0" w:space="0" w:color="auto"/>
                                    <w:bottom w:val="none" w:sz="0" w:space="0" w:color="auto"/>
                                    <w:right w:val="none" w:sz="0" w:space="0" w:color="auto"/>
                                  </w:divBdr>
                                  <w:divsChild>
                                    <w:div w:id="1691445013">
                                      <w:marLeft w:val="0"/>
                                      <w:marRight w:val="0"/>
                                      <w:marTop w:val="0"/>
                                      <w:marBottom w:val="0"/>
                                      <w:divBdr>
                                        <w:top w:val="none" w:sz="0" w:space="0" w:color="auto"/>
                                        <w:left w:val="none" w:sz="0" w:space="0" w:color="auto"/>
                                        <w:bottom w:val="none" w:sz="0" w:space="0" w:color="auto"/>
                                        <w:right w:val="none" w:sz="0" w:space="0" w:color="auto"/>
                                      </w:divBdr>
                                      <w:divsChild>
                                        <w:div w:id="1335453199">
                                          <w:marLeft w:val="0"/>
                                          <w:marRight w:val="0"/>
                                          <w:marTop w:val="0"/>
                                          <w:marBottom w:val="0"/>
                                          <w:divBdr>
                                            <w:top w:val="none" w:sz="0" w:space="0" w:color="auto"/>
                                            <w:left w:val="none" w:sz="0" w:space="0" w:color="auto"/>
                                            <w:bottom w:val="none" w:sz="0" w:space="0" w:color="auto"/>
                                            <w:right w:val="none" w:sz="0" w:space="0" w:color="auto"/>
                                          </w:divBdr>
                                          <w:divsChild>
                                            <w:div w:id="1483423547">
                                              <w:marLeft w:val="0"/>
                                              <w:marRight w:val="0"/>
                                              <w:marTop w:val="0"/>
                                              <w:marBottom w:val="0"/>
                                              <w:divBdr>
                                                <w:top w:val="none" w:sz="0" w:space="0" w:color="auto"/>
                                                <w:left w:val="none" w:sz="0" w:space="0" w:color="auto"/>
                                                <w:bottom w:val="none" w:sz="0" w:space="0" w:color="auto"/>
                                                <w:right w:val="none" w:sz="0" w:space="0" w:color="auto"/>
                                              </w:divBdr>
                                              <w:divsChild>
                                                <w:div w:id="61762630">
                                                  <w:marLeft w:val="0"/>
                                                  <w:marRight w:val="0"/>
                                                  <w:marTop w:val="0"/>
                                                  <w:marBottom w:val="0"/>
                                                  <w:divBdr>
                                                    <w:top w:val="none" w:sz="0" w:space="0" w:color="auto"/>
                                                    <w:left w:val="none" w:sz="0" w:space="0" w:color="auto"/>
                                                    <w:bottom w:val="none" w:sz="0" w:space="0" w:color="auto"/>
                                                    <w:right w:val="none" w:sz="0" w:space="0" w:color="auto"/>
                                                  </w:divBdr>
                                                  <w:divsChild>
                                                    <w:div w:id="1013800847">
                                                      <w:marLeft w:val="0"/>
                                                      <w:marRight w:val="0"/>
                                                      <w:marTop w:val="0"/>
                                                      <w:marBottom w:val="0"/>
                                                      <w:divBdr>
                                                        <w:top w:val="none" w:sz="0" w:space="0" w:color="auto"/>
                                                        <w:left w:val="none" w:sz="0" w:space="0" w:color="auto"/>
                                                        <w:bottom w:val="none" w:sz="0" w:space="0" w:color="auto"/>
                                                        <w:right w:val="none" w:sz="0" w:space="0" w:color="auto"/>
                                                      </w:divBdr>
                                                      <w:divsChild>
                                                        <w:div w:id="2014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3459931">
      <w:bodyDiv w:val="1"/>
      <w:marLeft w:val="0"/>
      <w:marRight w:val="0"/>
      <w:marTop w:val="0"/>
      <w:marBottom w:val="0"/>
      <w:divBdr>
        <w:top w:val="none" w:sz="0" w:space="0" w:color="auto"/>
        <w:left w:val="none" w:sz="0" w:space="0" w:color="auto"/>
        <w:bottom w:val="none" w:sz="0" w:space="0" w:color="auto"/>
        <w:right w:val="none" w:sz="0" w:space="0" w:color="auto"/>
      </w:divBdr>
    </w:div>
    <w:div w:id="567420689">
      <w:bodyDiv w:val="1"/>
      <w:marLeft w:val="0"/>
      <w:marRight w:val="0"/>
      <w:marTop w:val="0"/>
      <w:marBottom w:val="0"/>
      <w:divBdr>
        <w:top w:val="none" w:sz="0" w:space="0" w:color="auto"/>
        <w:left w:val="none" w:sz="0" w:space="0" w:color="auto"/>
        <w:bottom w:val="none" w:sz="0" w:space="0" w:color="auto"/>
        <w:right w:val="none" w:sz="0" w:space="0" w:color="auto"/>
      </w:divBdr>
    </w:div>
    <w:div w:id="863205613">
      <w:bodyDiv w:val="1"/>
      <w:marLeft w:val="0"/>
      <w:marRight w:val="0"/>
      <w:marTop w:val="0"/>
      <w:marBottom w:val="0"/>
      <w:divBdr>
        <w:top w:val="none" w:sz="0" w:space="0" w:color="auto"/>
        <w:left w:val="none" w:sz="0" w:space="0" w:color="auto"/>
        <w:bottom w:val="none" w:sz="0" w:space="0" w:color="auto"/>
        <w:right w:val="none" w:sz="0" w:space="0" w:color="auto"/>
      </w:divBdr>
      <w:divsChild>
        <w:div w:id="698437986">
          <w:marLeft w:val="0"/>
          <w:marRight w:val="0"/>
          <w:marTop w:val="0"/>
          <w:marBottom w:val="0"/>
          <w:divBdr>
            <w:top w:val="none" w:sz="0" w:space="0" w:color="auto"/>
            <w:left w:val="none" w:sz="0" w:space="0" w:color="auto"/>
            <w:bottom w:val="none" w:sz="0" w:space="0" w:color="auto"/>
            <w:right w:val="none" w:sz="0" w:space="0" w:color="auto"/>
          </w:divBdr>
          <w:divsChild>
            <w:div w:id="1020861289">
              <w:marLeft w:val="0"/>
              <w:marRight w:val="0"/>
              <w:marTop w:val="0"/>
              <w:marBottom w:val="0"/>
              <w:divBdr>
                <w:top w:val="none" w:sz="0" w:space="0" w:color="auto"/>
                <w:left w:val="none" w:sz="0" w:space="0" w:color="auto"/>
                <w:bottom w:val="none" w:sz="0" w:space="0" w:color="auto"/>
                <w:right w:val="none" w:sz="0" w:space="0" w:color="auto"/>
              </w:divBdr>
              <w:divsChild>
                <w:div w:id="1484471689">
                  <w:marLeft w:val="0"/>
                  <w:marRight w:val="0"/>
                  <w:marTop w:val="0"/>
                  <w:marBottom w:val="0"/>
                  <w:divBdr>
                    <w:top w:val="none" w:sz="0" w:space="0" w:color="auto"/>
                    <w:left w:val="none" w:sz="0" w:space="0" w:color="auto"/>
                    <w:bottom w:val="none" w:sz="0" w:space="0" w:color="auto"/>
                    <w:right w:val="none" w:sz="0" w:space="0" w:color="auto"/>
                  </w:divBdr>
                  <w:divsChild>
                    <w:div w:id="189923884">
                      <w:marLeft w:val="0"/>
                      <w:marRight w:val="0"/>
                      <w:marTop w:val="0"/>
                      <w:marBottom w:val="0"/>
                      <w:divBdr>
                        <w:top w:val="none" w:sz="0" w:space="0" w:color="auto"/>
                        <w:left w:val="none" w:sz="0" w:space="0" w:color="auto"/>
                        <w:bottom w:val="none" w:sz="0" w:space="0" w:color="auto"/>
                        <w:right w:val="none" w:sz="0" w:space="0" w:color="auto"/>
                      </w:divBdr>
                      <w:divsChild>
                        <w:div w:id="615798253">
                          <w:marLeft w:val="0"/>
                          <w:marRight w:val="0"/>
                          <w:marTop w:val="0"/>
                          <w:marBottom w:val="0"/>
                          <w:divBdr>
                            <w:top w:val="none" w:sz="0" w:space="0" w:color="auto"/>
                            <w:left w:val="none" w:sz="0" w:space="0" w:color="auto"/>
                            <w:bottom w:val="none" w:sz="0" w:space="0" w:color="auto"/>
                            <w:right w:val="none" w:sz="0" w:space="0" w:color="auto"/>
                          </w:divBdr>
                          <w:divsChild>
                            <w:div w:id="1899823482">
                              <w:marLeft w:val="0"/>
                              <w:marRight w:val="0"/>
                              <w:marTop w:val="0"/>
                              <w:marBottom w:val="0"/>
                              <w:divBdr>
                                <w:top w:val="none" w:sz="0" w:space="0" w:color="auto"/>
                                <w:left w:val="none" w:sz="0" w:space="0" w:color="auto"/>
                                <w:bottom w:val="none" w:sz="0" w:space="0" w:color="auto"/>
                                <w:right w:val="none" w:sz="0" w:space="0" w:color="auto"/>
                              </w:divBdr>
                              <w:divsChild>
                                <w:div w:id="1790735011">
                                  <w:marLeft w:val="0"/>
                                  <w:marRight w:val="0"/>
                                  <w:marTop w:val="0"/>
                                  <w:marBottom w:val="0"/>
                                  <w:divBdr>
                                    <w:top w:val="none" w:sz="0" w:space="0" w:color="auto"/>
                                    <w:left w:val="none" w:sz="0" w:space="0" w:color="auto"/>
                                    <w:bottom w:val="none" w:sz="0" w:space="0" w:color="auto"/>
                                    <w:right w:val="none" w:sz="0" w:space="0" w:color="auto"/>
                                  </w:divBdr>
                                  <w:divsChild>
                                    <w:div w:id="306589722">
                                      <w:marLeft w:val="0"/>
                                      <w:marRight w:val="0"/>
                                      <w:marTop w:val="0"/>
                                      <w:marBottom w:val="0"/>
                                      <w:divBdr>
                                        <w:top w:val="none" w:sz="0" w:space="0" w:color="auto"/>
                                        <w:left w:val="none" w:sz="0" w:space="0" w:color="auto"/>
                                        <w:bottom w:val="none" w:sz="0" w:space="0" w:color="auto"/>
                                        <w:right w:val="none" w:sz="0" w:space="0" w:color="auto"/>
                                      </w:divBdr>
                                      <w:divsChild>
                                        <w:div w:id="765156626">
                                          <w:marLeft w:val="0"/>
                                          <w:marRight w:val="0"/>
                                          <w:marTop w:val="0"/>
                                          <w:marBottom w:val="0"/>
                                          <w:divBdr>
                                            <w:top w:val="none" w:sz="0" w:space="0" w:color="auto"/>
                                            <w:left w:val="none" w:sz="0" w:space="0" w:color="auto"/>
                                            <w:bottom w:val="none" w:sz="0" w:space="0" w:color="auto"/>
                                            <w:right w:val="none" w:sz="0" w:space="0" w:color="auto"/>
                                          </w:divBdr>
                                          <w:divsChild>
                                            <w:div w:id="220756234">
                                              <w:marLeft w:val="0"/>
                                              <w:marRight w:val="0"/>
                                              <w:marTop w:val="0"/>
                                              <w:marBottom w:val="0"/>
                                              <w:divBdr>
                                                <w:top w:val="none" w:sz="0" w:space="0" w:color="auto"/>
                                                <w:left w:val="none" w:sz="0" w:space="0" w:color="auto"/>
                                                <w:bottom w:val="none" w:sz="0" w:space="0" w:color="auto"/>
                                                <w:right w:val="none" w:sz="0" w:space="0" w:color="auto"/>
                                              </w:divBdr>
                                              <w:divsChild>
                                                <w:div w:id="812257508">
                                                  <w:marLeft w:val="0"/>
                                                  <w:marRight w:val="0"/>
                                                  <w:marTop w:val="0"/>
                                                  <w:marBottom w:val="0"/>
                                                  <w:divBdr>
                                                    <w:top w:val="none" w:sz="0" w:space="0" w:color="auto"/>
                                                    <w:left w:val="none" w:sz="0" w:space="0" w:color="auto"/>
                                                    <w:bottom w:val="none" w:sz="0" w:space="0" w:color="auto"/>
                                                    <w:right w:val="none" w:sz="0" w:space="0" w:color="auto"/>
                                                  </w:divBdr>
                                                  <w:divsChild>
                                                    <w:div w:id="1234511556">
                                                      <w:marLeft w:val="0"/>
                                                      <w:marRight w:val="0"/>
                                                      <w:marTop w:val="0"/>
                                                      <w:marBottom w:val="0"/>
                                                      <w:divBdr>
                                                        <w:top w:val="none" w:sz="0" w:space="0" w:color="auto"/>
                                                        <w:left w:val="none" w:sz="0" w:space="0" w:color="auto"/>
                                                        <w:bottom w:val="none" w:sz="0" w:space="0" w:color="auto"/>
                                                        <w:right w:val="none" w:sz="0" w:space="0" w:color="auto"/>
                                                      </w:divBdr>
                                                      <w:divsChild>
                                                        <w:div w:id="637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3658087">
      <w:bodyDiv w:val="1"/>
      <w:marLeft w:val="0"/>
      <w:marRight w:val="0"/>
      <w:marTop w:val="0"/>
      <w:marBottom w:val="0"/>
      <w:divBdr>
        <w:top w:val="none" w:sz="0" w:space="0" w:color="auto"/>
        <w:left w:val="none" w:sz="0" w:space="0" w:color="auto"/>
        <w:bottom w:val="none" w:sz="0" w:space="0" w:color="auto"/>
        <w:right w:val="none" w:sz="0" w:space="0" w:color="auto"/>
      </w:divBdr>
    </w:div>
    <w:div w:id="1225262905">
      <w:bodyDiv w:val="1"/>
      <w:marLeft w:val="0"/>
      <w:marRight w:val="0"/>
      <w:marTop w:val="0"/>
      <w:marBottom w:val="0"/>
      <w:divBdr>
        <w:top w:val="none" w:sz="0" w:space="0" w:color="auto"/>
        <w:left w:val="none" w:sz="0" w:space="0" w:color="auto"/>
        <w:bottom w:val="none" w:sz="0" w:space="0" w:color="auto"/>
        <w:right w:val="none" w:sz="0" w:space="0" w:color="auto"/>
      </w:divBdr>
      <w:divsChild>
        <w:div w:id="838815201">
          <w:marLeft w:val="0"/>
          <w:marRight w:val="0"/>
          <w:marTop w:val="0"/>
          <w:marBottom w:val="0"/>
          <w:divBdr>
            <w:top w:val="none" w:sz="0" w:space="0" w:color="auto"/>
            <w:left w:val="none" w:sz="0" w:space="0" w:color="auto"/>
            <w:bottom w:val="none" w:sz="0" w:space="0" w:color="auto"/>
            <w:right w:val="none" w:sz="0" w:space="0" w:color="auto"/>
          </w:divBdr>
          <w:divsChild>
            <w:div w:id="896475910">
              <w:marLeft w:val="0"/>
              <w:marRight w:val="0"/>
              <w:marTop w:val="0"/>
              <w:marBottom w:val="0"/>
              <w:divBdr>
                <w:top w:val="none" w:sz="0" w:space="0" w:color="auto"/>
                <w:left w:val="none" w:sz="0" w:space="0" w:color="auto"/>
                <w:bottom w:val="none" w:sz="0" w:space="0" w:color="auto"/>
                <w:right w:val="none" w:sz="0" w:space="0" w:color="auto"/>
              </w:divBdr>
              <w:divsChild>
                <w:div w:id="574703052">
                  <w:marLeft w:val="0"/>
                  <w:marRight w:val="0"/>
                  <w:marTop w:val="0"/>
                  <w:marBottom w:val="0"/>
                  <w:divBdr>
                    <w:top w:val="none" w:sz="0" w:space="0" w:color="auto"/>
                    <w:left w:val="none" w:sz="0" w:space="0" w:color="auto"/>
                    <w:bottom w:val="none" w:sz="0" w:space="0" w:color="auto"/>
                    <w:right w:val="none" w:sz="0" w:space="0" w:color="auto"/>
                  </w:divBdr>
                  <w:divsChild>
                    <w:div w:id="891693316">
                      <w:marLeft w:val="0"/>
                      <w:marRight w:val="0"/>
                      <w:marTop w:val="0"/>
                      <w:marBottom w:val="0"/>
                      <w:divBdr>
                        <w:top w:val="none" w:sz="0" w:space="0" w:color="auto"/>
                        <w:left w:val="none" w:sz="0" w:space="0" w:color="auto"/>
                        <w:bottom w:val="none" w:sz="0" w:space="0" w:color="auto"/>
                        <w:right w:val="none" w:sz="0" w:space="0" w:color="auto"/>
                      </w:divBdr>
                      <w:divsChild>
                        <w:div w:id="1547528060">
                          <w:marLeft w:val="0"/>
                          <w:marRight w:val="0"/>
                          <w:marTop w:val="0"/>
                          <w:marBottom w:val="0"/>
                          <w:divBdr>
                            <w:top w:val="none" w:sz="0" w:space="0" w:color="auto"/>
                            <w:left w:val="none" w:sz="0" w:space="0" w:color="auto"/>
                            <w:bottom w:val="none" w:sz="0" w:space="0" w:color="auto"/>
                            <w:right w:val="none" w:sz="0" w:space="0" w:color="auto"/>
                          </w:divBdr>
                          <w:divsChild>
                            <w:div w:id="1140076336">
                              <w:marLeft w:val="0"/>
                              <w:marRight w:val="0"/>
                              <w:marTop w:val="0"/>
                              <w:marBottom w:val="0"/>
                              <w:divBdr>
                                <w:top w:val="none" w:sz="0" w:space="0" w:color="auto"/>
                                <w:left w:val="none" w:sz="0" w:space="0" w:color="auto"/>
                                <w:bottom w:val="none" w:sz="0" w:space="0" w:color="auto"/>
                                <w:right w:val="none" w:sz="0" w:space="0" w:color="auto"/>
                              </w:divBdr>
                              <w:divsChild>
                                <w:div w:id="1959750261">
                                  <w:marLeft w:val="0"/>
                                  <w:marRight w:val="0"/>
                                  <w:marTop w:val="0"/>
                                  <w:marBottom w:val="0"/>
                                  <w:divBdr>
                                    <w:top w:val="none" w:sz="0" w:space="0" w:color="auto"/>
                                    <w:left w:val="none" w:sz="0" w:space="0" w:color="auto"/>
                                    <w:bottom w:val="none" w:sz="0" w:space="0" w:color="auto"/>
                                    <w:right w:val="none" w:sz="0" w:space="0" w:color="auto"/>
                                  </w:divBdr>
                                  <w:divsChild>
                                    <w:div w:id="1778258338">
                                      <w:marLeft w:val="0"/>
                                      <w:marRight w:val="0"/>
                                      <w:marTop w:val="0"/>
                                      <w:marBottom w:val="0"/>
                                      <w:divBdr>
                                        <w:top w:val="none" w:sz="0" w:space="0" w:color="auto"/>
                                        <w:left w:val="none" w:sz="0" w:space="0" w:color="auto"/>
                                        <w:bottom w:val="none" w:sz="0" w:space="0" w:color="auto"/>
                                        <w:right w:val="none" w:sz="0" w:space="0" w:color="auto"/>
                                      </w:divBdr>
                                      <w:divsChild>
                                        <w:div w:id="2030377348">
                                          <w:marLeft w:val="0"/>
                                          <w:marRight w:val="0"/>
                                          <w:marTop w:val="0"/>
                                          <w:marBottom w:val="0"/>
                                          <w:divBdr>
                                            <w:top w:val="none" w:sz="0" w:space="0" w:color="auto"/>
                                            <w:left w:val="none" w:sz="0" w:space="0" w:color="auto"/>
                                            <w:bottom w:val="none" w:sz="0" w:space="0" w:color="auto"/>
                                            <w:right w:val="none" w:sz="0" w:space="0" w:color="auto"/>
                                          </w:divBdr>
                                          <w:divsChild>
                                            <w:div w:id="479464428">
                                              <w:marLeft w:val="0"/>
                                              <w:marRight w:val="0"/>
                                              <w:marTop w:val="0"/>
                                              <w:marBottom w:val="0"/>
                                              <w:divBdr>
                                                <w:top w:val="none" w:sz="0" w:space="0" w:color="auto"/>
                                                <w:left w:val="none" w:sz="0" w:space="0" w:color="auto"/>
                                                <w:bottom w:val="none" w:sz="0" w:space="0" w:color="auto"/>
                                                <w:right w:val="none" w:sz="0" w:space="0" w:color="auto"/>
                                              </w:divBdr>
                                              <w:divsChild>
                                                <w:div w:id="1285307170">
                                                  <w:marLeft w:val="0"/>
                                                  <w:marRight w:val="0"/>
                                                  <w:marTop w:val="0"/>
                                                  <w:marBottom w:val="0"/>
                                                  <w:divBdr>
                                                    <w:top w:val="none" w:sz="0" w:space="0" w:color="auto"/>
                                                    <w:left w:val="none" w:sz="0" w:space="0" w:color="auto"/>
                                                    <w:bottom w:val="none" w:sz="0" w:space="0" w:color="auto"/>
                                                    <w:right w:val="none" w:sz="0" w:space="0" w:color="auto"/>
                                                  </w:divBdr>
                                                  <w:divsChild>
                                                    <w:div w:id="911162341">
                                                      <w:marLeft w:val="0"/>
                                                      <w:marRight w:val="0"/>
                                                      <w:marTop w:val="0"/>
                                                      <w:marBottom w:val="0"/>
                                                      <w:divBdr>
                                                        <w:top w:val="none" w:sz="0" w:space="0" w:color="auto"/>
                                                        <w:left w:val="none" w:sz="0" w:space="0" w:color="auto"/>
                                                        <w:bottom w:val="none" w:sz="0" w:space="0" w:color="auto"/>
                                                        <w:right w:val="none" w:sz="0" w:space="0" w:color="auto"/>
                                                      </w:divBdr>
                                                      <w:divsChild>
                                                        <w:div w:id="21290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65152">
      <w:bodyDiv w:val="1"/>
      <w:marLeft w:val="0"/>
      <w:marRight w:val="0"/>
      <w:marTop w:val="0"/>
      <w:marBottom w:val="0"/>
      <w:divBdr>
        <w:top w:val="none" w:sz="0" w:space="0" w:color="auto"/>
        <w:left w:val="none" w:sz="0" w:space="0" w:color="auto"/>
        <w:bottom w:val="none" w:sz="0" w:space="0" w:color="auto"/>
        <w:right w:val="none" w:sz="0" w:space="0" w:color="auto"/>
      </w:divBdr>
    </w:div>
    <w:div w:id="1355156827">
      <w:bodyDiv w:val="1"/>
      <w:marLeft w:val="0"/>
      <w:marRight w:val="0"/>
      <w:marTop w:val="0"/>
      <w:marBottom w:val="0"/>
      <w:divBdr>
        <w:top w:val="none" w:sz="0" w:space="0" w:color="auto"/>
        <w:left w:val="none" w:sz="0" w:space="0" w:color="auto"/>
        <w:bottom w:val="none" w:sz="0" w:space="0" w:color="auto"/>
        <w:right w:val="none" w:sz="0" w:space="0" w:color="auto"/>
      </w:divBdr>
    </w:div>
    <w:div w:id="1356271971">
      <w:bodyDiv w:val="1"/>
      <w:marLeft w:val="0"/>
      <w:marRight w:val="0"/>
      <w:marTop w:val="0"/>
      <w:marBottom w:val="0"/>
      <w:divBdr>
        <w:top w:val="none" w:sz="0" w:space="0" w:color="auto"/>
        <w:left w:val="none" w:sz="0" w:space="0" w:color="auto"/>
        <w:bottom w:val="none" w:sz="0" w:space="0" w:color="auto"/>
        <w:right w:val="none" w:sz="0" w:space="0" w:color="auto"/>
      </w:divBdr>
      <w:divsChild>
        <w:div w:id="82067449">
          <w:marLeft w:val="0"/>
          <w:marRight w:val="0"/>
          <w:marTop w:val="0"/>
          <w:marBottom w:val="0"/>
          <w:divBdr>
            <w:top w:val="none" w:sz="0" w:space="0" w:color="auto"/>
            <w:left w:val="none" w:sz="0" w:space="0" w:color="auto"/>
            <w:bottom w:val="none" w:sz="0" w:space="0" w:color="auto"/>
            <w:right w:val="none" w:sz="0" w:space="0" w:color="auto"/>
          </w:divBdr>
          <w:divsChild>
            <w:div w:id="1554655005">
              <w:marLeft w:val="0"/>
              <w:marRight w:val="0"/>
              <w:marTop w:val="0"/>
              <w:marBottom w:val="0"/>
              <w:divBdr>
                <w:top w:val="none" w:sz="0" w:space="0" w:color="auto"/>
                <w:left w:val="none" w:sz="0" w:space="0" w:color="auto"/>
                <w:bottom w:val="none" w:sz="0" w:space="0" w:color="auto"/>
                <w:right w:val="none" w:sz="0" w:space="0" w:color="auto"/>
              </w:divBdr>
              <w:divsChild>
                <w:div w:id="618299173">
                  <w:marLeft w:val="0"/>
                  <w:marRight w:val="0"/>
                  <w:marTop w:val="0"/>
                  <w:marBottom w:val="0"/>
                  <w:divBdr>
                    <w:top w:val="none" w:sz="0" w:space="0" w:color="auto"/>
                    <w:left w:val="none" w:sz="0" w:space="0" w:color="auto"/>
                    <w:bottom w:val="none" w:sz="0" w:space="0" w:color="auto"/>
                    <w:right w:val="none" w:sz="0" w:space="0" w:color="auto"/>
                  </w:divBdr>
                  <w:divsChild>
                    <w:div w:id="1082802155">
                      <w:marLeft w:val="0"/>
                      <w:marRight w:val="0"/>
                      <w:marTop w:val="0"/>
                      <w:marBottom w:val="0"/>
                      <w:divBdr>
                        <w:top w:val="none" w:sz="0" w:space="0" w:color="auto"/>
                        <w:left w:val="none" w:sz="0" w:space="0" w:color="auto"/>
                        <w:bottom w:val="none" w:sz="0" w:space="0" w:color="auto"/>
                        <w:right w:val="none" w:sz="0" w:space="0" w:color="auto"/>
                      </w:divBdr>
                      <w:divsChild>
                        <w:div w:id="986935706">
                          <w:marLeft w:val="0"/>
                          <w:marRight w:val="0"/>
                          <w:marTop w:val="0"/>
                          <w:marBottom w:val="0"/>
                          <w:divBdr>
                            <w:top w:val="none" w:sz="0" w:space="0" w:color="auto"/>
                            <w:left w:val="none" w:sz="0" w:space="0" w:color="auto"/>
                            <w:bottom w:val="none" w:sz="0" w:space="0" w:color="auto"/>
                            <w:right w:val="none" w:sz="0" w:space="0" w:color="auto"/>
                          </w:divBdr>
                          <w:divsChild>
                            <w:div w:id="537595886">
                              <w:marLeft w:val="0"/>
                              <w:marRight w:val="0"/>
                              <w:marTop w:val="0"/>
                              <w:marBottom w:val="0"/>
                              <w:divBdr>
                                <w:top w:val="none" w:sz="0" w:space="0" w:color="auto"/>
                                <w:left w:val="none" w:sz="0" w:space="0" w:color="auto"/>
                                <w:bottom w:val="none" w:sz="0" w:space="0" w:color="auto"/>
                                <w:right w:val="none" w:sz="0" w:space="0" w:color="auto"/>
                              </w:divBdr>
                              <w:divsChild>
                                <w:div w:id="1131094573">
                                  <w:marLeft w:val="0"/>
                                  <w:marRight w:val="0"/>
                                  <w:marTop w:val="0"/>
                                  <w:marBottom w:val="0"/>
                                  <w:divBdr>
                                    <w:top w:val="none" w:sz="0" w:space="0" w:color="auto"/>
                                    <w:left w:val="none" w:sz="0" w:space="0" w:color="auto"/>
                                    <w:bottom w:val="none" w:sz="0" w:space="0" w:color="auto"/>
                                    <w:right w:val="none" w:sz="0" w:space="0" w:color="auto"/>
                                  </w:divBdr>
                                  <w:divsChild>
                                    <w:div w:id="39062233">
                                      <w:marLeft w:val="0"/>
                                      <w:marRight w:val="0"/>
                                      <w:marTop w:val="0"/>
                                      <w:marBottom w:val="0"/>
                                      <w:divBdr>
                                        <w:top w:val="none" w:sz="0" w:space="0" w:color="auto"/>
                                        <w:left w:val="none" w:sz="0" w:space="0" w:color="auto"/>
                                        <w:bottom w:val="none" w:sz="0" w:space="0" w:color="auto"/>
                                        <w:right w:val="none" w:sz="0" w:space="0" w:color="auto"/>
                                      </w:divBdr>
                                      <w:divsChild>
                                        <w:div w:id="512694037">
                                          <w:marLeft w:val="0"/>
                                          <w:marRight w:val="0"/>
                                          <w:marTop w:val="0"/>
                                          <w:marBottom w:val="0"/>
                                          <w:divBdr>
                                            <w:top w:val="none" w:sz="0" w:space="0" w:color="auto"/>
                                            <w:left w:val="none" w:sz="0" w:space="0" w:color="auto"/>
                                            <w:bottom w:val="none" w:sz="0" w:space="0" w:color="auto"/>
                                            <w:right w:val="none" w:sz="0" w:space="0" w:color="auto"/>
                                          </w:divBdr>
                                          <w:divsChild>
                                            <w:div w:id="1430663726">
                                              <w:marLeft w:val="0"/>
                                              <w:marRight w:val="0"/>
                                              <w:marTop w:val="0"/>
                                              <w:marBottom w:val="0"/>
                                              <w:divBdr>
                                                <w:top w:val="none" w:sz="0" w:space="0" w:color="auto"/>
                                                <w:left w:val="none" w:sz="0" w:space="0" w:color="auto"/>
                                                <w:bottom w:val="none" w:sz="0" w:space="0" w:color="auto"/>
                                                <w:right w:val="none" w:sz="0" w:space="0" w:color="auto"/>
                                              </w:divBdr>
                                              <w:divsChild>
                                                <w:div w:id="453326213">
                                                  <w:marLeft w:val="0"/>
                                                  <w:marRight w:val="0"/>
                                                  <w:marTop w:val="0"/>
                                                  <w:marBottom w:val="0"/>
                                                  <w:divBdr>
                                                    <w:top w:val="none" w:sz="0" w:space="0" w:color="auto"/>
                                                    <w:left w:val="none" w:sz="0" w:space="0" w:color="auto"/>
                                                    <w:bottom w:val="none" w:sz="0" w:space="0" w:color="auto"/>
                                                    <w:right w:val="none" w:sz="0" w:space="0" w:color="auto"/>
                                                  </w:divBdr>
                                                  <w:divsChild>
                                                    <w:div w:id="864250321">
                                                      <w:marLeft w:val="0"/>
                                                      <w:marRight w:val="0"/>
                                                      <w:marTop w:val="0"/>
                                                      <w:marBottom w:val="0"/>
                                                      <w:divBdr>
                                                        <w:top w:val="none" w:sz="0" w:space="0" w:color="auto"/>
                                                        <w:left w:val="none" w:sz="0" w:space="0" w:color="auto"/>
                                                        <w:bottom w:val="none" w:sz="0" w:space="0" w:color="auto"/>
                                                        <w:right w:val="none" w:sz="0" w:space="0" w:color="auto"/>
                                                      </w:divBdr>
                                                      <w:divsChild>
                                                        <w:div w:id="12792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982971">
      <w:bodyDiv w:val="1"/>
      <w:marLeft w:val="0"/>
      <w:marRight w:val="0"/>
      <w:marTop w:val="0"/>
      <w:marBottom w:val="0"/>
      <w:divBdr>
        <w:top w:val="none" w:sz="0" w:space="0" w:color="auto"/>
        <w:left w:val="none" w:sz="0" w:space="0" w:color="auto"/>
        <w:bottom w:val="none" w:sz="0" w:space="0" w:color="auto"/>
        <w:right w:val="none" w:sz="0" w:space="0" w:color="auto"/>
      </w:divBdr>
    </w:div>
    <w:div w:id="1715041352">
      <w:bodyDiv w:val="1"/>
      <w:marLeft w:val="0"/>
      <w:marRight w:val="0"/>
      <w:marTop w:val="0"/>
      <w:marBottom w:val="0"/>
      <w:divBdr>
        <w:top w:val="none" w:sz="0" w:space="0" w:color="auto"/>
        <w:left w:val="none" w:sz="0" w:space="0" w:color="auto"/>
        <w:bottom w:val="none" w:sz="0" w:space="0" w:color="auto"/>
        <w:right w:val="none" w:sz="0" w:space="0" w:color="auto"/>
      </w:divBdr>
      <w:divsChild>
        <w:div w:id="40909137">
          <w:marLeft w:val="0"/>
          <w:marRight w:val="0"/>
          <w:marTop w:val="0"/>
          <w:marBottom w:val="0"/>
          <w:divBdr>
            <w:top w:val="none" w:sz="0" w:space="0" w:color="auto"/>
            <w:left w:val="none" w:sz="0" w:space="0" w:color="auto"/>
            <w:bottom w:val="none" w:sz="0" w:space="0" w:color="auto"/>
            <w:right w:val="none" w:sz="0" w:space="0" w:color="auto"/>
          </w:divBdr>
          <w:divsChild>
            <w:div w:id="1574269516">
              <w:marLeft w:val="0"/>
              <w:marRight w:val="0"/>
              <w:marTop w:val="0"/>
              <w:marBottom w:val="0"/>
              <w:divBdr>
                <w:top w:val="none" w:sz="0" w:space="0" w:color="auto"/>
                <w:left w:val="none" w:sz="0" w:space="0" w:color="auto"/>
                <w:bottom w:val="none" w:sz="0" w:space="0" w:color="auto"/>
                <w:right w:val="none" w:sz="0" w:space="0" w:color="auto"/>
              </w:divBdr>
              <w:divsChild>
                <w:div w:id="201479480">
                  <w:marLeft w:val="0"/>
                  <w:marRight w:val="0"/>
                  <w:marTop w:val="0"/>
                  <w:marBottom w:val="0"/>
                  <w:divBdr>
                    <w:top w:val="none" w:sz="0" w:space="0" w:color="auto"/>
                    <w:left w:val="none" w:sz="0" w:space="0" w:color="auto"/>
                    <w:bottom w:val="none" w:sz="0" w:space="0" w:color="auto"/>
                    <w:right w:val="none" w:sz="0" w:space="0" w:color="auto"/>
                  </w:divBdr>
                  <w:divsChild>
                    <w:div w:id="108596398">
                      <w:marLeft w:val="0"/>
                      <w:marRight w:val="0"/>
                      <w:marTop w:val="0"/>
                      <w:marBottom w:val="0"/>
                      <w:divBdr>
                        <w:top w:val="none" w:sz="0" w:space="0" w:color="auto"/>
                        <w:left w:val="none" w:sz="0" w:space="0" w:color="auto"/>
                        <w:bottom w:val="none" w:sz="0" w:space="0" w:color="auto"/>
                        <w:right w:val="none" w:sz="0" w:space="0" w:color="auto"/>
                      </w:divBdr>
                      <w:divsChild>
                        <w:div w:id="770052060">
                          <w:marLeft w:val="0"/>
                          <w:marRight w:val="0"/>
                          <w:marTop w:val="0"/>
                          <w:marBottom w:val="0"/>
                          <w:divBdr>
                            <w:top w:val="none" w:sz="0" w:space="0" w:color="auto"/>
                            <w:left w:val="none" w:sz="0" w:space="0" w:color="auto"/>
                            <w:bottom w:val="none" w:sz="0" w:space="0" w:color="auto"/>
                            <w:right w:val="none" w:sz="0" w:space="0" w:color="auto"/>
                          </w:divBdr>
                          <w:divsChild>
                            <w:div w:id="1194811166">
                              <w:marLeft w:val="0"/>
                              <w:marRight w:val="0"/>
                              <w:marTop w:val="0"/>
                              <w:marBottom w:val="0"/>
                              <w:divBdr>
                                <w:top w:val="none" w:sz="0" w:space="0" w:color="auto"/>
                                <w:left w:val="none" w:sz="0" w:space="0" w:color="auto"/>
                                <w:bottom w:val="none" w:sz="0" w:space="0" w:color="auto"/>
                                <w:right w:val="none" w:sz="0" w:space="0" w:color="auto"/>
                              </w:divBdr>
                              <w:divsChild>
                                <w:div w:id="921069183">
                                  <w:marLeft w:val="0"/>
                                  <w:marRight w:val="0"/>
                                  <w:marTop w:val="0"/>
                                  <w:marBottom w:val="0"/>
                                  <w:divBdr>
                                    <w:top w:val="none" w:sz="0" w:space="0" w:color="auto"/>
                                    <w:left w:val="none" w:sz="0" w:space="0" w:color="auto"/>
                                    <w:bottom w:val="none" w:sz="0" w:space="0" w:color="auto"/>
                                    <w:right w:val="none" w:sz="0" w:space="0" w:color="auto"/>
                                  </w:divBdr>
                                  <w:divsChild>
                                    <w:div w:id="1672098791">
                                      <w:marLeft w:val="0"/>
                                      <w:marRight w:val="0"/>
                                      <w:marTop w:val="0"/>
                                      <w:marBottom w:val="0"/>
                                      <w:divBdr>
                                        <w:top w:val="none" w:sz="0" w:space="0" w:color="auto"/>
                                        <w:left w:val="none" w:sz="0" w:space="0" w:color="auto"/>
                                        <w:bottom w:val="none" w:sz="0" w:space="0" w:color="auto"/>
                                        <w:right w:val="none" w:sz="0" w:space="0" w:color="auto"/>
                                      </w:divBdr>
                                      <w:divsChild>
                                        <w:div w:id="1478456968">
                                          <w:marLeft w:val="0"/>
                                          <w:marRight w:val="0"/>
                                          <w:marTop w:val="0"/>
                                          <w:marBottom w:val="0"/>
                                          <w:divBdr>
                                            <w:top w:val="none" w:sz="0" w:space="0" w:color="auto"/>
                                            <w:left w:val="none" w:sz="0" w:space="0" w:color="auto"/>
                                            <w:bottom w:val="none" w:sz="0" w:space="0" w:color="auto"/>
                                            <w:right w:val="none" w:sz="0" w:space="0" w:color="auto"/>
                                          </w:divBdr>
                                          <w:divsChild>
                                            <w:div w:id="1750344575">
                                              <w:marLeft w:val="0"/>
                                              <w:marRight w:val="0"/>
                                              <w:marTop w:val="0"/>
                                              <w:marBottom w:val="0"/>
                                              <w:divBdr>
                                                <w:top w:val="none" w:sz="0" w:space="0" w:color="auto"/>
                                                <w:left w:val="none" w:sz="0" w:space="0" w:color="auto"/>
                                                <w:bottom w:val="none" w:sz="0" w:space="0" w:color="auto"/>
                                                <w:right w:val="none" w:sz="0" w:space="0" w:color="auto"/>
                                              </w:divBdr>
                                              <w:divsChild>
                                                <w:div w:id="192115032">
                                                  <w:marLeft w:val="0"/>
                                                  <w:marRight w:val="0"/>
                                                  <w:marTop w:val="0"/>
                                                  <w:marBottom w:val="0"/>
                                                  <w:divBdr>
                                                    <w:top w:val="none" w:sz="0" w:space="0" w:color="auto"/>
                                                    <w:left w:val="none" w:sz="0" w:space="0" w:color="auto"/>
                                                    <w:bottom w:val="none" w:sz="0" w:space="0" w:color="auto"/>
                                                    <w:right w:val="none" w:sz="0" w:space="0" w:color="auto"/>
                                                  </w:divBdr>
                                                  <w:divsChild>
                                                    <w:div w:id="1922252748">
                                                      <w:marLeft w:val="0"/>
                                                      <w:marRight w:val="0"/>
                                                      <w:marTop w:val="0"/>
                                                      <w:marBottom w:val="0"/>
                                                      <w:divBdr>
                                                        <w:top w:val="none" w:sz="0" w:space="0" w:color="auto"/>
                                                        <w:left w:val="none" w:sz="0" w:space="0" w:color="auto"/>
                                                        <w:bottom w:val="none" w:sz="0" w:space="0" w:color="auto"/>
                                                        <w:right w:val="none" w:sz="0" w:space="0" w:color="auto"/>
                                                      </w:divBdr>
                                                      <w:divsChild>
                                                        <w:div w:id="20631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443182">
      <w:bodyDiv w:val="1"/>
      <w:marLeft w:val="0"/>
      <w:marRight w:val="0"/>
      <w:marTop w:val="0"/>
      <w:marBottom w:val="0"/>
      <w:divBdr>
        <w:top w:val="none" w:sz="0" w:space="0" w:color="auto"/>
        <w:left w:val="none" w:sz="0" w:space="0" w:color="auto"/>
        <w:bottom w:val="none" w:sz="0" w:space="0" w:color="auto"/>
        <w:right w:val="none" w:sz="0" w:space="0" w:color="auto"/>
      </w:divBdr>
    </w:div>
    <w:div w:id="1788308116">
      <w:bodyDiv w:val="1"/>
      <w:marLeft w:val="0"/>
      <w:marRight w:val="0"/>
      <w:marTop w:val="0"/>
      <w:marBottom w:val="0"/>
      <w:divBdr>
        <w:top w:val="none" w:sz="0" w:space="0" w:color="auto"/>
        <w:left w:val="none" w:sz="0" w:space="0" w:color="auto"/>
        <w:bottom w:val="none" w:sz="0" w:space="0" w:color="auto"/>
        <w:right w:val="none" w:sz="0" w:space="0" w:color="auto"/>
      </w:divBdr>
      <w:divsChild>
        <w:div w:id="1769235382">
          <w:marLeft w:val="0"/>
          <w:marRight w:val="0"/>
          <w:marTop w:val="0"/>
          <w:marBottom w:val="0"/>
          <w:divBdr>
            <w:top w:val="none" w:sz="0" w:space="0" w:color="auto"/>
            <w:left w:val="none" w:sz="0" w:space="0" w:color="auto"/>
            <w:bottom w:val="none" w:sz="0" w:space="0" w:color="auto"/>
            <w:right w:val="none" w:sz="0" w:space="0" w:color="auto"/>
          </w:divBdr>
          <w:divsChild>
            <w:div w:id="1329098796">
              <w:marLeft w:val="0"/>
              <w:marRight w:val="0"/>
              <w:marTop w:val="0"/>
              <w:marBottom w:val="0"/>
              <w:divBdr>
                <w:top w:val="none" w:sz="0" w:space="0" w:color="auto"/>
                <w:left w:val="none" w:sz="0" w:space="0" w:color="auto"/>
                <w:bottom w:val="none" w:sz="0" w:space="0" w:color="auto"/>
                <w:right w:val="none" w:sz="0" w:space="0" w:color="auto"/>
              </w:divBdr>
              <w:divsChild>
                <w:div w:id="1438479520">
                  <w:marLeft w:val="0"/>
                  <w:marRight w:val="0"/>
                  <w:marTop w:val="0"/>
                  <w:marBottom w:val="0"/>
                  <w:divBdr>
                    <w:top w:val="none" w:sz="0" w:space="0" w:color="auto"/>
                    <w:left w:val="none" w:sz="0" w:space="0" w:color="auto"/>
                    <w:bottom w:val="none" w:sz="0" w:space="0" w:color="auto"/>
                    <w:right w:val="none" w:sz="0" w:space="0" w:color="auto"/>
                  </w:divBdr>
                  <w:divsChild>
                    <w:div w:id="1894349328">
                      <w:marLeft w:val="0"/>
                      <w:marRight w:val="0"/>
                      <w:marTop w:val="0"/>
                      <w:marBottom w:val="0"/>
                      <w:divBdr>
                        <w:top w:val="none" w:sz="0" w:space="0" w:color="auto"/>
                        <w:left w:val="none" w:sz="0" w:space="0" w:color="auto"/>
                        <w:bottom w:val="none" w:sz="0" w:space="0" w:color="auto"/>
                        <w:right w:val="none" w:sz="0" w:space="0" w:color="auto"/>
                      </w:divBdr>
                      <w:divsChild>
                        <w:div w:id="1092894914">
                          <w:marLeft w:val="0"/>
                          <w:marRight w:val="0"/>
                          <w:marTop w:val="0"/>
                          <w:marBottom w:val="0"/>
                          <w:divBdr>
                            <w:top w:val="none" w:sz="0" w:space="0" w:color="auto"/>
                            <w:left w:val="none" w:sz="0" w:space="0" w:color="auto"/>
                            <w:bottom w:val="none" w:sz="0" w:space="0" w:color="auto"/>
                            <w:right w:val="none" w:sz="0" w:space="0" w:color="auto"/>
                          </w:divBdr>
                          <w:divsChild>
                            <w:div w:id="2050106492">
                              <w:marLeft w:val="0"/>
                              <w:marRight w:val="0"/>
                              <w:marTop w:val="0"/>
                              <w:marBottom w:val="0"/>
                              <w:divBdr>
                                <w:top w:val="none" w:sz="0" w:space="0" w:color="auto"/>
                                <w:left w:val="none" w:sz="0" w:space="0" w:color="auto"/>
                                <w:bottom w:val="none" w:sz="0" w:space="0" w:color="auto"/>
                                <w:right w:val="none" w:sz="0" w:space="0" w:color="auto"/>
                              </w:divBdr>
                              <w:divsChild>
                                <w:div w:id="156462404">
                                  <w:marLeft w:val="0"/>
                                  <w:marRight w:val="0"/>
                                  <w:marTop w:val="0"/>
                                  <w:marBottom w:val="0"/>
                                  <w:divBdr>
                                    <w:top w:val="none" w:sz="0" w:space="0" w:color="auto"/>
                                    <w:left w:val="none" w:sz="0" w:space="0" w:color="auto"/>
                                    <w:bottom w:val="none" w:sz="0" w:space="0" w:color="auto"/>
                                    <w:right w:val="none" w:sz="0" w:space="0" w:color="auto"/>
                                  </w:divBdr>
                                  <w:divsChild>
                                    <w:div w:id="134685772">
                                      <w:marLeft w:val="0"/>
                                      <w:marRight w:val="0"/>
                                      <w:marTop w:val="0"/>
                                      <w:marBottom w:val="0"/>
                                      <w:divBdr>
                                        <w:top w:val="none" w:sz="0" w:space="0" w:color="auto"/>
                                        <w:left w:val="none" w:sz="0" w:space="0" w:color="auto"/>
                                        <w:bottom w:val="none" w:sz="0" w:space="0" w:color="auto"/>
                                        <w:right w:val="none" w:sz="0" w:space="0" w:color="auto"/>
                                      </w:divBdr>
                                      <w:divsChild>
                                        <w:div w:id="315452967">
                                          <w:marLeft w:val="0"/>
                                          <w:marRight w:val="0"/>
                                          <w:marTop w:val="0"/>
                                          <w:marBottom w:val="0"/>
                                          <w:divBdr>
                                            <w:top w:val="none" w:sz="0" w:space="0" w:color="auto"/>
                                            <w:left w:val="none" w:sz="0" w:space="0" w:color="auto"/>
                                            <w:bottom w:val="none" w:sz="0" w:space="0" w:color="auto"/>
                                            <w:right w:val="none" w:sz="0" w:space="0" w:color="auto"/>
                                          </w:divBdr>
                                          <w:divsChild>
                                            <w:div w:id="1197155261">
                                              <w:marLeft w:val="0"/>
                                              <w:marRight w:val="0"/>
                                              <w:marTop w:val="0"/>
                                              <w:marBottom w:val="0"/>
                                              <w:divBdr>
                                                <w:top w:val="none" w:sz="0" w:space="0" w:color="auto"/>
                                                <w:left w:val="none" w:sz="0" w:space="0" w:color="auto"/>
                                                <w:bottom w:val="none" w:sz="0" w:space="0" w:color="auto"/>
                                                <w:right w:val="none" w:sz="0" w:space="0" w:color="auto"/>
                                              </w:divBdr>
                                              <w:divsChild>
                                                <w:div w:id="2113743396">
                                                  <w:marLeft w:val="0"/>
                                                  <w:marRight w:val="0"/>
                                                  <w:marTop w:val="0"/>
                                                  <w:marBottom w:val="0"/>
                                                  <w:divBdr>
                                                    <w:top w:val="none" w:sz="0" w:space="0" w:color="auto"/>
                                                    <w:left w:val="none" w:sz="0" w:space="0" w:color="auto"/>
                                                    <w:bottom w:val="none" w:sz="0" w:space="0" w:color="auto"/>
                                                    <w:right w:val="none" w:sz="0" w:space="0" w:color="auto"/>
                                                  </w:divBdr>
                                                  <w:divsChild>
                                                    <w:div w:id="523062037">
                                                      <w:marLeft w:val="0"/>
                                                      <w:marRight w:val="0"/>
                                                      <w:marTop w:val="0"/>
                                                      <w:marBottom w:val="0"/>
                                                      <w:divBdr>
                                                        <w:top w:val="none" w:sz="0" w:space="0" w:color="auto"/>
                                                        <w:left w:val="none" w:sz="0" w:space="0" w:color="auto"/>
                                                        <w:bottom w:val="none" w:sz="0" w:space="0" w:color="auto"/>
                                                        <w:right w:val="none" w:sz="0" w:space="0" w:color="auto"/>
                                                      </w:divBdr>
                                                      <w:divsChild>
                                                        <w:div w:id="466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0420">
      <w:bodyDiv w:val="1"/>
      <w:marLeft w:val="0"/>
      <w:marRight w:val="0"/>
      <w:marTop w:val="0"/>
      <w:marBottom w:val="0"/>
      <w:divBdr>
        <w:top w:val="none" w:sz="0" w:space="0" w:color="auto"/>
        <w:left w:val="none" w:sz="0" w:space="0" w:color="auto"/>
        <w:bottom w:val="none" w:sz="0" w:space="0" w:color="auto"/>
        <w:right w:val="none" w:sz="0" w:space="0" w:color="auto"/>
      </w:divBdr>
      <w:divsChild>
        <w:div w:id="920674377">
          <w:marLeft w:val="0"/>
          <w:marRight w:val="0"/>
          <w:marTop w:val="0"/>
          <w:marBottom w:val="0"/>
          <w:divBdr>
            <w:top w:val="none" w:sz="0" w:space="0" w:color="auto"/>
            <w:left w:val="none" w:sz="0" w:space="0" w:color="auto"/>
            <w:bottom w:val="none" w:sz="0" w:space="0" w:color="auto"/>
            <w:right w:val="none" w:sz="0" w:space="0" w:color="auto"/>
          </w:divBdr>
          <w:divsChild>
            <w:div w:id="2130851518">
              <w:marLeft w:val="0"/>
              <w:marRight w:val="0"/>
              <w:marTop w:val="0"/>
              <w:marBottom w:val="0"/>
              <w:divBdr>
                <w:top w:val="none" w:sz="0" w:space="0" w:color="auto"/>
                <w:left w:val="none" w:sz="0" w:space="0" w:color="auto"/>
                <w:bottom w:val="none" w:sz="0" w:space="0" w:color="auto"/>
                <w:right w:val="none" w:sz="0" w:space="0" w:color="auto"/>
              </w:divBdr>
              <w:divsChild>
                <w:div w:id="240069938">
                  <w:marLeft w:val="0"/>
                  <w:marRight w:val="0"/>
                  <w:marTop w:val="0"/>
                  <w:marBottom w:val="0"/>
                  <w:divBdr>
                    <w:top w:val="none" w:sz="0" w:space="0" w:color="auto"/>
                    <w:left w:val="none" w:sz="0" w:space="0" w:color="auto"/>
                    <w:bottom w:val="none" w:sz="0" w:space="0" w:color="auto"/>
                    <w:right w:val="none" w:sz="0" w:space="0" w:color="auto"/>
                  </w:divBdr>
                  <w:divsChild>
                    <w:div w:id="954826428">
                      <w:marLeft w:val="0"/>
                      <w:marRight w:val="0"/>
                      <w:marTop w:val="0"/>
                      <w:marBottom w:val="0"/>
                      <w:divBdr>
                        <w:top w:val="none" w:sz="0" w:space="0" w:color="auto"/>
                        <w:left w:val="none" w:sz="0" w:space="0" w:color="auto"/>
                        <w:bottom w:val="none" w:sz="0" w:space="0" w:color="auto"/>
                        <w:right w:val="none" w:sz="0" w:space="0" w:color="auto"/>
                      </w:divBdr>
                      <w:divsChild>
                        <w:div w:id="9783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05423E93D5837458EF2166CE5599827" ma:contentTypeVersion="" ma:contentTypeDescription="PDMS Documentation Content Type" ma:contentTypeScope="" ma:versionID="f8321d1be584fd911ee2c3a8e6462265">
  <xsd:schema xmlns:xsd="http://www.w3.org/2001/XMLSchema" xmlns:xs="http://www.w3.org/2001/XMLSchema" xmlns:p="http://schemas.microsoft.com/office/2006/metadata/properties" xmlns:ns2="EA092239-A629-4151-A2AC-426E728E3897" targetNamespace="http://schemas.microsoft.com/office/2006/metadata/properties" ma:root="true" ma:fieldsID="5f4e9a9d0de989b1bb53852e8b1da8f4" ns2:_="">
    <xsd:import namespace="EA092239-A629-4151-A2AC-426E728E389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2239-A629-4151-A2AC-426E728E38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EA092239-A629-4151-A2AC-426E728E3897" xsi:nil="true"/>
    <SecurityClassification xmlns="EA092239-A629-4151-A2AC-426E728E3897" xsi:nil="true"/>
    <pdms_AttachedBy xmlns="EA092239-A629-4151-A2AC-426E728E3897" xsi:nil="true"/>
    <pdms_Reason xmlns="EA092239-A629-4151-A2AC-426E728E3897" xsi:nil="true"/>
    <pdms_DocumentType xmlns="EA092239-A629-4151-A2AC-426E728E38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9AF7A-892C-4EEA-9987-BA2E2D33C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2239-A629-4151-A2AC-426E728E3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A2B19-A752-4C7E-8812-8D2DBC0E547B}">
  <ds:schemaRefs>
    <ds:schemaRef ds:uri="http://www.w3.org/XML/1998/namespace"/>
    <ds:schemaRef ds:uri="http://purl.org/dc/terms/"/>
    <ds:schemaRef ds:uri="http://schemas.microsoft.com/office/2006/documentManagement/types"/>
    <ds:schemaRef ds:uri="http://schemas.microsoft.com/office/2006/metadata/properties"/>
    <ds:schemaRef ds:uri="EA092239-A629-4151-A2AC-426E728E3897"/>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BC0EAAD-0B2B-4BBF-A657-ACDA98800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13061</Words>
  <Characters>74451</Characters>
  <Application>Microsoft Office Word</Application>
  <DocSecurity>4</DocSecurity>
  <Lines>620</Lines>
  <Paragraphs>174</Paragraphs>
  <ScaleCrop>false</ScaleCrop>
  <HeadingPairs>
    <vt:vector size="2" baseType="variant">
      <vt:variant>
        <vt:lpstr>Title</vt:lpstr>
      </vt:variant>
      <vt:variant>
        <vt:i4>1</vt:i4>
      </vt:variant>
    </vt:vector>
  </HeadingPairs>
  <TitlesOfParts>
    <vt:vector size="1" baseType="lpstr">
      <vt:lpstr>Telstra CLC 2019 - Draft Explanatory Statement  OGC/DT 8 March 2019.docx</vt:lpstr>
    </vt:vector>
  </TitlesOfParts>
  <Company>Department of Communications</Company>
  <LinksUpToDate>false</LinksUpToDate>
  <CharactersWithSpaces>87338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CLC 2019 - Draft Explanatory Statement  OGC/DT 8 March 2019.docx</dc:title>
  <dc:subject/>
  <dc:creator>Lee, Brian</dc:creator>
  <cp:keywords/>
  <dc:description/>
  <cp:lastModifiedBy>Brown, Richard</cp:lastModifiedBy>
  <cp:revision>2</cp:revision>
  <dcterms:created xsi:type="dcterms:W3CDTF">2019-03-27T01:28:00Z</dcterms:created>
  <dcterms:modified xsi:type="dcterms:W3CDTF">2019-03-27T01:28:00Z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0x010100266966F133664895A6EE3632470D45F50100005423E93D5837458EF2166CE5599827</vt:lpwstr>
  </property>
  <property fmtid="{D5CDD505-2E9C-101B-9397-08002B2CF9AE}" pid="3" name="TrimRevisionNumber">
    <vt:i4>13</vt:i4>
  </property>
</Properties>
</file>