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88" w:rsidRDefault="00E82F88" w:rsidP="00E82F88">
      <w:bookmarkStart w:id="0" w:name="_GoBack"/>
      <w:bookmarkEnd w:id="0"/>
    </w:p>
    <w:p w:rsidR="00E82F88" w:rsidRDefault="00E82F88" w:rsidP="00E82F88">
      <w:pPr>
        <w:jc w:val="center"/>
        <w:rPr>
          <w:b/>
          <w:bCs/>
          <w:u w:val="single"/>
        </w:rPr>
      </w:pPr>
      <w:r w:rsidRPr="00880A07">
        <w:rPr>
          <w:b/>
          <w:bCs/>
          <w:u w:val="single"/>
        </w:rPr>
        <w:t>EXPLANATORY STATEMENT</w:t>
      </w:r>
    </w:p>
    <w:p w:rsidR="00E82F88" w:rsidRDefault="00E82F88" w:rsidP="00E82F88">
      <w:pPr>
        <w:jc w:val="center"/>
        <w:rPr>
          <w:b/>
          <w:bCs/>
          <w:u w:val="single"/>
        </w:rPr>
      </w:pPr>
    </w:p>
    <w:p w:rsidR="00E82F88" w:rsidRPr="00A027B8" w:rsidRDefault="00E82F88" w:rsidP="00E82F88">
      <w:pPr>
        <w:jc w:val="center"/>
        <w:rPr>
          <w:bCs/>
          <w:i/>
          <w:iCs/>
        </w:rPr>
      </w:pPr>
      <w:r w:rsidRPr="00A027B8">
        <w:rPr>
          <w:bCs/>
          <w:i/>
          <w:iCs/>
        </w:rPr>
        <w:t>Therapeutic Goods Act 1989</w:t>
      </w:r>
    </w:p>
    <w:p w:rsidR="00E82F88" w:rsidRPr="00A027B8" w:rsidRDefault="00E82F88" w:rsidP="00E82F88">
      <w:pPr>
        <w:jc w:val="center"/>
        <w:rPr>
          <w:bCs/>
          <w:u w:val="single"/>
        </w:rPr>
      </w:pPr>
    </w:p>
    <w:p w:rsidR="00E82F88" w:rsidRPr="00A027B8" w:rsidRDefault="00E82F88" w:rsidP="00E82F88">
      <w:pPr>
        <w:jc w:val="center"/>
        <w:rPr>
          <w:rFonts w:ascii="Times New (W1)" w:hAnsi="Times New (W1)" w:cs="Times New (W1)"/>
          <w:bCs/>
        </w:rPr>
      </w:pPr>
      <w:r w:rsidRPr="00A027B8">
        <w:rPr>
          <w:i/>
        </w:rPr>
        <w:t xml:space="preserve">Therapeutic Goods </w:t>
      </w:r>
      <w:r w:rsidR="002C1182">
        <w:rPr>
          <w:i/>
        </w:rPr>
        <w:t xml:space="preserve">Amendment </w:t>
      </w:r>
      <w:r w:rsidRPr="00A027B8">
        <w:rPr>
          <w:i/>
        </w:rPr>
        <w:t xml:space="preserve">(Standard for </w:t>
      </w:r>
      <w:r w:rsidR="002C1182">
        <w:rPr>
          <w:i/>
        </w:rPr>
        <w:t>Medicinal Cannabis</w:t>
      </w:r>
      <w:r w:rsidRPr="00A027B8">
        <w:rPr>
          <w:i/>
        </w:rPr>
        <w:t xml:space="preserve">) Order </w:t>
      </w:r>
      <w:r w:rsidR="00353B71" w:rsidRPr="00A027B8">
        <w:rPr>
          <w:i/>
        </w:rPr>
        <w:t>2019</w:t>
      </w:r>
    </w:p>
    <w:p w:rsidR="00E82F88" w:rsidRPr="00D415FB" w:rsidRDefault="00E82F88" w:rsidP="00D415FB">
      <w:pPr>
        <w:shd w:val="clear" w:color="auto" w:fill="FFFFFF"/>
        <w:spacing w:before="100" w:beforeAutospacing="1" w:after="240"/>
        <w:rPr>
          <w:lang w:val="en-US"/>
        </w:rPr>
      </w:pPr>
      <w:r>
        <w:t xml:space="preserve">The </w:t>
      </w:r>
      <w:r w:rsidRPr="00F90BC1">
        <w:rPr>
          <w:i/>
        </w:rPr>
        <w:t>Therapeutic Goods Act 1989</w:t>
      </w:r>
      <w:r>
        <w:t xml:space="preserve"> (</w:t>
      </w:r>
      <w:r w:rsidR="00F12F9D">
        <w:t>“</w:t>
      </w:r>
      <w:r>
        <w:t>the Act</w:t>
      </w:r>
      <w:r w:rsidR="00F12F9D">
        <w:t>”</w:t>
      </w:r>
      <w:r>
        <w:t>) provides for the establishment and maintenance of a national system of controls for the quality, safety, efficacy and timely availability of therapeutic goods that are used</w:t>
      </w:r>
      <w:r w:rsidR="00F12F9D">
        <w:t xml:space="preserve"> in</w:t>
      </w:r>
      <w:r>
        <w:t>, or exported from, Australia.</w:t>
      </w:r>
      <w:r w:rsidR="00D415FB">
        <w:t xml:space="preserve"> The </w:t>
      </w:r>
      <w:r w:rsidR="002423EC">
        <w:t xml:space="preserve">Act is administered by the </w:t>
      </w:r>
      <w:r w:rsidR="00D415FB">
        <w:t>Therapeutic Goods Administration (</w:t>
      </w:r>
      <w:r w:rsidR="00F12F9D">
        <w:t xml:space="preserve">“the </w:t>
      </w:r>
      <w:r w:rsidR="00D415FB">
        <w:t>TGA</w:t>
      </w:r>
      <w:r w:rsidR="00F12F9D">
        <w:t>”</w:t>
      </w:r>
      <w:r w:rsidR="00D415FB">
        <w:t>)</w:t>
      </w:r>
      <w:r w:rsidR="002423EC">
        <w:t xml:space="preserve"> within </w:t>
      </w:r>
      <w:r w:rsidR="00D415FB">
        <w:t>the Department of Health.</w:t>
      </w:r>
    </w:p>
    <w:p w:rsidR="00FE76E5" w:rsidRPr="00F16F2B" w:rsidRDefault="0057772C" w:rsidP="00F16F2B">
      <w:pPr>
        <w:shd w:val="clear" w:color="auto" w:fill="FFFFFF"/>
        <w:spacing w:before="100" w:beforeAutospacing="1" w:after="240"/>
      </w:pPr>
      <w:r>
        <w:t xml:space="preserve">Subsection 10(1) of the Act relevantly provides that the Minister may, by legislative instrument, make an order determining that matters specified in the order constitute a standard for therapeutic goods or a class of therapeutic goods identified in the order. </w:t>
      </w:r>
      <w:r w:rsidR="00F16F2B" w:rsidRPr="008B512D">
        <w:t xml:space="preserve">Offence and civil penalties may apply if therapeutic goods (other than medical devices) that do not comply with an applicable standard are imported, exported or supplied. The Secretary may, however, consent in writing to the import, export </w:t>
      </w:r>
      <w:r w:rsidR="002423EC">
        <w:t xml:space="preserve">or supply </w:t>
      </w:r>
      <w:r w:rsidR="00F16F2B" w:rsidRPr="008B512D">
        <w:t>of such goods notwithstanding their non-compliance (section</w:t>
      </w:r>
      <w:r w:rsidR="00F16F2B">
        <w:t>s 14 and 14A of the Act refer).</w:t>
      </w:r>
    </w:p>
    <w:p w:rsidR="0057772C" w:rsidRDefault="0057772C" w:rsidP="00FE76E5">
      <w:pPr>
        <w:shd w:val="clear" w:color="auto" w:fill="FFFFFF"/>
        <w:spacing w:before="100" w:beforeAutospacing="1" w:after="240"/>
      </w:pPr>
      <w:r>
        <w:t>Without limiting the generality of subsection 10(1), subsection 10(2) relevantly provides that an order establishing a standard for therapeutic goods may be specified by reference to a variety of matters inc</w:t>
      </w:r>
      <w:r w:rsidR="00A06CFF">
        <w:t>luding the quality of the goods and</w:t>
      </w:r>
      <w:r>
        <w:t xml:space="preserve"> the procedures to be undertaken in the manufacture of those goods. In addition, an order may require matters relating to the </w:t>
      </w:r>
      <w:proofErr w:type="gramStart"/>
      <w:r>
        <w:t>standard</w:t>
      </w:r>
      <w:proofErr w:type="gramEnd"/>
      <w:r>
        <w:t xml:space="preserve"> to be determined in accordance with </w:t>
      </w:r>
      <w:r w:rsidR="00A06CFF">
        <w:t xml:space="preserve">a </w:t>
      </w:r>
      <w:r>
        <w:t>particular test.</w:t>
      </w:r>
    </w:p>
    <w:p w:rsidR="00DF7CC2" w:rsidRDefault="00DF7CC2" w:rsidP="0057772C">
      <w:pPr>
        <w:spacing w:after="240"/>
      </w:pPr>
      <w:r>
        <w:t xml:space="preserve">The </w:t>
      </w:r>
      <w:r w:rsidRPr="002C1182">
        <w:rPr>
          <w:i/>
        </w:rPr>
        <w:t>Therapeutic Goods Order No.</w:t>
      </w:r>
      <w:r w:rsidR="00C44382">
        <w:rPr>
          <w:i/>
        </w:rPr>
        <w:t xml:space="preserve"> </w:t>
      </w:r>
      <w:r w:rsidRPr="002C1182">
        <w:rPr>
          <w:i/>
        </w:rPr>
        <w:t>93 (Standard for Medicinal Cannabis)</w:t>
      </w:r>
      <w:r>
        <w:t xml:space="preserve"> (“the </w:t>
      </w:r>
      <w:r w:rsidR="007D436A">
        <w:t xml:space="preserve">Principal </w:t>
      </w:r>
      <w:r>
        <w:t>Order”) is an order made under section 10 of the Act for the purpose of establishing a ministerial standard for medicinal cannabis products.</w:t>
      </w:r>
    </w:p>
    <w:p w:rsidR="00FF31F4" w:rsidRDefault="002C1182" w:rsidP="0057772C">
      <w:pPr>
        <w:spacing w:after="240"/>
      </w:pPr>
      <w:r>
        <w:t>Subsection 10(3A) of the Act provides that the Minister may, by legislative instrument, vary</w:t>
      </w:r>
      <w:r w:rsidR="007D436A">
        <w:t> </w:t>
      </w:r>
      <w:r>
        <w:t>or revoke an order made under subsection 10(1) of the Act.</w:t>
      </w:r>
      <w:r w:rsidR="00052E74">
        <w:t xml:space="preserve"> </w:t>
      </w:r>
      <w:r>
        <w:t xml:space="preserve">The </w:t>
      </w:r>
      <w:r w:rsidRPr="0062047B">
        <w:rPr>
          <w:i/>
        </w:rPr>
        <w:t>Therapeutic Goods Amendment (Standard for Medicinal Cannabis) Order 2019</w:t>
      </w:r>
      <w:r>
        <w:t xml:space="preserve"> (“the Amendment Order”) is made by a dele</w:t>
      </w:r>
      <w:r w:rsidR="00D96ADB">
        <w:t xml:space="preserve">gate of the </w:t>
      </w:r>
      <w:r w:rsidR="00FE76E5">
        <w:t xml:space="preserve">Minister </w:t>
      </w:r>
      <w:r>
        <w:t>under</w:t>
      </w:r>
      <w:r w:rsidR="00FE76E5">
        <w:t xml:space="preserve"> subsection 10(3A) of the Act.</w:t>
      </w:r>
    </w:p>
    <w:p w:rsidR="002C1182" w:rsidRDefault="00FE76E5" w:rsidP="0057772C">
      <w:pPr>
        <w:spacing w:after="240"/>
      </w:pPr>
      <w:r>
        <w:t>The</w:t>
      </w:r>
      <w:r w:rsidR="002C1182">
        <w:t xml:space="preserve"> purpo</w:t>
      </w:r>
      <w:r>
        <w:t xml:space="preserve">se of the Amendment Order is to amend the </w:t>
      </w:r>
      <w:r w:rsidR="007D436A">
        <w:t xml:space="preserve">Principal </w:t>
      </w:r>
      <w:r>
        <w:t xml:space="preserve">Order to make a small number of consequential </w:t>
      </w:r>
      <w:r w:rsidR="002C1182">
        <w:t>amend</w:t>
      </w:r>
      <w:r>
        <w:t>ments</w:t>
      </w:r>
      <w:r w:rsidR="00D96ADB">
        <w:t>, principally</w:t>
      </w:r>
      <w:r>
        <w:t xml:space="preserve"> </w:t>
      </w:r>
      <w:r w:rsidR="00D96ADB">
        <w:t xml:space="preserve">to reflect the recent repeal and replacement of the Therapeutic Goods Order No.78 </w:t>
      </w:r>
      <w:r w:rsidR="00D96ADB" w:rsidRPr="00FE76E5">
        <w:rPr>
          <w:i/>
        </w:rPr>
        <w:t>Standard for Tablets and Capsules</w:t>
      </w:r>
      <w:r w:rsidR="00D96ADB">
        <w:t xml:space="preserve"> </w:t>
      </w:r>
      <w:r>
        <w:t>(“TGO 78”)</w:t>
      </w:r>
      <w:r w:rsidR="00656E30">
        <w:t>,</w:t>
      </w:r>
      <w:r>
        <w:t xml:space="preserve"> </w:t>
      </w:r>
      <w:r w:rsidR="00FF31F4">
        <w:t xml:space="preserve">which the </w:t>
      </w:r>
      <w:r w:rsidR="007D436A">
        <w:t xml:space="preserve">Principal </w:t>
      </w:r>
      <w:r w:rsidR="00FF31F4">
        <w:t>Order reference</w:t>
      </w:r>
      <w:r w:rsidR="007D436A">
        <w:t>s</w:t>
      </w:r>
      <w:r w:rsidR="00656E30">
        <w:t>,</w:t>
      </w:r>
      <w:r w:rsidR="00FF31F4">
        <w:t xml:space="preserve"> </w:t>
      </w:r>
      <w:r>
        <w:t xml:space="preserve">by </w:t>
      </w:r>
      <w:r w:rsidR="002423EC">
        <w:t xml:space="preserve">substituting </w:t>
      </w:r>
      <w:r w:rsidR="00656E30">
        <w:t>th</w:t>
      </w:r>
      <w:r w:rsidR="007D436A">
        <w:t>at</w:t>
      </w:r>
      <w:r w:rsidR="00656E30">
        <w:t xml:space="preserve"> </w:t>
      </w:r>
      <w:r w:rsidR="002423EC">
        <w:t xml:space="preserve">reference with a reference to </w:t>
      </w:r>
      <w:r>
        <w:t xml:space="preserve">the </w:t>
      </w:r>
      <w:r w:rsidR="002423EC">
        <w:t xml:space="preserve">new </w:t>
      </w:r>
      <w:r w:rsidRPr="00FE76E5">
        <w:rPr>
          <w:i/>
        </w:rPr>
        <w:t>Therapeutic Goods (Standard for Table</w:t>
      </w:r>
      <w:r>
        <w:rPr>
          <w:i/>
        </w:rPr>
        <w:t>ts, Capsules and Pills) (TGO 101</w:t>
      </w:r>
      <w:r w:rsidRPr="00FE76E5">
        <w:rPr>
          <w:i/>
        </w:rPr>
        <w:t>) Order 2019</w:t>
      </w:r>
      <w:r>
        <w:t xml:space="preserve"> (“TGO</w:t>
      </w:r>
      <w:r w:rsidR="00656E30">
        <w:t> </w:t>
      </w:r>
      <w:r>
        <w:t>101”).</w:t>
      </w:r>
    </w:p>
    <w:p w:rsidR="00E82F88" w:rsidRPr="00D8495C" w:rsidRDefault="00E82F88" w:rsidP="00E82F88">
      <w:pPr>
        <w:spacing w:after="240"/>
        <w:rPr>
          <w:b/>
        </w:rPr>
      </w:pPr>
      <w:r w:rsidRPr="00D8495C">
        <w:rPr>
          <w:b/>
        </w:rPr>
        <w:t>B</w:t>
      </w:r>
      <w:r w:rsidR="007B3DC2" w:rsidRPr="00D8495C">
        <w:rPr>
          <w:b/>
        </w:rPr>
        <w:t>ackground</w:t>
      </w:r>
    </w:p>
    <w:p w:rsidR="0057772C" w:rsidRDefault="0057772C" w:rsidP="00BD1FE5">
      <w:pPr>
        <w:spacing w:after="240"/>
      </w:pPr>
      <w:r w:rsidRPr="00BD1FE5">
        <w:t>The Australian Government is responsible for regulating the quality</w:t>
      </w:r>
      <w:r w:rsidR="00BD1FE5">
        <w:t>,</w:t>
      </w:r>
      <w:r w:rsidRPr="00BD1FE5">
        <w:t xml:space="preserve"> </w:t>
      </w:r>
      <w:r w:rsidR="00BD1FE5">
        <w:t xml:space="preserve">safety and efficacy </w:t>
      </w:r>
      <w:r w:rsidRPr="00BD1FE5">
        <w:t>of therapeutic goods. This is principally achieved by specifying ministerial standards for the manufacture of those products, and otherwise applying default standards specified in international pharmacopoeias.</w:t>
      </w:r>
    </w:p>
    <w:p w:rsidR="00DF7CC2" w:rsidRDefault="00DF7CC2" w:rsidP="00DF7CC2">
      <w:pPr>
        <w:spacing w:after="240"/>
      </w:pPr>
      <w:r>
        <w:t xml:space="preserve">The </w:t>
      </w:r>
      <w:r w:rsidR="007D436A">
        <w:t xml:space="preserve">Principal </w:t>
      </w:r>
      <w:r>
        <w:t xml:space="preserve">Order applies to medicinal cannabis products, whether imported into Australia or manufactured domestically, and is intended to provide an assurance to medical </w:t>
      </w:r>
      <w:r>
        <w:lastRenderedPageBreak/>
        <w:t>practitioners and patients that medicinal cannabis products are manufactured in accordance with minimum quality requirements.</w:t>
      </w:r>
    </w:p>
    <w:p w:rsidR="00DF7CC2" w:rsidRDefault="00A82E6E" w:rsidP="00BD1FE5">
      <w:pPr>
        <w:spacing w:after="240"/>
      </w:pPr>
      <w:r>
        <w:t xml:space="preserve">Subsection 12(2) of the </w:t>
      </w:r>
      <w:r w:rsidR="007D436A">
        <w:t xml:space="preserve">Principal </w:t>
      </w:r>
      <w:r>
        <w:t xml:space="preserve">Order </w:t>
      </w:r>
      <w:r w:rsidR="005B47CB">
        <w:t>specifies assay lim</w:t>
      </w:r>
      <w:r>
        <w:t>its that apply to medicinal cannabis products</w:t>
      </w:r>
      <w:r w:rsidR="006802FD">
        <w:t>,</w:t>
      </w:r>
      <w:r w:rsidR="005B47CB">
        <w:t xml:space="preserve"> </w:t>
      </w:r>
      <w:r w:rsidR="006802FD">
        <w:t>depending on the dosage form (e.g. herbal final form).</w:t>
      </w:r>
      <w:r>
        <w:t xml:space="preserve"> Paragraph 12(2)(b) of the </w:t>
      </w:r>
      <w:r w:rsidR="007D436A">
        <w:t xml:space="preserve">Principal </w:t>
      </w:r>
      <w:r>
        <w:t xml:space="preserve">Order specifies assay limits for medicinal cannabis products in tablet or capsule form that are not included </w:t>
      </w:r>
      <w:r w:rsidR="00052E74">
        <w:t xml:space="preserve">in </w:t>
      </w:r>
      <w:r>
        <w:t>the Australian Register of Therapeutic Goods (</w:t>
      </w:r>
      <w:r w:rsidR="00052E74">
        <w:t>“</w:t>
      </w:r>
      <w:r>
        <w:t>the Register</w:t>
      </w:r>
      <w:r w:rsidR="00052E74">
        <w:t>”</w:t>
      </w:r>
      <w:r>
        <w:t>).</w:t>
      </w:r>
    </w:p>
    <w:p w:rsidR="006802FD" w:rsidRDefault="006802FD" w:rsidP="00BD1FE5">
      <w:pPr>
        <w:spacing w:after="240"/>
      </w:pPr>
      <w:r>
        <w:t xml:space="preserve">Section 12 </w:t>
      </w:r>
      <w:r w:rsidR="007D436A">
        <w:t xml:space="preserve">of the Principal Order </w:t>
      </w:r>
      <w:r>
        <w:t>contains a note that is designed to be a reminde</w:t>
      </w:r>
      <w:r w:rsidR="00A82E6E">
        <w:t xml:space="preserve">r that </w:t>
      </w:r>
      <w:r w:rsidR="007D436A">
        <w:t xml:space="preserve">registered </w:t>
      </w:r>
      <w:r w:rsidR="00A82E6E">
        <w:t>medicinal cannabis products in table</w:t>
      </w:r>
      <w:r w:rsidR="00656E30">
        <w:t>t</w:t>
      </w:r>
      <w:r w:rsidR="00A82E6E">
        <w:t xml:space="preserve"> or capsule form </w:t>
      </w:r>
      <w:r w:rsidR="002D1B0D">
        <w:t>must</w:t>
      </w:r>
      <w:r>
        <w:t xml:space="preserve"> comply with the assay limits specified in TGO 78.</w:t>
      </w:r>
    </w:p>
    <w:p w:rsidR="00A82E6E" w:rsidRDefault="00A82E6E" w:rsidP="00BD1FE5">
      <w:pPr>
        <w:spacing w:after="240"/>
      </w:pPr>
      <w:r>
        <w:t>TGO 78 was recently re</w:t>
      </w:r>
      <w:r w:rsidR="00FF31F4">
        <w:t>pealed and replaced by TGO 101, with effect from 31 March 2019</w:t>
      </w:r>
      <w:r w:rsidR="007B502C">
        <w:t>, as </w:t>
      </w:r>
      <w:r w:rsidR="007D436A">
        <w:t xml:space="preserve">a consequence of </w:t>
      </w:r>
      <w:r>
        <w:t xml:space="preserve">TGO 78 </w:t>
      </w:r>
      <w:r w:rsidR="007D436A">
        <w:t xml:space="preserve">being </w:t>
      </w:r>
      <w:r>
        <w:t xml:space="preserve">due to sunset on 1 April 2019 under the sunsetting provisions of the </w:t>
      </w:r>
      <w:r w:rsidRPr="00D916E9">
        <w:rPr>
          <w:i/>
        </w:rPr>
        <w:t>Legislation Act 2003</w:t>
      </w:r>
      <w:r>
        <w:t xml:space="preserve">. The </w:t>
      </w:r>
      <w:r w:rsidR="00CE3554">
        <w:t xml:space="preserve">Amendment </w:t>
      </w:r>
      <w:r>
        <w:t xml:space="preserve">Order therefore makes a minor, consequential amendment to the </w:t>
      </w:r>
      <w:r w:rsidR="007D436A">
        <w:t xml:space="preserve">Principal </w:t>
      </w:r>
      <w:r>
        <w:t xml:space="preserve">Order to replace the reference to TGO 78 in the note </w:t>
      </w:r>
      <w:r w:rsidR="00052E74">
        <w:t>at the end of</w:t>
      </w:r>
      <w:r>
        <w:t xml:space="preserve"> section 12 with a reference to TGO 101.</w:t>
      </w:r>
    </w:p>
    <w:p w:rsidR="006802FD" w:rsidRDefault="00CE3554" w:rsidP="00BD1FE5">
      <w:pPr>
        <w:spacing w:after="240"/>
      </w:pPr>
      <w:r>
        <w:t xml:space="preserve">The Amendment Order also </w:t>
      </w:r>
      <w:r w:rsidR="009921F6">
        <w:t xml:space="preserve">makes an unrelated minor consequential amendment to the </w:t>
      </w:r>
      <w:r w:rsidR="007D436A">
        <w:t xml:space="preserve">Principal </w:t>
      </w:r>
      <w:r w:rsidR="009921F6">
        <w:t xml:space="preserve">Order to reflect the disallowance of item 1 of Schedule 1 to the </w:t>
      </w:r>
      <w:r w:rsidR="009921F6" w:rsidRPr="00D916E9">
        <w:rPr>
          <w:i/>
        </w:rPr>
        <w:t>Therapeutic Goods and Other Legislation Amendment (Narcotic Drugs) Regulation 2016</w:t>
      </w:r>
      <w:r w:rsidR="00FF31F4">
        <w:t xml:space="preserve"> (</w:t>
      </w:r>
      <w:r w:rsidR="00052E74">
        <w:t>“</w:t>
      </w:r>
      <w:r w:rsidR="00FF31F4">
        <w:t xml:space="preserve">the </w:t>
      </w:r>
      <w:r w:rsidR="009921F6">
        <w:t>Amendment Regulation</w:t>
      </w:r>
      <w:r w:rsidR="00052E74">
        <w:t>”</w:t>
      </w:r>
      <w:r w:rsidR="009921F6">
        <w:t>) in</w:t>
      </w:r>
      <w:r w:rsidR="00656E30">
        <w:t> </w:t>
      </w:r>
      <w:r w:rsidR="009921F6">
        <w:t>June 2017.</w:t>
      </w:r>
    </w:p>
    <w:p w:rsidR="009921F6" w:rsidRDefault="00656E30" w:rsidP="00BD1FE5">
      <w:pPr>
        <w:spacing w:after="240"/>
      </w:pPr>
      <w:r>
        <w:t>Previously, i</w:t>
      </w:r>
      <w:r w:rsidR="00FF31F4">
        <w:t xml:space="preserve">tem 1 of Schedule 1 to the </w:t>
      </w:r>
      <w:r w:rsidR="009921F6">
        <w:t xml:space="preserve">Amendment Regulation </w:t>
      </w:r>
      <w:r>
        <w:t xml:space="preserve">had </w:t>
      </w:r>
      <w:r w:rsidR="009921F6">
        <w:t xml:space="preserve">amended regulation 12A of the </w:t>
      </w:r>
      <w:r w:rsidR="009921F6" w:rsidRPr="00D916E9">
        <w:rPr>
          <w:i/>
        </w:rPr>
        <w:t>Therapeutic Goods Regulations 1990</w:t>
      </w:r>
      <w:r w:rsidR="004D0526">
        <w:t xml:space="preserve"> </w:t>
      </w:r>
      <w:r w:rsidR="009921F6">
        <w:t xml:space="preserve">to preclude the supply </w:t>
      </w:r>
      <w:r w:rsidR="00570579">
        <w:t>by medical practitioners</w:t>
      </w:r>
      <w:r w:rsidR="009921F6">
        <w:t xml:space="preserve"> of </w:t>
      </w:r>
      <w:r w:rsidR="007D436A">
        <w:t>therapeutic goods containing</w:t>
      </w:r>
      <w:r w:rsidR="00BA3545">
        <w:t xml:space="preserve"> certain</w:t>
      </w:r>
      <w:r w:rsidR="007D436A">
        <w:t xml:space="preserve"> </w:t>
      </w:r>
      <w:r w:rsidR="009921F6">
        <w:t xml:space="preserve">cannabis-related substances </w:t>
      </w:r>
      <w:r w:rsidR="00BA3545">
        <w:t xml:space="preserve">in circumstances where those goods were </w:t>
      </w:r>
      <w:r w:rsidR="009921F6">
        <w:t>not included in the Register</w:t>
      </w:r>
      <w:r w:rsidR="00BA3545">
        <w:t xml:space="preserve"> and supply is made to patients who are seriously ill</w:t>
      </w:r>
      <w:r w:rsidR="007D436A">
        <w:t>.</w:t>
      </w:r>
    </w:p>
    <w:p w:rsidR="009921F6" w:rsidRDefault="009921F6" w:rsidP="00BD1FE5">
      <w:pPr>
        <w:spacing w:after="240"/>
      </w:pPr>
      <w:r>
        <w:t xml:space="preserve">The disallowance motion (which was agreed to </w:t>
      </w:r>
      <w:r w:rsidR="00656E30">
        <w:t xml:space="preserve">by Parliament </w:t>
      </w:r>
      <w:r>
        <w:t xml:space="preserve">on 13 June 2017) had the effect of removing </w:t>
      </w:r>
      <w:r w:rsidR="00656E30">
        <w:t xml:space="preserve">the amendment </w:t>
      </w:r>
      <w:r w:rsidR="00BA3545">
        <w:t xml:space="preserve">to regulation 12A </w:t>
      </w:r>
      <w:r w:rsidR="00656E30">
        <w:t xml:space="preserve">by omitting </w:t>
      </w:r>
      <w:r>
        <w:t xml:space="preserve">the </w:t>
      </w:r>
      <w:r w:rsidR="00BA3545">
        <w:t xml:space="preserve">words </w:t>
      </w:r>
      <w:r>
        <w:t xml:space="preserve">that precluded the supply of medicinal cannabis products under </w:t>
      </w:r>
      <w:r w:rsidR="00BA3545">
        <w:t>that section</w:t>
      </w:r>
      <w:r w:rsidR="00656E30">
        <w:t xml:space="preserve">. </w:t>
      </w:r>
      <w:r w:rsidR="00BA3545">
        <w:t>Following disallowance</w:t>
      </w:r>
      <w:r>
        <w:t>, regulation 12A could b</w:t>
      </w:r>
      <w:r w:rsidR="00FF31F4">
        <w:t xml:space="preserve">e relied upon to authorise the </w:t>
      </w:r>
      <w:r>
        <w:t xml:space="preserve">supply </w:t>
      </w:r>
      <w:r w:rsidR="00FF31F4">
        <w:t xml:space="preserve">of </w:t>
      </w:r>
      <w:r w:rsidR="00656E30">
        <w:t xml:space="preserve">medicinal cannabis </w:t>
      </w:r>
      <w:r w:rsidR="00FF31F4">
        <w:t xml:space="preserve">products </w:t>
      </w:r>
      <w:r>
        <w:t>to seriously ill patients</w:t>
      </w:r>
      <w:r w:rsidR="00BA3545">
        <w:t xml:space="preserve"> in Australia</w:t>
      </w:r>
      <w:r>
        <w:t>.</w:t>
      </w:r>
    </w:p>
    <w:p w:rsidR="00570579" w:rsidRDefault="009921F6" w:rsidP="00BD1FE5">
      <w:pPr>
        <w:spacing w:after="240"/>
      </w:pPr>
      <w:r>
        <w:t>As such, the Amendment Order makes a minor, conseq</w:t>
      </w:r>
      <w:r w:rsidR="00570579">
        <w:t>uential</w:t>
      </w:r>
      <w:r w:rsidR="007B502C">
        <w:t xml:space="preserve"> amendment to the definition of </w:t>
      </w:r>
      <w:r w:rsidR="00570579">
        <w:t>‘stated content’ (</w:t>
      </w:r>
      <w:r w:rsidR="00656E30">
        <w:t xml:space="preserve">in relation to each </w:t>
      </w:r>
      <w:r w:rsidR="00570579">
        <w:t xml:space="preserve">active ingredient in a medicinal cannabis product) </w:t>
      </w:r>
      <w:r w:rsidR="00FF31F4">
        <w:t xml:space="preserve">by including reference to </w:t>
      </w:r>
      <w:r w:rsidR="007D436A">
        <w:t xml:space="preserve">the </w:t>
      </w:r>
      <w:r w:rsidR="00570579">
        <w:t xml:space="preserve">‘stated content’ </w:t>
      </w:r>
      <w:r w:rsidR="007D436A">
        <w:t xml:space="preserve">that is disclosed to the Secretary in a </w:t>
      </w:r>
      <w:r w:rsidR="00BA3545">
        <w:t>statement</w:t>
      </w:r>
      <w:r w:rsidR="007D436A">
        <w:t xml:space="preserve"> given by a medical practitioner under </w:t>
      </w:r>
      <w:r w:rsidR="00570579">
        <w:t>regulation 12A.</w:t>
      </w:r>
    </w:p>
    <w:p w:rsidR="00FA0404" w:rsidRPr="00BD1FE5" w:rsidRDefault="007455B6" w:rsidP="00BD1FE5">
      <w:pPr>
        <w:spacing w:after="240"/>
      </w:pPr>
      <w:r>
        <w:t>The Amendment Order contains a final minor amendment</w:t>
      </w:r>
      <w:r w:rsidR="00FF31F4">
        <w:t xml:space="preserve"> to replace the </w:t>
      </w:r>
      <w:r w:rsidR="007D436A">
        <w:t xml:space="preserve">name </w:t>
      </w:r>
      <w:r w:rsidR="00FF31F4">
        <w:t>of the Order with “</w:t>
      </w:r>
      <w:r w:rsidR="00FF31F4" w:rsidRPr="000F68E9">
        <w:rPr>
          <w:i/>
        </w:rPr>
        <w:t>Therapeutic Goods (Standard for Medicinal Cannabis) (TGO 93) Order 2017</w:t>
      </w:r>
      <w:r w:rsidR="00FF31F4">
        <w:t>”</w:t>
      </w:r>
      <w:r w:rsidR="001B6E81">
        <w:t xml:space="preserve">. The wording of the new </w:t>
      </w:r>
      <w:r w:rsidR="00BA3545">
        <w:t>name</w:t>
      </w:r>
      <w:r w:rsidR="001B6E81">
        <w:t xml:space="preserve"> is consistent with </w:t>
      </w:r>
      <w:r w:rsidR="00BA3545">
        <w:t xml:space="preserve">the names of other </w:t>
      </w:r>
      <w:r w:rsidR="001B6E81">
        <w:t>orders recently made under section 10 of the Act and</w:t>
      </w:r>
      <w:r w:rsidR="00BA3545">
        <w:t xml:space="preserve"> reflects </w:t>
      </w:r>
      <w:r w:rsidR="00FF31F4">
        <w:t>the Office of Parliamentary Counsel’s recommended approach to naming legislative instruments in Drafting Direction 1.1A ‘Names of instruments and provision units of instruments’.</w:t>
      </w:r>
    </w:p>
    <w:p w:rsidR="007D4181" w:rsidRDefault="007D4181">
      <w:pPr>
        <w:rPr>
          <w:b/>
        </w:rPr>
      </w:pPr>
      <w:r>
        <w:rPr>
          <w:b/>
        </w:rPr>
        <w:br w:type="page"/>
      </w:r>
    </w:p>
    <w:p w:rsidR="004B53A9" w:rsidRPr="00251D8F" w:rsidRDefault="004B53A9" w:rsidP="00A027B8">
      <w:pPr>
        <w:spacing w:after="240"/>
      </w:pPr>
      <w:r w:rsidRPr="00A027B8">
        <w:rPr>
          <w:b/>
        </w:rPr>
        <w:lastRenderedPageBreak/>
        <w:t>Consultation</w:t>
      </w:r>
    </w:p>
    <w:p w:rsidR="00C65D8B" w:rsidRDefault="00544658" w:rsidP="009E73AE">
      <w:pPr>
        <w:spacing w:after="240"/>
      </w:pPr>
      <w:r>
        <w:t>T</w:t>
      </w:r>
      <w:r w:rsidR="00C65D8B">
        <w:t>he measures in the Amendment Order are minor and consequential in nature</w:t>
      </w:r>
      <w:r>
        <w:t>. A</w:t>
      </w:r>
      <w:r w:rsidR="005A5E7A">
        <w:t xml:space="preserve">part from updating the </w:t>
      </w:r>
      <w:r w:rsidR="00BA3545">
        <w:t xml:space="preserve">name </w:t>
      </w:r>
      <w:r w:rsidR="005A5E7A">
        <w:t>of the Order</w:t>
      </w:r>
      <w:r>
        <w:t>, the amendments</w:t>
      </w:r>
      <w:r w:rsidR="007F2E26">
        <w:t xml:space="preserve"> a</w:t>
      </w:r>
      <w:r w:rsidR="00C65D8B">
        <w:t xml:space="preserve">re </w:t>
      </w:r>
      <w:r w:rsidR="005A5E7A">
        <w:t>solely</w:t>
      </w:r>
      <w:r w:rsidR="00C65D8B">
        <w:t xml:space="preserve"> designed to reflect the replacement of TGO 78 by TGO 101 and the effect of the disall</w:t>
      </w:r>
      <w:r w:rsidR="005A5E7A">
        <w:t>owance motion</w:t>
      </w:r>
      <w:r>
        <w:t xml:space="preserve">. Given the amendments </w:t>
      </w:r>
      <w:r w:rsidR="005A5E7A">
        <w:t xml:space="preserve">do not involve any new regulatory steps or administrative requirements for industry), </w:t>
      </w:r>
      <w:r>
        <w:t>the TGA considered that it was not necessary for the amendments to be the subject of consultation.</w:t>
      </w:r>
    </w:p>
    <w:p w:rsidR="00C65D8B" w:rsidRDefault="005A5E7A" w:rsidP="009E73AE">
      <w:pPr>
        <w:spacing w:after="240"/>
      </w:pPr>
      <w:r>
        <w:t>However, p</w:t>
      </w:r>
      <w:r w:rsidR="00C65D8B">
        <w:t>ublic consultation was undertaken between 17 December 2018 and 8 February 2019 in relation to TGO 101</w:t>
      </w:r>
      <w:r>
        <w:t>, with a draft of that instrument,</w:t>
      </w:r>
      <w:r w:rsidR="00C65D8B">
        <w:t xml:space="preserve"> and an associated guidance document</w:t>
      </w:r>
      <w:r>
        <w:t>,</w:t>
      </w:r>
      <w:r w:rsidR="00C65D8B">
        <w:t xml:space="preserve"> released for comment on the TGA’s website (</w:t>
      </w:r>
      <w:hyperlink r:id="rId9" w:history="1">
        <w:r w:rsidR="00C65D8B" w:rsidRPr="00F653E8">
          <w:rPr>
            <w:rStyle w:val="Hyperlink"/>
          </w:rPr>
          <w:t>www.tga.gov.au</w:t>
        </w:r>
      </w:hyperlink>
      <w:r w:rsidR="00C65D8B">
        <w:t>) for this period.</w:t>
      </w:r>
      <w:r w:rsidR="001014D5">
        <w:t xml:space="preserve">  </w:t>
      </w:r>
      <w:r w:rsidR="00CF3280">
        <w:t xml:space="preserve">Twenty four </w:t>
      </w:r>
      <w:r w:rsidR="001014D5">
        <w:t>submissions were received, with a wide spectrum of views expressed in relation to technical issues</w:t>
      </w:r>
      <w:r w:rsidR="00CF3280">
        <w:t>,</w:t>
      </w:r>
      <w:r w:rsidR="001014D5">
        <w:t xml:space="preserve"> but overall </w:t>
      </w:r>
      <w:r w:rsidR="00CF3280">
        <w:t xml:space="preserve">there was </w:t>
      </w:r>
      <w:r w:rsidR="001014D5">
        <w:t>support for the need for an updated instrument to replace TGO 78. A number of changes were made to the final version of TGO 101 to incorporate feedback</w:t>
      </w:r>
      <w:r w:rsidR="002C54CC">
        <w:t xml:space="preserve"> received</w:t>
      </w:r>
      <w:r w:rsidR="001014D5">
        <w:t>.</w:t>
      </w:r>
    </w:p>
    <w:p w:rsidR="00E82F88" w:rsidRDefault="00E82F88" w:rsidP="00E82F88">
      <w:pPr>
        <w:spacing w:after="240"/>
      </w:pPr>
      <w:r>
        <w:t xml:space="preserve">Details of </w:t>
      </w:r>
      <w:r w:rsidR="009B1A45">
        <w:t xml:space="preserve">the </w:t>
      </w:r>
      <w:r w:rsidR="009921F6">
        <w:t xml:space="preserve">Amendment </w:t>
      </w:r>
      <w:r w:rsidR="009B1A45">
        <w:t>Order</w:t>
      </w:r>
      <w:r w:rsidR="009D289C">
        <w:t xml:space="preserve"> </w:t>
      </w:r>
      <w:r>
        <w:t xml:space="preserve">are set out in </w:t>
      </w:r>
      <w:r w:rsidRPr="00A027B8">
        <w:rPr>
          <w:b/>
        </w:rPr>
        <w:t>Attachment A</w:t>
      </w:r>
      <w:r>
        <w:t>.</w:t>
      </w:r>
    </w:p>
    <w:p w:rsidR="00E82F88" w:rsidRDefault="009B1A45" w:rsidP="00E82F88">
      <w:pPr>
        <w:spacing w:after="240"/>
      </w:pPr>
      <w:r>
        <w:t>The</w:t>
      </w:r>
      <w:r w:rsidR="009921F6">
        <w:t xml:space="preserve"> Amendment</w:t>
      </w:r>
      <w:r>
        <w:t xml:space="preserve"> Order</w:t>
      </w:r>
      <w:r w:rsidR="009D289C">
        <w:t xml:space="preserve"> </w:t>
      </w:r>
      <w:r w:rsidR="00E82F88">
        <w:t xml:space="preserve">is compatible with the human rights and freedoms recognised or declared under section 3 of the </w:t>
      </w:r>
      <w:r w:rsidR="00E82F88" w:rsidRPr="006348D2">
        <w:rPr>
          <w:i/>
        </w:rPr>
        <w:t>Human Rights (Parliamentary Scrutiny) Act 2011</w:t>
      </w:r>
      <w:r w:rsidR="00E82F88">
        <w:t xml:space="preserve">. A full statement of compatibility is set out in </w:t>
      </w:r>
      <w:r w:rsidR="00E82F88" w:rsidRPr="00A027B8">
        <w:rPr>
          <w:b/>
        </w:rPr>
        <w:t>Attachment B.</w:t>
      </w:r>
    </w:p>
    <w:p w:rsidR="00E82F88" w:rsidRDefault="009B1A45" w:rsidP="00E82F88">
      <w:pPr>
        <w:spacing w:after="240"/>
      </w:pPr>
      <w:r>
        <w:t xml:space="preserve">The </w:t>
      </w:r>
      <w:r w:rsidR="009921F6">
        <w:t xml:space="preserve">Amendment </w:t>
      </w:r>
      <w:r>
        <w:t>Order</w:t>
      </w:r>
      <w:r w:rsidR="00E82F88">
        <w:t xml:space="preserve"> is a disallowable legislative instrument, and commences on </w:t>
      </w:r>
      <w:r w:rsidR="00E71D82">
        <w:t>31 March 2019</w:t>
      </w:r>
      <w:r w:rsidR="00E82F88">
        <w:t>.</w:t>
      </w:r>
    </w:p>
    <w:p w:rsidR="00E82F88" w:rsidRPr="00DB0E8D" w:rsidRDefault="00E82F88" w:rsidP="00E82F88">
      <w:pPr>
        <w:pStyle w:val="Heading3"/>
        <w:spacing w:before="120" w:after="240"/>
        <w:jc w:val="right"/>
        <w:rPr>
          <w:rFonts w:ascii="Times New Roman" w:hAnsi="Times New Roman" w:cs="Times New Roman"/>
          <w:sz w:val="24"/>
          <w:szCs w:val="24"/>
        </w:rPr>
      </w:pPr>
      <w:r>
        <w:rPr>
          <w:rFonts w:ascii="TimesNewRomanPSMT" w:hAnsi="TimesNewRomanPSMT" w:cs="TimesNewRomanPSMT"/>
          <w:sz w:val="24"/>
          <w:szCs w:val="24"/>
        </w:rPr>
        <w:br w:type="page"/>
      </w:r>
      <w:r w:rsidR="00560710" w:rsidRPr="00DB0E8D">
        <w:rPr>
          <w:rFonts w:ascii="Times New Roman" w:hAnsi="Times New Roman" w:cs="Times New Roman"/>
          <w:sz w:val="24"/>
          <w:szCs w:val="24"/>
        </w:rPr>
        <w:lastRenderedPageBreak/>
        <w:t>A</w:t>
      </w:r>
      <w:r w:rsidR="00560710">
        <w:rPr>
          <w:rFonts w:ascii="Times New Roman" w:hAnsi="Times New Roman" w:cs="Times New Roman"/>
          <w:sz w:val="24"/>
          <w:szCs w:val="24"/>
        </w:rPr>
        <w:t>ttachment</w:t>
      </w:r>
      <w:r w:rsidR="00560710" w:rsidRPr="00DB0E8D">
        <w:rPr>
          <w:rFonts w:ascii="Times New Roman" w:hAnsi="Times New Roman" w:cs="Times New Roman"/>
          <w:sz w:val="24"/>
          <w:szCs w:val="24"/>
        </w:rPr>
        <w:t xml:space="preserve"> </w:t>
      </w:r>
      <w:r w:rsidRPr="00DB0E8D">
        <w:rPr>
          <w:rFonts w:ascii="Times New Roman" w:hAnsi="Times New Roman" w:cs="Times New Roman"/>
          <w:sz w:val="24"/>
          <w:szCs w:val="24"/>
        </w:rPr>
        <w:t>A</w:t>
      </w:r>
    </w:p>
    <w:p w:rsidR="009921F6" w:rsidRPr="00A027B8" w:rsidRDefault="00E82F88" w:rsidP="000F68E9">
      <w:pPr>
        <w:rPr>
          <w:rFonts w:ascii="Times New (W1)" w:hAnsi="Times New (W1)" w:cs="Times New (W1)"/>
          <w:bCs/>
        </w:rPr>
      </w:pPr>
      <w:bookmarkStart w:id="1" w:name="_Toc199566624"/>
      <w:r>
        <w:rPr>
          <w:b/>
        </w:rPr>
        <w:t xml:space="preserve">Details of </w:t>
      </w:r>
      <w:r w:rsidR="00560710">
        <w:rPr>
          <w:b/>
        </w:rPr>
        <w:t xml:space="preserve">the </w:t>
      </w:r>
      <w:r w:rsidR="009921F6" w:rsidRPr="000F68E9">
        <w:rPr>
          <w:b/>
          <w:i/>
        </w:rPr>
        <w:t>Therapeutic Goods Amendment (Standard for Medicinal Cannabis) Order 2019</w:t>
      </w:r>
    </w:p>
    <w:p w:rsidR="00E82F88" w:rsidRPr="00DB0E8D" w:rsidRDefault="00E82F88" w:rsidP="00E82F88">
      <w:pPr>
        <w:rPr>
          <w:rFonts w:ascii="Times New (W1)" w:hAnsi="Times New (W1)" w:cs="Times New (W1)"/>
          <w:b/>
          <w:bCs/>
        </w:rPr>
      </w:pPr>
    </w:p>
    <w:p w:rsidR="00E82F88" w:rsidRDefault="00E82F88" w:rsidP="00E82F88">
      <w:pPr>
        <w:autoSpaceDE w:val="0"/>
        <w:autoSpaceDN w:val="0"/>
        <w:adjustRightInd w:val="0"/>
        <w:spacing w:after="120"/>
        <w:outlineLvl w:val="1"/>
      </w:pPr>
      <w:r>
        <w:rPr>
          <w:b/>
        </w:rPr>
        <w:t>Section 1</w:t>
      </w:r>
      <w:r>
        <w:t xml:space="preserve"> </w:t>
      </w:r>
      <w:r w:rsidRPr="00D71897">
        <w:rPr>
          <w:b/>
        </w:rPr>
        <w:t>Name</w:t>
      </w:r>
    </w:p>
    <w:p w:rsidR="004A6730" w:rsidRDefault="00E82F88" w:rsidP="000F68E9">
      <w:pPr>
        <w:spacing w:after="240"/>
        <w:rPr>
          <w:b/>
        </w:rPr>
      </w:pPr>
      <w:r>
        <w:t>This section provides that the name of th</w:t>
      </w:r>
      <w:r w:rsidR="00F155C3">
        <w:t>e</w:t>
      </w:r>
      <w:r>
        <w:t xml:space="preserve"> </w:t>
      </w:r>
      <w:r w:rsidR="009921F6">
        <w:t xml:space="preserve">Amendment </w:t>
      </w:r>
      <w:r>
        <w:t>Order is</w:t>
      </w:r>
      <w:r w:rsidR="00560710">
        <w:t xml:space="preserve"> the</w:t>
      </w:r>
      <w:r>
        <w:t xml:space="preserve"> </w:t>
      </w:r>
      <w:bookmarkEnd w:id="1"/>
      <w:r w:rsidR="009921F6" w:rsidRPr="00A027B8">
        <w:rPr>
          <w:i/>
        </w:rPr>
        <w:t xml:space="preserve">Therapeutic Goods </w:t>
      </w:r>
      <w:r w:rsidR="009921F6">
        <w:rPr>
          <w:i/>
        </w:rPr>
        <w:t xml:space="preserve">Amendment </w:t>
      </w:r>
      <w:r w:rsidR="009921F6" w:rsidRPr="00A027B8">
        <w:rPr>
          <w:i/>
        </w:rPr>
        <w:t xml:space="preserve">(Standard for </w:t>
      </w:r>
      <w:r w:rsidR="009921F6">
        <w:rPr>
          <w:i/>
        </w:rPr>
        <w:t>Medicinal Cannabis</w:t>
      </w:r>
      <w:r w:rsidR="009921F6" w:rsidRPr="00A027B8">
        <w:rPr>
          <w:i/>
        </w:rPr>
        <w:t>) Order 2019</w:t>
      </w:r>
      <w:r>
        <w:rPr>
          <w:i/>
        </w:rPr>
        <w:t>.</w:t>
      </w:r>
      <w:bookmarkStart w:id="2" w:name="_Toc199566625"/>
    </w:p>
    <w:p w:rsidR="00E82F88" w:rsidRDefault="00E82F88" w:rsidP="00E82F88">
      <w:pPr>
        <w:tabs>
          <w:tab w:val="left" w:pos="851"/>
        </w:tabs>
        <w:spacing w:after="120"/>
        <w:outlineLvl w:val="0"/>
      </w:pPr>
      <w:r>
        <w:rPr>
          <w:b/>
        </w:rPr>
        <w:t>Section 2</w:t>
      </w:r>
      <w:r w:rsidRPr="00D71897">
        <w:rPr>
          <w:b/>
        </w:rPr>
        <w:t xml:space="preserve"> Commencement</w:t>
      </w:r>
    </w:p>
    <w:p w:rsidR="00E82F88" w:rsidRDefault="00E82F88" w:rsidP="00E82F88">
      <w:pPr>
        <w:tabs>
          <w:tab w:val="left" w:pos="851"/>
        </w:tabs>
        <w:spacing w:after="240"/>
        <w:outlineLvl w:val="0"/>
      </w:pPr>
      <w:r>
        <w:t>This section provides that</w:t>
      </w:r>
      <w:bookmarkEnd w:id="2"/>
      <w:r>
        <w:t xml:space="preserve"> th</w:t>
      </w:r>
      <w:r w:rsidR="00E71D82">
        <w:t>e</w:t>
      </w:r>
      <w:r>
        <w:t xml:space="preserve"> </w:t>
      </w:r>
      <w:r w:rsidR="009921F6">
        <w:t xml:space="preserve">Amendment </w:t>
      </w:r>
      <w:r>
        <w:t xml:space="preserve">Order commences on </w:t>
      </w:r>
      <w:r w:rsidR="00E71D82">
        <w:t>31 March 2019</w:t>
      </w:r>
      <w:r>
        <w:t>.</w:t>
      </w:r>
    </w:p>
    <w:p w:rsidR="00E82F88" w:rsidRDefault="00E82F88" w:rsidP="00E82F88">
      <w:pPr>
        <w:tabs>
          <w:tab w:val="left" w:pos="851"/>
        </w:tabs>
        <w:spacing w:after="120"/>
        <w:outlineLvl w:val="0"/>
        <w:rPr>
          <w:b/>
        </w:rPr>
      </w:pPr>
      <w:bookmarkStart w:id="3" w:name="_Toc199566627"/>
      <w:r>
        <w:rPr>
          <w:b/>
        </w:rPr>
        <w:t>Section 3</w:t>
      </w:r>
      <w:bookmarkEnd w:id="3"/>
      <w:r>
        <w:t xml:space="preserve"> </w:t>
      </w:r>
      <w:r w:rsidRPr="00D71897">
        <w:rPr>
          <w:b/>
        </w:rPr>
        <w:t>Authority</w:t>
      </w:r>
    </w:p>
    <w:p w:rsidR="00E82F88" w:rsidRDefault="00E82F88" w:rsidP="00E82F88">
      <w:pPr>
        <w:tabs>
          <w:tab w:val="left" w:pos="851"/>
        </w:tabs>
        <w:spacing w:after="240"/>
        <w:outlineLvl w:val="0"/>
      </w:pPr>
      <w:r>
        <w:t xml:space="preserve">This section provides that the legislative authority for making the Order is section 10 of the </w:t>
      </w:r>
      <w:r w:rsidRPr="00D71897">
        <w:rPr>
          <w:i/>
        </w:rPr>
        <w:t>Therapeutic Goods Act 1989</w:t>
      </w:r>
      <w:r>
        <w:t>.</w:t>
      </w:r>
    </w:p>
    <w:p w:rsidR="00E82F88" w:rsidRDefault="00E82F88" w:rsidP="00E82F88">
      <w:pPr>
        <w:tabs>
          <w:tab w:val="left" w:pos="851"/>
        </w:tabs>
        <w:spacing w:after="120"/>
        <w:outlineLvl w:val="0"/>
      </w:pPr>
      <w:bookmarkStart w:id="4" w:name="_Toc199566628"/>
      <w:r>
        <w:rPr>
          <w:b/>
        </w:rPr>
        <w:t>Section 4</w:t>
      </w:r>
      <w:r>
        <w:t xml:space="preserve"> </w:t>
      </w:r>
      <w:r w:rsidR="00902F4F">
        <w:rPr>
          <w:b/>
        </w:rPr>
        <w:t>Amendments</w:t>
      </w:r>
    </w:p>
    <w:p w:rsidR="00A205EA" w:rsidRPr="00A027B8" w:rsidRDefault="00E82F88" w:rsidP="000F68E9">
      <w:pPr>
        <w:tabs>
          <w:tab w:val="left" w:pos="851"/>
        </w:tabs>
        <w:spacing w:after="240"/>
        <w:outlineLvl w:val="0"/>
      </w:pPr>
      <w:r>
        <w:t xml:space="preserve">This section </w:t>
      </w:r>
      <w:bookmarkStart w:id="5" w:name="_Toc518788307"/>
      <w:bookmarkStart w:id="6" w:name="_Toc98919887"/>
      <w:bookmarkStart w:id="7" w:name="_Toc121709903"/>
      <w:bookmarkEnd w:id="4"/>
      <w:r w:rsidR="0022227F">
        <w:t>provides that each instrument that is specified in Schedule 1 to the Amendment Order is amended as set out in the applica</w:t>
      </w:r>
      <w:r w:rsidR="00D92891">
        <w:t>ble</w:t>
      </w:r>
      <w:r w:rsidR="0022227F">
        <w:t xml:space="preserve"> items in that Schedule.</w:t>
      </w:r>
    </w:p>
    <w:p w:rsidR="00A205EA" w:rsidRDefault="00A205EA" w:rsidP="00A205EA">
      <w:pPr>
        <w:pStyle w:val="smallpara"/>
        <w:spacing w:before="0" w:beforeAutospacing="0" w:after="240" w:afterAutospacing="0"/>
        <w:rPr>
          <w:rFonts w:ascii="Times New Roman" w:hAnsi="Times New Roman" w:cs="Times New Roman"/>
          <w:sz w:val="24"/>
          <w:szCs w:val="24"/>
        </w:rPr>
      </w:pPr>
      <w:r w:rsidRPr="00A205EA">
        <w:rPr>
          <w:rFonts w:ascii="Times New Roman" w:hAnsi="Times New Roman" w:cs="Times New Roman"/>
          <w:b/>
          <w:sz w:val="24"/>
          <w:szCs w:val="24"/>
        </w:rPr>
        <w:t xml:space="preserve">Schedule 1 </w:t>
      </w:r>
      <w:r w:rsidR="0022227F">
        <w:rPr>
          <w:rFonts w:ascii="Times New Roman" w:hAnsi="Times New Roman" w:cs="Times New Roman"/>
          <w:b/>
          <w:sz w:val="24"/>
          <w:szCs w:val="24"/>
        </w:rPr>
        <w:t>Amendments</w:t>
      </w:r>
    </w:p>
    <w:p w:rsidR="00E10ACF" w:rsidRDefault="00A205EA" w:rsidP="000F68E9">
      <w:pPr>
        <w:tabs>
          <w:tab w:val="left" w:pos="851"/>
        </w:tabs>
        <w:spacing w:after="120"/>
        <w:outlineLvl w:val="0"/>
      </w:pPr>
      <w:r>
        <w:t xml:space="preserve">This Schedule </w:t>
      </w:r>
      <w:r w:rsidR="0022227F">
        <w:t xml:space="preserve">amends the </w:t>
      </w:r>
      <w:r w:rsidR="0022227F" w:rsidRPr="000F68E9">
        <w:rPr>
          <w:i/>
        </w:rPr>
        <w:t>Therapeutic Goods Order No.</w:t>
      </w:r>
      <w:r w:rsidR="00D92891">
        <w:rPr>
          <w:i/>
        </w:rPr>
        <w:t xml:space="preserve"> </w:t>
      </w:r>
      <w:r w:rsidR="0022227F" w:rsidRPr="000F68E9">
        <w:rPr>
          <w:i/>
        </w:rPr>
        <w:t>93 (Standard for Medicinal Cannabis)</w:t>
      </w:r>
      <w:r w:rsidR="0022227F">
        <w:t xml:space="preserve"> </w:t>
      </w:r>
      <w:r w:rsidR="001014D5">
        <w:t xml:space="preserve">to introduce an updated </w:t>
      </w:r>
      <w:r w:rsidR="00544658">
        <w:t xml:space="preserve">name </w:t>
      </w:r>
      <w:r w:rsidR="001014D5">
        <w:t xml:space="preserve">for that instrument and to make consequential amendments to </w:t>
      </w:r>
      <w:r w:rsidR="0022227F">
        <w:t>the definition of ‘stated content’ in section 4 and the note at the end of section 12</w:t>
      </w:r>
      <w:r w:rsidR="001014D5">
        <w:t>, to reflect (respectively):</w:t>
      </w:r>
    </w:p>
    <w:p w:rsidR="001014D5" w:rsidRDefault="001014D5" w:rsidP="000F68E9">
      <w:pPr>
        <w:pStyle w:val="ListParagraph"/>
        <w:numPr>
          <w:ilvl w:val="0"/>
          <w:numId w:val="20"/>
        </w:numPr>
        <w:tabs>
          <w:tab w:val="left" w:pos="851"/>
        </w:tabs>
        <w:spacing w:after="240"/>
        <w:outlineLvl w:val="0"/>
      </w:pPr>
      <w:r>
        <w:t xml:space="preserve">the recent repeal and replacement of the Therapeutic Goods Order No.78 </w:t>
      </w:r>
      <w:r w:rsidRPr="000F68E9">
        <w:rPr>
          <w:i/>
        </w:rPr>
        <w:t>Standard for Tablets and Capsules</w:t>
      </w:r>
      <w:r>
        <w:t xml:space="preserve"> by the </w:t>
      </w:r>
      <w:r w:rsidRPr="000F68E9">
        <w:rPr>
          <w:i/>
        </w:rPr>
        <w:t>Therapeutic Goods (Standard for Tablets, Capsules and Pills) (TGO 101) Order 2019</w:t>
      </w:r>
      <w:r>
        <w:t>; and</w:t>
      </w:r>
    </w:p>
    <w:p w:rsidR="001014D5" w:rsidRDefault="001014D5" w:rsidP="000F68E9">
      <w:pPr>
        <w:pStyle w:val="ListParagraph"/>
        <w:numPr>
          <w:ilvl w:val="0"/>
          <w:numId w:val="20"/>
        </w:numPr>
        <w:tabs>
          <w:tab w:val="left" w:pos="851"/>
        </w:tabs>
        <w:spacing w:after="240"/>
        <w:outlineLvl w:val="0"/>
      </w:pPr>
      <w:r>
        <w:t xml:space="preserve">the disallowance of item 1 of Schedule 1 to the </w:t>
      </w:r>
      <w:r w:rsidRPr="00D916E9">
        <w:rPr>
          <w:i/>
        </w:rPr>
        <w:t>Therapeutic Goods and Other Legislation Amendment (Narcotic Drugs) Regulation 2016</w:t>
      </w:r>
      <w:r>
        <w:t xml:space="preserve"> in June 2017.</w:t>
      </w:r>
    </w:p>
    <w:p w:rsidR="00E82F88" w:rsidRPr="00795673" w:rsidRDefault="00E82F88" w:rsidP="00A027B8">
      <w:pPr>
        <w:tabs>
          <w:tab w:val="left" w:pos="851"/>
        </w:tabs>
        <w:spacing w:after="240"/>
        <w:jc w:val="right"/>
        <w:outlineLvl w:val="0"/>
        <w:rPr>
          <w:b/>
          <w:bCs/>
        </w:rPr>
      </w:pPr>
      <w:r>
        <w:br w:type="page"/>
      </w:r>
      <w:r w:rsidR="00560710" w:rsidRPr="005F3A84">
        <w:rPr>
          <w:b/>
          <w:bCs/>
        </w:rPr>
        <w:lastRenderedPageBreak/>
        <w:t>Attachment</w:t>
      </w:r>
      <w:r w:rsidR="00560710" w:rsidRPr="00BD1FE5">
        <w:rPr>
          <w:b/>
          <w:bCs/>
        </w:rPr>
        <w:t xml:space="preserve"> </w:t>
      </w:r>
      <w:r w:rsidRPr="00795673">
        <w:rPr>
          <w:b/>
          <w:bCs/>
        </w:rPr>
        <w:t>B</w:t>
      </w:r>
    </w:p>
    <w:bookmarkEnd w:id="5"/>
    <w:bookmarkEnd w:id="6"/>
    <w:bookmarkEnd w:id="7"/>
    <w:p w:rsidR="00E82F88" w:rsidRPr="00B95376" w:rsidRDefault="00E82F88" w:rsidP="00E82F88">
      <w:pPr>
        <w:shd w:val="clear" w:color="auto" w:fill="FFFFFF"/>
        <w:spacing w:before="100" w:beforeAutospacing="1" w:after="120"/>
        <w:jc w:val="center"/>
        <w:rPr>
          <w:lang w:val="en-US"/>
        </w:rPr>
      </w:pPr>
      <w:r w:rsidRPr="00B95376">
        <w:rPr>
          <w:b/>
          <w:bCs/>
        </w:rPr>
        <w:t>Statement of Compatibility with Human Rights</w:t>
      </w:r>
    </w:p>
    <w:p w:rsidR="00E82F88" w:rsidRPr="00A027B8" w:rsidRDefault="00E82F88" w:rsidP="00A027B8">
      <w:pPr>
        <w:shd w:val="clear" w:color="auto" w:fill="FFFFFF"/>
        <w:spacing w:before="100" w:beforeAutospacing="1" w:after="120"/>
        <w:jc w:val="center"/>
        <w:rPr>
          <w:i/>
          <w:lang w:val="en-US"/>
        </w:rPr>
      </w:pPr>
      <w:r w:rsidRPr="00A027B8">
        <w:rPr>
          <w:i/>
        </w:rPr>
        <w:t>Prepared in accordance with Part 3 of the</w:t>
      </w:r>
      <w:r w:rsidRPr="005F3A84">
        <w:rPr>
          <w:i/>
          <w:iCs/>
        </w:rPr>
        <w:t xml:space="preserve"> Human Rights (Parliamentary Scrutiny) Act 2011</w:t>
      </w:r>
    </w:p>
    <w:p w:rsidR="0022227F" w:rsidRDefault="0022227F" w:rsidP="000F68E9">
      <w:pPr>
        <w:shd w:val="clear" w:color="auto" w:fill="FFFFFF"/>
        <w:spacing w:before="100" w:beforeAutospacing="1" w:after="120"/>
        <w:jc w:val="center"/>
        <w:rPr>
          <w:b/>
          <w:i/>
        </w:rPr>
      </w:pPr>
      <w:r w:rsidRPr="00AE1DEE">
        <w:rPr>
          <w:b/>
          <w:i/>
        </w:rPr>
        <w:t>Therapeutic Goods Amendment (Standard for Medicinal Cannabis) Order 2019</w:t>
      </w:r>
    </w:p>
    <w:p w:rsidR="00E82F88" w:rsidRPr="00B95376" w:rsidRDefault="00E82F88" w:rsidP="00E82F88">
      <w:pPr>
        <w:shd w:val="clear" w:color="auto" w:fill="FFFFFF"/>
        <w:spacing w:before="100" w:beforeAutospacing="1" w:after="120"/>
        <w:rPr>
          <w:lang w:val="en-US"/>
        </w:rPr>
      </w:pPr>
      <w:r w:rsidRPr="00B95376">
        <w:t xml:space="preserve">This </w:t>
      </w:r>
      <w:r w:rsidR="00A21473">
        <w:t xml:space="preserve">disallowable </w:t>
      </w:r>
      <w:r w:rsidRPr="00B95376">
        <w:t xml:space="preserve">legislative instrument is compatible with the human rights and freedoms recognised or declared in the international instruments listed in section 3 of the </w:t>
      </w:r>
      <w:r w:rsidRPr="00B95376">
        <w:rPr>
          <w:i/>
          <w:iCs/>
        </w:rPr>
        <w:t>Human Rights (Parliamentary Scrutiny) Act 2011</w:t>
      </w:r>
      <w:r w:rsidRPr="00B95376">
        <w:t>.</w:t>
      </w:r>
    </w:p>
    <w:p w:rsidR="00E82F88" w:rsidRDefault="00E82F88" w:rsidP="00E82F88">
      <w:pPr>
        <w:shd w:val="clear" w:color="auto" w:fill="FFFFFF"/>
        <w:spacing w:before="100" w:beforeAutospacing="1" w:after="120"/>
        <w:rPr>
          <w:b/>
          <w:bCs/>
        </w:rPr>
      </w:pPr>
      <w:r w:rsidRPr="00B95376">
        <w:rPr>
          <w:b/>
          <w:bCs/>
        </w:rPr>
        <w:t xml:space="preserve">Overview of the </w:t>
      </w:r>
      <w:r w:rsidR="00BB5A63">
        <w:rPr>
          <w:b/>
          <w:bCs/>
        </w:rPr>
        <w:t>l</w:t>
      </w:r>
      <w:r w:rsidRPr="00B95376">
        <w:rPr>
          <w:b/>
          <w:bCs/>
        </w:rPr>
        <w:t xml:space="preserve">egislative </w:t>
      </w:r>
      <w:r w:rsidR="00BB5A63">
        <w:rPr>
          <w:b/>
          <w:bCs/>
        </w:rPr>
        <w:t>i</w:t>
      </w:r>
      <w:r w:rsidRPr="00B95376">
        <w:rPr>
          <w:b/>
          <w:bCs/>
        </w:rPr>
        <w:t>nstrument</w:t>
      </w:r>
    </w:p>
    <w:p w:rsidR="004D0526" w:rsidRDefault="004D0526" w:rsidP="004D0526">
      <w:pPr>
        <w:spacing w:after="240"/>
      </w:pPr>
      <w:r>
        <w:t xml:space="preserve">The </w:t>
      </w:r>
      <w:r w:rsidRPr="0062047B">
        <w:rPr>
          <w:i/>
        </w:rPr>
        <w:t>Therapeutic Goods Amendment (Standard for Medicinal Cannabis) Order 2019</w:t>
      </w:r>
      <w:r>
        <w:t xml:space="preserve"> is made by a delegate of the Minister under section 10 of the </w:t>
      </w:r>
      <w:r w:rsidRPr="000F68E9">
        <w:rPr>
          <w:i/>
        </w:rPr>
        <w:t>Therapeutic Goods Act 1989</w:t>
      </w:r>
      <w:r>
        <w:t xml:space="preserve"> (“the Act”).</w:t>
      </w:r>
    </w:p>
    <w:p w:rsidR="004D0526" w:rsidRDefault="004D0526" w:rsidP="004D0526">
      <w:pPr>
        <w:spacing w:after="240"/>
      </w:pPr>
      <w:r>
        <w:t xml:space="preserve">The purpose of the instrument is to amend the </w:t>
      </w:r>
      <w:r w:rsidRPr="00AE1DEE">
        <w:rPr>
          <w:i/>
        </w:rPr>
        <w:t>Therapeutic Goods Order No.</w:t>
      </w:r>
      <w:r w:rsidR="00C44382">
        <w:rPr>
          <w:i/>
        </w:rPr>
        <w:t xml:space="preserve"> </w:t>
      </w:r>
      <w:r w:rsidRPr="00AE1DEE">
        <w:rPr>
          <w:i/>
        </w:rPr>
        <w:t>93 (Standard for Medicinal Cannabis)</w:t>
      </w:r>
      <w:r>
        <w:t xml:space="preserve"> (“the </w:t>
      </w:r>
      <w:r w:rsidR="00544658">
        <w:t>principal instrument</w:t>
      </w:r>
      <w:r>
        <w:t xml:space="preserve">”) to make a small number of consequential amendments, principally to reflect the recent repeal and replacement of the Therapeutic Goods Order No.78 </w:t>
      </w:r>
      <w:r w:rsidRPr="00FE76E5">
        <w:rPr>
          <w:i/>
        </w:rPr>
        <w:t>Standard for Tablets and Capsules</w:t>
      </w:r>
      <w:r>
        <w:t xml:space="preserve"> (“TGO 78”)</w:t>
      </w:r>
      <w:r w:rsidR="00544658">
        <w:t>, which the principal instrument references, by substituting that reference with a reference to the new</w:t>
      </w:r>
      <w:r>
        <w:t xml:space="preserve"> </w:t>
      </w:r>
      <w:r w:rsidRPr="00FE76E5">
        <w:rPr>
          <w:i/>
        </w:rPr>
        <w:t>Therapeutic Goods (Standard for Table</w:t>
      </w:r>
      <w:r>
        <w:rPr>
          <w:i/>
        </w:rPr>
        <w:t>ts, Capsules and Pills) (TGO 101</w:t>
      </w:r>
      <w:r w:rsidRPr="00FE76E5">
        <w:rPr>
          <w:i/>
        </w:rPr>
        <w:t>) Order 2019</w:t>
      </w:r>
      <w:r>
        <w:t xml:space="preserve"> (“TGO 101”).</w:t>
      </w:r>
    </w:p>
    <w:p w:rsidR="004D0526" w:rsidRDefault="007F2E26" w:rsidP="004D0526">
      <w:pPr>
        <w:spacing w:after="240"/>
      </w:pPr>
      <w:r>
        <w:t xml:space="preserve">The </w:t>
      </w:r>
      <w:r w:rsidR="00544658">
        <w:t xml:space="preserve">principal instrument </w:t>
      </w:r>
      <w:r w:rsidR="004D0526">
        <w:t>applies to medicinal cannabis products, whether imported into Australia or manufactured domestically, and is intended to provide an assurance to medical practitioners and patients that medicinal cannabis products are manufactured in accordance with minimum quality requirements.</w:t>
      </w:r>
    </w:p>
    <w:p w:rsidR="004D0526" w:rsidRDefault="004D0526" w:rsidP="004D0526">
      <w:pPr>
        <w:spacing w:after="240"/>
      </w:pPr>
      <w:r>
        <w:t xml:space="preserve">Subsection 12(2) of the </w:t>
      </w:r>
      <w:r w:rsidR="00544658">
        <w:t xml:space="preserve">principal instrument </w:t>
      </w:r>
      <w:r>
        <w:t xml:space="preserve">specifies assay limits that apply to medicinal cannabis products, depending on the dosage form (e.g. herbal final form). Paragraph 12(2)(b) of the </w:t>
      </w:r>
      <w:r w:rsidR="00544658">
        <w:t xml:space="preserve">principal instrument </w:t>
      </w:r>
      <w:r>
        <w:t xml:space="preserve">specifies assay limits for medicinal cannabis products in tablet or capsule form that are not included </w:t>
      </w:r>
      <w:r w:rsidR="00BC565A">
        <w:t xml:space="preserve">in </w:t>
      </w:r>
      <w:r>
        <w:t>the Australian Register of Therapeutic Goods (</w:t>
      </w:r>
      <w:r w:rsidR="00BC565A">
        <w:t>“</w:t>
      </w:r>
      <w:r>
        <w:t>the Register</w:t>
      </w:r>
      <w:r w:rsidR="00BC565A">
        <w:t>”</w:t>
      </w:r>
      <w:r>
        <w:t>).</w:t>
      </w:r>
    </w:p>
    <w:p w:rsidR="004D0526" w:rsidRDefault="004D0526" w:rsidP="004D0526">
      <w:pPr>
        <w:spacing w:after="240"/>
      </w:pPr>
      <w:r>
        <w:t xml:space="preserve">Section 12 contains a note that is designed to be a reminder that </w:t>
      </w:r>
      <w:r w:rsidR="00544658">
        <w:t xml:space="preserve">registered </w:t>
      </w:r>
      <w:r>
        <w:t>medicinal cannabis products in table</w:t>
      </w:r>
      <w:r w:rsidR="00544658">
        <w:t>t</w:t>
      </w:r>
      <w:r>
        <w:t xml:space="preserve"> or capsule form must comply with the assay limits specified in TGO 78.</w:t>
      </w:r>
    </w:p>
    <w:p w:rsidR="004D0526" w:rsidRDefault="004D0526" w:rsidP="004D0526">
      <w:pPr>
        <w:spacing w:after="240"/>
      </w:pPr>
      <w:r>
        <w:t>TGO 78 was recently repealed and replaced by TGO 101, wit</w:t>
      </w:r>
      <w:r w:rsidR="007D4181">
        <w:t>h effect from 31 March 2019, as </w:t>
      </w:r>
      <w:r w:rsidR="00544658">
        <w:t xml:space="preserve">a consequence of </w:t>
      </w:r>
      <w:r>
        <w:t xml:space="preserve">TGO 78 </w:t>
      </w:r>
      <w:r w:rsidR="00544658">
        <w:t xml:space="preserve">being </w:t>
      </w:r>
      <w:r>
        <w:t xml:space="preserve">due to sunset on 1 April 2019 under the sunsetting provisions of the </w:t>
      </w:r>
      <w:r w:rsidRPr="00D916E9">
        <w:rPr>
          <w:i/>
        </w:rPr>
        <w:t>Legislation Act 2003</w:t>
      </w:r>
      <w:r>
        <w:t>.</w:t>
      </w:r>
      <w:r w:rsidR="001F506B">
        <w:t xml:space="preserve"> </w:t>
      </w:r>
      <w:r>
        <w:t xml:space="preserve">The instrument therefore makes a minor, consequential amendment to the </w:t>
      </w:r>
      <w:r w:rsidR="00544658">
        <w:t xml:space="preserve">principal instrument </w:t>
      </w:r>
      <w:r>
        <w:t>to rep</w:t>
      </w:r>
      <w:r w:rsidR="007D4181">
        <w:t>lace the reference to TGO 78 in </w:t>
      </w:r>
      <w:r>
        <w:t xml:space="preserve">the note </w:t>
      </w:r>
      <w:r w:rsidR="00BC565A">
        <w:t xml:space="preserve">at the end of </w:t>
      </w:r>
      <w:r>
        <w:t>section 12 with a reference to TGO 101.</w:t>
      </w:r>
    </w:p>
    <w:p w:rsidR="004D0526" w:rsidRDefault="004D0526" w:rsidP="004D0526">
      <w:pPr>
        <w:spacing w:after="240"/>
      </w:pPr>
      <w:r>
        <w:t xml:space="preserve">The instrument also makes an unrelated minor consequential amendment to the </w:t>
      </w:r>
      <w:r w:rsidR="00544658">
        <w:t xml:space="preserve">principal instrument </w:t>
      </w:r>
      <w:r>
        <w:t xml:space="preserve">to reflect the disallowance of item 1 of Schedule 1 to the </w:t>
      </w:r>
      <w:r w:rsidRPr="00D916E9">
        <w:rPr>
          <w:i/>
        </w:rPr>
        <w:t>Therapeutic Goods and Other Legislation Amendment (Narcotic Drugs) Regulation 2016</w:t>
      </w:r>
      <w:r>
        <w:t xml:space="preserve"> (</w:t>
      </w:r>
      <w:r w:rsidR="001F506B">
        <w:t>“</w:t>
      </w:r>
      <w:r>
        <w:t>the Amendment Regulation</w:t>
      </w:r>
      <w:r w:rsidR="001F506B">
        <w:t>”</w:t>
      </w:r>
      <w:r>
        <w:t>) in June 2017.</w:t>
      </w:r>
    </w:p>
    <w:p w:rsidR="007C7559" w:rsidRPr="007C7559" w:rsidRDefault="007C7559" w:rsidP="007C7559">
      <w:pPr>
        <w:spacing w:after="240"/>
      </w:pPr>
      <w:r w:rsidRPr="007C7559">
        <w:lastRenderedPageBreak/>
        <w:t xml:space="preserve">Previously, item 1 of Schedule 1 to the Amendment Regulation had amended regulation 12A of the </w:t>
      </w:r>
      <w:r w:rsidRPr="007C7559">
        <w:rPr>
          <w:i/>
        </w:rPr>
        <w:t>Therapeutic Goods Regulations 1990</w:t>
      </w:r>
      <w:r w:rsidRPr="007C7559">
        <w:t xml:space="preserve"> to preclude the supply by medical practitioners of therapeutic goods containing certain cannabis-related substances in circumstances where those goods were not included in the Register and supply is made to patients who are seriously ill.</w:t>
      </w:r>
    </w:p>
    <w:p w:rsidR="007C7559" w:rsidRPr="007C7559" w:rsidRDefault="007C7559" w:rsidP="007C7559">
      <w:pPr>
        <w:spacing w:after="240"/>
      </w:pPr>
      <w:r w:rsidRPr="007C7559">
        <w:t xml:space="preserve">The disallowance motion (which was agreed to by Parliament </w:t>
      </w:r>
      <w:r w:rsidR="007D4181">
        <w:t>on 13 June 2017) had the effect </w:t>
      </w:r>
      <w:r w:rsidRPr="007C7559">
        <w:t>of removing the amendment to regulation 12A by omitti</w:t>
      </w:r>
      <w:r w:rsidR="007D4181">
        <w:t>ng the words that precluded the </w:t>
      </w:r>
      <w:r w:rsidRPr="007C7559">
        <w:t>supply of medicinal cannabis products under that section. Following disallowance, regulation 12A could be relied upon to authorise the supply of medicinal cannabis products to seriously ill patients in Australia.</w:t>
      </w:r>
    </w:p>
    <w:p w:rsidR="007C7559" w:rsidRPr="007C7559" w:rsidRDefault="007C7559" w:rsidP="007C7559">
      <w:pPr>
        <w:spacing w:after="240"/>
      </w:pPr>
      <w:r w:rsidRPr="007C7559">
        <w:t>As such, the Amendment Order makes a minor, consequential</w:t>
      </w:r>
      <w:r w:rsidR="007D4181">
        <w:t xml:space="preserve"> amendment to the definition of </w:t>
      </w:r>
      <w:r w:rsidRPr="007C7559">
        <w:t>‘stated content’ (in relation to each active ingredient in a medicinal cannabis product) by including reference to the ‘stated content’ that is disclosed to the Secretary in a statement given by a medical practitioner under regulation 12A.</w:t>
      </w:r>
    </w:p>
    <w:p w:rsidR="0022227F" w:rsidRPr="000F68E9" w:rsidRDefault="004D0526" w:rsidP="000F68E9">
      <w:pPr>
        <w:spacing w:after="240"/>
      </w:pPr>
      <w:r>
        <w:t xml:space="preserve">The instrument contains a final minor amendment to replace the </w:t>
      </w:r>
      <w:r w:rsidR="007C7559">
        <w:t xml:space="preserve">name </w:t>
      </w:r>
      <w:r>
        <w:t xml:space="preserve">of the </w:t>
      </w:r>
      <w:r w:rsidR="007C7559">
        <w:t xml:space="preserve">principal instrument </w:t>
      </w:r>
      <w:r>
        <w:t xml:space="preserve">with a new </w:t>
      </w:r>
      <w:r w:rsidR="007C7559">
        <w:t xml:space="preserve">name </w:t>
      </w:r>
      <w:r>
        <w:t>that is more consistent with current drafting best practice</w:t>
      </w:r>
      <w:r w:rsidR="001F506B">
        <w:t xml:space="preserve">, </w:t>
      </w:r>
      <w:r w:rsidR="007C7559">
        <w:t xml:space="preserve">and the names of </w:t>
      </w:r>
      <w:r w:rsidR="001F506B">
        <w:t>other orders recently made under section 10 of the Act</w:t>
      </w:r>
      <w:r>
        <w:t>.</w:t>
      </w:r>
    </w:p>
    <w:p w:rsidR="00E82F88" w:rsidRDefault="00E82F88" w:rsidP="009E73AE">
      <w:pPr>
        <w:pStyle w:val="ListBullet"/>
        <w:numPr>
          <w:ilvl w:val="0"/>
          <w:numId w:val="0"/>
        </w:numPr>
        <w:tabs>
          <w:tab w:val="clear" w:pos="397"/>
          <w:tab w:val="left" w:pos="284"/>
        </w:tabs>
        <w:spacing w:before="240"/>
        <w:ind w:left="360" w:hanging="360"/>
        <w:rPr>
          <w:b/>
          <w:bCs/>
        </w:rPr>
      </w:pPr>
      <w:r w:rsidRPr="00B95376">
        <w:rPr>
          <w:b/>
          <w:bCs/>
        </w:rPr>
        <w:t>Human rights implications</w:t>
      </w:r>
    </w:p>
    <w:p w:rsidR="0022227F" w:rsidRPr="000F68E9" w:rsidRDefault="004D0526" w:rsidP="000F68E9">
      <w:pPr>
        <w:pStyle w:val="ListBullet"/>
        <w:numPr>
          <w:ilvl w:val="0"/>
          <w:numId w:val="0"/>
        </w:numPr>
        <w:tabs>
          <w:tab w:val="clear" w:pos="397"/>
          <w:tab w:val="left" w:pos="0"/>
        </w:tabs>
        <w:spacing w:before="240"/>
        <w:rPr>
          <w:lang w:val="en-US"/>
        </w:rPr>
      </w:pPr>
      <w:r>
        <w:rPr>
          <w:lang w:val="en-US"/>
        </w:rPr>
        <w:t xml:space="preserve">As the instrument does not make any changes to the </w:t>
      </w:r>
      <w:r w:rsidR="007C7559">
        <w:rPr>
          <w:lang w:val="en-US"/>
        </w:rPr>
        <w:t xml:space="preserve">principal instrument </w:t>
      </w:r>
      <w:r w:rsidR="000F68E9">
        <w:rPr>
          <w:lang w:val="en-US"/>
        </w:rPr>
        <w:t>other than those outlined above, it does not engage any of the applicable rights or freedoms.</w:t>
      </w:r>
    </w:p>
    <w:p w:rsidR="00E82F88" w:rsidRPr="00B95376" w:rsidRDefault="00E82F88" w:rsidP="00A027B8">
      <w:pPr>
        <w:keepNext/>
        <w:shd w:val="clear" w:color="auto" w:fill="FFFFFF"/>
        <w:spacing w:before="100" w:beforeAutospacing="1" w:after="120"/>
        <w:rPr>
          <w:lang w:val="en-US"/>
        </w:rPr>
      </w:pPr>
      <w:r w:rsidRPr="00B95376">
        <w:rPr>
          <w:b/>
          <w:bCs/>
        </w:rPr>
        <w:t>Conclusion</w:t>
      </w:r>
    </w:p>
    <w:p w:rsidR="00E82F88" w:rsidRPr="00B95376" w:rsidRDefault="004F5438" w:rsidP="00A027B8">
      <w:pPr>
        <w:keepNext/>
        <w:shd w:val="clear" w:color="auto" w:fill="FFFFFF"/>
        <w:spacing w:before="100" w:beforeAutospacing="1" w:after="120"/>
        <w:rPr>
          <w:lang w:val="en-US"/>
        </w:rPr>
      </w:pPr>
      <w:r>
        <w:t>T</w:t>
      </w:r>
      <w:r w:rsidR="00AC31F0">
        <w:t>his</w:t>
      </w:r>
      <w:r>
        <w:t xml:space="preserve"> </w:t>
      </w:r>
      <w:r w:rsidR="00AC31F0">
        <w:t>instrument</w:t>
      </w:r>
      <w:r w:rsidR="00E82F88">
        <w:t xml:space="preserve"> is </w:t>
      </w:r>
      <w:r w:rsidR="00E82F88" w:rsidRPr="00B95376">
        <w:t xml:space="preserve">compatible with human rights </w:t>
      </w:r>
      <w:r w:rsidR="00E82F88">
        <w:t xml:space="preserve">because it </w:t>
      </w:r>
      <w:r w:rsidR="00E82F88" w:rsidRPr="00B95376">
        <w:t>does not raise any human rights issues.</w:t>
      </w:r>
    </w:p>
    <w:p w:rsidR="00E82F88" w:rsidRPr="009234AA" w:rsidRDefault="00CA52D4" w:rsidP="00E82F88">
      <w:pPr>
        <w:shd w:val="clear" w:color="auto" w:fill="FFFFFF"/>
        <w:spacing w:before="100" w:beforeAutospacing="1" w:after="120"/>
      </w:pPr>
      <w:r>
        <w:rPr>
          <w:b/>
          <w:bCs/>
        </w:rPr>
        <w:t>Jane Cook</w:t>
      </w:r>
      <w:r w:rsidR="00E82F88" w:rsidRPr="00B95376">
        <w:rPr>
          <w:b/>
          <w:bCs/>
        </w:rPr>
        <w:t xml:space="preserve">, delegate of the Minister for Health </w:t>
      </w:r>
    </w:p>
    <w:p w:rsidR="004618D4" w:rsidRPr="00E82F88" w:rsidRDefault="004618D4" w:rsidP="00BD1FE5"/>
    <w:sectPr w:rsidR="004618D4" w:rsidRPr="00E82F88" w:rsidSect="007C1334">
      <w:footerReference w:type="default" r:id="rId10"/>
      <w:headerReference w:type="first" r:id="rId11"/>
      <w:footerReference w:type="first" r:id="rId12"/>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9B" w:rsidRDefault="00D47B9B">
      <w:r>
        <w:separator/>
      </w:r>
    </w:p>
  </w:endnote>
  <w:endnote w:type="continuationSeparator" w:id="0">
    <w:p w:rsidR="00D47B9B" w:rsidRDefault="00D4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854748"/>
      <w:docPartObj>
        <w:docPartGallery w:val="Page Numbers (Bottom of Page)"/>
        <w:docPartUnique/>
      </w:docPartObj>
    </w:sdtPr>
    <w:sdtEndPr>
      <w:rPr>
        <w:noProof/>
      </w:rPr>
    </w:sdtEndPr>
    <w:sdtContent>
      <w:p w:rsidR="008A79F3" w:rsidRDefault="008A79F3">
        <w:pPr>
          <w:pStyle w:val="Footer"/>
          <w:jc w:val="right"/>
        </w:pPr>
        <w:r>
          <w:fldChar w:fldCharType="begin"/>
        </w:r>
        <w:r>
          <w:instrText xml:space="preserve"> PAGE   \* MERGEFORMAT </w:instrText>
        </w:r>
        <w:r>
          <w:fldChar w:fldCharType="separate"/>
        </w:r>
        <w:r w:rsidR="001E72A5">
          <w:rPr>
            <w:noProof/>
          </w:rPr>
          <w:t>6</w:t>
        </w:r>
        <w:r>
          <w:rPr>
            <w:noProof/>
          </w:rPr>
          <w:fldChar w:fldCharType="end"/>
        </w:r>
      </w:p>
    </w:sdtContent>
  </w:sdt>
  <w:p w:rsidR="004618D4" w:rsidRPr="00D616D0" w:rsidRDefault="004618D4">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D4" w:rsidRPr="00D616D0" w:rsidRDefault="004618D4">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9B" w:rsidRDefault="00D47B9B">
      <w:r>
        <w:separator/>
      </w:r>
    </w:p>
  </w:footnote>
  <w:footnote w:type="continuationSeparator" w:id="0">
    <w:p w:rsidR="00D47B9B" w:rsidRDefault="00D47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D4" w:rsidRDefault="004618D4">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980012"/>
    <w:multiLevelType w:val="hybridMultilevel"/>
    <w:tmpl w:val="D8D2A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C72243"/>
    <w:multiLevelType w:val="hybridMultilevel"/>
    <w:tmpl w:val="50BA8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B70253D"/>
    <w:multiLevelType w:val="hybridMultilevel"/>
    <w:tmpl w:val="D2AA7456"/>
    <w:lvl w:ilvl="0" w:tplc="B9CC42AA">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7">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D46CE"/>
    <w:multiLevelType w:val="hybridMultilevel"/>
    <w:tmpl w:val="41D87486"/>
    <w:lvl w:ilvl="0" w:tplc="842ACCEE">
      <w:start w:val="1"/>
      <w:numFmt w:val="lowerLetter"/>
      <w:lvlText w:val="(%1)"/>
      <w:lvlJc w:val="left"/>
      <w:pPr>
        <w:ind w:left="1665" w:hanging="360"/>
      </w:pPr>
      <w:rPr>
        <w:rFonts w:hint="default"/>
      </w:rPr>
    </w:lvl>
    <w:lvl w:ilvl="1" w:tplc="0C090019">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9">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nsid w:val="48DE28C2"/>
    <w:multiLevelType w:val="hybridMultilevel"/>
    <w:tmpl w:val="8AD80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2">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21B7DEF"/>
    <w:multiLevelType w:val="hybridMultilevel"/>
    <w:tmpl w:val="F9DE7F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7">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7"/>
  </w:num>
  <w:num w:numId="4">
    <w:abstractNumId w:val="1"/>
  </w:num>
  <w:num w:numId="5">
    <w:abstractNumId w:val="9"/>
  </w:num>
  <w:num w:numId="6">
    <w:abstractNumId w:val="18"/>
  </w:num>
  <w:num w:numId="7">
    <w:abstractNumId w:val="13"/>
  </w:num>
  <w:num w:numId="8">
    <w:abstractNumId w:val="14"/>
  </w:num>
  <w:num w:numId="9">
    <w:abstractNumId w:val="0"/>
  </w:num>
  <w:num w:numId="10">
    <w:abstractNumId w:val="1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6"/>
  </w:num>
  <w:num w:numId="16">
    <w:abstractNumId w:val="0"/>
  </w:num>
  <w:num w:numId="17">
    <w:abstractNumId w:val="15"/>
  </w:num>
  <w:num w:numId="18">
    <w:abstractNumId w:val="10"/>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D4"/>
    <w:rsid w:val="000053E8"/>
    <w:rsid w:val="00011C02"/>
    <w:rsid w:val="00012131"/>
    <w:rsid w:val="00012B27"/>
    <w:rsid w:val="00023B24"/>
    <w:rsid w:val="00023B90"/>
    <w:rsid w:val="0003724B"/>
    <w:rsid w:val="0004328A"/>
    <w:rsid w:val="00050166"/>
    <w:rsid w:val="00052E74"/>
    <w:rsid w:val="00055568"/>
    <w:rsid w:val="000800D1"/>
    <w:rsid w:val="00097051"/>
    <w:rsid w:val="000A3515"/>
    <w:rsid w:val="000B7456"/>
    <w:rsid w:val="000B796B"/>
    <w:rsid w:val="000D16F9"/>
    <w:rsid w:val="000F68E9"/>
    <w:rsid w:val="001014D5"/>
    <w:rsid w:val="00102D3D"/>
    <w:rsid w:val="00120903"/>
    <w:rsid w:val="001318F6"/>
    <w:rsid w:val="00134257"/>
    <w:rsid w:val="00135CBD"/>
    <w:rsid w:val="00143F97"/>
    <w:rsid w:val="001519B8"/>
    <w:rsid w:val="0016043B"/>
    <w:rsid w:val="00162272"/>
    <w:rsid w:val="001808E0"/>
    <w:rsid w:val="00192AD3"/>
    <w:rsid w:val="00197232"/>
    <w:rsid w:val="001B6E81"/>
    <w:rsid w:val="001C1BE9"/>
    <w:rsid w:val="001C444E"/>
    <w:rsid w:val="001C4FE5"/>
    <w:rsid w:val="001D1FDB"/>
    <w:rsid w:val="001E5508"/>
    <w:rsid w:val="001E72A5"/>
    <w:rsid w:val="001F2627"/>
    <w:rsid w:val="001F506B"/>
    <w:rsid w:val="001F67E7"/>
    <w:rsid w:val="0021230B"/>
    <w:rsid w:val="0022227F"/>
    <w:rsid w:val="00230B4F"/>
    <w:rsid w:val="00231CA9"/>
    <w:rsid w:val="00241EA7"/>
    <w:rsid w:val="002422D8"/>
    <w:rsid w:val="0024236E"/>
    <w:rsid w:val="002423EC"/>
    <w:rsid w:val="002507D8"/>
    <w:rsid w:val="00251D8F"/>
    <w:rsid w:val="0025560D"/>
    <w:rsid w:val="00266C5E"/>
    <w:rsid w:val="00267C0F"/>
    <w:rsid w:val="00270489"/>
    <w:rsid w:val="00270BF5"/>
    <w:rsid w:val="002A0510"/>
    <w:rsid w:val="002B664C"/>
    <w:rsid w:val="002C1182"/>
    <w:rsid w:val="002C54CC"/>
    <w:rsid w:val="002C5BFF"/>
    <w:rsid w:val="002D1B0D"/>
    <w:rsid w:val="00330BC9"/>
    <w:rsid w:val="00353B71"/>
    <w:rsid w:val="003757FD"/>
    <w:rsid w:val="00376A40"/>
    <w:rsid w:val="003C6287"/>
    <w:rsid w:val="00422EB2"/>
    <w:rsid w:val="00440557"/>
    <w:rsid w:val="00451C90"/>
    <w:rsid w:val="0046110A"/>
    <w:rsid w:val="004618D4"/>
    <w:rsid w:val="00482D40"/>
    <w:rsid w:val="004A6730"/>
    <w:rsid w:val="004B53A9"/>
    <w:rsid w:val="004C156C"/>
    <w:rsid w:val="004D0526"/>
    <w:rsid w:val="004D3B08"/>
    <w:rsid w:val="004D719E"/>
    <w:rsid w:val="004F5438"/>
    <w:rsid w:val="005073DA"/>
    <w:rsid w:val="00523207"/>
    <w:rsid w:val="00536CF6"/>
    <w:rsid w:val="005412FF"/>
    <w:rsid w:val="00542BE2"/>
    <w:rsid w:val="00544658"/>
    <w:rsid w:val="00560710"/>
    <w:rsid w:val="00564105"/>
    <w:rsid w:val="00570579"/>
    <w:rsid w:val="0057772C"/>
    <w:rsid w:val="005844D5"/>
    <w:rsid w:val="00586E8A"/>
    <w:rsid w:val="005A5E7A"/>
    <w:rsid w:val="005A7E96"/>
    <w:rsid w:val="005B47CB"/>
    <w:rsid w:val="005C0864"/>
    <w:rsid w:val="005D4C55"/>
    <w:rsid w:val="005D78E8"/>
    <w:rsid w:val="005F3A84"/>
    <w:rsid w:val="0062047B"/>
    <w:rsid w:val="006347A5"/>
    <w:rsid w:val="006348D2"/>
    <w:rsid w:val="00642353"/>
    <w:rsid w:val="00643180"/>
    <w:rsid w:val="00656E30"/>
    <w:rsid w:val="006802FD"/>
    <w:rsid w:val="00697592"/>
    <w:rsid w:val="006A6DE5"/>
    <w:rsid w:val="006B0DBF"/>
    <w:rsid w:val="006B7678"/>
    <w:rsid w:val="006E0E72"/>
    <w:rsid w:val="007218E0"/>
    <w:rsid w:val="00723868"/>
    <w:rsid w:val="007323D5"/>
    <w:rsid w:val="007455B6"/>
    <w:rsid w:val="00747990"/>
    <w:rsid w:val="00751E59"/>
    <w:rsid w:val="0075681F"/>
    <w:rsid w:val="007605EA"/>
    <w:rsid w:val="00767899"/>
    <w:rsid w:val="00783D87"/>
    <w:rsid w:val="00795673"/>
    <w:rsid w:val="007A1C91"/>
    <w:rsid w:val="007A2D81"/>
    <w:rsid w:val="007B3C8D"/>
    <w:rsid w:val="007B3DC2"/>
    <w:rsid w:val="007B502C"/>
    <w:rsid w:val="007C1334"/>
    <w:rsid w:val="007C191D"/>
    <w:rsid w:val="007C7559"/>
    <w:rsid w:val="007D0F4B"/>
    <w:rsid w:val="007D4181"/>
    <w:rsid w:val="007D436A"/>
    <w:rsid w:val="007E184C"/>
    <w:rsid w:val="007E4B34"/>
    <w:rsid w:val="007F2E26"/>
    <w:rsid w:val="00812AFC"/>
    <w:rsid w:val="00815229"/>
    <w:rsid w:val="0081666F"/>
    <w:rsid w:val="008207BA"/>
    <w:rsid w:val="00824299"/>
    <w:rsid w:val="0085091A"/>
    <w:rsid w:val="008571AA"/>
    <w:rsid w:val="00862D7C"/>
    <w:rsid w:val="00867870"/>
    <w:rsid w:val="00876E68"/>
    <w:rsid w:val="0088424C"/>
    <w:rsid w:val="00892B26"/>
    <w:rsid w:val="008A79F3"/>
    <w:rsid w:val="008E7291"/>
    <w:rsid w:val="008F15C8"/>
    <w:rsid w:val="00902F4F"/>
    <w:rsid w:val="00907ABE"/>
    <w:rsid w:val="00916567"/>
    <w:rsid w:val="009231A6"/>
    <w:rsid w:val="009446AA"/>
    <w:rsid w:val="009452FC"/>
    <w:rsid w:val="00946189"/>
    <w:rsid w:val="00952D47"/>
    <w:rsid w:val="00955561"/>
    <w:rsid w:val="009625BD"/>
    <w:rsid w:val="00973652"/>
    <w:rsid w:val="009754F9"/>
    <w:rsid w:val="009856FF"/>
    <w:rsid w:val="00987A69"/>
    <w:rsid w:val="009921F6"/>
    <w:rsid w:val="00996809"/>
    <w:rsid w:val="00997EAF"/>
    <w:rsid w:val="009A5ED0"/>
    <w:rsid w:val="009A7530"/>
    <w:rsid w:val="009B1A45"/>
    <w:rsid w:val="009B1D81"/>
    <w:rsid w:val="009B2F5F"/>
    <w:rsid w:val="009D289C"/>
    <w:rsid w:val="009E0F47"/>
    <w:rsid w:val="009E3B8C"/>
    <w:rsid w:val="009E73AE"/>
    <w:rsid w:val="00A027B8"/>
    <w:rsid w:val="00A06CFF"/>
    <w:rsid w:val="00A205EA"/>
    <w:rsid w:val="00A21473"/>
    <w:rsid w:val="00A63D21"/>
    <w:rsid w:val="00A7103D"/>
    <w:rsid w:val="00A82E6E"/>
    <w:rsid w:val="00A91B69"/>
    <w:rsid w:val="00AA6DC0"/>
    <w:rsid w:val="00AB7043"/>
    <w:rsid w:val="00AC0B56"/>
    <w:rsid w:val="00AC31F0"/>
    <w:rsid w:val="00AC3CC9"/>
    <w:rsid w:val="00AE0EDC"/>
    <w:rsid w:val="00B072E4"/>
    <w:rsid w:val="00B13DF1"/>
    <w:rsid w:val="00B216AF"/>
    <w:rsid w:val="00B303AB"/>
    <w:rsid w:val="00B35799"/>
    <w:rsid w:val="00B51627"/>
    <w:rsid w:val="00B740C8"/>
    <w:rsid w:val="00B918B9"/>
    <w:rsid w:val="00BA3545"/>
    <w:rsid w:val="00BB5A63"/>
    <w:rsid w:val="00BB7889"/>
    <w:rsid w:val="00BC09A7"/>
    <w:rsid w:val="00BC565A"/>
    <w:rsid w:val="00BD1FE5"/>
    <w:rsid w:val="00BE506B"/>
    <w:rsid w:val="00BF2BF5"/>
    <w:rsid w:val="00BF566A"/>
    <w:rsid w:val="00C44382"/>
    <w:rsid w:val="00C652C4"/>
    <w:rsid w:val="00C65D8B"/>
    <w:rsid w:val="00C860B5"/>
    <w:rsid w:val="00CA52D4"/>
    <w:rsid w:val="00CB3603"/>
    <w:rsid w:val="00CB502C"/>
    <w:rsid w:val="00CC3201"/>
    <w:rsid w:val="00CD731C"/>
    <w:rsid w:val="00CE3554"/>
    <w:rsid w:val="00CE6944"/>
    <w:rsid w:val="00CF3280"/>
    <w:rsid w:val="00D02814"/>
    <w:rsid w:val="00D03CBE"/>
    <w:rsid w:val="00D04E88"/>
    <w:rsid w:val="00D252E4"/>
    <w:rsid w:val="00D27FD1"/>
    <w:rsid w:val="00D313DF"/>
    <w:rsid w:val="00D415FB"/>
    <w:rsid w:val="00D47B9B"/>
    <w:rsid w:val="00D61D0B"/>
    <w:rsid w:val="00D6651D"/>
    <w:rsid w:val="00D71897"/>
    <w:rsid w:val="00D718DD"/>
    <w:rsid w:val="00D765F8"/>
    <w:rsid w:val="00D8495C"/>
    <w:rsid w:val="00D916E9"/>
    <w:rsid w:val="00D92891"/>
    <w:rsid w:val="00D96ADB"/>
    <w:rsid w:val="00DA291A"/>
    <w:rsid w:val="00DB0E8D"/>
    <w:rsid w:val="00DB5B09"/>
    <w:rsid w:val="00DE1791"/>
    <w:rsid w:val="00DF7CC2"/>
    <w:rsid w:val="00E000DA"/>
    <w:rsid w:val="00E013A6"/>
    <w:rsid w:val="00E063D0"/>
    <w:rsid w:val="00E10ACF"/>
    <w:rsid w:val="00E52E69"/>
    <w:rsid w:val="00E53752"/>
    <w:rsid w:val="00E71D82"/>
    <w:rsid w:val="00E82F88"/>
    <w:rsid w:val="00E94AAA"/>
    <w:rsid w:val="00EA05A0"/>
    <w:rsid w:val="00EA351E"/>
    <w:rsid w:val="00EA5ABE"/>
    <w:rsid w:val="00EB4313"/>
    <w:rsid w:val="00EB5FFB"/>
    <w:rsid w:val="00EB68D6"/>
    <w:rsid w:val="00EB730B"/>
    <w:rsid w:val="00EC350A"/>
    <w:rsid w:val="00EE3469"/>
    <w:rsid w:val="00EF0873"/>
    <w:rsid w:val="00F12BAB"/>
    <w:rsid w:val="00F12F9D"/>
    <w:rsid w:val="00F155C3"/>
    <w:rsid w:val="00F16D83"/>
    <w:rsid w:val="00F16F2B"/>
    <w:rsid w:val="00F20B27"/>
    <w:rsid w:val="00F241A7"/>
    <w:rsid w:val="00F34527"/>
    <w:rsid w:val="00F45355"/>
    <w:rsid w:val="00F56961"/>
    <w:rsid w:val="00F63F07"/>
    <w:rsid w:val="00F700B7"/>
    <w:rsid w:val="00F87CA8"/>
    <w:rsid w:val="00F87E57"/>
    <w:rsid w:val="00F90BC1"/>
    <w:rsid w:val="00FA0404"/>
    <w:rsid w:val="00FA6A4A"/>
    <w:rsid w:val="00FB101B"/>
    <w:rsid w:val="00FB76E8"/>
    <w:rsid w:val="00FD39F4"/>
    <w:rsid w:val="00FE2664"/>
    <w:rsid w:val="00FE76E5"/>
    <w:rsid w:val="00FF3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4B53A9"/>
    <w:rPr>
      <w:color w:val="800080" w:themeColor="followedHyperlink"/>
      <w:u w:val="single"/>
    </w:rPr>
  </w:style>
  <w:style w:type="paragraph" w:styleId="ListParagraph">
    <w:name w:val="List Paragraph"/>
    <w:basedOn w:val="Normal"/>
    <w:uiPriority w:val="34"/>
    <w:qFormat/>
    <w:rsid w:val="002556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4B53A9"/>
    <w:rPr>
      <w:color w:val="800080" w:themeColor="followedHyperlink"/>
      <w:u w:val="single"/>
    </w:rPr>
  </w:style>
  <w:style w:type="paragraph" w:styleId="ListParagraph">
    <w:name w:val="List Paragraph"/>
    <w:basedOn w:val="Normal"/>
    <w:uiPriority w:val="34"/>
    <w:qFormat/>
    <w:rsid w:val="00255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876087836">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465153580">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A06C-9FBD-4A43-8984-8F8D021B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Company>Therapeutic Goods Administration</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LEVIN, Liana</dc:creator>
  <cp:lastModifiedBy>CARTER, Bless</cp:lastModifiedBy>
  <cp:revision>2</cp:revision>
  <cp:lastPrinted>2019-03-27T05:17:00Z</cp:lastPrinted>
  <dcterms:created xsi:type="dcterms:W3CDTF">2019-03-27T05:51:00Z</dcterms:created>
  <dcterms:modified xsi:type="dcterms:W3CDTF">2019-03-27T05:51:00Z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