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646443" w:rsidP="005E317F">
      <w:pPr>
        <w:pStyle w:val="ShortT"/>
      </w:pPr>
      <w:r>
        <w:t xml:space="preserve">Therapeutic Goods </w:t>
      </w:r>
      <w:r w:rsidR="00A706E9">
        <w:t xml:space="preserve">Amendment </w:t>
      </w:r>
      <w:r>
        <w:t>(</w:t>
      </w:r>
      <w:r w:rsidR="00917A60">
        <w:t>Standard for Medicinal Cannabis) Order</w:t>
      </w:r>
      <w:r w:rsidR="009A5762">
        <w:t xml:space="preserve"> </w:t>
      </w:r>
      <w:r w:rsidR="003F4FDD" w:rsidRPr="003F4FDD">
        <w:t>2019</w:t>
      </w:r>
    </w:p>
    <w:p w:rsidR="005E317F" w:rsidRPr="00DA182D" w:rsidRDefault="005E317F" w:rsidP="005E317F">
      <w:pPr>
        <w:pStyle w:val="SignCoverPageStart"/>
        <w:spacing w:before="240"/>
        <w:ind w:right="91"/>
        <w:rPr>
          <w:szCs w:val="22"/>
        </w:rPr>
      </w:pPr>
      <w:r w:rsidRPr="00DA182D">
        <w:rPr>
          <w:szCs w:val="22"/>
        </w:rPr>
        <w:t xml:space="preserve">I, </w:t>
      </w:r>
      <w:r w:rsidR="00917A60">
        <w:rPr>
          <w:szCs w:val="22"/>
        </w:rPr>
        <w:t>Jane Cook</w:t>
      </w:r>
      <w:r w:rsidR="003F4FDD">
        <w:rPr>
          <w:szCs w:val="22"/>
        </w:rPr>
        <w:t xml:space="preserve">, as delegate of the Minister for Health, </w:t>
      </w:r>
      <w:r>
        <w:rPr>
          <w:szCs w:val="22"/>
        </w:rPr>
        <w:t xml:space="preserve">make the following </w:t>
      </w:r>
      <w:r w:rsidR="00A706E9">
        <w:rPr>
          <w:szCs w:val="22"/>
        </w:rPr>
        <w:t>order</w:t>
      </w:r>
      <w:r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00B35813">
        <w:rPr>
          <w:szCs w:val="22"/>
        </w:rPr>
        <w:t xml:space="preserve"> </w:t>
      </w:r>
      <w:bookmarkStart w:id="0" w:name="_GoBack"/>
      <w:bookmarkEnd w:id="0"/>
      <w:r w:rsidR="00B35813">
        <w:rPr>
          <w:szCs w:val="22"/>
        </w:rPr>
        <w:t>27 March</w:t>
      </w:r>
      <w:r w:rsidR="00FB243C">
        <w:rPr>
          <w:szCs w:val="22"/>
        </w:rPr>
        <w:t xml:space="preserve"> 2019</w:t>
      </w:r>
    </w:p>
    <w:p w:rsidR="005E317F" w:rsidRPr="003F4FDD" w:rsidRDefault="00917A60" w:rsidP="005E317F">
      <w:pPr>
        <w:keepNext/>
        <w:tabs>
          <w:tab w:val="left" w:pos="3402"/>
        </w:tabs>
        <w:spacing w:before="1440" w:line="300" w:lineRule="atLeast"/>
        <w:ind w:right="397"/>
        <w:rPr>
          <w:szCs w:val="22"/>
        </w:rPr>
      </w:pPr>
      <w:r>
        <w:rPr>
          <w:szCs w:val="22"/>
        </w:rPr>
        <w:t>Jane Cook</w:t>
      </w:r>
    </w:p>
    <w:p w:rsidR="003F4FDD" w:rsidRPr="003F4FDD" w:rsidRDefault="003F4FDD" w:rsidP="003F4FDD">
      <w:pPr>
        <w:keepNext/>
        <w:tabs>
          <w:tab w:val="left" w:pos="3402"/>
        </w:tabs>
        <w:spacing w:line="300" w:lineRule="atLeast"/>
        <w:ind w:right="397"/>
        <w:rPr>
          <w:szCs w:val="22"/>
        </w:rPr>
      </w:pPr>
      <w:r w:rsidRPr="003F4FDD">
        <w:rPr>
          <w:szCs w:val="22"/>
        </w:rPr>
        <w:t>First Assistant Secretary</w:t>
      </w:r>
    </w:p>
    <w:p w:rsidR="003F4FDD" w:rsidRDefault="003F4FDD" w:rsidP="003F4FDD">
      <w:pPr>
        <w:keepNext/>
        <w:tabs>
          <w:tab w:val="left" w:pos="3402"/>
        </w:tabs>
        <w:spacing w:line="300" w:lineRule="atLeast"/>
        <w:ind w:right="397"/>
        <w:rPr>
          <w:szCs w:val="22"/>
        </w:rPr>
      </w:pPr>
      <w:r w:rsidRPr="003F4FDD">
        <w:rPr>
          <w:szCs w:val="22"/>
        </w:rPr>
        <w:t>Med</w:t>
      </w:r>
      <w:r w:rsidR="00917A60">
        <w:rPr>
          <w:szCs w:val="22"/>
        </w:rPr>
        <w:t xml:space="preserve">icines Regulation </w:t>
      </w:r>
      <w:r w:rsidRPr="003F4FDD">
        <w:rPr>
          <w:szCs w:val="22"/>
        </w:rPr>
        <w:t>Division</w:t>
      </w:r>
    </w:p>
    <w:p w:rsidR="00FB243C" w:rsidRPr="003F4FDD" w:rsidRDefault="00FB243C" w:rsidP="003F4FDD">
      <w:pPr>
        <w:keepNext/>
        <w:tabs>
          <w:tab w:val="left" w:pos="3402"/>
        </w:tabs>
        <w:spacing w:line="300" w:lineRule="atLeast"/>
        <w:ind w:right="397"/>
        <w:rPr>
          <w:b/>
          <w:szCs w:val="22"/>
        </w:rPr>
      </w:pPr>
      <w:r>
        <w:rPr>
          <w:szCs w:val="22"/>
        </w:rPr>
        <w:t>Health Products Regulation Group</w:t>
      </w:r>
    </w:p>
    <w:p w:rsidR="005E317F" w:rsidRPr="000D3FB9" w:rsidRDefault="003F4FDD" w:rsidP="005E317F">
      <w:pPr>
        <w:pStyle w:val="SignCoverPageEnd"/>
        <w:ind w:right="91"/>
        <w:rPr>
          <w:sz w:val="22"/>
        </w:rPr>
      </w:pPr>
      <w:r w:rsidRPr="003F4FDD">
        <w:rPr>
          <w:sz w:val="22"/>
        </w:rPr>
        <w:t>Department of Health</w:t>
      </w:r>
    </w:p>
    <w:p w:rsidR="00B20990" w:rsidRDefault="00B20990" w:rsidP="00B20990"/>
    <w:p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1" w:name="BKCheck15B_2"/>
    <w:bookmarkEnd w:id="1"/>
    <w:p w:rsidR="008B39E0"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8B39E0">
        <w:rPr>
          <w:noProof/>
        </w:rPr>
        <w:t>1  Name</w:t>
      </w:r>
      <w:r w:rsidR="008B39E0">
        <w:rPr>
          <w:noProof/>
        </w:rPr>
        <w:tab/>
      </w:r>
      <w:r w:rsidR="008B39E0">
        <w:rPr>
          <w:noProof/>
        </w:rPr>
        <w:fldChar w:fldCharType="begin"/>
      </w:r>
      <w:r w:rsidR="008B39E0">
        <w:rPr>
          <w:noProof/>
        </w:rPr>
        <w:instrText xml:space="preserve"> PAGEREF _Toc4407111 \h </w:instrText>
      </w:r>
      <w:r w:rsidR="008B39E0">
        <w:rPr>
          <w:noProof/>
        </w:rPr>
      </w:r>
      <w:r w:rsidR="008B39E0">
        <w:rPr>
          <w:noProof/>
        </w:rPr>
        <w:fldChar w:fldCharType="separate"/>
      </w:r>
      <w:r w:rsidR="00906136">
        <w:rPr>
          <w:noProof/>
        </w:rPr>
        <w:t>1</w:t>
      </w:r>
      <w:r w:rsidR="008B39E0">
        <w:rPr>
          <w:noProof/>
        </w:rPr>
        <w:fldChar w:fldCharType="end"/>
      </w:r>
    </w:p>
    <w:p w:rsidR="008B39E0" w:rsidRDefault="008B39E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_Toc4407112 \h </w:instrText>
      </w:r>
      <w:r>
        <w:rPr>
          <w:noProof/>
        </w:rPr>
      </w:r>
      <w:r>
        <w:rPr>
          <w:noProof/>
        </w:rPr>
        <w:fldChar w:fldCharType="separate"/>
      </w:r>
      <w:r w:rsidR="00906136">
        <w:rPr>
          <w:noProof/>
        </w:rPr>
        <w:t>1</w:t>
      </w:r>
      <w:r>
        <w:rPr>
          <w:noProof/>
        </w:rPr>
        <w:fldChar w:fldCharType="end"/>
      </w:r>
    </w:p>
    <w:p w:rsidR="008B39E0" w:rsidRDefault="008B39E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_Toc4407113 \h </w:instrText>
      </w:r>
      <w:r>
        <w:rPr>
          <w:noProof/>
        </w:rPr>
      </w:r>
      <w:r>
        <w:rPr>
          <w:noProof/>
        </w:rPr>
        <w:fldChar w:fldCharType="separate"/>
      </w:r>
      <w:r w:rsidR="00906136">
        <w:rPr>
          <w:noProof/>
        </w:rPr>
        <w:t>1</w:t>
      </w:r>
      <w:r>
        <w:rPr>
          <w:noProof/>
        </w:rPr>
        <w:fldChar w:fldCharType="end"/>
      </w:r>
    </w:p>
    <w:p w:rsidR="008B39E0" w:rsidRDefault="008B39E0">
      <w:pPr>
        <w:pStyle w:val="TOC5"/>
        <w:rPr>
          <w:rFonts w:asciiTheme="minorHAnsi" w:eastAsiaTheme="minorEastAsia" w:hAnsiTheme="minorHAnsi" w:cstheme="minorBidi"/>
          <w:noProof/>
          <w:kern w:val="0"/>
          <w:sz w:val="22"/>
          <w:szCs w:val="22"/>
        </w:rPr>
      </w:pPr>
      <w:r>
        <w:rPr>
          <w:noProof/>
        </w:rPr>
        <w:t>4  Amendments</w:t>
      </w:r>
      <w:r>
        <w:rPr>
          <w:noProof/>
        </w:rPr>
        <w:tab/>
      </w:r>
      <w:r>
        <w:rPr>
          <w:noProof/>
        </w:rPr>
        <w:fldChar w:fldCharType="begin"/>
      </w:r>
      <w:r>
        <w:rPr>
          <w:noProof/>
        </w:rPr>
        <w:instrText xml:space="preserve"> PAGEREF _Toc4407114 \h </w:instrText>
      </w:r>
      <w:r>
        <w:rPr>
          <w:noProof/>
        </w:rPr>
      </w:r>
      <w:r>
        <w:rPr>
          <w:noProof/>
        </w:rPr>
        <w:fldChar w:fldCharType="separate"/>
      </w:r>
      <w:r w:rsidR="00906136">
        <w:rPr>
          <w:noProof/>
        </w:rPr>
        <w:t>1</w:t>
      </w:r>
      <w:r>
        <w:rPr>
          <w:noProof/>
        </w:rPr>
        <w:fldChar w:fldCharType="end"/>
      </w:r>
    </w:p>
    <w:p w:rsidR="008B39E0" w:rsidRDefault="008B39E0">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_Toc4407115 \h </w:instrText>
      </w:r>
      <w:r>
        <w:rPr>
          <w:noProof/>
        </w:rPr>
      </w:r>
      <w:r>
        <w:rPr>
          <w:noProof/>
        </w:rPr>
        <w:fldChar w:fldCharType="separate"/>
      </w:r>
      <w:r w:rsidR="00906136">
        <w:rPr>
          <w:noProof/>
        </w:rPr>
        <w:t>2</w:t>
      </w:r>
      <w:r>
        <w:rPr>
          <w:noProof/>
        </w:rPr>
        <w:fldChar w:fldCharType="end"/>
      </w:r>
    </w:p>
    <w:p w:rsidR="008B39E0" w:rsidRDefault="008B39E0">
      <w:pPr>
        <w:pStyle w:val="TOC9"/>
        <w:rPr>
          <w:rFonts w:asciiTheme="minorHAnsi" w:eastAsiaTheme="minorEastAsia" w:hAnsiTheme="minorHAnsi" w:cstheme="minorBidi"/>
          <w:i w:val="0"/>
          <w:noProof/>
          <w:kern w:val="0"/>
          <w:sz w:val="22"/>
          <w:szCs w:val="22"/>
        </w:rPr>
      </w:pPr>
      <w:r>
        <w:rPr>
          <w:noProof/>
        </w:rPr>
        <w:t>Therapeutic Goods Order No. 93 (Standard for Medicinal Cannabis)</w:t>
      </w:r>
      <w:r>
        <w:rPr>
          <w:noProof/>
        </w:rPr>
        <w:tab/>
      </w:r>
      <w:r>
        <w:rPr>
          <w:noProof/>
        </w:rPr>
        <w:fldChar w:fldCharType="begin"/>
      </w:r>
      <w:r>
        <w:rPr>
          <w:noProof/>
        </w:rPr>
        <w:instrText xml:space="preserve"> PAGEREF _Toc4407116 \h </w:instrText>
      </w:r>
      <w:r>
        <w:rPr>
          <w:noProof/>
        </w:rPr>
      </w:r>
      <w:r>
        <w:rPr>
          <w:noProof/>
        </w:rPr>
        <w:fldChar w:fldCharType="separate"/>
      </w:r>
      <w:r w:rsidR="00906136">
        <w:rPr>
          <w:noProof/>
        </w:rPr>
        <w:t>2</w:t>
      </w:r>
      <w:r>
        <w:rPr>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2" w:name="_Toc4407111"/>
      <w:r w:rsidRPr="009C2562">
        <w:rPr>
          <w:rStyle w:val="CharSectno"/>
        </w:rPr>
        <w:lastRenderedPageBreak/>
        <w:t>1</w:t>
      </w:r>
      <w:r w:rsidRPr="009C2562">
        <w:t xml:space="preserve">  Name</w:t>
      </w:r>
      <w:bookmarkEnd w:id="2"/>
    </w:p>
    <w:p w:rsidR="005E317F" w:rsidRDefault="005E317F" w:rsidP="005E317F">
      <w:pPr>
        <w:pStyle w:val="subsection"/>
      </w:pPr>
      <w:r w:rsidRPr="009C2562">
        <w:tab/>
      </w:r>
      <w:r w:rsidRPr="009C2562">
        <w:tab/>
        <w:t xml:space="preserve">This </w:t>
      </w:r>
      <w:r>
        <w:t xml:space="preserve">instrument </w:t>
      </w:r>
      <w:r w:rsidRPr="009C2562">
        <w:t>is the</w:t>
      </w:r>
      <w:r w:rsidR="00645D16" w:rsidRPr="00645D16">
        <w:rPr>
          <w:rFonts w:eastAsiaTheme="minorHAnsi" w:cstheme="minorBidi"/>
          <w:i/>
          <w:lang w:eastAsia="en-US"/>
        </w:rPr>
        <w:t xml:space="preserve"> </w:t>
      </w:r>
      <w:r w:rsidR="00645D16" w:rsidRPr="00645D16">
        <w:rPr>
          <w:i/>
        </w:rPr>
        <w:t>Therapeutic Goo</w:t>
      </w:r>
      <w:bookmarkStart w:id="3" w:name="BKCheck15B_3"/>
      <w:bookmarkEnd w:id="3"/>
      <w:r w:rsidR="00917A60">
        <w:rPr>
          <w:i/>
        </w:rPr>
        <w:t xml:space="preserve">ds </w:t>
      </w:r>
      <w:r w:rsidR="007E23CC">
        <w:rPr>
          <w:i/>
        </w:rPr>
        <w:t xml:space="preserve">Amendment </w:t>
      </w:r>
      <w:r w:rsidR="00917A60">
        <w:rPr>
          <w:i/>
        </w:rPr>
        <w:t>(Standard for Medicinal Cannabis) Order</w:t>
      </w:r>
      <w:r w:rsidR="00FC2285">
        <w:rPr>
          <w:i/>
        </w:rPr>
        <w:t xml:space="preserve"> 2019</w:t>
      </w:r>
      <w:r w:rsidRPr="009C2562">
        <w:t>.</w:t>
      </w:r>
    </w:p>
    <w:p w:rsidR="001A6E66" w:rsidRPr="00274759" w:rsidRDefault="001A6E66" w:rsidP="001A6E66">
      <w:pPr>
        <w:pStyle w:val="ActHead5"/>
      </w:pPr>
      <w:bookmarkStart w:id="4" w:name="_Toc529875725"/>
      <w:bookmarkStart w:id="5" w:name="_Toc4407112"/>
      <w:r w:rsidRPr="00274759">
        <w:t>2  Commencement</w:t>
      </w:r>
      <w:bookmarkEnd w:id="4"/>
      <w:bookmarkEnd w:id="5"/>
    </w:p>
    <w:p w:rsidR="001A6E66" w:rsidRPr="00274759" w:rsidRDefault="001A6E66" w:rsidP="001A6E66">
      <w:pPr>
        <w:pStyle w:val="subsection"/>
      </w:pPr>
      <w:r w:rsidRPr="00274759">
        <w:tab/>
        <w:t>(1)</w:t>
      </w:r>
      <w:r w:rsidRPr="00274759">
        <w:tab/>
        <w:t>Each provision of this instrument specified in column 1 of the table commences, or is taken to have commenced, in accordance with column 2 of the table. Any other statement in column 2 has effect according to its terms.</w:t>
      </w:r>
    </w:p>
    <w:p w:rsidR="001A6E66" w:rsidRPr="00274759" w:rsidRDefault="001A6E66" w:rsidP="001A6E6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410"/>
        <w:gridCol w:w="3119"/>
        <w:gridCol w:w="2551"/>
      </w:tblGrid>
      <w:tr w:rsidR="001A6E66" w:rsidRPr="00274759" w:rsidTr="008B39E0">
        <w:trPr>
          <w:tblHeader/>
        </w:trPr>
        <w:tc>
          <w:tcPr>
            <w:tcW w:w="8080" w:type="dxa"/>
            <w:gridSpan w:val="3"/>
            <w:tcBorders>
              <w:top w:val="single" w:sz="12" w:space="0" w:color="auto"/>
              <w:bottom w:val="single" w:sz="2" w:space="0" w:color="auto"/>
            </w:tcBorders>
            <w:shd w:val="clear" w:color="auto" w:fill="auto"/>
            <w:hideMark/>
          </w:tcPr>
          <w:p w:rsidR="001A6E66" w:rsidRPr="00274759" w:rsidRDefault="001A6E66" w:rsidP="00627986">
            <w:pPr>
              <w:pStyle w:val="TableHeading"/>
            </w:pPr>
            <w:r w:rsidRPr="00274759">
              <w:t>Commencement information</w:t>
            </w:r>
          </w:p>
        </w:tc>
      </w:tr>
      <w:tr w:rsidR="001A6E66" w:rsidRPr="00274759" w:rsidTr="008B39E0">
        <w:trPr>
          <w:tblHeader/>
        </w:trPr>
        <w:tc>
          <w:tcPr>
            <w:tcW w:w="2410" w:type="dxa"/>
            <w:tcBorders>
              <w:top w:val="single" w:sz="2" w:space="0" w:color="auto"/>
              <w:bottom w:val="single" w:sz="2" w:space="0" w:color="auto"/>
            </w:tcBorders>
            <w:shd w:val="clear" w:color="auto" w:fill="auto"/>
            <w:hideMark/>
          </w:tcPr>
          <w:p w:rsidR="001A6E66" w:rsidRPr="00274759" w:rsidRDefault="001A6E66" w:rsidP="00627986">
            <w:pPr>
              <w:pStyle w:val="TableHeading"/>
            </w:pPr>
            <w:r w:rsidRPr="00274759">
              <w:t>Column 1</w:t>
            </w:r>
          </w:p>
        </w:tc>
        <w:tc>
          <w:tcPr>
            <w:tcW w:w="3119" w:type="dxa"/>
            <w:tcBorders>
              <w:top w:val="single" w:sz="2" w:space="0" w:color="auto"/>
              <w:bottom w:val="single" w:sz="2" w:space="0" w:color="auto"/>
            </w:tcBorders>
            <w:shd w:val="clear" w:color="auto" w:fill="auto"/>
            <w:hideMark/>
          </w:tcPr>
          <w:p w:rsidR="001A6E66" w:rsidRPr="00274759" w:rsidRDefault="001A6E66" w:rsidP="00627986">
            <w:pPr>
              <w:pStyle w:val="TableHeading"/>
            </w:pPr>
            <w:r w:rsidRPr="00274759">
              <w:t>Column 2</w:t>
            </w:r>
          </w:p>
        </w:tc>
        <w:tc>
          <w:tcPr>
            <w:tcW w:w="2551" w:type="dxa"/>
            <w:tcBorders>
              <w:top w:val="single" w:sz="2" w:space="0" w:color="auto"/>
              <w:bottom w:val="single" w:sz="2" w:space="0" w:color="auto"/>
            </w:tcBorders>
            <w:shd w:val="clear" w:color="auto" w:fill="auto"/>
            <w:hideMark/>
          </w:tcPr>
          <w:p w:rsidR="001A6E66" w:rsidRPr="00274759" w:rsidRDefault="001A6E66" w:rsidP="00627986">
            <w:pPr>
              <w:pStyle w:val="TableHeading"/>
            </w:pPr>
            <w:r w:rsidRPr="00274759">
              <w:t>Column 3</w:t>
            </w:r>
          </w:p>
        </w:tc>
      </w:tr>
      <w:tr w:rsidR="001A6E66" w:rsidRPr="00274759" w:rsidTr="008B39E0">
        <w:trPr>
          <w:tblHeader/>
        </w:trPr>
        <w:tc>
          <w:tcPr>
            <w:tcW w:w="2410" w:type="dxa"/>
            <w:tcBorders>
              <w:top w:val="single" w:sz="2" w:space="0" w:color="auto"/>
              <w:bottom w:val="single" w:sz="12" w:space="0" w:color="auto"/>
            </w:tcBorders>
            <w:shd w:val="clear" w:color="auto" w:fill="auto"/>
            <w:hideMark/>
          </w:tcPr>
          <w:p w:rsidR="001A6E66" w:rsidRPr="00274759" w:rsidRDefault="001A6E66" w:rsidP="00627986">
            <w:pPr>
              <w:pStyle w:val="TableHeading"/>
            </w:pPr>
            <w:r w:rsidRPr="00274759">
              <w:t>Provisions</w:t>
            </w:r>
          </w:p>
        </w:tc>
        <w:tc>
          <w:tcPr>
            <w:tcW w:w="3119" w:type="dxa"/>
            <w:tcBorders>
              <w:top w:val="single" w:sz="2" w:space="0" w:color="auto"/>
              <w:bottom w:val="single" w:sz="12" w:space="0" w:color="auto"/>
            </w:tcBorders>
            <w:shd w:val="clear" w:color="auto" w:fill="auto"/>
            <w:hideMark/>
          </w:tcPr>
          <w:p w:rsidR="001A6E66" w:rsidRPr="00274759" w:rsidRDefault="001A6E66" w:rsidP="00627986">
            <w:pPr>
              <w:pStyle w:val="TableHeading"/>
            </w:pPr>
            <w:r w:rsidRPr="00274759">
              <w:t>Commencement</w:t>
            </w:r>
          </w:p>
        </w:tc>
        <w:tc>
          <w:tcPr>
            <w:tcW w:w="2551" w:type="dxa"/>
            <w:tcBorders>
              <w:top w:val="single" w:sz="2" w:space="0" w:color="auto"/>
              <w:bottom w:val="single" w:sz="12" w:space="0" w:color="auto"/>
            </w:tcBorders>
            <w:shd w:val="clear" w:color="auto" w:fill="auto"/>
            <w:hideMark/>
          </w:tcPr>
          <w:p w:rsidR="001A6E66" w:rsidRPr="00274759" w:rsidRDefault="001A6E66" w:rsidP="00627986">
            <w:pPr>
              <w:pStyle w:val="TableHeading"/>
            </w:pPr>
            <w:r w:rsidRPr="00274759">
              <w:t>Date/Details</w:t>
            </w:r>
          </w:p>
        </w:tc>
      </w:tr>
      <w:tr w:rsidR="001A6E66" w:rsidRPr="00274759" w:rsidTr="008B39E0">
        <w:tc>
          <w:tcPr>
            <w:tcW w:w="2410" w:type="dxa"/>
            <w:tcBorders>
              <w:top w:val="single" w:sz="12" w:space="0" w:color="auto"/>
              <w:bottom w:val="single" w:sz="12" w:space="0" w:color="auto"/>
            </w:tcBorders>
            <w:shd w:val="clear" w:color="auto" w:fill="auto"/>
            <w:hideMark/>
          </w:tcPr>
          <w:p w:rsidR="001A6E66" w:rsidRPr="00274759" w:rsidRDefault="001A6E66" w:rsidP="00627986">
            <w:pPr>
              <w:pStyle w:val="Tabletext"/>
            </w:pPr>
            <w:r w:rsidRPr="00274759">
              <w:t>1.  The whole of this instrument</w:t>
            </w:r>
          </w:p>
        </w:tc>
        <w:tc>
          <w:tcPr>
            <w:tcW w:w="3119" w:type="dxa"/>
            <w:tcBorders>
              <w:top w:val="single" w:sz="12" w:space="0" w:color="auto"/>
              <w:bottom w:val="single" w:sz="12" w:space="0" w:color="auto"/>
            </w:tcBorders>
            <w:shd w:val="clear" w:color="auto" w:fill="auto"/>
            <w:hideMark/>
          </w:tcPr>
          <w:p w:rsidR="001A6E66" w:rsidRPr="00274759" w:rsidRDefault="00FC2285" w:rsidP="00627986">
            <w:pPr>
              <w:pStyle w:val="Tabletext"/>
            </w:pPr>
            <w:r>
              <w:t>3</w:t>
            </w:r>
            <w:r w:rsidR="001A6E66">
              <w:t>1 March 2019</w:t>
            </w:r>
            <w:r w:rsidR="001A6E66" w:rsidRPr="00274759">
              <w:t>.</w:t>
            </w:r>
          </w:p>
        </w:tc>
        <w:tc>
          <w:tcPr>
            <w:tcW w:w="2551" w:type="dxa"/>
            <w:tcBorders>
              <w:top w:val="single" w:sz="12" w:space="0" w:color="auto"/>
              <w:bottom w:val="single" w:sz="12" w:space="0" w:color="auto"/>
            </w:tcBorders>
            <w:shd w:val="clear" w:color="auto" w:fill="auto"/>
          </w:tcPr>
          <w:p w:rsidR="001A6E66" w:rsidRPr="00274759" w:rsidRDefault="00FC2285" w:rsidP="00627986">
            <w:pPr>
              <w:pStyle w:val="Tabletext"/>
            </w:pPr>
            <w:r>
              <w:t>3</w:t>
            </w:r>
            <w:r w:rsidR="001A6E66">
              <w:t>1 March 2019</w:t>
            </w:r>
          </w:p>
        </w:tc>
      </w:tr>
    </w:tbl>
    <w:p w:rsidR="001A6E66" w:rsidRPr="00274759" w:rsidRDefault="001A6E66" w:rsidP="001A6E66">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1A6E66" w:rsidRPr="00274759" w:rsidRDefault="001A6E66" w:rsidP="001A6E66">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5E317F" w:rsidRPr="009C2562" w:rsidRDefault="005E317F" w:rsidP="005E317F">
      <w:pPr>
        <w:pStyle w:val="ActHead5"/>
      </w:pPr>
      <w:bookmarkStart w:id="6" w:name="_Toc4407113"/>
      <w:proofErr w:type="gramStart"/>
      <w:r w:rsidRPr="009C2562">
        <w:rPr>
          <w:rStyle w:val="CharSectno"/>
        </w:rPr>
        <w:t>3</w:t>
      </w:r>
      <w:r w:rsidRPr="009C2562">
        <w:t xml:space="preserve">  Authority</w:t>
      </w:r>
      <w:bookmarkEnd w:id="6"/>
      <w:proofErr w:type="gramEnd"/>
    </w:p>
    <w:p w:rsidR="005E317F" w:rsidRPr="009C2562" w:rsidRDefault="005E317F" w:rsidP="005E317F">
      <w:pPr>
        <w:pStyle w:val="subsection"/>
      </w:pPr>
      <w:r w:rsidRPr="009C2562">
        <w:tab/>
      </w:r>
      <w:r w:rsidRPr="009C2562">
        <w:tab/>
        <w:t xml:space="preserve">This instrument is made under </w:t>
      </w:r>
      <w:r w:rsidR="00917A60">
        <w:t>section 10</w:t>
      </w:r>
      <w:r w:rsidR="003F4FDD">
        <w:t xml:space="preserve"> of the </w:t>
      </w:r>
      <w:r w:rsidR="003F4FDD" w:rsidRPr="003F4FDD">
        <w:rPr>
          <w:i/>
        </w:rPr>
        <w:t>Therapeutic Goods Act 1989</w:t>
      </w:r>
      <w:r w:rsidRPr="009C2562">
        <w:t>.</w:t>
      </w:r>
    </w:p>
    <w:p w:rsidR="005E317F" w:rsidRPr="006065DA" w:rsidRDefault="005E317F" w:rsidP="005E317F">
      <w:pPr>
        <w:pStyle w:val="ActHead5"/>
      </w:pPr>
      <w:bookmarkStart w:id="7" w:name="_Toc4407114"/>
      <w:proofErr w:type="gramStart"/>
      <w:r w:rsidRPr="006065DA">
        <w:t xml:space="preserve">4  </w:t>
      </w:r>
      <w:r w:rsidR="00506E1E">
        <w:t>Amendments</w:t>
      </w:r>
      <w:bookmarkEnd w:id="7"/>
      <w:proofErr w:type="gramEnd"/>
    </w:p>
    <w:p w:rsidR="005E317F" w:rsidRDefault="005E317F" w:rsidP="005E317F">
      <w:pPr>
        <w:pStyle w:val="subsection"/>
      </w:pPr>
      <w:r w:rsidRPr="006065DA">
        <w:tab/>
      </w:r>
      <w:r w:rsidRPr="006065DA">
        <w:tab/>
        <w:t>Each in</w:t>
      </w:r>
      <w:r w:rsidR="003F4FDD">
        <w:t xml:space="preserve">strument that is specified in </w:t>
      </w:r>
      <w:r w:rsidRPr="006065DA">
        <w:t>Schedule</w:t>
      </w:r>
      <w:r w:rsidR="007E23CC">
        <w:t xml:space="preserve"> 1</w:t>
      </w:r>
      <w:r w:rsidRPr="006065DA">
        <w:t xml:space="preserve"> to this instrument is amended as set out</w:t>
      </w:r>
      <w:r w:rsidR="003F4FDD">
        <w:t xml:space="preserve"> in the applicable items in </w:t>
      </w:r>
      <w:r w:rsidR="00D20761">
        <w:t>th</w:t>
      </w:r>
      <w:r w:rsidR="007E23CC">
        <w:t>at</w:t>
      </w:r>
      <w:r w:rsidR="00D20761">
        <w:t xml:space="preserve"> </w:t>
      </w:r>
      <w:r w:rsidR="003F4FDD">
        <w:t>Schedule</w:t>
      </w:r>
      <w:r w:rsidRPr="006065DA">
        <w:t>.</w:t>
      </w:r>
    </w:p>
    <w:p w:rsidR="00DB64FC" w:rsidRPr="00B1728A" w:rsidRDefault="003F4FDD" w:rsidP="00AC767C">
      <w:pPr>
        <w:pStyle w:val="ActHead6"/>
        <w:pageBreakBefore/>
      </w:pPr>
      <w:bookmarkStart w:id="8" w:name="_Toc478567694"/>
      <w:bookmarkStart w:id="9" w:name="_Toc4407115"/>
      <w:r>
        <w:rPr>
          <w:rStyle w:val="CharAmSchNo"/>
        </w:rPr>
        <w:lastRenderedPageBreak/>
        <w:t>Schedule 1</w:t>
      </w:r>
      <w:r w:rsidR="00DB64FC" w:rsidRPr="00B1728A">
        <w:t>—</w:t>
      </w:r>
      <w:bookmarkEnd w:id="8"/>
      <w:r w:rsidR="00693735">
        <w:rPr>
          <w:rStyle w:val="CharAmSchText"/>
        </w:rPr>
        <w:t>Amendments</w:t>
      </w:r>
      <w:bookmarkEnd w:id="9"/>
    </w:p>
    <w:p w:rsidR="00506E1E" w:rsidRPr="00D754FB" w:rsidRDefault="00506E1E" w:rsidP="00506E1E">
      <w:pPr>
        <w:pStyle w:val="notemargin"/>
      </w:pPr>
      <w:r w:rsidRPr="00B71F87">
        <w:t>Note:</w:t>
      </w:r>
      <w:r w:rsidRPr="00B71F87">
        <w:tab/>
        <w:t xml:space="preserve">See section </w:t>
      </w:r>
      <w:r>
        <w:t>4</w:t>
      </w:r>
      <w:r w:rsidRPr="00B71F87">
        <w:t>.</w:t>
      </w:r>
    </w:p>
    <w:p w:rsidR="00DB64FC" w:rsidRPr="008B39E0" w:rsidRDefault="00FC2285" w:rsidP="009F28A1">
      <w:pPr>
        <w:pStyle w:val="ActHead9"/>
      </w:pPr>
      <w:bookmarkStart w:id="10" w:name="_Toc4407116"/>
      <w:r w:rsidRPr="008B39E0">
        <w:t>Therapeutic</w:t>
      </w:r>
      <w:r w:rsidR="00917A60" w:rsidRPr="008B39E0">
        <w:t xml:space="preserve"> Goods Order No.</w:t>
      </w:r>
      <w:r w:rsidR="00522CB6" w:rsidRPr="008B39E0">
        <w:t xml:space="preserve"> </w:t>
      </w:r>
      <w:r w:rsidR="00917A60" w:rsidRPr="008B39E0">
        <w:t>93 (Standard for Medicinal Cannabis)</w:t>
      </w:r>
      <w:bookmarkEnd w:id="10"/>
      <w:r w:rsidR="00917A60" w:rsidRPr="008B39E0">
        <w:t xml:space="preserve"> </w:t>
      </w:r>
    </w:p>
    <w:p w:rsidR="008D7F38" w:rsidRDefault="008D7F38" w:rsidP="008D7F38">
      <w:pPr>
        <w:pStyle w:val="ItemHead"/>
      </w:pPr>
      <w:r>
        <w:t>1</w:t>
      </w:r>
      <w:r w:rsidRPr="00B1728A">
        <w:t xml:space="preserve">  </w:t>
      </w:r>
      <w:r>
        <w:t>Section 1</w:t>
      </w:r>
    </w:p>
    <w:p w:rsidR="008D7F38" w:rsidRPr="00B1728A" w:rsidRDefault="008D7F38" w:rsidP="008D7F38">
      <w:pPr>
        <w:pStyle w:val="Item"/>
      </w:pPr>
      <w:r>
        <w:t>Omit “</w:t>
      </w:r>
      <w:r w:rsidRPr="00584526">
        <w:rPr>
          <w:i/>
        </w:rPr>
        <w:t>Therapeutic Goods Order No. 93 (Standard for Medicinal Cannabi</w:t>
      </w:r>
      <w:r>
        <w:rPr>
          <w:i/>
        </w:rPr>
        <w:t>s)</w:t>
      </w:r>
      <w:r>
        <w:t>”, substitute “</w:t>
      </w:r>
      <w:r w:rsidRPr="00584526">
        <w:rPr>
          <w:i/>
        </w:rPr>
        <w:t>Therapeutic Goods (Standard for Medicinal Cannabis) (TGO 93) Order 2017</w:t>
      </w:r>
      <w:r>
        <w:t>”.</w:t>
      </w:r>
    </w:p>
    <w:p w:rsidR="008D7F38" w:rsidRDefault="008D7F38" w:rsidP="008D7F38">
      <w:pPr>
        <w:pStyle w:val="ItemHead"/>
      </w:pPr>
      <w:proofErr w:type="gramStart"/>
      <w:r w:rsidRPr="00CC229D">
        <w:t>2  Section</w:t>
      </w:r>
      <w:proofErr w:type="gramEnd"/>
      <w:r w:rsidRPr="00CC229D">
        <w:t xml:space="preserve"> 4 (definition of </w:t>
      </w:r>
      <w:r w:rsidRPr="00CC229D">
        <w:rPr>
          <w:i/>
        </w:rPr>
        <w:t>stated content</w:t>
      </w:r>
      <w:r w:rsidRPr="00CC229D">
        <w:t>)</w:t>
      </w:r>
    </w:p>
    <w:p w:rsidR="00DA6AC5" w:rsidRPr="008B39E0" w:rsidRDefault="00DA6AC5" w:rsidP="008B39E0">
      <w:pPr>
        <w:pStyle w:val="Item"/>
        <w:spacing w:after="120"/>
      </w:pPr>
      <w:r w:rsidRPr="008B39E0">
        <w:t>Omit the definition, substitute:</w:t>
      </w:r>
    </w:p>
    <w:p w:rsidR="00DA6AC5" w:rsidRPr="008B39E0" w:rsidRDefault="00DA6AC5" w:rsidP="008B39E0">
      <w:pPr>
        <w:spacing w:line="240" w:lineRule="auto"/>
        <w:ind w:left="1418"/>
        <w:rPr>
          <w:rFonts w:eastAsia="Times New Roman" w:cs="Times New Roman"/>
          <w:szCs w:val="22"/>
          <w:lang w:eastAsia="en-AU"/>
        </w:rPr>
      </w:pPr>
      <w:proofErr w:type="gramStart"/>
      <w:r w:rsidRPr="008B39E0">
        <w:rPr>
          <w:rFonts w:eastAsia="Times New Roman" w:cs="Times New Roman"/>
          <w:b/>
          <w:i/>
          <w:szCs w:val="22"/>
          <w:lang w:eastAsia="en-AU"/>
        </w:rPr>
        <w:t>stated</w:t>
      </w:r>
      <w:proofErr w:type="gramEnd"/>
      <w:r w:rsidRPr="008B39E0">
        <w:rPr>
          <w:rFonts w:eastAsia="Times New Roman" w:cs="Times New Roman"/>
          <w:b/>
          <w:i/>
          <w:szCs w:val="22"/>
          <w:lang w:eastAsia="en-AU"/>
        </w:rPr>
        <w:t xml:space="preserve"> content</w:t>
      </w:r>
      <w:r w:rsidRPr="008B39E0">
        <w:rPr>
          <w:rFonts w:eastAsia="Times New Roman" w:cs="Times New Roman"/>
          <w:szCs w:val="22"/>
          <w:lang w:eastAsia="en-AU"/>
        </w:rPr>
        <w:t>, in relation to each active ingredient in a medicinal cannabis product, means the quantity or proportion of each active ingredient that is:</w:t>
      </w:r>
    </w:p>
    <w:p w:rsidR="00DA6AC5" w:rsidRPr="008B39E0" w:rsidRDefault="00DA6AC5" w:rsidP="008B39E0">
      <w:pPr>
        <w:pStyle w:val="R2"/>
        <w:tabs>
          <w:tab w:val="clear" w:pos="794"/>
          <w:tab w:val="right" w:pos="1418"/>
        </w:tabs>
        <w:ind w:left="2268" w:hanging="850"/>
        <w:jc w:val="left"/>
        <w:rPr>
          <w:sz w:val="22"/>
          <w:szCs w:val="22"/>
        </w:rPr>
      </w:pPr>
      <w:r w:rsidRPr="008B39E0">
        <w:t>(a)</w:t>
      </w:r>
      <w:r w:rsidRPr="008B39E0">
        <w:tab/>
      </w:r>
      <w:r w:rsidRPr="008B39E0">
        <w:rPr>
          <w:sz w:val="22"/>
          <w:szCs w:val="20"/>
        </w:rPr>
        <w:t xml:space="preserve">specified on the label to be present in the medicinal cannabis product in </w:t>
      </w:r>
      <w:r w:rsidRPr="008B39E0">
        <w:rPr>
          <w:sz w:val="22"/>
          <w:szCs w:val="22"/>
        </w:rPr>
        <w:t>accordance with any decision made by the Secretary under section 25 of the Act in relation to that product; or</w:t>
      </w:r>
    </w:p>
    <w:p w:rsidR="00DA6AC5" w:rsidRPr="008B39E0" w:rsidRDefault="00DA6AC5" w:rsidP="008B39E0">
      <w:pPr>
        <w:pStyle w:val="R2"/>
        <w:tabs>
          <w:tab w:val="clear" w:pos="794"/>
          <w:tab w:val="right" w:pos="1418"/>
        </w:tabs>
        <w:ind w:left="2268" w:hanging="850"/>
        <w:jc w:val="left"/>
        <w:rPr>
          <w:sz w:val="22"/>
          <w:szCs w:val="22"/>
        </w:rPr>
      </w:pPr>
      <w:r w:rsidRPr="008B39E0">
        <w:rPr>
          <w:sz w:val="22"/>
          <w:szCs w:val="22"/>
        </w:rPr>
        <w:t>(b)</w:t>
      </w:r>
      <w:r w:rsidRPr="008B39E0">
        <w:rPr>
          <w:sz w:val="22"/>
          <w:szCs w:val="22"/>
        </w:rPr>
        <w:tab/>
        <w:t>disclosed to the Secretary in an application under section 19 of the Act for the approval or authority of a medicinal cannabis product, whether or not the quantity or proportion of each active ingredient is reproduced on the label or any supplementary material for that product approved or authorised under that section; or</w:t>
      </w:r>
    </w:p>
    <w:p w:rsidR="00DA6AC5" w:rsidRPr="008B39E0" w:rsidRDefault="00DA6AC5" w:rsidP="008B39E0">
      <w:pPr>
        <w:pStyle w:val="R2"/>
        <w:tabs>
          <w:tab w:val="clear" w:pos="794"/>
          <w:tab w:val="right" w:pos="1418"/>
        </w:tabs>
        <w:ind w:left="2268" w:hanging="850"/>
        <w:jc w:val="left"/>
        <w:rPr>
          <w:sz w:val="22"/>
          <w:szCs w:val="22"/>
        </w:rPr>
      </w:pPr>
      <w:r w:rsidRPr="008B39E0">
        <w:rPr>
          <w:sz w:val="22"/>
          <w:szCs w:val="22"/>
        </w:rPr>
        <w:t>(c)</w:t>
      </w:r>
      <w:r w:rsidRPr="008B39E0">
        <w:rPr>
          <w:sz w:val="22"/>
          <w:szCs w:val="22"/>
        </w:rPr>
        <w:tab/>
      </w:r>
      <w:proofErr w:type="gramStart"/>
      <w:r w:rsidRPr="008B39E0">
        <w:rPr>
          <w:sz w:val="22"/>
          <w:szCs w:val="22"/>
        </w:rPr>
        <w:t>disclosed</w:t>
      </w:r>
      <w:proofErr w:type="gramEnd"/>
      <w:r w:rsidRPr="008B39E0">
        <w:rPr>
          <w:sz w:val="22"/>
          <w:szCs w:val="22"/>
        </w:rPr>
        <w:t xml:space="preserve"> to the Secretary in a notification under regulation 12A of the Regulations, whether or not the quantity or proportion of each active ingredient is reproduced on the label or any supplementary material for that product which is the subject of the notification; or</w:t>
      </w:r>
    </w:p>
    <w:p w:rsidR="00DA6AC5" w:rsidRPr="008B39E0" w:rsidRDefault="00DA6AC5" w:rsidP="008B39E0">
      <w:pPr>
        <w:pStyle w:val="R2"/>
        <w:tabs>
          <w:tab w:val="clear" w:pos="794"/>
          <w:tab w:val="right" w:pos="1418"/>
        </w:tabs>
        <w:ind w:left="2268" w:hanging="850"/>
        <w:jc w:val="left"/>
        <w:rPr>
          <w:sz w:val="22"/>
          <w:szCs w:val="22"/>
        </w:rPr>
      </w:pPr>
      <w:r w:rsidRPr="008B39E0">
        <w:rPr>
          <w:sz w:val="22"/>
          <w:szCs w:val="22"/>
        </w:rPr>
        <w:t>(d)</w:t>
      </w:r>
      <w:r w:rsidRPr="008B39E0">
        <w:rPr>
          <w:sz w:val="22"/>
          <w:szCs w:val="22"/>
        </w:rPr>
        <w:tab/>
        <w:t>purported to be present in a medicinal cannabis product that is dispensed, or extemporaneously compounded, in the manner mentioned in item 6 of Schedule 5 to the Regulations; or</w:t>
      </w:r>
    </w:p>
    <w:p w:rsidR="00DA6AC5" w:rsidRPr="008B39E0" w:rsidRDefault="00DA6AC5" w:rsidP="008B39E0">
      <w:pPr>
        <w:pStyle w:val="R2"/>
        <w:tabs>
          <w:tab w:val="clear" w:pos="794"/>
          <w:tab w:val="right" w:pos="1418"/>
        </w:tabs>
        <w:ind w:left="2268" w:hanging="850"/>
        <w:jc w:val="left"/>
        <w:rPr>
          <w:sz w:val="22"/>
          <w:szCs w:val="22"/>
        </w:rPr>
      </w:pPr>
      <w:r w:rsidRPr="008B39E0">
        <w:rPr>
          <w:sz w:val="22"/>
          <w:szCs w:val="22"/>
        </w:rPr>
        <w:t>(e)</w:t>
      </w:r>
      <w:r w:rsidRPr="008B39E0">
        <w:rPr>
          <w:sz w:val="22"/>
          <w:szCs w:val="22"/>
        </w:rPr>
        <w:tab/>
      </w:r>
      <w:proofErr w:type="gramStart"/>
      <w:r w:rsidRPr="008B39E0">
        <w:rPr>
          <w:sz w:val="22"/>
          <w:szCs w:val="22"/>
        </w:rPr>
        <w:t>notified</w:t>
      </w:r>
      <w:proofErr w:type="gramEnd"/>
      <w:r w:rsidRPr="008B39E0">
        <w:rPr>
          <w:sz w:val="22"/>
          <w:szCs w:val="22"/>
        </w:rPr>
        <w:t xml:space="preserve"> to be present in a medicinal cannabis product for the purposes of item 3 of Schedule 5A to the Regulations.</w:t>
      </w:r>
    </w:p>
    <w:p w:rsidR="00DB64FC" w:rsidRPr="00693735" w:rsidRDefault="008D7F38" w:rsidP="00EE57E8">
      <w:pPr>
        <w:pStyle w:val="ItemHead"/>
      </w:pPr>
      <w:proofErr w:type="gramStart"/>
      <w:r>
        <w:t>3</w:t>
      </w:r>
      <w:r w:rsidR="00DB64FC" w:rsidRPr="00B1728A">
        <w:t xml:space="preserve">  </w:t>
      </w:r>
      <w:r w:rsidR="00693735">
        <w:t>Sec</w:t>
      </w:r>
      <w:r w:rsidR="00917A60">
        <w:t>tion</w:t>
      </w:r>
      <w:proofErr w:type="gramEnd"/>
      <w:r w:rsidR="00917A60">
        <w:t xml:space="preserve"> 12 </w:t>
      </w:r>
      <w:r w:rsidR="007E23CC">
        <w:t>(n</w:t>
      </w:r>
      <w:r w:rsidR="00917A60">
        <w:t>ote</w:t>
      </w:r>
      <w:r w:rsidR="007E23CC">
        <w:t xml:space="preserve"> at the end)</w:t>
      </w:r>
    </w:p>
    <w:p w:rsidR="00DB64FC" w:rsidRPr="00B1728A" w:rsidRDefault="00693735" w:rsidP="00DB64FC">
      <w:pPr>
        <w:pStyle w:val="Item"/>
      </w:pPr>
      <w:r>
        <w:t>Omi</w:t>
      </w:r>
      <w:r w:rsidR="00917A60">
        <w:t>t “</w:t>
      </w:r>
      <w:r w:rsidR="00917A60" w:rsidRPr="00917A60">
        <w:rPr>
          <w:b/>
        </w:rPr>
        <w:t>Therapeutic Goods Order No.</w:t>
      </w:r>
      <w:r w:rsidR="00522CB6">
        <w:rPr>
          <w:b/>
        </w:rPr>
        <w:t xml:space="preserve"> </w:t>
      </w:r>
      <w:r w:rsidR="00917A60" w:rsidRPr="00917A60">
        <w:rPr>
          <w:b/>
        </w:rPr>
        <w:t xml:space="preserve">78 </w:t>
      </w:r>
      <w:r w:rsidR="00917A60" w:rsidRPr="008B39E0">
        <w:rPr>
          <w:b/>
          <w:i/>
        </w:rPr>
        <w:t>Standard</w:t>
      </w:r>
      <w:r w:rsidRPr="008B39E0">
        <w:rPr>
          <w:b/>
          <w:i/>
        </w:rPr>
        <w:t xml:space="preserve"> for </w:t>
      </w:r>
      <w:r w:rsidR="00917A60" w:rsidRPr="008B39E0">
        <w:rPr>
          <w:b/>
          <w:i/>
        </w:rPr>
        <w:t>Tablets and Capsules</w:t>
      </w:r>
      <w:r>
        <w:t>”, substitute “</w:t>
      </w:r>
      <w:r w:rsidRPr="00693735">
        <w:rPr>
          <w:i/>
        </w:rPr>
        <w:t>Therapeutic Goods (Standar</w:t>
      </w:r>
      <w:r w:rsidR="00917A60">
        <w:rPr>
          <w:i/>
        </w:rPr>
        <w:t>d for Tablets, Capsules and Pills) (TGO 101</w:t>
      </w:r>
      <w:r w:rsidRPr="00693735">
        <w:rPr>
          <w:i/>
        </w:rPr>
        <w:t>) Order 2019</w:t>
      </w:r>
      <w:r>
        <w:t>”.</w:t>
      </w:r>
    </w:p>
    <w:p w:rsidR="00506E1E" w:rsidRDefault="00506E1E" w:rsidP="008B39E0">
      <w:pPr>
        <w:pStyle w:val="subsection"/>
        <w:ind w:left="0" w:firstLine="0"/>
      </w:pPr>
    </w:p>
    <w:sectPr w:rsidR="00506E1E"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D8" w:rsidRDefault="00C215D8" w:rsidP="0048364F">
      <w:pPr>
        <w:spacing w:line="240" w:lineRule="auto"/>
      </w:pPr>
      <w:r>
        <w:separator/>
      </w:r>
    </w:p>
  </w:endnote>
  <w:endnote w:type="continuationSeparator" w:id="0">
    <w:p w:rsidR="00C215D8" w:rsidRDefault="00C215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06136">
            <w:rPr>
              <w:i/>
              <w:noProof/>
              <w:sz w:val="18"/>
            </w:rPr>
            <w:t>Therapeutic Goods Amendment (Standard for Medicinal Cannabis) Order 2019</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B39E0" w:rsidTr="008B39E0">
      <w:tc>
        <w:tcPr>
          <w:tcW w:w="947" w:type="pct"/>
        </w:tcPr>
        <w:p w:rsidR="008B39E0" w:rsidRDefault="008B39E0" w:rsidP="00DC5215">
          <w:pPr>
            <w:spacing w:line="0" w:lineRule="atLeast"/>
            <w:rPr>
              <w:sz w:val="18"/>
            </w:rPr>
          </w:pPr>
        </w:p>
      </w:tc>
      <w:tc>
        <w:tcPr>
          <w:tcW w:w="3688" w:type="pct"/>
        </w:tcPr>
        <w:p w:rsidR="008B39E0" w:rsidRDefault="008B39E0" w:rsidP="008B39E0">
          <w:pPr>
            <w:spacing w:line="0" w:lineRule="atLeast"/>
            <w:ind w:left="-19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813">
            <w:rPr>
              <w:i/>
              <w:noProof/>
              <w:sz w:val="18"/>
            </w:rPr>
            <w:t>Therapeutic Goods Amendment (Standard for Medicinal Cannabis) Order 2019</w:t>
          </w:r>
          <w:r w:rsidRPr="004E1307">
            <w:rPr>
              <w:i/>
              <w:sz w:val="18"/>
            </w:rPr>
            <w:fldChar w:fldCharType="end"/>
          </w:r>
        </w:p>
      </w:tc>
      <w:tc>
        <w:tcPr>
          <w:tcW w:w="365" w:type="pct"/>
        </w:tcPr>
        <w:p w:rsidR="008B39E0" w:rsidRDefault="008B39E0" w:rsidP="00DC52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813">
            <w:rPr>
              <w:i/>
              <w:noProof/>
              <w:sz w:val="18"/>
            </w:rPr>
            <w:t>i</w:t>
          </w:r>
          <w:r w:rsidRPr="00ED79B6">
            <w:rPr>
              <w:i/>
              <w:sz w:val="18"/>
            </w:rPr>
            <w:fldChar w:fldCharType="end"/>
          </w:r>
        </w:p>
      </w:tc>
    </w:tr>
  </w:tbl>
  <w:p w:rsidR="00B20990" w:rsidRPr="009A5762" w:rsidRDefault="00B20990" w:rsidP="009A5762">
    <w:pPr>
      <w:jc w:val="cente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E8" w:rsidRPr="00E33C1C" w:rsidRDefault="00EE57E8" w:rsidP="009C5989">
    <w:pPr>
      <w:pBdr>
        <w:top w:val="single" w:sz="6" w:space="1" w:color="auto"/>
      </w:pBdr>
      <w:spacing w:before="120" w:line="0" w:lineRule="atLeast"/>
      <w:rPr>
        <w:sz w:val="16"/>
        <w:szCs w:val="16"/>
      </w:rPr>
    </w:pPr>
  </w:p>
  <w:tbl>
    <w:tblPr>
      <w:tblStyle w:val="TableGrid"/>
      <w:tblW w:w="47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94"/>
      <w:gridCol w:w="623"/>
    </w:tblGrid>
    <w:tr w:rsidR="008B39E0" w:rsidTr="008B39E0">
      <w:tc>
        <w:tcPr>
          <w:tcW w:w="761" w:type="pct"/>
        </w:tcPr>
        <w:p w:rsidR="008B39E0" w:rsidRDefault="008B39E0" w:rsidP="00DC5215">
          <w:pPr>
            <w:spacing w:line="0" w:lineRule="atLeast"/>
            <w:rPr>
              <w:sz w:val="18"/>
            </w:rPr>
          </w:pPr>
        </w:p>
      </w:tc>
      <w:tc>
        <w:tcPr>
          <w:tcW w:w="3857" w:type="pct"/>
        </w:tcPr>
        <w:p w:rsidR="008B39E0" w:rsidRDefault="008B39E0" w:rsidP="008B39E0">
          <w:pPr>
            <w:spacing w:line="0" w:lineRule="atLeast"/>
            <w:ind w:left="34"/>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813">
            <w:rPr>
              <w:i/>
              <w:noProof/>
              <w:sz w:val="18"/>
            </w:rPr>
            <w:t>Therapeutic Goods Amendment (Standard for Medicinal Cannabis) Order 2019</w:t>
          </w:r>
          <w:r w:rsidRPr="004E1307">
            <w:rPr>
              <w:i/>
              <w:sz w:val="18"/>
            </w:rPr>
            <w:fldChar w:fldCharType="end"/>
          </w:r>
        </w:p>
      </w:tc>
      <w:tc>
        <w:tcPr>
          <w:tcW w:w="382" w:type="pct"/>
        </w:tcPr>
        <w:p w:rsidR="008B39E0" w:rsidRDefault="008B39E0" w:rsidP="00DC52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813">
            <w:rPr>
              <w:i/>
              <w:noProof/>
              <w:sz w:val="18"/>
            </w:rPr>
            <w:t>2</w:t>
          </w:r>
          <w:r w:rsidRPr="00ED79B6">
            <w:rPr>
              <w:i/>
              <w:sz w:val="18"/>
            </w:rPr>
            <w:fldChar w:fldCharType="end"/>
          </w:r>
        </w:p>
      </w:tc>
    </w:tr>
  </w:tbl>
  <w:p w:rsidR="00EE57E8" w:rsidRPr="009A5762" w:rsidRDefault="00EE57E8" w:rsidP="009A5762">
    <w:pPr>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291"/>
      <w:gridCol w:w="623"/>
    </w:tblGrid>
    <w:tr w:rsidR="008B39E0" w:rsidTr="008B39E0">
      <w:tc>
        <w:tcPr>
          <w:tcW w:w="1384" w:type="dxa"/>
        </w:tcPr>
        <w:p w:rsidR="008B39E0" w:rsidRDefault="008B39E0" w:rsidP="00DC5215">
          <w:pPr>
            <w:spacing w:line="0" w:lineRule="atLeast"/>
            <w:rPr>
              <w:sz w:val="18"/>
            </w:rPr>
          </w:pPr>
        </w:p>
      </w:tc>
      <w:tc>
        <w:tcPr>
          <w:tcW w:w="6291" w:type="dxa"/>
        </w:tcPr>
        <w:p w:rsidR="008B39E0" w:rsidRDefault="008B39E0" w:rsidP="008B39E0">
          <w:pPr>
            <w:spacing w:line="0" w:lineRule="atLeast"/>
            <w:ind w:left="-391"/>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35813">
            <w:rPr>
              <w:i/>
              <w:noProof/>
              <w:sz w:val="18"/>
            </w:rPr>
            <w:t>Therapeutic Goods Amendment (Standard for Medicinal Cannabis) Order 2019</w:t>
          </w:r>
          <w:r w:rsidRPr="004E1307">
            <w:rPr>
              <w:i/>
              <w:sz w:val="18"/>
            </w:rPr>
            <w:fldChar w:fldCharType="end"/>
          </w:r>
        </w:p>
      </w:tc>
      <w:tc>
        <w:tcPr>
          <w:tcW w:w="623" w:type="dxa"/>
        </w:tcPr>
        <w:p w:rsidR="008B39E0" w:rsidRDefault="008B39E0" w:rsidP="00DC52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5813">
            <w:rPr>
              <w:i/>
              <w:noProof/>
              <w:sz w:val="18"/>
            </w:rPr>
            <w:t>1</w:t>
          </w:r>
          <w:r w:rsidRPr="00ED79B6">
            <w:rPr>
              <w:i/>
              <w:sz w:val="18"/>
            </w:rPr>
            <w:fldChar w:fldCharType="end"/>
          </w:r>
        </w:p>
      </w:tc>
    </w:tr>
  </w:tbl>
  <w:p w:rsidR="00EE57E8" w:rsidRPr="009A5762" w:rsidRDefault="00EE57E8" w:rsidP="009A5762">
    <w:pPr>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0613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06136">
            <w:rPr>
              <w:i/>
              <w:noProof/>
              <w:sz w:val="18"/>
            </w:rPr>
            <w:t>C:\Users\carteb\AppData\Local\Microsoft\Windows\Temporary Internet Files\Content.Outlook\RZ6LAHQQ\FINAL Therapeutic Goods Amendment (Standard for Medicinal Cannabis) Order 2019 (2).docx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35813">
            <w:rPr>
              <w:i/>
              <w:noProof/>
              <w:sz w:val="18"/>
            </w:rPr>
            <w:t>27/3/2019 4:52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D8" w:rsidRDefault="00C215D8" w:rsidP="0048364F">
      <w:pPr>
        <w:spacing w:line="240" w:lineRule="auto"/>
      </w:pPr>
      <w:r>
        <w:separator/>
      </w:r>
    </w:p>
  </w:footnote>
  <w:footnote w:type="continuationSeparator" w:id="0">
    <w:p w:rsidR="00C215D8" w:rsidRDefault="00C215D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0A7376"/>
    <w:lvl w:ilvl="0">
      <w:start w:val="1"/>
      <w:numFmt w:val="decimal"/>
      <w:lvlText w:val="%1."/>
      <w:lvlJc w:val="left"/>
      <w:pPr>
        <w:tabs>
          <w:tab w:val="num" w:pos="1492"/>
        </w:tabs>
        <w:ind w:left="1492" w:hanging="360"/>
      </w:pPr>
    </w:lvl>
  </w:abstractNum>
  <w:abstractNum w:abstractNumId="1">
    <w:nsid w:val="FFFFFF7D"/>
    <w:multiLevelType w:val="singleLevel"/>
    <w:tmpl w:val="5E88F022"/>
    <w:lvl w:ilvl="0">
      <w:start w:val="1"/>
      <w:numFmt w:val="decimal"/>
      <w:lvlText w:val="%1."/>
      <w:lvlJc w:val="left"/>
      <w:pPr>
        <w:tabs>
          <w:tab w:val="num" w:pos="1209"/>
        </w:tabs>
        <w:ind w:left="1209" w:hanging="360"/>
      </w:pPr>
    </w:lvl>
  </w:abstractNum>
  <w:abstractNum w:abstractNumId="2">
    <w:nsid w:val="FFFFFF7E"/>
    <w:multiLevelType w:val="singleLevel"/>
    <w:tmpl w:val="40C4F814"/>
    <w:lvl w:ilvl="0">
      <w:start w:val="1"/>
      <w:numFmt w:val="decimal"/>
      <w:lvlText w:val="%1."/>
      <w:lvlJc w:val="left"/>
      <w:pPr>
        <w:tabs>
          <w:tab w:val="num" w:pos="926"/>
        </w:tabs>
        <w:ind w:left="926" w:hanging="360"/>
      </w:pPr>
    </w:lvl>
  </w:abstractNum>
  <w:abstractNum w:abstractNumId="3">
    <w:nsid w:val="FFFFFF7F"/>
    <w:multiLevelType w:val="singleLevel"/>
    <w:tmpl w:val="17E8A506"/>
    <w:lvl w:ilvl="0">
      <w:start w:val="1"/>
      <w:numFmt w:val="decimal"/>
      <w:lvlText w:val="%1."/>
      <w:lvlJc w:val="left"/>
      <w:pPr>
        <w:tabs>
          <w:tab w:val="num" w:pos="643"/>
        </w:tabs>
        <w:ind w:left="643" w:hanging="360"/>
      </w:pPr>
    </w:lvl>
  </w:abstractNum>
  <w:abstractNum w:abstractNumId="4">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74020E"/>
    <w:lvl w:ilvl="0">
      <w:start w:val="1"/>
      <w:numFmt w:val="decimal"/>
      <w:lvlText w:val="%1."/>
      <w:lvlJc w:val="left"/>
      <w:pPr>
        <w:tabs>
          <w:tab w:val="num" w:pos="360"/>
        </w:tabs>
        <w:ind w:left="360" w:hanging="360"/>
      </w:pPr>
    </w:lvl>
  </w:abstractNum>
  <w:abstractNum w:abstractNumId="9">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7321030A"/>
    <w:multiLevelType w:val="hybridMultilevel"/>
    <w:tmpl w:val="582AA46A"/>
    <w:lvl w:ilvl="0" w:tplc="7CF65ECE">
      <w:start w:val="1"/>
      <w:numFmt w:val="lowerLetter"/>
      <w:lvlText w:val="(%1)"/>
      <w:lvlJc w:val="left"/>
      <w:pPr>
        <w:ind w:left="2498" w:hanging="360"/>
      </w:pPr>
      <w:rPr>
        <w:rFonts w:hint="default"/>
      </w:rPr>
    </w:lvl>
    <w:lvl w:ilvl="1" w:tplc="0C090019" w:tentative="1">
      <w:start w:val="1"/>
      <w:numFmt w:val="lowerLetter"/>
      <w:lvlText w:val="%2."/>
      <w:lvlJc w:val="left"/>
      <w:pPr>
        <w:ind w:left="3218" w:hanging="360"/>
      </w:p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DD"/>
    <w:rsid w:val="00000263"/>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D6265"/>
    <w:rsid w:val="000E598E"/>
    <w:rsid w:val="000E5A3D"/>
    <w:rsid w:val="000F0ADA"/>
    <w:rsid w:val="000F21C1"/>
    <w:rsid w:val="0010745C"/>
    <w:rsid w:val="001122FF"/>
    <w:rsid w:val="0013496F"/>
    <w:rsid w:val="001401B0"/>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A6E66"/>
    <w:rsid w:val="001B7A5D"/>
    <w:rsid w:val="001C69C4"/>
    <w:rsid w:val="001E0A8D"/>
    <w:rsid w:val="001E3590"/>
    <w:rsid w:val="001E7407"/>
    <w:rsid w:val="001F1A46"/>
    <w:rsid w:val="00201D27"/>
    <w:rsid w:val="0021153A"/>
    <w:rsid w:val="002245A6"/>
    <w:rsid w:val="002302EA"/>
    <w:rsid w:val="00237614"/>
    <w:rsid w:val="00240749"/>
    <w:rsid w:val="00244F40"/>
    <w:rsid w:val="002468D7"/>
    <w:rsid w:val="00247E97"/>
    <w:rsid w:val="00256C81"/>
    <w:rsid w:val="002836D1"/>
    <w:rsid w:val="00285CDD"/>
    <w:rsid w:val="00291167"/>
    <w:rsid w:val="0029489E"/>
    <w:rsid w:val="00297ECB"/>
    <w:rsid w:val="002C152A"/>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4FDD"/>
    <w:rsid w:val="003F6F52"/>
    <w:rsid w:val="004022CA"/>
    <w:rsid w:val="004116CD"/>
    <w:rsid w:val="00414ADE"/>
    <w:rsid w:val="00424CA9"/>
    <w:rsid w:val="004257BB"/>
    <w:rsid w:val="0044291A"/>
    <w:rsid w:val="0044474F"/>
    <w:rsid w:val="004600B0"/>
    <w:rsid w:val="00460499"/>
    <w:rsid w:val="00460FBA"/>
    <w:rsid w:val="00464051"/>
    <w:rsid w:val="00474835"/>
    <w:rsid w:val="004819C7"/>
    <w:rsid w:val="0048312E"/>
    <w:rsid w:val="0048364F"/>
    <w:rsid w:val="004877FC"/>
    <w:rsid w:val="00490F2E"/>
    <w:rsid w:val="00496F97"/>
    <w:rsid w:val="004A53EA"/>
    <w:rsid w:val="004B35E7"/>
    <w:rsid w:val="004C673A"/>
    <w:rsid w:val="004F1FAC"/>
    <w:rsid w:val="004F676E"/>
    <w:rsid w:val="004F71C0"/>
    <w:rsid w:val="00506E1E"/>
    <w:rsid w:val="00516B8D"/>
    <w:rsid w:val="00522CB6"/>
    <w:rsid w:val="0052681D"/>
    <w:rsid w:val="0052756C"/>
    <w:rsid w:val="00530230"/>
    <w:rsid w:val="00530CC9"/>
    <w:rsid w:val="00531B46"/>
    <w:rsid w:val="00537FBC"/>
    <w:rsid w:val="00541D73"/>
    <w:rsid w:val="00543469"/>
    <w:rsid w:val="00546FA3"/>
    <w:rsid w:val="00557C7A"/>
    <w:rsid w:val="00562A58"/>
    <w:rsid w:val="0056541A"/>
    <w:rsid w:val="00581211"/>
    <w:rsid w:val="00584526"/>
    <w:rsid w:val="00584811"/>
    <w:rsid w:val="00593AA6"/>
    <w:rsid w:val="00594161"/>
    <w:rsid w:val="00594749"/>
    <w:rsid w:val="00594956"/>
    <w:rsid w:val="005A5026"/>
    <w:rsid w:val="005B1555"/>
    <w:rsid w:val="005B4067"/>
    <w:rsid w:val="005C3F41"/>
    <w:rsid w:val="005C4EF0"/>
    <w:rsid w:val="005D5EA1"/>
    <w:rsid w:val="005D683E"/>
    <w:rsid w:val="005E098C"/>
    <w:rsid w:val="005E1F8D"/>
    <w:rsid w:val="005E317F"/>
    <w:rsid w:val="005E61D3"/>
    <w:rsid w:val="00600219"/>
    <w:rsid w:val="006065DA"/>
    <w:rsid w:val="00606AA4"/>
    <w:rsid w:val="00640402"/>
    <w:rsid w:val="00640F78"/>
    <w:rsid w:val="00645D16"/>
    <w:rsid w:val="00646443"/>
    <w:rsid w:val="00655D6A"/>
    <w:rsid w:val="00656DE9"/>
    <w:rsid w:val="00672876"/>
    <w:rsid w:val="00677CC2"/>
    <w:rsid w:val="00685F42"/>
    <w:rsid w:val="0069207B"/>
    <w:rsid w:val="00693735"/>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E23CC"/>
    <w:rsid w:val="007E32B6"/>
    <w:rsid w:val="007E486B"/>
    <w:rsid w:val="007E7D4A"/>
    <w:rsid w:val="007F48ED"/>
    <w:rsid w:val="007F5E3F"/>
    <w:rsid w:val="00812F45"/>
    <w:rsid w:val="00836FE9"/>
    <w:rsid w:val="0084172C"/>
    <w:rsid w:val="0085175E"/>
    <w:rsid w:val="00856A31"/>
    <w:rsid w:val="00873F95"/>
    <w:rsid w:val="008754D0"/>
    <w:rsid w:val="00877C69"/>
    <w:rsid w:val="00877D48"/>
    <w:rsid w:val="0088345B"/>
    <w:rsid w:val="008A16A5"/>
    <w:rsid w:val="008A5C57"/>
    <w:rsid w:val="008B39E0"/>
    <w:rsid w:val="008C0629"/>
    <w:rsid w:val="008D0EE0"/>
    <w:rsid w:val="008D7A27"/>
    <w:rsid w:val="008D7F38"/>
    <w:rsid w:val="008E4702"/>
    <w:rsid w:val="008E69AA"/>
    <w:rsid w:val="008F4F1C"/>
    <w:rsid w:val="00906136"/>
    <w:rsid w:val="0090615A"/>
    <w:rsid w:val="009069AD"/>
    <w:rsid w:val="00910E64"/>
    <w:rsid w:val="00917A60"/>
    <w:rsid w:val="00922764"/>
    <w:rsid w:val="009278C1"/>
    <w:rsid w:val="00932377"/>
    <w:rsid w:val="009346E3"/>
    <w:rsid w:val="0094523D"/>
    <w:rsid w:val="00976A63"/>
    <w:rsid w:val="009A5762"/>
    <w:rsid w:val="009B2490"/>
    <w:rsid w:val="009B50E5"/>
    <w:rsid w:val="009B714E"/>
    <w:rsid w:val="009C3431"/>
    <w:rsid w:val="009C5989"/>
    <w:rsid w:val="009C6A32"/>
    <w:rsid w:val="009C6A8D"/>
    <w:rsid w:val="009D08DA"/>
    <w:rsid w:val="009F28A1"/>
    <w:rsid w:val="00A06860"/>
    <w:rsid w:val="00A136F5"/>
    <w:rsid w:val="00A231E2"/>
    <w:rsid w:val="00A2550D"/>
    <w:rsid w:val="00A379BB"/>
    <w:rsid w:val="00A4169B"/>
    <w:rsid w:val="00A50D55"/>
    <w:rsid w:val="00A52FDA"/>
    <w:rsid w:val="00A64912"/>
    <w:rsid w:val="00A706E9"/>
    <w:rsid w:val="00A70A74"/>
    <w:rsid w:val="00A9231A"/>
    <w:rsid w:val="00A95BC7"/>
    <w:rsid w:val="00AA0343"/>
    <w:rsid w:val="00AA78CE"/>
    <w:rsid w:val="00AA7B26"/>
    <w:rsid w:val="00AC767C"/>
    <w:rsid w:val="00AC7733"/>
    <w:rsid w:val="00AD3467"/>
    <w:rsid w:val="00AD5641"/>
    <w:rsid w:val="00AF33DB"/>
    <w:rsid w:val="00B032D8"/>
    <w:rsid w:val="00B05D72"/>
    <w:rsid w:val="00B20990"/>
    <w:rsid w:val="00B23FAF"/>
    <w:rsid w:val="00B33B3C"/>
    <w:rsid w:val="00B35813"/>
    <w:rsid w:val="00B40D74"/>
    <w:rsid w:val="00B42649"/>
    <w:rsid w:val="00B46467"/>
    <w:rsid w:val="00B52663"/>
    <w:rsid w:val="00B56DCB"/>
    <w:rsid w:val="00B61728"/>
    <w:rsid w:val="00B67E6A"/>
    <w:rsid w:val="00B770D2"/>
    <w:rsid w:val="00B93516"/>
    <w:rsid w:val="00B96776"/>
    <w:rsid w:val="00B973E5"/>
    <w:rsid w:val="00BA47A3"/>
    <w:rsid w:val="00BA5026"/>
    <w:rsid w:val="00BA7B5B"/>
    <w:rsid w:val="00BB6E79"/>
    <w:rsid w:val="00BE42C5"/>
    <w:rsid w:val="00BE719A"/>
    <w:rsid w:val="00BE720A"/>
    <w:rsid w:val="00BF0723"/>
    <w:rsid w:val="00BF6650"/>
    <w:rsid w:val="00C067E5"/>
    <w:rsid w:val="00C164CA"/>
    <w:rsid w:val="00C215D8"/>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229D"/>
    <w:rsid w:val="00CE0A93"/>
    <w:rsid w:val="00CF0BB2"/>
    <w:rsid w:val="00D12B0D"/>
    <w:rsid w:val="00D13441"/>
    <w:rsid w:val="00D20761"/>
    <w:rsid w:val="00D243A3"/>
    <w:rsid w:val="00D33440"/>
    <w:rsid w:val="00D52EFE"/>
    <w:rsid w:val="00D56A0D"/>
    <w:rsid w:val="00D63EF6"/>
    <w:rsid w:val="00D64697"/>
    <w:rsid w:val="00D66518"/>
    <w:rsid w:val="00D70DFB"/>
    <w:rsid w:val="00D71EEA"/>
    <w:rsid w:val="00D735CD"/>
    <w:rsid w:val="00D766DF"/>
    <w:rsid w:val="00D90841"/>
    <w:rsid w:val="00DA2439"/>
    <w:rsid w:val="00DA6AC5"/>
    <w:rsid w:val="00DA6F05"/>
    <w:rsid w:val="00DA7187"/>
    <w:rsid w:val="00DB64FC"/>
    <w:rsid w:val="00DE149E"/>
    <w:rsid w:val="00E034DB"/>
    <w:rsid w:val="00E05704"/>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5C59"/>
    <w:rsid w:val="00F8121C"/>
    <w:rsid w:val="00F84CF5"/>
    <w:rsid w:val="00F8612E"/>
    <w:rsid w:val="00F87252"/>
    <w:rsid w:val="00F94583"/>
    <w:rsid w:val="00FA0F38"/>
    <w:rsid w:val="00FA2C23"/>
    <w:rsid w:val="00FA420B"/>
    <w:rsid w:val="00FB243C"/>
    <w:rsid w:val="00FB6AEE"/>
    <w:rsid w:val="00FC2285"/>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1A6E66"/>
    <w:rPr>
      <w:rFonts w:eastAsia="Times New Roman" w:cs="Times New Roman"/>
      <w:sz w:val="18"/>
      <w:lang w:eastAsia="en-AU"/>
    </w:rPr>
  </w:style>
  <w:style w:type="character" w:styleId="CommentReference">
    <w:name w:val="annotation reference"/>
    <w:basedOn w:val="DefaultParagraphFont"/>
    <w:uiPriority w:val="99"/>
    <w:semiHidden/>
    <w:unhideWhenUsed/>
    <w:rsid w:val="00FB243C"/>
    <w:rPr>
      <w:sz w:val="16"/>
      <w:szCs w:val="16"/>
    </w:rPr>
  </w:style>
  <w:style w:type="paragraph" w:styleId="CommentText">
    <w:name w:val="annotation text"/>
    <w:basedOn w:val="Normal"/>
    <w:link w:val="CommentTextChar"/>
    <w:uiPriority w:val="99"/>
    <w:semiHidden/>
    <w:unhideWhenUsed/>
    <w:rsid w:val="00FB243C"/>
    <w:pPr>
      <w:spacing w:line="240" w:lineRule="auto"/>
    </w:pPr>
    <w:rPr>
      <w:sz w:val="20"/>
    </w:rPr>
  </w:style>
  <w:style w:type="character" w:customStyle="1" w:styleId="CommentTextChar">
    <w:name w:val="Comment Text Char"/>
    <w:basedOn w:val="DefaultParagraphFont"/>
    <w:link w:val="CommentText"/>
    <w:uiPriority w:val="99"/>
    <w:semiHidden/>
    <w:rsid w:val="00FB243C"/>
  </w:style>
  <w:style w:type="paragraph" w:styleId="CommentSubject">
    <w:name w:val="annotation subject"/>
    <w:basedOn w:val="CommentText"/>
    <w:next w:val="CommentText"/>
    <w:link w:val="CommentSubjectChar"/>
    <w:uiPriority w:val="99"/>
    <w:semiHidden/>
    <w:unhideWhenUsed/>
    <w:rsid w:val="00FB243C"/>
    <w:rPr>
      <w:b/>
      <w:bCs/>
    </w:rPr>
  </w:style>
  <w:style w:type="character" w:customStyle="1" w:styleId="CommentSubjectChar">
    <w:name w:val="Comment Subject Char"/>
    <w:basedOn w:val="CommentTextChar"/>
    <w:link w:val="CommentSubject"/>
    <w:uiPriority w:val="99"/>
    <w:semiHidden/>
    <w:rsid w:val="00FB243C"/>
    <w:rPr>
      <w:b/>
      <w:bCs/>
    </w:rPr>
  </w:style>
  <w:style w:type="paragraph" w:styleId="Revision">
    <w:name w:val="Revision"/>
    <w:hidden/>
    <w:uiPriority w:val="99"/>
    <w:semiHidden/>
    <w:rsid w:val="00FB243C"/>
    <w:rPr>
      <w:sz w:val="22"/>
    </w:rPr>
  </w:style>
  <w:style w:type="paragraph" w:customStyle="1" w:styleId="A2">
    <w:name w:val="A2"/>
    <w:aliases w:val="1.1 amendment,Instruction amendment"/>
    <w:basedOn w:val="Normal"/>
    <w:next w:val="Normal"/>
    <w:rsid w:val="00DA6AC5"/>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DA6AC5"/>
    <w:pPr>
      <w:keepLines/>
      <w:tabs>
        <w:tab w:val="right" w:pos="794"/>
      </w:tabs>
      <w:spacing w:before="180" w:line="260" w:lineRule="exact"/>
      <w:ind w:left="964" w:hanging="964"/>
      <w:jc w:val="both"/>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1A6E66"/>
    <w:rPr>
      <w:rFonts w:eastAsia="Times New Roman" w:cs="Times New Roman"/>
      <w:sz w:val="18"/>
      <w:lang w:eastAsia="en-AU"/>
    </w:rPr>
  </w:style>
  <w:style w:type="character" w:styleId="CommentReference">
    <w:name w:val="annotation reference"/>
    <w:basedOn w:val="DefaultParagraphFont"/>
    <w:uiPriority w:val="99"/>
    <w:semiHidden/>
    <w:unhideWhenUsed/>
    <w:rsid w:val="00FB243C"/>
    <w:rPr>
      <w:sz w:val="16"/>
      <w:szCs w:val="16"/>
    </w:rPr>
  </w:style>
  <w:style w:type="paragraph" w:styleId="CommentText">
    <w:name w:val="annotation text"/>
    <w:basedOn w:val="Normal"/>
    <w:link w:val="CommentTextChar"/>
    <w:uiPriority w:val="99"/>
    <w:semiHidden/>
    <w:unhideWhenUsed/>
    <w:rsid w:val="00FB243C"/>
    <w:pPr>
      <w:spacing w:line="240" w:lineRule="auto"/>
    </w:pPr>
    <w:rPr>
      <w:sz w:val="20"/>
    </w:rPr>
  </w:style>
  <w:style w:type="character" w:customStyle="1" w:styleId="CommentTextChar">
    <w:name w:val="Comment Text Char"/>
    <w:basedOn w:val="DefaultParagraphFont"/>
    <w:link w:val="CommentText"/>
    <w:uiPriority w:val="99"/>
    <w:semiHidden/>
    <w:rsid w:val="00FB243C"/>
  </w:style>
  <w:style w:type="paragraph" w:styleId="CommentSubject">
    <w:name w:val="annotation subject"/>
    <w:basedOn w:val="CommentText"/>
    <w:next w:val="CommentText"/>
    <w:link w:val="CommentSubjectChar"/>
    <w:uiPriority w:val="99"/>
    <w:semiHidden/>
    <w:unhideWhenUsed/>
    <w:rsid w:val="00FB243C"/>
    <w:rPr>
      <w:b/>
      <w:bCs/>
    </w:rPr>
  </w:style>
  <w:style w:type="character" w:customStyle="1" w:styleId="CommentSubjectChar">
    <w:name w:val="Comment Subject Char"/>
    <w:basedOn w:val="CommentTextChar"/>
    <w:link w:val="CommentSubject"/>
    <w:uiPriority w:val="99"/>
    <w:semiHidden/>
    <w:rsid w:val="00FB243C"/>
    <w:rPr>
      <w:b/>
      <w:bCs/>
    </w:rPr>
  </w:style>
  <w:style w:type="paragraph" w:styleId="Revision">
    <w:name w:val="Revision"/>
    <w:hidden/>
    <w:uiPriority w:val="99"/>
    <w:semiHidden/>
    <w:rsid w:val="00FB243C"/>
    <w:rPr>
      <w:sz w:val="22"/>
    </w:rPr>
  </w:style>
  <w:style w:type="paragraph" w:customStyle="1" w:styleId="A2">
    <w:name w:val="A2"/>
    <w:aliases w:val="1.1 amendment,Instruction amendment"/>
    <w:basedOn w:val="Normal"/>
    <w:next w:val="Normal"/>
    <w:rsid w:val="00DA6AC5"/>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DA6AC5"/>
    <w:pPr>
      <w:keepLines/>
      <w:tabs>
        <w:tab w:val="right" w:pos="794"/>
      </w:tabs>
      <w:spacing w:before="180" w:line="260" w:lineRule="exact"/>
      <w:ind w:left="964" w:hanging="964"/>
      <w:jc w:val="both"/>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FREEBAIRN, Will</dc:creator>
  <cp:lastModifiedBy>CARTER, Bless</cp:lastModifiedBy>
  <cp:revision>3</cp:revision>
  <cp:lastPrinted>2019-03-27T05:18:00Z</cp:lastPrinted>
  <dcterms:created xsi:type="dcterms:W3CDTF">2019-03-27T05:24:00Z</dcterms:created>
  <dcterms:modified xsi:type="dcterms:W3CDTF">2019-03-27T05:53:00Z</dcterms:modified>
</cp:coreProperties>
</file>