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03187" w14:textId="41716AA3" w:rsidR="002E3895" w:rsidRPr="005F09F7" w:rsidRDefault="6B329A72" w:rsidP="0086430F">
      <w:pPr>
        <w:pStyle w:val="Title"/>
      </w:pPr>
      <w:bookmarkStart w:id="0" w:name="_GoBack"/>
      <w:bookmarkEnd w:id="0"/>
      <w:r>
        <w:t>EXPLANATORY STATEMENT</w:t>
      </w:r>
    </w:p>
    <w:p w14:paraId="5108F897" w14:textId="2C4FA166" w:rsidR="6B329A72" w:rsidRDefault="00762CA5" w:rsidP="6B329A72">
      <w:pPr>
        <w:pStyle w:val="Subtitle"/>
      </w:pPr>
      <w:r w:rsidRPr="003220D5">
        <w:rPr>
          <w:rFonts w:eastAsia="Times New Roman"/>
          <w:iCs/>
          <w:lang w:eastAsia="en-AU"/>
        </w:rPr>
        <w:t>Fuel Quality Standards Act 2000</w:t>
      </w:r>
    </w:p>
    <w:p w14:paraId="5E1723ED" w14:textId="2764AE71" w:rsidR="6B329A72" w:rsidRPr="00DC4A45" w:rsidRDefault="00762CA5" w:rsidP="6B329A72">
      <w:pPr>
        <w:pStyle w:val="Subtitle"/>
      </w:pPr>
      <w:r w:rsidRPr="00DC4A45">
        <w:t>Fuel Quality Standards (A</w:t>
      </w:r>
      <w:r w:rsidR="00996770" w:rsidRPr="00DC4A45">
        <w:t>utomotive Diesel) Determination </w:t>
      </w:r>
      <w:r w:rsidRPr="00DC4A45">
        <w:t>2019</w:t>
      </w:r>
    </w:p>
    <w:p w14:paraId="1018D714" w14:textId="59BCA1ED" w:rsidR="004E0E3B" w:rsidRDefault="6B329A72" w:rsidP="005836CC">
      <w:pPr>
        <w:pStyle w:val="Sub-subtitle"/>
      </w:pPr>
      <w:r>
        <w:t xml:space="preserve">(Issued by the authority of the </w:t>
      </w:r>
      <w:r w:rsidR="00996770" w:rsidRPr="00996770">
        <w:t xml:space="preserve">Minister </w:t>
      </w:r>
      <w:r w:rsidR="00BB42AD" w:rsidRPr="00970A2C">
        <w:rPr>
          <w:sz w:val="24"/>
        </w:rPr>
        <w:t>for Energy and Emissions Reduction</w:t>
      </w:r>
      <w:r w:rsidR="00996770" w:rsidRPr="00996770">
        <w:t>)</w:t>
      </w:r>
    </w:p>
    <w:p w14:paraId="199207AC" w14:textId="29714785" w:rsidR="000D0E22" w:rsidRDefault="004E0E3B" w:rsidP="00DC4A45">
      <w:pPr>
        <w:pStyle w:val="Heading1"/>
        <w:spacing w:after="120"/>
      </w:pPr>
      <w:r>
        <w:t>Purpose and o</w:t>
      </w:r>
      <w:r w:rsidR="000D0E22" w:rsidRPr="000D0E22">
        <w:t>peration</w:t>
      </w:r>
    </w:p>
    <w:p w14:paraId="3507016A" w14:textId="2AC9075C" w:rsidR="00996770" w:rsidRDefault="00996770" w:rsidP="00DC4A45">
      <w:pPr>
        <w:rPr>
          <w:szCs w:val="24"/>
        </w:rPr>
      </w:pPr>
      <w:r w:rsidRPr="00C6086C">
        <w:rPr>
          <w:szCs w:val="24"/>
        </w:rPr>
        <w:t xml:space="preserve">The </w:t>
      </w:r>
      <w:r w:rsidRPr="00C6086C">
        <w:rPr>
          <w:i/>
          <w:szCs w:val="24"/>
        </w:rPr>
        <w:t>Fuel Quality Standards Act</w:t>
      </w:r>
      <w:r>
        <w:rPr>
          <w:i/>
          <w:szCs w:val="24"/>
        </w:rPr>
        <w:t> </w:t>
      </w:r>
      <w:r w:rsidRPr="00C6086C">
        <w:rPr>
          <w:i/>
          <w:szCs w:val="24"/>
        </w:rPr>
        <w:t xml:space="preserve">2000 </w:t>
      </w:r>
      <w:r w:rsidRPr="00517832">
        <w:rPr>
          <w:szCs w:val="24"/>
        </w:rPr>
        <w:t>(</w:t>
      </w:r>
      <w:proofErr w:type="spellStart"/>
      <w:r w:rsidRPr="00517832">
        <w:rPr>
          <w:szCs w:val="24"/>
        </w:rPr>
        <w:t>Cth</w:t>
      </w:r>
      <w:proofErr w:type="spellEnd"/>
      <w:r w:rsidRPr="00517832">
        <w:rPr>
          <w:szCs w:val="24"/>
        </w:rPr>
        <w:t>)</w:t>
      </w:r>
      <w:r>
        <w:rPr>
          <w:szCs w:val="24"/>
        </w:rPr>
        <w:t xml:space="preserve"> </w:t>
      </w:r>
      <w:r w:rsidRPr="00C6086C">
        <w:rPr>
          <w:szCs w:val="24"/>
        </w:rPr>
        <w:t xml:space="preserve">(the Act) </w:t>
      </w:r>
      <w:r>
        <w:rPr>
          <w:szCs w:val="24"/>
        </w:rPr>
        <w:t>provides the legislative framework for regulating</w:t>
      </w:r>
      <w:r w:rsidRPr="00C6086C">
        <w:rPr>
          <w:szCs w:val="24"/>
        </w:rPr>
        <w:t xml:space="preserve"> the quality of fuel supplied in Australia</w:t>
      </w:r>
      <w:r>
        <w:rPr>
          <w:szCs w:val="24"/>
        </w:rPr>
        <w:t>. The objectives of the Act are</w:t>
      </w:r>
      <w:r w:rsidRPr="00C6086C">
        <w:rPr>
          <w:szCs w:val="24"/>
        </w:rPr>
        <w:t xml:space="preserve"> to reduc</w:t>
      </w:r>
      <w:r>
        <w:rPr>
          <w:szCs w:val="24"/>
        </w:rPr>
        <w:t>e</w:t>
      </w:r>
      <w:r w:rsidRPr="00C6086C">
        <w:rPr>
          <w:szCs w:val="24"/>
        </w:rPr>
        <w:t xml:space="preserve"> the level of pollutants and emissions arising from the use of fuel that may cause environmental an</w:t>
      </w:r>
      <w:r>
        <w:rPr>
          <w:szCs w:val="24"/>
        </w:rPr>
        <w:t>d health problems;</w:t>
      </w:r>
      <w:r w:rsidRPr="00C6086C">
        <w:rPr>
          <w:szCs w:val="24"/>
        </w:rPr>
        <w:t xml:space="preserve"> </w:t>
      </w:r>
      <w:r>
        <w:rPr>
          <w:szCs w:val="24"/>
        </w:rPr>
        <w:t>facilitate</w:t>
      </w:r>
      <w:r w:rsidRPr="00C6086C">
        <w:rPr>
          <w:szCs w:val="24"/>
        </w:rPr>
        <w:t xml:space="preserve"> the adoption of better engine and emission c</w:t>
      </w:r>
      <w:r>
        <w:rPr>
          <w:szCs w:val="24"/>
        </w:rPr>
        <w:t>ontrol technology; allow</w:t>
      </w:r>
      <w:r w:rsidRPr="00C6086C">
        <w:rPr>
          <w:szCs w:val="24"/>
        </w:rPr>
        <w:t xml:space="preserve"> the more</w:t>
      </w:r>
      <w:r>
        <w:rPr>
          <w:szCs w:val="24"/>
        </w:rPr>
        <w:t xml:space="preserve"> effective operation of engines</w:t>
      </w:r>
      <w:r w:rsidR="008227C9" w:rsidRPr="008227C9">
        <w:rPr>
          <w:szCs w:val="24"/>
        </w:rPr>
        <w:t xml:space="preserve"> </w:t>
      </w:r>
      <w:r w:rsidR="008227C9">
        <w:rPr>
          <w:szCs w:val="24"/>
        </w:rPr>
        <w:t xml:space="preserve">and </w:t>
      </w:r>
      <w:r w:rsidR="008227C9" w:rsidRPr="008F4406">
        <w:rPr>
          <w:szCs w:val="24"/>
        </w:rPr>
        <w:t>ensure that, where appropriate, information about fuel is provided when the fuel is supplied</w:t>
      </w:r>
      <w:r>
        <w:rPr>
          <w:szCs w:val="24"/>
        </w:rPr>
        <w:t xml:space="preserve">. </w:t>
      </w:r>
    </w:p>
    <w:p w14:paraId="45789F76" w14:textId="7D2C0E57" w:rsidR="00996770" w:rsidRDefault="00DC4A45" w:rsidP="00DC4A45">
      <w:pPr>
        <w:rPr>
          <w:szCs w:val="24"/>
        </w:rPr>
      </w:pPr>
      <w:r w:rsidRPr="00BC3824">
        <w:rPr>
          <w:rFonts w:cs="Times New Roman"/>
          <w:szCs w:val="24"/>
        </w:rPr>
        <w:t>Section 21 of the Act provides that the Minister may, by legislative instrument, determine a fuel standard in respect of a specified kind of fuel.</w:t>
      </w:r>
      <w:r w:rsidR="00996770">
        <w:rPr>
          <w:szCs w:val="24"/>
        </w:rPr>
        <w:t xml:space="preserve"> </w:t>
      </w:r>
    </w:p>
    <w:p w14:paraId="3F8A4CD5" w14:textId="71A10163" w:rsidR="00996770" w:rsidRDefault="00996770" w:rsidP="00DC4A45">
      <w:pPr>
        <w:rPr>
          <w:rFonts w:eastAsia="Times New Roman"/>
          <w:szCs w:val="24"/>
          <w:lang w:eastAsia="en-AU"/>
        </w:rPr>
      </w:pPr>
      <w:r>
        <w:rPr>
          <w:szCs w:val="24"/>
        </w:rPr>
        <w:t xml:space="preserve">The </w:t>
      </w:r>
      <w:r w:rsidRPr="00DC4A45">
        <w:rPr>
          <w:i/>
        </w:rPr>
        <w:t>Fuel Quality Standards (Automotive Diesel) Determination 2019</w:t>
      </w:r>
      <w:r>
        <w:rPr>
          <w:i/>
        </w:rPr>
        <w:t xml:space="preserve"> </w:t>
      </w:r>
      <w:r>
        <w:t xml:space="preserve">(the Determination) </w:t>
      </w:r>
      <w:r w:rsidRPr="00DC323C">
        <w:t xml:space="preserve">sets out </w:t>
      </w:r>
      <w:r w:rsidRPr="002B7B97">
        <w:rPr>
          <w:szCs w:val="24"/>
        </w:rPr>
        <w:t>the parameters and testing methods </w:t>
      </w:r>
      <w:r>
        <w:rPr>
          <w:szCs w:val="24"/>
        </w:rPr>
        <w:t xml:space="preserve">for </w:t>
      </w:r>
      <w:r w:rsidR="00843E94">
        <w:rPr>
          <w:szCs w:val="24"/>
        </w:rPr>
        <w:t xml:space="preserve">automotive diesel </w:t>
      </w:r>
      <w:r>
        <w:rPr>
          <w:szCs w:val="24"/>
        </w:rPr>
        <w:t>used in Australia.</w:t>
      </w:r>
    </w:p>
    <w:p w14:paraId="37B24E7D" w14:textId="66047971" w:rsidR="00996770" w:rsidRDefault="00996770" w:rsidP="00DC4A45">
      <w:pPr>
        <w:pStyle w:val="subsection"/>
        <w:spacing w:after="200" w:line="276" w:lineRule="auto"/>
        <w:ind w:left="0" w:firstLine="0"/>
        <w:rPr>
          <w:rFonts w:eastAsiaTheme="minorHAnsi" w:cstheme="minorBidi"/>
          <w:sz w:val="24"/>
          <w:szCs w:val="24"/>
          <w:lang w:eastAsia="en-US"/>
        </w:rPr>
      </w:pPr>
      <w:r w:rsidRPr="001D11DE">
        <w:rPr>
          <w:rFonts w:eastAsiaTheme="minorHAnsi" w:cstheme="minorBidi"/>
          <w:sz w:val="24"/>
          <w:szCs w:val="24"/>
          <w:lang w:eastAsia="en-US"/>
        </w:rPr>
        <w:t xml:space="preserve">The purpose of the Determination is to replace the sunsetting </w:t>
      </w:r>
      <w:r w:rsidRPr="00DC4A45">
        <w:rPr>
          <w:rFonts w:eastAsiaTheme="minorHAnsi" w:cstheme="minorBidi"/>
          <w:i/>
          <w:sz w:val="24"/>
          <w:szCs w:val="24"/>
          <w:lang w:eastAsia="en-US"/>
        </w:rPr>
        <w:t>Fuel Standard (Automotive Diesel) Determination 2001</w:t>
      </w:r>
      <w:r>
        <w:rPr>
          <w:rFonts w:eastAsiaTheme="minorHAnsi" w:cstheme="minorBidi"/>
          <w:sz w:val="24"/>
          <w:szCs w:val="24"/>
          <w:lang w:eastAsia="en-US"/>
        </w:rPr>
        <w:t xml:space="preserve">, and to provide certainty for the quality of </w:t>
      </w:r>
      <w:r w:rsidR="00365493">
        <w:rPr>
          <w:rFonts w:eastAsiaTheme="minorHAnsi" w:cstheme="minorBidi"/>
          <w:sz w:val="24"/>
          <w:szCs w:val="24"/>
          <w:lang w:eastAsia="en-US"/>
        </w:rPr>
        <w:t xml:space="preserve">automotive diesel </w:t>
      </w:r>
      <w:r>
        <w:rPr>
          <w:rFonts w:eastAsiaTheme="minorHAnsi" w:cstheme="minorBidi"/>
          <w:sz w:val="24"/>
          <w:szCs w:val="24"/>
          <w:lang w:eastAsia="en-US"/>
        </w:rPr>
        <w:t>supplied in Australia</w:t>
      </w:r>
      <w:r w:rsidRPr="001D11DE">
        <w:rPr>
          <w:rFonts w:eastAsiaTheme="minorHAnsi" w:cstheme="minorBidi"/>
          <w:sz w:val="24"/>
          <w:szCs w:val="24"/>
          <w:lang w:eastAsia="en-US"/>
        </w:rPr>
        <w:t xml:space="preserve">. </w:t>
      </w:r>
    </w:p>
    <w:p w14:paraId="276228FC" w14:textId="1E2F091B" w:rsidR="00DC4A45" w:rsidRDefault="00762CA5" w:rsidP="00DC4A45">
      <w:pPr>
        <w:spacing w:before="120"/>
      </w:pPr>
      <w:r>
        <w:t xml:space="preserve">The most significant change to the diesel standard is a clarification in the definitions that this standard applies to any fuel supplied or represented as automotive diesel. This includes </w:t>
      </w:r>
      <w:r w:rsidR="00A94B3F">
        <w:t>renewable</w:t>
      </w:r>
      <w:r>
        <w:t xml:space="preserve"> diesel and synthetic diesel, which have both been defined, and any combination of these. The parameter for colour has been removed, given the comprehensive nature of other </w:t>
      </w:r>
      <w:proofErr w:type="gramStart"/>
      <w:r>
        <w:t>operability</w:t>
      </w:r>
      <w:proofErr w:type="gramEnd"/>
      <w:r>
        <w:t xml:space="preserve"> standards. Some </w:t>
      </w:r>
      <w:r w:rsidR="000A7561">
        <w:t xml:space="preserve">parameter </w:t>
      </w:r>
      <w:r>
        <w:t>names and units</w:t>
      </w:r>
      <w:r w:rsidR="000A7561">
        <w:t xml:space="preserve"> for parameter specification</w:t>
      </w:r>
      <w:r>
        <w:t xml:space="preserve"> have been updated to improve consistency.</w:t>
      </w:r>
    </w:p>
    <w:p w14:paraId="67D28383" w14:textId="5149AA79" w:rsidR="00DC4A45" w:rsidRPr="0072540E" w:rsidRDefault="00DC4A45" w:rsidP="00DC4A45">
      <w:pPr>
        <w:spacing w:before="120"/>
        <w:rPr>
          <w:rFonts w:cs="Times New Roman"/>
          <w:szCs w:val="24"/>
        </w:rPr>
      </w:pPr>
      <w:r>
        <w:t xml:space="preserve">This instrument is a legislative instrument for the purposes of the </w:t>
      </w:r>
      <w:r>
        <w:rPr>
          <w:i/>
          <w:iCs/>
        </w:rPr>
        <w:t>Legislative Instruments Act 2003</w:t>
      </w:r>
      <w:r>
        <w:t>.</w:t>
      </w:r>
    </w:p>
    <w:p w14:paraId="6E434214" w14:textId="77777777" w:rsidR="000D0E22" w:rsidRDefault="000D0E22" w:rsidP="00DC4A45">
      <w:pPr>
        <w:pStyle w:val="Heading1"/>
        <w:spacing w:after="120"/>
      </w:pPr>
      <w:r>
        <w:t>Background</w:t>
      </w:r>
    </w:p>
    <w:p w14:paraId="5271A27C" w14:textId="77777777" w:rsidR="00996770" w:rsidRPr="00996770" w:rsidRDefault="00996770" w:rsidP="00DC4A45">
      <w:pPr>
        <w:widowControl w:val="0"/>
        <w:spacing w:after="240"/>
      </w:pPr>
      <w:r w:rsidRPr="00996770">
        <w:t>In October 2015, the Australian Government established the Ministerial Forum on Vehicle Emissions to coordinate a whole-of-government approach to reducing motor vehicle emissions. Part of this work is a measure to improve fuel quality standards which will assist in achieving better environmental, human health and engine operability outcomes.</w:t>
      </w:r>
    </w:p>
    <w:p w14:paraId="1204FA38" w14:textId="77777777" w:rsidR="000D0E22" w:rsidRDefault="000D0E22" w:rsidP="00DC4A45">
      <w:pPr>
        <w:pStyle w:val="Heading1"/>
        <w:spacing w:after="120"/>
      </w:pPr>
      <w:r>
        <w:t>Consultation</w:t>
      </w:r>
    </w:p>
    <w:p w14:paraId="30E7269D" w14:textId="77777777" w:rsidR="00996770" w:rsidRDefault="00996770" w:rsidP="00DC4A45">
      <w:pPr>
        <w:spacing w:after="0"/>
        <w:rPr>
          <w:szCs w:val="24"/>
        </w:rPr>
      </w:pPr>
      <w:r>
        <w:rPr>
          <w:szCs w:val="24"/>
        </w:rPr>
        <w:t xml:space="preserve">This Determination has been developed following extensive public consultation in relation to a range of policy options to improve Australia’s fuel quality. Two rounds of public consultation were conducted, as well as targeted consultation with key industry stakeholders to finalise options for the legislative instruments that prescribe fuel standards. The </w:t>
      </w:r>
      <w:r>
        <w:rPr>
          <w:szCs w:val="24"/>
        </w:rPr>
        <w:lastRenderedPageBreak/>
        <w:t>stakeholders included fuel producers, fuel importers, vehicle manufacturers and automobile associations. Targeted consultation with key testing laboratories occurred to ensure the proposed changes reflected the most up-to-date testing methods for the relevant parameter.</w:t>
      </w:r>
    </w:p>
    <w:p w14:paraId="2EC12057" w14:textId="77777777" w:rsidR="00996770" w:rsidRDefault="00996770" w:rsidP="00DC4A45">
      <w:pPr>
        <w:spacing w:after="0"/>
        <w:rPr>
          <w:szCs w:val="24"/>
        </w:rPr>
      </w:pPr>
    </w:p>
    <w:p w14:paraId="42027223" w14:textId="77777777" w:rsidR="00996770" w:rsidRPr="002C6E63" w:rsidRDefault="00996770" w:rsidP="00DC4A45">
      <w:pPr>
        <w:spacing w:after="0"/>
        <w:rPr>
          <w:rFonts w:cs="Times New Roman"/>
          <w:szCs w:val="24"/>
        </w:rPr>
      </w:pPr>
      <w:r w:rsidRPr="002C6E63">
        <w:rPr>
          <w:rFonts w:cs="Times New Roman"/>
          <w:szCs w:val="24"/>
        </w:rPr>
        <w:t xml:space="preserve">Under the Act, before making a fuel standard, the Minister must also consult the </w:t>
      </w:r>
      <w:r w:rsidRPr="002C6E63">
        <w:rPr>
          <w:rFonts w:cs="Times New Roman"/>
          <w:color w:val="000000"/>
          <w:szCs w:val="24"/>
        </w:rPr>
        <w:t xml:space="preserve">Fuel Standards Consultative Committee. The committee provided advice on the exposure draft of the </w:t>
      </w:r>
      <w:r>
        <w:t>Determination</w:t>
      </w:r>
      <w:r w:rsidRPr="002C6E63">
        <w:rPr>
          <w:rFonts w:cs="Times New Roman"/>
          <w:color w:val="000000"/>
          <w:szCs w:val="24"/>
        </w:rPr>
        <w:t>.</w:t>
      </w:r>
    </w:p>
    <w:p w14:paraId="6E2C92C4" w14:textId="34E2B134" w:rsidR="000D0E22" w:rsidRDefault="00365493" w:rsidP="00DC4A45">
      <w:pPr>
        <w:pStyle w:val="Heading1"/>
        <w:spacing w:after="120"/>
      </w:pPr>
      <w:r>
        <w:t>Regulation</w:t>
      </w:r>
      <w:r w:rsidR="00327D76">
        <w:t xml:space="preserve"> i</w:t>
      </w:r>
      <w:r w:rsidR="000D0E22">
        <w:t>mpact</w:t>
      </w:r>
      <w:r w:rsidR="00003F2D">
        <w:t xml:space="preserve"> </w:t>
      </w:r>
      <w:r w:rsidR="009109F9">
        <w:t>analysis</w:t>
      </w:r>
    </w:p>
    <w:p w14:paraId="36C17B6F" w14:textId="689F32E5" w:rsidR="00996770" w:rsidRDefault="00996770" w:rsidP="00DC4A45">
      <w:pPr>
        <w:rPr>
          <w:szCs w:val="24"/>
        </w:rPr>
      </w:pPr>
      <w:r>
        <w:rPr>
          <w:szCs w:val="24"/>
        </w:rPr>
        <w:t xml:space="preserve">The Office of Best Practice Regulation (OBPR) was consulted in relation to the remaking of </w:t>
      </w:r>
      <w:r w:rsidR="00DC4A45">
        <w:rPr>
          <w:szCs w:val="24"/>
        </w:rPr>
        <w:t>this</w:t>
      </w:r>
      <w:r>
        <w:rPr>
          <w:szCs w:val="24"/>
        </w:rPr>
        <w:t xml:space="preserve"> instrument under the Act. The </w:t>
      </w:r>
      <w:r w:rsidRPr="00F440B2">
        <w:rPr>
          <w:i/>
          <w:szCs w:val="24"/>
        </w:rPr>
        <w:t xml:space="preserve">Better fuel for cleaner air regulation impact statement </w:t>
      </w:r>
      <w:r>
        <w:rPr>
          <w:szCs w:val="24"/>
        </w:rPr>
        <w:t xml:space="preserve">was prepared to assess the impacts on industry, the community and the environment of various policy options to improve fuel standards. The OBPR advised that the </w:t>
      </w:r>
      <w:r w:rsidRPr="00F440B2">
        <w:rPr>
          <w:i/>
          <w:szCs w:val="24"/>
        </w:rPr>
        <w:t>Better fuel for cleaner air regulation impact statement</w:t>
      </w:r>
      <w:r>
        <w:rPr>
          <w:szCs w:val="24"/>
        </w:rPr>
        <w:t xml:space="preserve"> is compliant with the Government’s requirements and is consistent with best practice (OBPR ID 20699). </w:t>
      </w:r>
    </w:p>
    <w:p w14:paraId="37A92399" w14:textId="29701D82" w:rsidR="00996770" w:rsidRPr="00FA1E06" w:rsidRDefault="00996770" w:rsidP="00DC4A45">
      <w:r>
        <w:rPr>
          <w:szCs w:val="24"/>
        </w:rPr>
        <w:t xml:space="preserve">The </w:t>
      </w:r>
      <w:r w:rsidRPr="00F440B2">
        <w:rPr>
          <w:i/>
          <w:szCs w:val="24"/>
        </w:rPr>
        <w:t>Better fuel for cleaner air regulation impact statement</w:t>
      </w:r>
      <w:r>
        <w:rPr>
          <w:szCs w:val="24"/>
        </w:rPr>
        <w:t xml:space="preserve"> is available </w:t>
      </w:r>
      <w:r w:rsidR="00BB42AD">
        <w:rPr>
          <w:szCs w:val="24"/>
        </w:rPr>
        <w:t xml:space="preserve">under the </w:t>
      </w:r>
      <w:r w:rsidR="00BB42AD" w:rsidRPr="00E87269">
        <w:rPr>
          <w:i/>
          <w:szCs w:val="24"/>
        </w:rPr>
        <w:t>Supporting Material</w:t>
      </w:r>
      <w:r w:rsidR="00BB42AD">
        <w:rPr>
          <w:szCs w:val="24"/>
        </w:rPr>
        <w:t xml:space="preserve"> tab of the </w:t>
      </w:r>
      <w:hyperlink r:id="rId7" w:history="1">
        <w:r w:rsidR="00BB42AD" w:rsidRPr="005D002E">
          <w:rPr>
            <w:rStyle w:val="Hyperlink"/>
            <w:szCs w:val="24"/>
          </w:rPr>
          <w:t>www.legislation</w:t>
        </w:r>
        <w:r w:rsidR="00BB42AD" w:rsidRPr="00882D40">
          <w:rPr>
            <w:rStyle w:val="Hyperlink"/>
            <w:szCs w:val="24"/>
          </w:rPr>
          <w:t>.gov.au</w:t>
        </w:r>
      </w:hyperlink>
      <w:r w:rsidR="00BB42AD">
        <w:rPr>
          <w:szCs w:val="24"/>
        </w:rPr>
        <w:t xml:space="preserve"> page for this instrument</w:t>
      </w:r>
      <w:r>
        <w:rPr>
          <w:szCs w:val="24"/>
        </w:rPr>
        <w:t xml:space="preserve">. </w:t>
      </w:r>
    </w:p>
    <w:p w14:paraId="36DC5682" w14:textId="56E9C3DB" w:rsidR="0086430F" w:rsidRDefault="0086430F" w:rsidP="00DC4A45">
      <w:pPr>
        <w:pStyle w:val="Heading1"/>
        <w:spacing w:after="120"/>
      </w:pPr>
      <w:r>
        <w:t>Incorporation</w:t>
      </w:r>
    </w:p>
    <w:p w14:paraId="66EF7DAE" w14:textId="1696F481" w:rsidR="00BB42AD" w:rsidRDefault="00831C72" w:rsidP="00DC4A45">
      <w:pPr>
        <w:spacing w:before="120" w:after="120"/>
        <w:rPr>
          <w:szCs w:val="24"/>
        </w:rPr>
      </w:pPr>
      <w:r w:rsidRPr="00CC6F3F">
        <w:rPr>
          <w:szCs w:val="24"/>
        </w:rPr>
        <w:t xml:space="preserve">The Determination lists testing methods to be used by the Department </w:t>
      </w:r>
      <w:r>
        <w:rPr>
          <w:szCs w:val="24"/>
        </w:rPr>
        <w:t xml:space="preserve">of the Environment and Energy (the Department) </w:t>
      </w:r>
      <w:r w:rsidRPr="00CC6F3F">
        <w:rPr>
          <w:szCs w:val="24"/>
        </w:rPr>
        <w:t>to determine compliance with the parameters</w:t>
      </w:r>
      <w:r w:rsidR="00DC4A45">
        <w:rPr>
          <w:szCs w:val="24"/>
        </w:rPr>
        <w:t>.</w:t>
      </w:r>
      <w:r>
        <w:rPr>
          <w:szCs w:val="24"/>
        </w:rPr>
        <w:t xml:space="preserve"> </w:t>
      </w:r>
      <w:r w:rsidR="00DC4A45">
        <w:rPr>
          <w:szCs w:val="24"/>
        </w:rPr>
        <w:t>F</w:t>
      </w:r>
      <w:r w:rsidR="00DC4A45" w:rsidRPr="00CC6F3F">
        <w:rPr>
          <w:szCs w:val="24"/>
        </w:rPr>
        <w:t xml:space="preserve">or </w:t>
      </w:r>
      <w:r w:rsidRPr="00CC6F3F">
        <w:rPr>
          <w:szCs w:val="24"/>
        </w:rPr>
        <w:t xml:space="preserve">example ASTM D5453 is used to test the </w:t>
      </w:r>
      <w:proofErr w:type="spellStart"/>
      <w:r w:rsidRPr="00CC6F3F">
        <w:rPr>
          <w:szCs w:val="24"/>
        </w:rPr>
        <w:t>sulfur</w:t>
      </w:r>
      <w:proofErr w:type="spellEnd"/>
      <w:r w:rsidRPr="00CC6F3F">
        <w:rPr>
          <w:szCs w:val="24"/>
        </w:rPr>
        <w:t xml:space="preserve"> content of </w:t>
      </w:r>
      <w:r w:rsidR="00BB42AD">
        <w:rPr>
          <w:szCs w:val="24"/>
        </w:rPr>
        <w:t>diesel</w:t>
      </w:r>
      <w:r w:rsidRPr="00CC6F3F">
        <w:rPr>
          <w:szCs w:val="24"/>
        </w:rPr>
        <w:t xml:space="preserve">. </w:t>
      </w:r>
      <w:r w:rsidR="00BB42AD">
        <w:rPr>
          <w:szCs w:val="24"/>
        </w:rPr>
        <w:t>T</w:t>
      </w:r>
      <w:r w:rsidRPr="00CC6F3F">
        <w:rPr>
          <w:szCs w:val="24"/>
        </w:rPr>
        <w:t xml:space="preserve">esting methods, developed by ASTM </w:t>
      </w:r>
      <w:r>
        <w:rPr>
          <w:szCs w:val="24"/>
        </w:rPr>
        <w:t>I</w:t>
      </w:r>
      <w:r w:rsidRPr="00CC6F3F">
        <w:rPr>
          <w:szCs w:val="24"/>
        </w:rPr>
        <w:t>nternational</w:t>
      </w:r>
      <w:r w:rsidR="00BB42AD">
        <w:rPr>
          <w:szCs w:val="24"/>
        </w:rPr>
        <w:t xml:space="preserve"> </w:t>
      </w:r>
      <w:r w:rsidR="00BB42AD" w:rsidRPr="00E87269">
        <w:rPr>
          <w:szCs w:val="24"/>
        </w:rPr>
        <w:t>and others</w:t>
      </w:r>
      <w:r w:rsidRPr="00CC6F3F">
        <w:rPr>
          <w:szCs w:val="24"/>
        </w:rPr>
        <w:t xml:space="preserve">, describe procedures that analytical laboratories must follow. </w:t>
      </w:r>
      <w:r w:rsidR="00BB42AD">
        <w:t xml:space="preserve">The use of such standards is consistent with the Australian Government’s policy of harmonisation with international standards where appropriate. </w:t>
      </w:r>
    </w:p>
    <w:p w14:paraId="54C77CF6" w14:textId="49BC0252" w:rsidR="00831C72" w:rsidRDefault="00FC3BE2" w:rsidP="00DC4A45">
      <w:pPr>
        <w:spacing w:before="120" w:after="120"/>
        <w:rPr>
          <w:szCs w:val="24"/>
        </w:rPr>
      </w:pPr>
      <w:r w:rsidRPr="00730A96">
        <w:rPr>
          <w:rFonts w:cs="Times New Roman"/>
          <w:szCs w:val="24"/>
        </w:rPr>
        <w:t xml:space="preserve">The parties most likely to access the referenced documents are analytical laboratories testing compliance under the Determination. The incorporation of the testing methods into the Determination does not place undue burden on fuel </w:t>
      </w:r>
      <w:r w:rsidR="00707818">
        <w:rPr>
          <w:rFonts w:cs="Times New Roman"/>
          <w:szCs w:val="24"/>
        </w:rPr>
        <w:t>supplier</w:t>
      </w:r>
      <w:r w:rsidRPr="00730A96">
        <w:rPr>
          <w:rFonts w:cs="Times New Roman"/>
          <w:szCs w:val="24"/>
        </w:rPr>
        <w:t>s. Fuel suppliers can use alternative testing methods to test fuel. Suppliers should note that the Department will test compliance by using the test methods in the Determination.</w:t>
      </w:r>
      <w:r>
        <w:rPr>
          <w:rFonts w:cs="Times New Roman"/>
          <w:szCs w:val="24"/>
        </w:rPr>
        <w:t xml:space="preserve"> </w:t>
      </w:r>
      <w:r w:rsidR="00831C72">
        <w:rPr>
          <w:szCs w:val="24"/>
        </w:rPr>
        <w:t>The listed testing methods are incorporated as they are in force at the time the Determination commence</w:t>
      </w:r>
      <w:r w:rsidR="004D4AFB">
        <w:rPr>
          <w:szCs w:val="24"/>
        </w:rPr>
        <w:t>s</w:t>
      </w:r>
      <w:r w:rsidR="00831C72">
        <w:rPr>
          <w:szCs w:val="24"/>
        </w:rPr>
        <w:t xml:space="preserve"> on 1 October 2019. </w:t>
      </w:r>
      <w:r w:rsidR="00BB42AD">
        <w:rPr>
          <w:szCs w:val="24"/>
        </w:rPr>
        <w:t>ASTM</w:t>
      </w:r>
      <w:r w:rsidR="00831C72" w:rsidRPr="00CC6F3F">
        <w:rPr>
          <w:szCs w:val="24"/>
        </w:rPr>
        <w:t xml:space="preserve"> testing methods are available for purchase through ASTM International (</w:t>
      </w:r>
      <w:hyperlink r:id="rId8" w:history="1">
        <w:r w:rsidR="00BB42AD" w:rsidRPr="006F7C75">
          <w:rPr>
            <w:rStyle w:val="Hyperlink"/>
            <w:szCs w:val="24"/>
          </w:rPr>
          <w:t>www.astm.org</w:t>
        </w:r>
      </w:hyperlink>
      <w:r w:rsidR="00831C72" w:rsidRPr="00CC6F3F">
        <w:rPr>
          <w:szCs w:val="24"/>
        </w:rPr>
        <w:t>)</w:t>
      </w:r>
      <w:r w:rsidR="00BB42AD">
        <w:rPr>
          <w:szCs w:val="24"/>
        </w:rPr>
        <w:t xml:space="preserve">. IP testing </w:t>
      </w:r>
      <w:r w:rsidR="00BB42AD" w:rsidRPr="00CC6F3F">
        <w:rPr>
          <w:szCs w:val="24"/>
        </w:rPr>
        <w:t>methods are available for purchase through</w:t>
      </w:r>
      <w:r w:rsidR="00BB42AD">
        <w:rPr>
          <w:szCs w:val="24"/>
        </w:rPr>
        <w:t xml:space="preserve"> Energy Institute (</w:t>
      </w:r>
      <w:hyperlink r:id="rId9" w:history="1">
        <w:r w:rsidR="00E126E4" w:rsidRPr="00FC3BE2">
          <w:rPr>
            <w:rStyle w:val="Hyperlink"/>
          </w:rPr>
          <w:t>www.</w:t>
        </w:r>
        <w:r w:rsidR="00BB42AD">
          <w:rPr>
            <w:rStyle w:val="Hyperlink"/>
          </w:rPr>
          <w:t>publishing.energyinst.org</w:t>
        </w:r>
      </w:hyperlink>
      <w:r w:rsidR="00BB42AD">
        <w:t>)</w:t>
      </w:r>
      <w:r w:rsidR="00E126E4">
        <w:rPr>
          <w:szCs w:val="24"/>
        </w:rPr>
        <w:t xml:space="preserve"> </w:t>
      </w:r>
      <w:r>
        <w:rPr>
          <w:szCs w:val="24"/>
        </w:rPr>
        <w:t xml:space="preserve">and </w:t>
      </w:r>
      <w:r w:rsidRPr="00CC6F3F">
        <w:rPr>
          <w:szCs w:val="24"/>
        </w:rPr>
        <w:t>EN</w:t>
      </w:r>
      <w:r w:rsidR="00E126E4">
        <w:rPr>
          <w:szCs w:val="24"/>
        </w:rPr>
        <w:t xml:space="preserve"> </w:t>
      </w:r>
      <w:r w:rsidR="00BB42AD">
        <w:rPr>
          <w:rFonts w:cs="Times New Roman"/>
          <w:szCs w:val="24"/>
          <w:lang w:eastAsia="en-AU"/>
        </w:rPr>
        <w:t>testing method</w:t>
      </w:r>
      <w:r w:rsidR="00BB42AD" w:rsidRPr="002D6632">
        <w:rPr>
          <w:rFonts w:cs="Times New Roman"/>
          <w:szCs w:val="24"/>
          <w:lang w:eastAsia="en-AU"/>
        </w:rPr>
        <w:t xml:space="preserve"> </w:t>
      </w:r>
      <w:r w:rsidR="00BB42AD">
        <w:rPr>
          <w:rFonts w:cs="Times New Roman"/>
          <w:szCs w:val="24"/>
          <w:lang w:eastAsia="en-AU"/>
        </w:rPr>
        <w:t>is</w:t>
      </w:r>
      <w:r w:rsidR="00BB42AD" w:rsidRPr="002D6632">
        <w:rPr>
          <w:rFonts w:cs="Times New Roman"/>
          <w:szCs w:val="24"/>
          <w:lang w:eastAsia="en-AU"/>
        </w:rPr>
        <w:t xml:space="preserve"> available for purchase through SAI Global (</w:t>
      </w:r>
      <w:r w:rsidR="00BB42AD" w:rsidRPr="00FC3BE2">
        <w:rPr>
          <w:rStyle w:val="Hyperlink"/>
        </w:rPr>
        <w:t>infostore.saiglobal.com</w:t>
      </w:r>
      <w:r w:rsidR="00BB42AD" w:rsidRPr="002D6632">
        <w:rPr>
          <w:rFonts w:cs="Times New Roman"/>
          <w:szCs w:val="24"/>
          <w:lang w:eastAsia="en-AU"/>
        </w:rPr>
        <w:t>) and other providers.</w:t>
      </w:r>
      <w:r w:rsidR="00BB42AD">
        <w:rPr>
          <w:rFonts w:cs="Times New Roman"/>
          <w:szCs w:val="24"/>
          <w:lang w:eastAsia="en-AU"/>
        </w:rPr>
        <w:t xml:space="preserve"> </w:t>
      </w:r>
      <w:r w:rsidR="00831C72">
        <w:rPr>
          <w:szCs w:val="24"/>
        </w:rPr>
        <w:t xml:space="preserve">A fee is charged to purchase each testing method in its entirety. </w:t>
      </w:r>
      <w:r w:rsidR="00BB42AD" w:rsidRPr="00D66071">
        <w:rPr>
          <w:rFonts w:cs="Times New Roman"/>
          <w:szCs w:val="24"/>
        </w:rPr>
        <w:t>The Department also make the inc</w:t>
      </w:r>
      <w:r w:rsidR="00BB42AD" w:rsidRPr="001C387E">
        <w:rPr>
          <w:rFonts w:cs="Times New Roman"/>
          <w:szCs w:val="24"/>
        </w:rPr>
        <w:t>orporated testing methods available on request free of charge at its offices throughout Australia (ACT, Queensland, NSW, Victoria, NT and Tasmania).</w:t>
      </w:r>
    </w:p>
    <w:p w14:paraId="0411C861" w14:textId="15BA799B" w:rsidR="00831C72" w:rsidRDefault="00831C72" w:rsidP="00DC4A45">
      <w:pPr>
        <w:spacing w:before="120" w:after="120"/>
        <w:rPr>
          <w:rFonts w:cs="Times New Roman"/>
          <w:szCs w:val="24"/>
        </w:rPr>
      </w:pPr>
    </w:p>
    <w:p w14:paraId="351507EA" w14:textId="78F73A5B" w:rsidR="000D0E22" w:rsidRPr="00831C72" w:rsidRDefault="000D0E22" w:rsidP="00DC4A45">
      <w:pPr>
        <w:pStyle w:val="Heading1"/>
        <w:spacing w:after="120"/>
      </w:pPr>
      <w:r>
        <w:lastRenderedPageBreak/>
        <w:t xml:space="preserve">Details of the </w:t>
      </w:r>
      <w:r w:rsidR="000A7561" w:rsidRPr="00FC3BE2">
        <w:rPr>
          <w:i/>
        </w:rPr>
        <w:t>Fuel Quality Standards (Automotive Diesel</w:t>
      </w:r>
      <w:r w:rsidR="00831C72" w:rsidRPr="00FC3BE2">
        <w:rPr>
          <w:i/>
        </w:rPr>
        <w:t>) Determination </w:t>
      </w:r>
      <w:r w:rsidR="000A7561" w:rsidRPr="00FC3BE2">
        <w:rPr>
          <w:i/>
        </w:rPr>
        <w:t>2019</w:t>
      </w:r>
    </w:p>
    <w:p w14:paraId="7EC9F454" w14:textId="706D7DCC" w:rsidR="006745C3" w:rsidRPr="006745C3" w:rsidRDefault="006745C3" w:rsidP="009109F9">
      <w:pPr>
        <w:pStyle w:val="Heading2"/>
      </w:pPr>
      <w:r>
        <w:t>Section</w:t>
      </w:r>
      <w:r w:rsidRPr="006745C3">
        <w:t xml:space="preserve"> 1 – Name of </w:t>
      </w:r>
      <w:r w:rsidR="00831C72">
        <w:t>i</w:t>
      </w:r>
      <w:r>
        <w:t>nstrument</w:t>
      </w:r>
    </w:p>
    <w:p w14:paraId="51370CB9" w14:textId="73CFEAC3" w:rsidR="007A0926" w:rsidRPr="004356C7" w:rsidRDefault="006745C3" w:rsidP="006745C3">
      <w:pPr>
        <w:spacing w:before="240"/>
        <w:rPr>
          <w:rFonts w:cs="Times New Roman"/>
          <w:szCs w:val="24"/>
        </w:rPr>
      </w:pPr>
      <w:r w:rsidRPr="006745C3">
        <w:rPr>
          <w:rFonts w:cs="Times New Roman"/>
          <w:szCs w:val="24"/>
        </w:rPr>
        <w:t xml:space="preserve">This </w:t>
      </w:r>
      <w:r>
        <w:rPr>
          <w:rFonts w:cs="Times New Roman"/>
          <w:szCs w:val="24"/>
        </w:rPr>
        <w:t xml:space="preserve">section </w:t>
      </w:r>
      <w:r w:rsidRPr="006745C3">
        <w:rPr>
          <w:rFonts w:cs="Times New Roman"/>
          <w:szCs w:val="24"/>
        </w:rPr>
        <w:t xml:space="preserve">specifies the name of the </w:t>
      </w:r>
      <w:r w:rsidR="000A7561" w:rsidRPr="000A7561">
        <w:rPr>
          <w:rFonts w:cs="Times New Roman"/>
          <w:szCs w:val="24"/>
        </w:rPr>
        <w:t>Determination</w:t>
      </w:r>
      <w:r>
        <w:rPr>
          <w:rFonts w:cs="Times New Roman"/>
          <w:szCs w:val="24"/>
        </w:rPr>
        <w:t xml:space="preserve"> </w:t>
      </w:r>
      <w:r w:rsidR="004356C7">
        <w:rPr>
          <w:rFonts w:cs="Times New Roman"/>
          <w:szCs w:val="24"/>
        </w:rPr>
        <w:t xml:space="preserve">is </w:t>
      </w:r>
      <w:r w:rsidRPr="006745C3">
        <w:rPr>
          <w:rFonts w:cs="Times New Roman"/>
          <w:szCs w:val="24"/>
        </w:rPr>
        <w:t xml:space="preserve">the </w:t>
      </w:r>
      <w:r w:rsidR="000A7561" w:rsidRPr="00FC3BE2">
        <w:rPr>
          <w:i/>
        </w:rPr>
        <w:t>Fuel Quality Standards (Automotive Diesel</w:t>
      </w:r>
      <w:r w:rsidR="00831C72" w:rsidRPr="00FC3BE2">
        <w:rPr>
          <w:i/>
        </w:rPr>
        <w:t>) Determination </w:t>
      </w:r>
      <w:r w:rsidR="000A7561" w:rsidRPr="00FC3BE2">
        <w:rPr>
          <w:i/>
        </w:rPr>
        <w:t>2019</w:t>
      </w:r>
      <w:r w:rsidR="004356C7">
        <w:rPr>
          <w:rFonts w:cs="Times New Roman"/>
          <w:i/>
          <w:szCs w:val="24"/>
        </w:rPr>
        <w:t xml:space="preserve"> </w:t>
      </w:r>
      <w:r w:rsidR="004356C7">
        <w:rPr>
          <w:rFonts w:cs="Times New Roman"/>
          <w:szCs w:val="24"/>
        </w:rPr>
        <w:t xml:space="preserve">(the </w:t>
      </w:r>
      <w:r w:rsidR="000A7561" w:rsidRPr="000A7561">
        <w:rPr>
          <w:rFonts w:cs="Times New Roman"/>
          <w:szCs w:val="24"/>
        </w:rPr>
        <w:t>Determination).</w:t>
      </w:r>
    </w:p>
    <w:p w14:paraId="6E781CAA" w14:textId="77777777" w:rsidR="006745C3" w:rsidRPr="006745C3" w:rsidRDefault="006745C3" w:rsidP="009109F9">
      <w:pPr>
        <w:pStyle w:val="Heading2"/>
      </w:pPr>
      <w:r>
        <w:t>Section</w:t>
      </w:r>
      <w:r w:rsidRPr="006745C3">
        <w:t xml:space="preserve"> </w:t>
      </w:r>
      <w:r>
        <w:t>2</w:t>
      </w:r>
      <w:r w:rsidRPr="006745C3">
        <w:t xml:space="preserve"> – Commencement</w:t>
      </w:r>
    </w:p>
    <w:p w14:paraId="10F094A8" w14:textId="7D3AF7E5" w:rsidR="006745C3" w:rsidRPr="006745C3" w:rsidRDefault="00ED29A3" w:rsidP="006745C3">
      <w:pPr>
        <w:spacing w:before="240" w:after="100" w:afterAutospacing="1"/>
        <w:rPr>
          <w:rFonts w:cs="Times New Roman"/>
          <w:szCs w:val="24"/>
        </w:rPr>
      </w:pPr>
      <w:r w:rsidRPr="006745C3">
        <w:rPr>
          <w:rFonts w:cs="Times New Roman"/>
          <w:szCs w:val="24"/>
        </w:rPr>
        <w:t xml:space="preserve">This </w:t>
      </w:r>
      <w:r>
        <w:rPr>
          <w:rFonts w:cs="Times New Roman"/>
          <w:szCs w:val="24"/>
        </w:rPr>
        <w:t xml:space="preserve">section </w:t>
      </w:r>
      <w:r w:rsidRPr="006745C3">
        <w:rPr>
          <w:rFonts w:cs="Times New Roman"/>
          <w:szCs w:val="24"/>
        </w:rPr>
        <w:t xml:space="preserve">provides that the </w:t>
      </w:r>
      <w:r w:rsidR="00831C72">
        <w:rPr>
          <w:rFonts w:cs="Times New Roman"/>
          <w:szCs w:val="24"/>
        </w:rPr>
        <w:t>instrument</w:t>
      </w:r>
      <w:r>
        <w:rPr>
          <w:rFonts w:cs="Times New Roman"/>
          <w:szCs w:val="24"/>
        </w:rPr>
        <w:t xml:space="preserve"> </w:t>
      </w:r>
      <w:r w:rsidRPr="006745C3">
        <w:rPr>
          <w:rFonts w:cs="Times New Roman"/>
          <w:szCs w:val="24"/>
        </w:rPr>
        <w:t>commence</w:t>
      </w:r>
      <w:r>
        <w:rPr>
          <w:rFonts w:cs="Times New Roman"/>
          <w:szCs w:val="24"/>
        </w:rPr>
        <w:t>s</w:t>
      </w:r>
      <w:r w:rsidRPr="006745C3">
        <w:rPr>
          <w:rFonts w:cs="Times New Roman"/>
          <w:szCs w:val="24"/>
        </w:rPr>
        <w:t xml:space="preserve"> on </w:t>
      </w:r>
      <w:r>
        <w:rPr>
          <w:szCs w:val="24"/>
        </w:rPr>
        <w:t>1 October 2019</w:t>
      </w:r>
      <w:r w:rsidRPr="006745C3">
        <w:rPr>
          <w:rFonts w:cs="Times New Roman"/>
          <w:szCs w:val="24"/>
        </w:rPr>
        <w:t>.</w:t>
      </w:r>
    </w:p>
    <w:p w14:paraId="78839DE9" w14:textId="77777777" w:rsidR="006745C3" w:rsidRPr="006745C3" w:rsidRDefault="006745C3" w:rsidP="009109F9">
      <w:pPr>
        <w:pStyle w:val="Heading2"/>
      </w:pPr>
      <w:r>
        <w:t>Section 3</w:t>
      </w:r>
      <w:r w:rsidRPr="006745C3">
        <w:t xml:space="preserve"> – Authority</w:t>
      </w:r>
    </w:p>
    <w:p w14:paraId="6C4DEC47" w14:textId="3D665014" w:rsidR="006745C3" w:rsidRDefault="006745C3" w:rsidP="006745C3">
      <w:pPr>
        <w:spacing w:before="240"/>
        <w:rPr>
          <w:rFonts w:cs="Times New Roman"/>
          <w:szCs w:val="24"/>
        </w:rPr>
      </w:pPr>
      <w:r w:rsidRPr="006745C3">
        <w:rPr>
          <w:rFonts w:cs="Times New Roman"/>
          <w:szCs w:val="24"/>
        </w:rPr>
        <w:t>This s</w:t>
      </w:r>
      <w:r>
        <w:rPr>
          <w:rFonts w:cs="Times New Roman"/>
          <w:szCs w:val="24"/>
        </w:rPr>
        <w:t>ection s</w:t>
      </w:r>
      <w:r w:rsidRPr="006745C3">
        <w:rPr>
          <w:rFonts w:cs="Times New Roman"/>
          <w:szCs w:val="24"/>
        </w:rPr>
        <w:t xml:space="preserve">ets out the provision of the </w:t>
      </w:r>
      <w:r w:rsidR="00ED29A3">
        <w:rPr>
          <w:i/>
        </w:rPr>
        <w:t>Fuel Quality Standards Act 2000</w:t>
      </w:r>
      <w:r w:rsidR="00ED29A3">
        <w:rPr>
          <w:rFonts w:cs="Times New Roman"/>
          <w:i/>
          <w:szCs w:val="24"/>
        </w:rPr>
        <w:t xml:space="preserve"> </w:t>
      </w:r>
      <w:r w:rsidR="00ED29A3" w:rsidRPr="006745C3">
        <w:rPr>
          <w:rFonts w:cs="Times New Roman"/>
          <w:szCs w:val="24"/>
        </w:rPr>
        <w:t xml:space="preserve">under which the </w:t>
      </w:r>
      <w:r w:rsidR="00ED29A3">
        <w:rPr>
          <w:rFonts w:cs="Times New Roman"/>
          <w:szCs w:val="24"/>
        </w:rPr>
        <w:t>Determination</w:t>
      </w:r>
      <w:r w:rsidR="00ED29A3" w:rsidRPr="006745C3">
        <w:rPr>
          <w:rFonts w:cs="Times New Roman"/>
          <w:szCs w:val="24"/>
        </w:rPr>
        <w:t xml:space="preserve"> </w:t>
      </w:r>
      <w:r w:rsidR="00ED29A3">
        <w:rPr>
          <w:rFonts w:cs="Times New Roman"/>
          <w:szCs w:val="24"/>
        </w:rPr>
        <w:t>is made</w:t>
      </w:r>
      <w:r w:rsidRPr="006745C3">
        <w:rPr>
          <w:rFonts w:cs="Times New Roman"/>
          <w:szCs w:val="24"/>
        </w:rPr>
        <w:t>.</w:t>
      </w:r>
    </w:p>
    <w:p w14:paraId="046E4AB8" w14:textId="77777777" w:rsidR="006745C3" w:rsidRDefault="006745C3" w:rsidP="009109F9">
      <w:pPr>
        <w:pStyle w:val="Heading2"/>
      </w:pPr>
      <w:r>
        <w:t>Section 4 – Definitions</w:t>
      </w:r>
    </w:p>
    <w:p w14:paraId="1635301D" w14:textId="50CFE1F5" w:rsidR="006745C3" w:rsidRDefault="006745C3" w:rsidP="006745C3">
      <w:pPr>
        <w:spacing w:before="240"/>
        <w:rPr>
          <w:rFonts w:cs="Times New Roman"/>
          <w:szCs w:val="24"/>
        </w:rPr>
      </w:pPr>
      <w:r w:rsidRPr="006745C3">
        <w:rPr>
          <w:rFonts w:cs="Times New Roman"/>
          <w:szCs w:val="24"/>
        </w:rPr>
        <w:t>This item provides for definitions of terms used in the</w:t>
      </w:r>
      <w:r>
        <w:rPr>
          <w:rFonts w:cs="Times New Roman"/>
          <w:szCs w:val="24"/>
        </w:rPr>
        <w:t xml:space="preserve"> </w:t>
      </w:r>
      <w:r w:rsidR="00ED29A3">
        <w:rPr>
          <w:rFonts w:cs="Times New Roman"/>
          <w:szCs w:val="24"/>
        </w:rPr>
        <w:t>Determination</w:t>
      </w:r>
      <w:r>
        <w:rPr>
          <w:rFonts w:cs="Times New Roman"/>
          <w:szCs w:val="24"/>
        </w:rPr>
        <w:t>.</w:t>
      </w:r>
    </w:p>
    <w:p w14:paraId="001EC3E4" w14:textId="048CFBA9" w:rsidR="006745C3" w:rsidRPr="006745C3" w:rsidRDefault="006745C3" w:rsidP="009109F9">
      <w:pPr>
        <w:pStyle w:val="Heading2"/>
      </w:pPr>
      <w:r>
        <w:t xml:space="preserve">Section 5 – </w:t>
      </w:r>
      <w:r w:rsidR="00BA117F">
        <w:t>F</w:t>
      </w:r>
      <w:r w:rsidR="00831C72">
        <w:t>uel standard for diesel</w:t>
      </w:r>
    </w:p>
    <w:p w14:paraId="2A8E25A8" w14:textId="09C58379" w:rsidR="000558F3" w:rsidRDefault="00AB1B8E" w:rsidP="00DC4A45">
      <w:pPr>
        <w:spacing w:before="120" w:after="120"/>
        <w:rPr>
          <w:szCs w:val="24"/>
        </w:rPr>
      </w:pPr>
      <w:r w:rsidRPr="006354BA">
        <w:rPr>
          <w:szCs w:val="24"/>
        </w:rPr>
        <w:t xml:space="preserve">The table in this section details chemical and physical parameters and </w:t>
      </w:r>
      <w:r w:rsidR="00FC3BE2">
        <w:rPr>
          <w:szCs w:val="24"/>
        </w:rPr>
        <w:t>the</w:t>
      </w:r>
      <w:r w:rsidR="00FC3BE2" w:rsidRPr="006354BA">
        <w:rPr>
          <w:szCs w:val="24"/>
        </w:rPr>
        <w:t xml:space="preserve"> </w:t>
      </w:r>
      <w:r w:rsidRPr="006354BA">
        <w:rPr>
          <w:szCs w:val="24"/>
        </w:rPr>
        <w:t xml:space="preserve">specifications that must be met </w:t>
      </w:r>
      <w:r w:rsidR="00FC3BE2">
        <w:rPr>
          <w:szCs w:val="24"/>
        </w:rPr>
        <w:t>for each parameter in respect of the supply of</w:t>
      </w:r>
      <w:r w:rsidRPr="006354BA">
        <w:rPr>
          <w:szCs w:val="24"/>
        </w:rPr>
        <w:t xml:space="preserve"> </w:t>
      </w:r>
      <w:r>
        <w:rPr>
          <w:szCs w:val="24"/>
        </w:rPr>
        <w:t>automotive diesel</w:t>
      </w:r>
      <w:r w:rsidRPr="006354BA">
        <w:rPr>
          <w:szCs w:val="24"/>
        </w:rPr>
        <w:t xml:space="preserve"> in Australia. </w:t>
      </w:r>
    </w:p>
    <w:p w14:paraId="05195CD3" w14:textId="0DB2CF9C" w:rsidR="00BA117F" w:rsidRDefault="00BA117F" w:rsidP="00DC4A45">
      <w:pPr>
        <w:pStyle w:val="subsection"/>
        <w:spacing w:line="276" w:lineRule="auto"/>
        <w:ind w:left="0" w:firstLine="0"/>
        <w:rPr>
          <w:color w:val="1F497D"/>
          <w:sz w:val="28"/>
          <w:szCs w:val="28"/>
        </w:rPr>
      </w:pPr>
      <w:r w:rsidRPr="00BA117F">
        <w:rPr>
          <w:rFonts w:eastAsiaTheme="minorHAnsi" w:cstheme="minorBidi"/>
          <w:sz w:val="24"/>
          <w:szCs w:val="24"/>
          <w:lang w:eastAsia="en-US"/>
        </w:rPr>
        <w:t xml:space="preserve">The following diesel components, additives or </w:t>
      </w:r>
      <w:r w:rsidR="00C1593A" w:rsidRPr="00BA117F">
        <w:rPr>
          <w:rFonts w:eastAsiaTheme="minorHAnsi" w:cstheme="minorBidi"/>
          <w:sz w:val="24"/>
          <w:szCs w:val="24"/>
          <w:lang w:eastAsia="en-US"/>
        </w:rPr>
        <w:t>properties</w:t>
      </w:r>
      <w:r w:rsidRPr="00BA117F">
        <w:rPr>
          <w:rFonts w:eastAsiaTheme="minorHAnsi" w:cstheme="minorBidi"/>
          <w:sz w:val="24"/>
          <w:szCs w:val="24"/>
          <w:lang w:eastAsia="en-US"/>
        </w:rPr>
        <w:t xml:space="preserve"> are specified to reduce emissions and therefore improve air quality and human health: </w:t>
      </w:r>
      <w:proofErr w:type="spellStart"/>
      <w:r w:rsidRPr="00BA117F">
        <w:rPr>
          <w:rFonts w:eastAsiaTheme="minorHAnsi" w:cstheme="minorBidi"/>
          <w:sz w:val="24"/>
          <w:szCs w:val="24"/>
          <w:lang w:eastAsia="en-US"/>
        </w:rPr>
        <w:t>sulfur</w:t>
      </w:r>
      <w:proofErr w:type="spellEnd"/>
      <w:r w:rsidRPr="00BA117F">
        <w:rPr>
          <w:rFonts w:eastAsiaTheme="minorHAnsi" w:cstheme="minorBidi"/>
          <w:sz w:val="24"/>
          <w:szCs w:val="24"/>
          <w:lang w:eastAsia="en-US"/>
        </w:rPr>
        <w:t xml:space="preserve">, </w:t>
      </w:r>
      <w:proofErr w:type="spellStart"/>
      <w:r w:rsidRPr="00BA117F">
        <w:rPr>
          <w:rFonts w:eastAsiaTheme="minorHAnsi" w:cstheme="minorBidi"/>
          <w:sz w:val="24"/>
          <w:szCs w:val="24"/>
          <w:lang w:eastAsia="en-US"/>
        </w:rPr>
        <w:t>cetane</w:t>
      </w:r>
      <w:proofErr w:type="spellEnd"/>
      <w:r w:rsidRPr="00BA117F">
        <w:rPr>
          <w:rFonts w:eastAsiaTheme="minorHAnsi" w:cstheme="minorBidi"/>
          <w:sz w:val="24"/>
          <w:szCs w:val="24"/>
          <w:lang w:eastAsia="en-US"/>
        </w:rPr>
        <w:t xml:space="preserve">, density and polycyclic aromatic hydrocarbons. Some of the above parameters also affect engine and vehicle operability. In addition, lubricity, </w:t>
      </w:r>
      <w:r w:rsidR="008227C9">
        <w:rPr>
          <w:rFonts w:eastAsiaTheme="minorHAnsi" w:cstheme="minorBidi"/>
          <w:sz w:val="24"/>
          <w:szCs w:val="24"/>
          <w:lang w:eastAsia="en-US"/>
        </w:rPr>
        <w:t xml:space="preserve">kinematic </w:t>
      </w:r>
      <w:r w:rsidRPr="00BA117F">
        <w:rPr>
          <w:rFonts w:eastAsiaTheme="minorHAnsi" w:cstheme="minorBidi"/>
          <w:sz w:val="24"/>
          <w:szCs w:val="24"/>
          <w:lang w:eastAsia="en-US"/>
        </w:rPr>
        <w:t xml:space="preserve">viscosity, ash, oxidation stability, filter blocking tendency, biodiesel content, carbon residue, copper corrosion, </w:t>
      </w:r>
      <w:r w:rsidR="00C1593A">
        <w:rPr>
          <w:rFonts w:eastAsiaTheme="minorHAnsi" w:cstheme="minorBidi"/>
          <w:sz w:val="24"/>
          <w:szCs w:val="24"/>
          <w:lang w:eastAsia="en-US"/>
        </w:rPr>
        <w:t xml:space="preserve">distillation, </w:t>
      </w:r>
      <w:r w:rsidRPr="00BA117F">
        <w:rPr>
          <w:rFonts w:eastAsiaTheme="minorHAnsi" w:cstheme="minorBidi"/>
          <w:sz w:val="24"/>
          <w:szCs w:val="24"/>
          <w:lang w:eastAsia="en-US"/>
        </w:rPr>
        <w:t>water and sediment are specified to ensure that engines can operate optimally, which ensures the best efficiency and lowest emissions from tailpipes. Flash point and conductivity are specified for safety and handling purposes</w:t>
      </w:r>
      <w:r>
        <w:rPr>
          <w:color w:val="1F497D"/>
          <w:sz w:val="28"/>
          <w:szCs w:val="28"/>
        </w:rPr>
        <w:t xml:space="preserve">. </w:t>
      </w:r>
    </w:p>
    <w:p w14:paraId="03E02432" w14:textId="44C503F8" w:rsidR="00AB1B8E" w:rsidRPr="0072540E" w:rsidRDefault="00AB1B8E" w:rsidP="00DC4A45">
      <w:pPr>
        <w:spacing w:before="120" w:after="120"/>
        <w:rPr>
          <w:rFonts w:cs="Times New Roman"/>
          <w:szCs w:val="24"/>
        </w:rPr>
      </w:pPr>
      <w:r w:rsidRPr="0039069D">
        <w:rPr>
          <w:szCs w:val="24"/>
        </w:rPr>
        <w:t xml:space="preserve">Compliance with the specification for a parameter is determined by </w:t>
      </w:r>
      <w:r>
        <w:rPr>
          <w:szCs w:val="24"/>
        </w:rPr>
        <w:t>the</w:t>
      </w:r>
      <w:r w:rsidRPr="00426637">
        <w:rPr>
          <w:szCs w:val="24"/>
        </w:rPr>
        <w:t xml:space="preserve"> testing method</w:t>
      </w:r>
      <w:r>
        <w:rPr>
          <w:szCs w:val="24"/>
        </w:rPr>
        <w:t xml:space="preserve"> specified in the table</w:t>
      </w:r>
      <w:r w:rsidRPr="00426637">
        <w:rPr>
          <w:szCs w:val="24"/>
        </w:rPr>
        <w:t>.</w:t>
      </w:r>
      <w:r>
        <w:rPr>
          <w:szCs w:val="24"/>
        </w:rPr>
        <w:t xml:space="preserve"> </w:t>
      </w:r>
    </w:p>
    <w:p w14:paraId="1A3BA121" w14:textId="3EAC47D2" w:rsidR="00167B38" w:rsidRDefault="00167B38" w:rsidP="000103CE">
      <w:pPr>
        <w:spacing w:before="120" w:after="120"/>
        <w:rPr>
          <w:rFonts w:cs="Times New Roman"/>
          <w:b/>
          <w:sz w:val="28"/>
          <w:szCs w:val="28"/>
        </w:rPr>
      </w:pPr>
      <w:r>
        <w:rPr>
          <w:rFonts w:cs="Times New Roman"/>
          <w:b/>
          <w:sz w:val="28"/>
          <w:szCs w:val="28"/>
        </w:rPr>
        <w:br w:type="page"/>
      </w:r>
    </w:p>
    <w:p w14:paraId="2A1B731D" w14:textId="498B465A" w:rsidR="00547F8D" w:rsidRPr="00547F8D" w:rsidRDefault="00547F8D" w:rsidP="00503E08">
      <w:pPr>
        <w:pStyle w:val="Title"/>
      </w:pPr>
      <w:r w:rsidRPr="00547F8D">
        <w:lastRenderedPageBreak/>
        <w:t>Statement of Compatibility with Human Rights</w:t>
      </w:r>
    </w:p>
    <w:p w14:paraId="103A1585" w14:textId="77777777" w:rsidR="0010407F" w:rsidRPr="00547F8D" w:rsidRDefault="0010407F" w:rsidP="0010407F">
      <w:pPr>
        <w:pStyle w:val="Subtitle"/>
      </w:pPr>
      <w:r w:rsidRPr="00547F8D">
        <w:t>Prepared in accordance with Part 3 of the Human Rights (Parliamentary Scrutiny) Act 2011</w:t>
      </w:r>
    </w:p>
    <w:p w14:paraId="1F584830" w14:textId="70FCD492" w:rsidR="0010407F" w:rsidRPr="0001217F" w:rsidRDefault="0010407F" w:rsidP="0010407F">
      <w:pPr>
        <w:pStyle w:val="Subtitle"/>
      </w:pPr>
      <w:r w:rsidRPr="0001217F">
        <w:t>Fuel Quality Standards (Automotive Diesel) Determination 2019</w:t>
      </w:r>
    </w:p>
    <w:p w14:paraId="18D62E1C" w14:textId="77777777" w:rsidR="0010407F" w:rsidRPr="00547F8D" w:rsidRDefault="0010407F" w:rsidP="0010407F">
      <w:pPr>
        <w:spacing w:before="240" w:after="240"/>
        <w:rPr>
          <w:rFonts w:cs="Times New Roman"/>
          <w:szCs w:val="24"/>
        </w:rPr>
      </w:pPr>
      <w:r w:rsidRPr="00547F8D">
        <w:rPr>
          <w:rFonts w:cs="Times New Roman"/>
          <w:szCs w:val="24"/>
        </w:rPr>
        <w:t xml:space="preserve">This </w:t>
      </w:r>
      <w:r>
        <w:rPr>
          <w:rFonts w:cs="Times New Roman"/>
          <w:szCs w:val="24"/>
        </w:rPr>
        <w:t>Determination</w:t>
      </w:r>
      <w:r w:rsidRPr="00547F8D">
        <w:rPr>
          <w:rFonts w:cs="Times New Roman"/>
          <w:szCs w:val="24"/>
        </w:rPr>
        <w:t xml:space="preserve"> is compatible with the human rights and freedoms recognised or declared in the international instruments listed in section 3 of the </w:t>
      </w:r>
      <w:r w:rsidRPr="00547F8D">
        <w:rPr>
          <w:rFonts w:cs="Times New Roman"/>
          <w:i/>
          <w:szCs w:val="24"/>
        </w:rPr>
        <w:t>Human Rights (Parliamentary Scrutiny) Act 2011</w:t>
      </w:r>
      <w:r w:rsidRPr="00547F8D">
        <w:rPr>
          <w:rFonts w:cs="Times New Roman"/>
          <w:szCs w:val="24"/>
        </w:rPr>
        <w:t>.</w:t>
      </w:r>
    </w:p>
    <w:p w14:paraId="6BB3A563" w14:textId="77777777" w:rsidR="0010407F" w:rsidRPr="00547F8D" w:rsidRDefault="0010407F" w:rsidP="0010407F">
      <w:pPr>
        <w:pStyle w:val="Heading1"/>
      </w:pPr>
      <w:r w:rsidRPr="00547F8D">
        <w:t xml:space="preserve">Overview of the </w:t>
      </w:r>
      <w:r>
        <w:t>l</w:t>
      </w:r>
      <w:r w:rsidRPr="00547F8D">
        <w:t xml:space="preserve">egislative </w:t>
      </w:r>
      <w:r>
        <w:t>i</w:t>
      </w:r>
      <w:r w:rsidRPr="00547F8D">
        <w:t>nstrument</w:t>
      </w:r>
    </w:p>
    <w:p w14:paraId="65DCB02A" w14:textId="57AF2DF1" w:rsidR="0010407F" w:rsidRPr="00E30573" w:rsidRDefault="0010407F" w:rsidP="0010407F">
      <w:pPr>
        <w:spacing w:before="120" w:after="120"/>
        <w:rPr>
          <w:rFonts w:cs="Times New Roman"/>
          <w:color w:val="000000"/>
          <w:szCs w:val="24"/>
        </w:rPr>
      </w:pPr>
      <w:r w:rsidRPr="00E63B2F">
        <w:rPr>
          <w:rFonts w:cs="Times New Roman"/>
          <w:szCs w:val="24"/>
        </w:rPr>
        <w:t xml:space="preserve">The </w:t>
      </w:r>
      <w:r w:rsidRPr="0001217F">
        <w:rPr>
          <w:rFonts w:cs="Times New Roman"/>
          <w:i/>
          <w:szCs w:val="24"/>
        </w:rPr>
        <w:t>Fuel Quality Standards (Automotive Diesel) Determination 2019</w:t>
      </w:r>
      <w:r w:rsidRPr="00E63B2F">
        <w:rPr>
          <w:rFonts w:cs="Times New Roman"/>
          <w:szCs w:val="24"/>
        </w:rPr>
        <w:t xml:space="preserve"> sets out the parameters and testing methods for </w:t>
      </w:r>
      <w:r>
        <w:rPr>
          <w:rFonts w:cs="Times New Roman"/>
          <w:szCs w:val="24"/>
        </w:rPr>
        <w:t xml:space="preserve">automotive diesel </w:t>
      </w:r>
      <w:r w:rsidRPr="00E63B2F">
        <w:rPr>
          <w:rFonts w:cs="Times New Roman"/>
          <w:szCs w:val="24"/>
        </w:rPr>
        <w:t>used in Australia</w:t>
      </w:r>
      <w:r>
        <w:rPr>
          <w:rFonts w:cs="Times New Roman"/>
          <w:szCs w:val="24"/>
        </w:rPr>
        <w:t>.</w:t>
      </w:r>
    </w:p>
    <w:p w14:paraId="5E5F15FF" w14:textId="77777777" w:rsidR="0010407F" w:rsidRPr="00547F8D" w:rsidRDefault="0010407F" w:rsidP="0010407F">
      <w:pPr>
        <w:pStyle w:val="Heading1"/>
      </w:pPr>
      <w:r w:rsidRPr="00547F8D">
        <w:t>Human rights implications</w:t>
      </w:r>
    </w:p>
    <w:p w14:paraId="00DBB035" w14:textId="77777777" w:rsidR="0010407F" w:rsidRDefault="0010407F" w:rsidP="0010407F">
      <w:pPr>
        <w:spacing w:before="120" w:after="120"/>
        <w:rPr>
          <w:rFonts w:cs="Times New Roman"/>
          <w:szCs w:val="24"/>
        </w:rPr>
      </w:pPr>
      <w:r w:rsidRPr="00547F8D">
        <w:rPr>
          <w:rFonts w:cs="Times New Roman"/>
          <w:szCs w:val="24"/>
        </w:rPr>
        <w:t xml:space="preserve">This </w:t>
      </w:r>
      <w:r>
        <w:rPr>
          <w:rFonts w:cs="Times New Roman"/>
          <w:szCs w:val="24"/>
        </w:rPr>
        <w:t>Determination</w:t>
      </w:r>
      <w:r w:rsidRPr="00547F8D">
        <w:rPr>
          <w:rFonts w:cs="Times New Roman"/>
          <w:szCs w:val="24"/>
        </w:rPr>
        <w:t xml:space="preserve"> does </w:t>
      </w:r>
      <w:r>
        <w:rPr>
          <w:rFonts w:cs="Times New Roman"/>
          <w:szCs w:val="24"/>
        </w:rPr>
        <w:t xml:space="preserve">not </w:t>
      </w:r>
      <w:r w:rsidRPr="00547F8D">
        <w:rPr>
          <w:rFonts w:cs="Times New Roman"/>
          <w:szCs w:val="24"/>
        </w:rPr>
        <w:t>engage any of the applicable rights or freedoms.</w:t>
      </w:r>
      <w:r>
        <w:rPr>
          <w:rFonts w:cs="Times New Roman"/>
          <w:szCs w:val="24"/>
        </w:rPr>
        <w:t xml:space="preserve"> </w:t>
      </w:r>
    </w:p>
    <w:p w14:paraId="07038932" w14:textId="77777777" w:rsidR="0010407F" w:rsidRPr="00547F8D" w:rsidRDefault="0010407F" w:rsidP="0010407F">
      <w:pPr>
        <w:pStyle w:val="Heading1"/>
      </w:pPr>
      <w:r w:rsidRPr="00547F8D">
        <w:t>Conclusion</w:t>
      </w:r>
    </w:p>
    <w:p w14:paraId="2DB2EF86" w14:textId="77777777" w:rsidR="0010407F" w:rsidRDefault="0010407F" w:rsidP="0010407F">
      <w:pPr>
        <w:spacing w:before="120" w:after="120"/>
        <w:rPr>
          <w:rFonts w:cs="Times New Roman"/>
          <w:szCs w:val="24"/>
        </w:rPr>
      </w:pPr>
      <w:r w:rsidRPr="00547F8D">
        <w:rPr>
          <w:rFonts w:cs="Times New Roman"/>
          <w:szCs w:val="24"/>
        </w:rPr>
        <w:t xml:space="preserve">This </w:t>
      </w:r>
      <w:r>
        <w:rPr>
          <w:rFonts w:cs="Times New Roman"/>
          <w:szCs w:val="24"/>
        </w:rPr>
        <w:t>Determination</w:t>
      </w:r>
      <w:r w:rsidRPr="00547F8D">
        <w:rPr>
          <w:rFonts w:cs="Times New Roman"/>
          <w:szCs w:val="24"/>
        </w:rPr>
        <w:t xml:space="preserve"> is compatible with human rights as it does not raise any human rights issues.</w:t>
      </w:r>
    </w:p>
    <w:p w14:paraId="7DAB0EEC" w14:textId="7324E7EC" w:rsidR="006472E0" w:rsidRPr="009109F9" w:rsidRDefault="006472E0" w:rsidP="0001217F">
      <w:pPr>
        <w:spacing w:before="120" w:after="120"/>
      </w:pPr>
    </w:p>
    <w:sectPr w:rsidR="006472E0" w:rsidRPr="009109F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EF2EB" w14:textId="77777777" w:rsidR="00E34600" w:rsidRDefault="00E34600" w:rsidP="00E34600">
      <w:pPr>
        <w:spacing w:after="0" w:line="240" w:lineRule="auto"/>
      </w:pPr>
      <w:r>
        <w:separator/>
      </w:r>
    </w:p>
  </w:endnote>
  <w:endnote w:type="continuationSeparator" w:id="0">
    <w:p w14:paraId="0F53B8D6" w14:textId="77777777" w:rsidR="00E34600" w:rsidRDefault="00E34600" w:rsidP="00E34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B6509" w14:textId="77777777" w:rsidR="001406E6" w:rsidRDefault="001406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819587"/>
      <w:docPartObj>
        <w:docPartGallery w:val="Page Numbers (Bottom of Page)"/>
        <w:docPartUnique/>
      </w:docPartObj>
    </w:sdtPr>
    <w:sdtEndPr>
      <w:rPr>
        <w:noProof/>
      </w:rPr>
    </w:sdtEndPr>
    <w:sdtContent>
      <w:p w14:paraId="293B4E16" w14:textId="7AE6957F" w:rsidR="00E34600" w:rsidRDefault="00E34600" w:rsidP="00E34600">
        <w:pPr>
          <w:pStyle w:val="Footer"/>
          <w:jc w:val="right"/>
        </w:pPr>
        <w:r>
          <w:fldChar w:fldCharType="begin"/>
        </w:r>
        <w:r>
          <w:instrText xml:space="preserve"> PAGE   \* MERGEFORMAT </w:instrText>
        </w:r>
        <w:r>
          <w:fldChar w:fldCharType="separate"/>
        </w:r>
        <w:r w:rsidR="001406E6">
          <w:rPr>
            <w:noProof/>
          </w:rPr>
          <w:t>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477B5" w14:textId="77777777" w:rsidR="001406E6" w:rsidRDefault="00140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5956B" w14:textId="77777777" w:rsidR="00E34600" w:rsidRDefault="00E34600" w:rsidP="00E34600">
      <w:pPr>
        <w:spacing w:after="0" w:line="240" w:lineRule="auto"/>
      </w:pPr>
      <w:r>
        <w:separator/>
      </w:r>
    </w:p>
  </w:footnote>
  <w:footnote w:type="continuationSeparator" w:id="0">
    <w:p w14:paraId="7580049A" w14:textId="77777777" w:rsidR="00E34600" w:rsidRDefault="00E34600" w:rsidP="00E346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0D8E1" w14:textId="77777777" w:rsidR="001406E6" w:rsidRDefault="001406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4619F" w14:textId="77777777" w:rsidR="001406E6" w:rsidRDefault="001406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364AB" w14:textId="77777777" w:rsidR="001406E6" w:rsidRDefault="00140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DCAA93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3F2D"/>
    <w:rsid w:val="000103CE"/>
    <w:rsid w:val="0001217F"/>
    <w:rsid w:val="00050D81"/>
    <w:rsid w:val="000558F3"/>
    <w:rsid w:val="00067DAC"/>
    <w:rsid w:val="000702C6"/>
    <w:rsid w:val="000A3877"/>
    <w:rsid w:val="000A7561"/>
    <w:rsid w:val="000B21FA"/>
    <w:rsid w:val="000D0E22"/>
    <w:rsid w:val="0010407F"/>
    <w:rsid w:val="0013767C"/>
    <w:rsid w:val="001406E6"/>
    <w:rsid w:val="0014547D"/>
    <w:rsid w:val="00150D50"/>
    <w:rsid w:val="00167B38"/>
    <w:rsid w:val="00176597"/>
    <w:rsid w:val="001A13FE"/>
    <w:rsid w:val="001B67BD"/>
    <w:rsid w:val="002510F5"/>
    <w:rsid w:val="002E3895"/>
    <w:rsid w:val="00327D76"/>
    <w:rsid w:val="00365493"/>
    <w:rsid w:val="00366EF0"/>
    <w:rsid w:val="00367CCD"/>
    <w:rsid w:val="003C1DC6"/>
    <w:rsid w:val="004356C7"/>
    <w:rsid w:val="004D4AFB"/>
    <w:rsid w:val="004E0E3B"/>
    <w:rsid w:val="004E67F8"/>
    <w:rsid w:val="004E68C7"/>
    <w:rsid w:val="004F1884"/>
    <w:rsid w:val="00503E08"/>
    <w:rsid w:val="00516E58"/>
    <w:rsid w:val="00547F8D"/>
    <w:rsid w:val="005836CC"/>
    <w:rsid w:val="00593F42"/>
    <w:rsid w:val="005F09F7"/>
    <w:rsid w:val="00642391"/>
    <w:rsid w:val="006472E0"/>
    <w:rsid w:val="006745C3"/>
    <w:rsid w:val="00674FC1"/>
    <w:rsid w:val="0067773A"/>
    <w:rsid w:val="00707818"/>
    <w:rsid w:val="0072540E"/>
    <w:rsid w:val="00727908"/>
    <w:rsid w:val="00762CA5"/>
    <w:rsid w:val="007A0926"/>
    <w:rsid w:val="008227C9"/>
    <w:rsid w:val="00831C72"/>
    <w:rsid w:val="00843E94"/>
    <w:rsid w:val="0086430F"/>
    <w:rsid w:val="008728C6"/>
    <w:rsid w:val="0087628B"/>
    <w:rsid w:val="00882263"/>
    <w:rsid w:val="00895745"/>
    <w:rsid w:val="008E397E"/>
    <w:rsid w:val="008E70E9"/>
    <w:rsid w:val="008F6091"/>
    <w:rsid w:val="00903470"/>
    <w:rsid w:val="009109F9"/>
    <w:rsid w:val="00987091"/>
    <w:rsid w:val="00996770"/>
    <w:rsid w:val="009E7BE3"/>
    <w:rsid w:val="00A42E9A"/>
    <w:rsid w:val="00A624AD"/>
    <w:rsid w:val="00A94B3F"/>
    <w:rsid w:val="00AA6847"/>
    <w:rsid w:val="00AB1B8E"/>
    <w:rsid w:val="00B569AC"/>
    <w:rsid w:val="00B71460"/>
    <w:rsid w:val="00BA117F"/>
    <w:rsid w:val="00BB42AD"/>
    <w:rsid w:val="00C1593A"/>
    <w:rsid w:val="00C27C94"/>
    <w:rsid w:val="00CF2827"/>
    <w:rsid w:val="00D14AF6"/>
    <w:rsid w:val="00D2025A"/>
    <w:rsid w:val="00D45DFF"/>
    <w:rsid w:val="00DC4A45"/>
    <w:rsid w:val="00DC7305"/>
    <w:rsid w:val="00DF7162"/>
    <w:rsid w:val="00DF78AE"/>
    <w:rsid w:val="00E126E4"/>
    <w:rsid w:val="00E14DF0"/>
    <w:rsid w:val="00E17653"/>
    <w:rsid w:val="00E34600"/>
    <w:rsid w:val="00E52C69"/>
    <w:rsid w:val="00E55B44"/>
    <w:rsid w:val="00ED29A3"/>
    <w:rsid w:val="00F05F4B"/>
    <w:rsid w:val="00F831A4"/>
    <w:rsid w:val="00FC3BE2"/>
    <w:rsid w:val="33AD26C0"/>
    <w:rsid w:val="6B329A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41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2C6"/>
    <w:rPr>
      <w:rFonts w:ascii="Times New Roman" w:hAnsi="Times New Roman"/>
      <w:sz w:val="24"/>
    </w:rPr>
  </w:style>
  <w:style w:type="paragraph" w:styleId="Heading1">
    <w:name w:val="heading 1"/>
    <w:basedOn w:val="Normal"/>
    <w:next w:val="Normal"/>
    <w:link w:val="Heading1Char"/>
    <w:uiPriority w:val="9"/>
    <w:qFormat/>
    <w:rsid w:val="005F09F7"/>
    <w:pPr>
      <w:keepNext/>
      <w:keepLines/>
      <w:spacing w:before="240" w:after="60" w:line="24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F09F7"/>
    <w:pPr>
      <w:keepNext/>
      <w:keepLines/>
      <w:spacing w:before="40" w:after="0"/>
      <w:outlineLvl w:val="1"/>
    </w:pPr>
    <w:rPr>
      <w:rFonts w:eastAsiaTheme="majorEastAsia" w:cstheme="majorBidi"/>
      <w:szCs w:val="26"/>
      <w:u w:val="single"/>
    </w:rPr>
  </w:style>
  <w:style w:type="paragraph" w:styleId="Heading3">
    <w:name w:val="heading 3"/>
    <w:basedOn w:val="Normal"/>
    <w:next w:val="Normal"/>
    <w:link w:val="Heading3Char"/>
    <w:uiPriority w:val="9"/>
    <w:unhideWhenUsed/>
    <w:qFormat/>
    <w:rsid w:val="009109F9"/>
    <w:pPr>
      <w:keepNext/>
      <w:keepLines/>
      <w:spacing w:before="40" w:after="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9F7"/>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5F09F7"/>
    <w:rPr>
      <w:rFonts w:ascii="Times New Roman" w:eastAsiaTheme="majorEastAsia" w:hAnsi="Times New Roman" w:cstheme="majorBidi"/>
      <w:sz w:val="24"/>
      <w:szCs w:val="26"/>
      <w:u w:val="single"/>
    </w:rPr>
  </w:style>
  <w:style w:type="paragraph" w:customStyle="1" w:styleId="Templateinstructions">
    <w:name w:val="Template instructions"/>
    <w:basedOn w:val="Normal"/>
    <w:next w:val="Normal"/>
    <w:link w:val="TemplateinstructionsChar"/>
    <w:qFormat/>
    <w:rsid w:val="007A0926"/>
    <w:pPr>
      <w:spacing w:after="120" w:line="240" w:lineRule="auto"/>
    </w:pPr>
    <w:rPr>
      <w:rFonts w:cs="Times New Roman"/>
      <w:i/>
      <w:color w:val="1F497D" w:themeColor="text2"/>
      <w:sz w:val="22"/>
      <w:szCs w:val="24"/>
    </w:rPr>
  </w:style>
  <w:style w:type="character" w:customStyle="1" w:styleId="TemplateinstructionsChar">
    <w:name w:val="Template instructions Char"/>
    <w:basedOn w:val="DefaultParagraphFont"/>
    <w:link w:val="Templateinstructions"/>
    <w:rsid w:val="007A0926"/>
    <w:rPr>
      <w:rFonts w:ascii="Times New Roman" w:hAnsi="Times New Roman" w:cs="Times New Roman"/>
      <w:i/>
      <w:color w:val="1F497D" w:themeColor="text2"/>
      <w:szCs w:val="24"/>
    </w:rPr>
  </w:style>
  <w:style w:type="character" w:styleId="Hyperlink">
    <w:name w:val="Hyperlink"/>
    <w:basedOn w:val="DefaultParagraphFont"/>
    <w:uiPriority w:val="99"/>
    <w:unhideWhenUsed/>
    <w:qFormat/>
    <w:rsid w:val="009109F9"/>
    <w:rPr>
      <w:rFonts w:ascii="Times New Roman" w:hAnsi="Times New Roman"/>
      <w:color w:val="0000FF" w:themeColor="hyperlink"/>
      <w:u w:val="single"/>
    </w:rPr>
  </w:style>
  <w:style w:type="paragraph" w:styleId="ListBullet">
    <w:name w:val="List Bullet"/>
    <w:basedOn w:val="Normal"/>
    <w:uiPriority w:val="99"/>
    <w:unhideWhenUsed/>
    <w:qFormat/>
    <w:rsid w:val="00B569AC"/>
    <w:pPr>
      <w:numPr>
        <w:numId w:val="1"/>
      </w:numPr>
      <w:contextualSpacing/>
    </w:pPr>
  </w:style>
  <w:style w:type="character" w:customStyle="1" w:styleId="Heading3Char">
    <w:name w:val="Heading 3 Char"/>
    <w:basedOn w:val="DefaultParagraphFont"/>
    <w:link w:val="Heading3"/>
    <w:uiPriority w:val="9"/>
    <w:rsid w:val="009109F9"/>
    <w:rPr>
      <w:rFonts w:ascii="Times New Roman" w:eastAsiaTheme="majorEastAsia" w:hAnsi="Times New Roman" w:cstheme="majorBidi"/>
      <w:i/>
      <w:sz w:val="24"/>
      <w:szCs w:val="24"/>
    </w:rPr>
  </w:style>
  <w:style w:type="paragraph" w:styleId="Quote">
    <w:name w:val="Quote"/>
    <w:basedOn w:val="Normal"/>
    <w:next w:val="Normal"/>
    <w:link w:val="QuoteChar"/>
    <w:uiPriority w:val="29"/>
    <w:rsid w:val="009109F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109F9"/>
    <w:rPr>
      <w:rFonts w:ascii="Times New Roman" w:hAnsi="Times New Roman"/>
      <w:i/>
      <w:iCs/>
      <w:color w:val="404040" w:themeColor="text1" w:themeTint="BF"/>
      <w:sz w:val="24"/>
    </w:rPr>
  </w:style>
  <w:style w:type="character" w:styleId="SubtleReference">
    <w:name w:val="Subtle Reference"/>
    <w:basedOn w:val="DefaultParagraphFont"/>
    <w:uiPriority w:val="31"/>
    <w:rsid w:val="009109F9"/>
    <w:rPr>
      <w:smallCaps/>
      <w:color w:val="5A5A5A" w:themeColor="text1" w:themeTint="A5"/>
    </w:rPr>
  </w:style>
  <w:style w:type="paragraph" w:styleId="Title">
    <w:name w:val="Title"/>
    <w:basedOn w:val="Normal"/>
    <w:next w:val="Normal"/>
    <w:link w:val="TitleChar"/>
    <w:uiPriority w:val="10"/>
    <w:qFormat/>
    <w:rsid w:val="00503E08"/>
    <w:pPr>
      <w:spacing w:after="240" w:line="240" w:lineRule="auto"/>
      <w:contextualSpacing/>
      <w:jc w:val="center"/>
    </w:pPr>
    <w:rPr>
      <w:rFonts w:eastAsiaTheme="majorEastAsia" w:cstheme="majorBidi"/>
      <w:b/>
      <w:caps/>
      <w:spacing w:val="-10"/>
      <w:kern w:val="28"/>
      <w:szCs w:val="56"/>
    </w:rPr>
  </w:style>
  <w:style w:type="character" w:customStyle="1" w:styleId="TitleChar">
    <w:name w:val="Title Char"/>
    <w:basedOn w:val="DefaultParagraphFont"/>
    <w:link w:val="Title"/>
    <w:uiPriority w:val="10"/>
    <w:rsid w:val="00503E08"/>
    <w:rPr>
      <w:rFonts w:ascii="Times New Roman" w:eastAsiaTheme="majorEastAsia" w:hAnsi="Times New Roman" w:cstheme="majorBidi"/>
      <w:b/>
      <w:caps/>
      <w:spacing w:val="-10"/>
      <w:kern w:val="28"/>
      <w:sz w:val="24"/>
      <w:szCs w:val="56"/>
    </w:rPr>
  </w:style>
  <w:style w:type="paragraph" w:styleId="Subtitle">
    <w:name w:val="Subtitle"/>
    <w:basedOn w:val="Normal"/>
    <w:next w:val="Normal"/>
    <w:link w:val="SubtitleChar"/>
    <w:uiPriority w:val="11"/>
    <w:qFormat/>
    <w:rsid w:val="00503E08"/>
    <w:pPr>
      <w:spacing w:after="240" w:line="240" w:lineRule="auto"/>
      <w:jc w:val="center"/>
    </w:pPr>
    <w:rPr>
      <w:rFonts w:cs="Times New Roman"/>
      <w:i/>
      <w:szCs w:val="24"/>
    </w:rPr>
  </w:style>
  <w:style w:type="character" w:customStyle="1" w:styleId="SubtitleChar">
    <w:name w:val="Subtitle Char"/>
    <w:basedOn w:val="DefaultParagraphFont"/>
    <w:link w:val="Subtitle"/>
    <w:uiPriority w:val="11"/>
    <w:rsid w:val="00503E08"/>
    <w:rPr>
      <w:rFonts w:ascii="Times New Roman" w:hAnsi="Times New Roman" w:cs="Times New Roman"/>
      <w:i/>
      <w:sz w:val="24"/>
      <w:szCs w:val="24"/>
    </w:rPr>
  </w:style>
  <w:style w:type="paragraph" w:customStyle="1" w:styleId="Sub-subtitle">
    <w:name w:val="Sub-subtitle"/>
    <w:basedOn w:val="Normal"/>
    <w:link w:val="Sub-subtitleChar"/>
    <w:rsid w:val="005836CC"/>
    <w:pPr>
      <w:spacing w:before="240" w:after="240"/>
      <w:jc w:val="center"/>
    </w:pPr>
    <w:rPr>
      <w:rFonts w:cs="Times New Roman"/>
      <w:sz w:val="22"/>
      <w:szCs w:val="24"/>
    </w:rPr>
  </w:style>
  <w:style w:type="character" w:customStyle="1" w:styleId="Sub-subtitleChar">
    <w:name w:val="Sub-subtitle Char"/>
    <w:basedOn w:val="DefaultParagraphFont"/>
    <w:link w:val="Sub-subtitle"/>
    <w:rsid w:val="005836CC"/>
    <w:rPr>
      <w:rFonts w:ascii="Times New Roman" w:hAnsi="Times New Roman" w:cs="Times New Roman"/>
      <w:szCs w:val="24"/>
    </w:rPr>
  </w:style>
  <w:style w:type="character" w:styleId="CommentReference">
    <w:name w:val="annotation reference"/>
    <w:basedOn w:val="DefaultParagraphFont"/>
    <w:uiPriority w:val="99"/>
    <w:semiHidden/>
    <w:unhideWhenUsed/>
    <w:rsid w:val="008E397E"/>
    <w:rPr>
      <w:sz w:val="16"/>
      <w:szCs w:val="16"/>
    </w:rPr>
  </w:style>
  <w:style w:type="paragraph" w:styleId="CommentText">
    <w:name w:val="annotation text"/>
    <w:basedOn w:val="Normal"/>
    <w:link w:val="CommentTextChar"/>
    <w:uiPriority w:val="99"/>
    <w:semiHidden/>
    <w:unhideWhenUsed/>
    <w:rsid w:val="008E397E"/>
    <w:pPr>
      <w:spacing w:line="240" w:lineRule="auto"/>
    </w:pPr>
    <w:rPr>
      <w:sz w:val="20"/>
      <w:szCs w:val="20"/>
    </w:rPr>
  </w:style>
  <w:style w:type="character" w:customStyle="1" w:styleId="CommentTextChar">
    <w:name w:val="Comment Text Char"/>
    <w:basedOn w:val="DefaultParagraphFont"/>
    <w:link w:val="CommentText"/>
    <w:uiPriority w:val="99"/>
    <w:semiHidden/>
    <w:rsid w:val="008E397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E397E"/>
    <w:rPr>
      <w:b/>
      <w:bCs/>
    </w:rPr>
  </w:style>
  <w:style w:type="character" w:customStyle="1" w:styleId="CommentSubjectChar">
    <w:name w:val="Comment Subject Char"/>
    <w:basedOn w:val="CommentTextChar"/>
    <w:link w:val="CommentSubject"/>
    <w:uiPriority w:val="99"/>
    <w:semiHidden/>
    <w:rsid w:val="008E397E"/>
    <w:rPr>
      <w:rFonts w:ascii="Times New Roman" w:hAnsi="Times New Roman"/>
      <w:b/>
      <w:bCs/>
      <w:sz w:val="20"/>
      <w:szCs w:val="20"/>
    </w:rPr>
  </w:style>
  <w:style w:type="paragraph" w:styleId="BalloonText">
    <w:name w:val="Balloon Text"/>
    <w:basedOn w:val="Normal"/>
    <w:link w:val="BalloonTextChar"/>
    <w:uiPriority w:val="99"/>
    <w:semiHidden/>
    <w:unhideWhenUsed/>
    <w:rsid w:val="008E3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97E"/>
    <w:rPr>
      <w:rFonts w:ascii="Segoe UI" w:hAnsi="Segoe UI" w:cs="Segoe UI"/>
      <w:sz w:val="18"/>
      <w:szCs w:val="18"/>
    </w:rPr>
  </w:style>
  <w:style w:type="paragraph" w:styleId="Header">
    <w:name w:val="header"/>
    <w:basedOn w:val="Normal"/>
    <w:link w:val="HeaderChar"/>
    <w:uiPriority w:val="99"/>
    <w:unhideWhenUsed/>
    <w:rsid w:val="00E34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600"/>
    <w:rPr>
      <w:rFonts w:ascii="Times New Roman" w:hAnsi="Times New Roman"/>
      <w:sz w:val="24"/>
    </w:rPr>
  </w:style>
  <w:style w:type="paragraph" w:styleId="Footer">
    <w:name w:val="footer"/>
    <w:basedOn w:val="Normal"/>
    <w:link w:val="FooterChar"/>
    <w:uiPriority w:val="99"/>
    <w:unhideWhenUsed/>
    <w:rsid w:val="00E34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600"/>
    <w:rPr>
      <w:rFonts w:ascii="Times New Roman" w:hAnsi="Times New Roman"/>
      <w:sz w:val="24"/>
    </w:rPr>
  </w:style>
  <w:style w:type="paragraph" w:customStyle="1" w:styleId="Definition">
    <w:name w:val="Definition"/>
    <w:aliases w:val="dd"/>
    <w:basedOn w:val="Normal"/>
    <w:rsid w:val="00AB1B8E"/>
    <w:pPr>
      <w:spacing w:before="180" w:after="0" w:line="240" w:lineRule="auto"/>
      <w:ind w:left="1134"/>
    </w:pPr>
    <w:rPr>
      <w:rFonts w:eastAsia="Times New Roman" w:cs="Times New Roman"/>
      <w:sz w:val="22"/>
      <w:szCs w:val="20"/>
      <w:lang w:eastAsia="en-AU"/>
    </w:rPr>
  </w:style>
  <w:style w:type="character" w:styleId="Emphasis">
    <w:name w:val="Emphasis"/>
    <w:basedOn w:val="DefaultParagraphFont"/>
    <w:uiPriority w:val="20"/>
    <w:qFormat/>
    <w:rsid w:val="00CF2827"/>
    <w:rPr>
      <w:i/>
      <w:iCs/>
    </w:rPr>
  </w:style>
  <w:style w:type="paragraph" w:customStyle="1" w:styleId="subsection">
    <w:name w:val="subsection"/>
    <w:aliases w:val="ss"/>
    <w:basedOn w:val="Normal"/>
    <w:link w:val="subsectionChar"/>
    <w:rsid w:val="00996770"/>
    <w:pPr>
      <w:tabs>
        <w:tab w:val="right" w:pos="1021"/>
      </w:tabs>
      <w:spacing w:before="180" w:after="0" w:line="240" w:lineRule="auto"/>
      <w:ind w:left="1134" w:hanging="1134"/>
    </w:pPr>
    <w:rPr>
      <w:rFonts w:eastAsia="Times New Roman" w:cs="Times New Roman"/>
      <w:sz w:val="22"/>
      <w:szCs w:val="20"/>
      <w:lang w:eastAsia="en-AU"/>
    </w:rPr>
  </w:style>
  <w:style w:type="character" w:customStyle="1" w:styleId="subsectionChar">
    <w:name w:val="subsection Char"/>
    <w:aliases w:val="ss Char"/>
    <w:basedOn w:val="DefaultParagraphFont"/>
    <w:link w:val="subsection"/>
    <w:locked/>
    <w:rsid w:val="00996770"/>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10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tm.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egislation.gov.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ublishing.energyinst.org/ip-test-method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BA8DDA1C.dotm</Template>
  <TotalTime>0</TotalTime>
  <Pages>4</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2019-09-26T02:23:00Z</dcterms:created>
  <dcterms:modified xsi:type="dcterms:W3CDTF">2019-09-26T02:23:00Z</dcterms:modified>
</cp:coreProperties>
</file>