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2C93" w14:textId="60528BB1" w:rsidR="00A97308" w:rsidRPr="008B6C52" w:rsidRDefault="0053071F" w:rsidP="00A97308">
      <w:bookmarkStart w:id="0" w:name="_Toc206822568"/>
      <w:bookmarkStart w:id="1" w:name="_GoBack"/>
      <w:bookmarkEnd w:id="1"/>
      <w:r>
        <w:rPr>
          <w:noProof/>
          <w:lang w:eastAsia="en-AU"/>
        </w:rPr>
        <w:drawing>
          <wp:inline distT="0" distB="0" distL="0" distR="0" wp14:anchorId="612AD704" wp14:editId="03D6BE63">
            <wp:extent cx="140716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05535"/>
                    </a:xfrm>
                    <a:prstGeom prst="rect">
                      <a:avLst/>
                    </a:prstGeom>
                    <a:noFill/>
                    <a:ln>
                      <a:noFill/>
                    </a:ln>
                  </pic:spPr>
                </pic:pic>
              </a:graphicData>
            </a:graphic>
          </wp:inline>
        </w:drawing>
      </w:r>
    </w:p>
    <w:p w14:paraId="1191C352" w14:textId="116D8407" w:rsidR="00A97308" w:rsidRDefault="00A97308" w:rsidP="00A97308">
      <w:pPr>
        <w:pStyle w:val="Title"/>
        <w:pBdr>
          <w:bottom w:val="single" w:sz="4" w:space="3" w:color="auto"/>
        </w:pBdr>
      </w:pPr>
      <w:bookmarkStart w:id="2" w:name="Citation"/>
      <w:r>
        <w:t>Anti-Money Laundering and Counter-Terrorism Financing Rules Amendment Instrument 201</w:t>
      </w:r>
      <w:r w:rsidR="0085692C">
        <w:t>9</w:t>
      </w:r>
      <w:r w:rsidRPr="00C57DD4">
        <w:t xml:space="preserve"> (No. </w:t>
      </w:r>
      <w:r w:rsidR="00122636">
        <w:t>2</w:t>
      </w:r>
      <w:r w:rsidRPr="00C57DD4">
        <w:t>)</w:t>
      </w:r>
      <w:bookmarkEnd w:id="2"/>
    </w:p>
    <w:p w14:paraId="1FFED1F2" w14:textId="77777777" w:rsidR="00A97308" w:rsidRPr="00831E19" w:rsidRDefault="00A97308" w:rsidP="00A97308">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DC8EA63" w14:textId="28777944" w:rsidR="00A97308" w:rsidRPr="00C40535" w:rsidRDefault="00A97308" w:rsidP="00A97308">
      <w:pPr>
        <w:spacing w:before="360"/>
        <w:jc w:val="both"/>
        <w:rPr>
          <w:rFonts w:ascii="Times New Roman" w:hAnsi="Times New Roman"/>
          <w:sz w:val="24"/>
        </w:rPr>
      </w:pPr>
      <w:r w:rsidRPr="00C40535">
        <w:rPr>
          <w:rFonts w:ascii="Times New Roman" w:hAnsi="Times New Roman"/>
          <w:sz w:val="24"/>
        </w:rPr>
        <w:t xml:space="preserve">I, </w:t>
      </w:r>
      <w:r w:rsidR="00E57D10">
        <w:rPr>
          <w:rFonts w:ascii="Times New Roman" w:hAnsi="Times New Roman"/>
          <w:sz w:val="24"/>
        </w:rPr>
        <w:t>Nicole Rose,</w:t>
      </w:r>
      <w:r w:rsidR="00D02EB1">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6FD497A7" w14:textId="77777777" w:rsidR="00A97308" w:rsidRPr="00C40535" w:rsidRDefault="00A97308" w:rsidP="00A97308">
      <w:pPr>
        <w:autoSpaceDE w:val="0"/>
        <w:autoSpaceDN w:val="0"/>
        <w:adjustRightInd w:val="0"/>
        <w:rPr>
          <w:rFonts w:ascii="Times New Roman" w:hAnsi="Times New Roman"/>
          <w:sz w:val="24"/>
        </w:rPr>
      </w:pPr>
      <w:bookmarkStart w:id="3" w:name="Minister"/>
    </w:p>
    <w:p w14:paraId="49CACAA4" w14:textId="7D5F1062" w:rsidR="00A97308" w:rsidRPr="00C40535" w:rsidRDefault="00A97308" w:rsidP="00A97308">
      <w:pPr>
        <w:tabs>
          <w:tab w:val="left" w:pos="3780"/>
        </w:tabs>
        <w:autoSpaceDE w:val="0"/>
        <w:autoSpaceDN w:val="0"/>
        <w:adjustRightInd w:val="0"/>
        <w:rPr>
          <w:rFonts w:ascii="Times New Roman" w:hAnsi="Times New Roman"/>
          <w:sz w:val="24"/>
        </w:rPr>
      </w:pPr>
      <w:r>
        <w:rPr>
          <w:rFonts w:ascii="Times New Roman" w:hAnsi="Times New Roman"/>
          <w:sz w:val="24"/>
        </w:rPr>
        <w:t>Dated</w:t>
      </w:r>
      <w:r w:rsidR="002152F0">
        <w:rPr>
          <w:rFonts w:ascii="Times New Roman" w:hAnsi="Times New Roman"/>
          <w:sz w:val="24"/>
        </w:rPr>
        <w:t xml:space="preserve"> 29 March </w:t>
      </w:r>
      <w:r>
        <w:rPr>
          <w:rFonts w:ascii="Times New Roman" w:hAnsi="Times New Roman"/>
          <w:sz w:val="24"/>
        </w:rPr>
        <w:t>201</w:t>
      </w:r>
      <w:r w:rsidR="0085692C">
        <w:rPr>
          <w:rFonts w:ascii="Times New Roman" w:hAnsi="Times New Roman"/>
          <w:sz w:val="24"/>
        </w:rPr>
        <w:t>9</w:t>
      </w:r>
    </w:p>
    <w:p w14:paraId="03CCE1DA" w14:textId="77777777" w:rsidR="00A97308" w:rsidRPr="00C40535" w:rsidRDefault="00A97308" w:rsidP="00A97308">
      <w:pPr>
        <w:autoSpaceDE w:val="0"/>
        <w:autoSpaceDN w:val="0"/>
        <w:adjustRightInd w:val="0"/>
        <w:rPr>
          <w:rFonts w:ascii="Times New Roman" w:hAnsi="Times New Roman"/>
          <w:sz w:val="24"/>
        </w:rPr>
      </w:pPr>
    </w:p>
    <w:p w14:paraId="66012DBA" w14:textId="77777777" w:rsidR="00A97308" w:rsidRPr="00C40535" w:rsidRDefault="00A97308" w:rsidP="00A97308">
      <w:pPr>
        <w:autoSpaceDE w:val="0"/>
        <w:autoSpaceDN w:val="0"/>
        <w:adjustRightInd w:val="0"/>
        <w:ind w:right="-199"/>
        <w:rPr>
          <w:rFonts w:ascii="Times New Roman" w:hAnsi="Times New Roman"/>
          <w:sz w:val="24"/>
        </w:rPr>
      </w:pPr>
    </w:p>
    <w:p w14:paraId="564427FD" w14:textId="77777777" w:rsidR="00A97308" w:rsidRDefault="00A97308" w:rsidP="00A97308">
      <w:pPr>
        <w:autoSpaceDE w:val="0"/>
        <w:autoSpaceDN w:val="0"/>
        <w:adjustRightInd w:val="0"/>
        <w:rPr>
          <w:rFonts w:ascii="Times New Roman" w:hAnsi="Times New Roman"/>
          <w:sz w:val="24"/>
        </w:rPr>
      </w:pPr>
    </w:p>
    <w:p w14:paraId="0FBEF293" w14:textId="77777777" w:rsidR="00A97308" w:rsidRDefault="00A97308" w:rsidP="00A97308">
      <w:pPr>
        <w:autoSpaceDE w:val="0"/>
        <w:autoSpaceDN w:val="0"/>
        <w:adjustRightInd w:val="0"/>
        <w:rPr>
          <w:rFonts w:ascii="Times New Roman" w:hAnsi="Times New Roman"/>
          <w:sz w:val="24"/>
        </w:rPr>
      </w:pPr>
    </w:p>
    <w:p w14:paraId="2B6CA6D4" w14:textId="77777777" w:rsidR="00A97308" w:rsidRDefault="00A97308" w:rsidP="00A97308">
      <w:pPr>
        <w:autoSpaceDE w:val="0"/>
        <w:autoSpaceDN w:val="0"/>
        <w:adjustRightInd w:val="0"/>
        <w:rPr>
          <w:rFonts w:ascii="Times New Roman" w:hAnsi="Times New Roman"/>
          <w:sz w:val="24"/>
        </w:rPr>
      </w:pPr>
    </w:p>
    <w:p w14:paraId="0248DA0D" w14:textId="77777777" w:rsidR="00A97308" w:rsidRDefault="00A97308" w:rsidP="00A97308">
      <w:pPr>
        <w:autoSpaceDE w:val="0"/>
        <w:autoSpaceDN w:val="0"/>
        <w:adjustRightInd w:val="0"/>
        <w:rPr>
          <w:rFonts w:ascii="Times New Roman" w:hAnsi="Times New Roman"/>
          <w:sz w:val="24"/>
        </w:rPr>
      </w:pPr>
    </w:p>
    <w:p w14:paraId="3FE1DFB1" w14:textId="77777777" w:rsidR="00A97308" w:rsidRDefault="00A97308" w:rsidP="00A97308">
      <w:pPr>
        <w:autoSpaceDE w:val="0"/>
        <w:autoSpaceDN w:val="0"/>
        <w:adjustRightInd w:val="0"/>
        <w:rPr>
          <w:rFonts w:ascii="Times New Roman" w:hAnsi="Times New Roman"/>
          <w:sz w:val="24"/>
        </w:rPr>
      </w:pPr>
    </w:p>
    <w:p w14:paraId="574F6145" w14:textId="77777777" w:rsidR="00A97308" w:rsidRPr="00C40535" w:rsidRDefault="00A97308" w:rsidP="00A97308">
      <w:pPr>
        <w:autoSpaceDE w:val="0"/>
        <w:autoSpaceDN w:val="0"/>
        <w:adjustRightInd w:val="0"/>
        <w:rPr>
          <w:rFonts w:ascii="Times New Roman" w:hAnsi="Times New Roman"/>
          <w:sz w:val="24"/>
        </w:rPr>
      </w:pPr>
    </w:p>
    <w:p w14:paraId="1B5367FD" w14:textId="04A49489" w:rsidR="00A97308" w:rsidRPr="00C40535" w:rsidRDefault="002152F0" w:rsidP="00A97308">
      <w:pPr>
        <w:autoSpaceDE w:val="0"/>
        <w:autoSpaceDN w:val="0"/>
        <w:adjustRightInd w:val="0"/>
        <w:rPr>
          <w:rFonts w:ascii="Times New Roman" w:hAnsi="Times New Roman"/>
          <w:sz w:val="24"/>
        </w:rPr>
      </w:pPr>
      <w:r>
        <w:rPr>
          <w:rFonts w:ascii="Times New Roman" w:hAnsi="Times New Roman"/>
          <w:sz w:val="24"/>
        </w:rPr>
        <w:t>[signed]</w:t>
      </w:r>
    </w:p>
    <w:p w14:paraId="69C9192B" w14:textId="2D5DCA8A" w:rsidR="00A97308" w:rsidRDefault="00E57D10"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 xml:space="preserve">Nicole Rose </w:t>
      </w:r>
      <w:r w:rsidRPr="00E57D10">
        <w:rPr>
          <w:rFonts w:ascii="Times New Roman" w:hAnsi="Times New Roman"/>
          <w:szCs w:val="22"/>
        </w:rPr>
        <w:t>PSM</w:t>
      </w:r>
    </w:p>
    <w:p w14:paraId="62D772AA" w14:textId="4B144D1C" w:rsidR="00A97308" w:rsidRPr="00C40535" w:rsidRDefault="00A97308" w:rsidP="00A97308">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3"/>
    </w:p>
    <w:p w14:paraId="7E56E11C" w14:textId="77777777" w:rsidR="00A97308" w:rsidRDefault="00A97308" w:rsidP="00A97308">
      <w:pPr>
        <w:pBdr>
          <w:bottom w:val="single" w:sz="4" w:space="12" w:color="auto"/>
        </w:pBdr>
        <w:tabs>
          <w:tab w:val="left" w:pos="3119"/>
        </w:tabs>
        <w:spacing w:line="300" w:lineRule="atLeast"/>
      </w:pPr>
      <w:r>
        <w:br w:type="page"/>
      </w:r>
    </w:p>
    <w:p w14:paraId="6606EAF4" w14:textId="77777777" w:rsidR="00A97308" w:rsidRPr="00483460" w:rsidRDefault="00A97308" w:rsidP="00C74BE0">
      <w:pPr>
        <w:pStyle w:val="HR"/>
        <w:ind w:left="567" w:hanging="567"/>
        <w:rPr>
          <w:sz w:val="28"/>
          <w:szCs w:val="28"/>
        </w:rPr>
      </w:pPr>
      <w:r w:rsidRPr="00483460">
        <w:rPr>
          <w:sz w:val="28"/>
          <w:szCs w:val="28"/>
        </w:rPr>
        <w:lastRenderedPageBreak/>
        <w:t>1</w:t>
      </w:r>
      <w:r w:rsidRPr="00483460">
        <w:rPr>
          <w:sz w:val="28"/>
          <w:szCs w:val="28"/>
        </w:rPr>
        <w:tab/>
        <w:t>Name of Instrument</w:t>
      </w:r>
    </w:p>
    <w:p w14:paraId="32706F2E" w14:textId="316ECD7F" w:rsidR="00A97308" w:rsidRDefault="00A97308" w:rsidP="00C74BE0">
      <w:pPr>
        <w:pStyle w:val="R1"/>
        <w:tabs>
          <w:tab w:val="clear" w:pos="794"/>
        </w:tabs>
        <w:spacing w:before="240"/>
        <w:ind w:left="1134" w:firstLine="0"/>
        <w:jc w:val="left"/>
      </w:pPr>
      <w:r>
        <w:t>This Instrument is the</w:t>
      </w:r>
      <w:r>
        <w:rPr>
          <w:i/>
        </w:rPr>
        <w:t xml:space="preserve"> Anti-Money Laundering and Counter-Terrorism Financing Rules Amendment Instrument 20</w:t>
      </w:r>
      <w:r w:rsidR="00E57D10">
        <w:rPr>
          <w:i/>
        </w:rPr>
        <w:t>1</w:t>
      </w:r>
      <w:r w:rsidR="0085692C">
        <w:rPr>
          <w:i/>
        </w:rPr>
        <w:t>9</w:t>
      </w:r>
      <w:r w:rsidR="00C11F32">
        <w:rPr>
          <w:i/>
        </w:rPr>
        <w:t xml:space="preserve"> </w:t>
      </w:r>
      <w:r>
        <w:rPr>
          <w:i/>
        </w:rPr>
        <w:t xml:space="preserve">(No. </w:t>
      </w:r>
      <w:r w:rsidR="00122636">
        <w:rPr>
          <w:i/>
        </w:rPr>
        <w:t>2</w:t>
      </w:r>
      <w:r>
        <w:rPr>
          <w:i/>
        </w:rPr>
        <w:t>)</w:t>
      </w:r>
      <w:r w:rsidRPr="00C57DD4">
        <w:t>.</w:t>
      </w:r>
    </w:p>
    <w:p w14:paraId="1E65F7B4" w14:textId="77777777" w:rsidR="00A97308" w:rsidRPr="00483460" w:rsidRDefault="00A97308" w:rsidP="00C74BE0">
      <w:pPr>
        <w:pStyle w:val="HR"/>
        <w:ind w:left="567" w:hanging="567"/>
        <w:rPr>
          <w:sz w:val="28"/>
          <w:szCs w:val="28"/>
        </w:rPr>
      </w:pPr>
      <w:r w:rsidRPr="00483460">
        <w:rPr>
          <w:sz w:val="28"/>
          <w:szCs w:val="28"/>
        </w:rPr>
        <w:t>2</w:t>
      </w:r>
      <w:r w:rsidRPr="00483460">
        <w:rPr>
          <w:sz w:val="28"/>
          <w:szCs w:val="28"/>
        </w:rPr>
        <w:tab/>
        <w:t>Commencement</w:t>
      </w:r>
    </w:p>
    <w:p w14:paraId="56ACAC57" w14:textId="6AC9D05D" w:rsidR="00D2055A" w:rsidRPr="00D2055A" w:rsidRDefault="00D2055A" w:rsidP="00D2055A">
      <w:pPr>
        <w:tabs>
          <w:tab w:val="left" w:pos="1701"/>
        </w:tabs>
        <w:autoSpaceDE w:val="0"/>
        <w:autoSpaceDN w:val="0"/>
        <w:adjustRightInd w:val="0"/>
        <w:spacing w:before="240"/>
        <w:ind w:left="1134"/>
        <w:rPr>
          <w:sz w:val="28"/>
          <w:szCs w:val="28"/>
        </w:rPr>
      </w:pPr>
      <w:r>
        <w:rPr>
          <w:rFonts w:ascii="Times New Roman" w:hAnsi="Times New Roman"/>
          <w:sz w:val="24"/>
          <w:lang w:eastAsia="en-AU"/>
        </w:rPr>
        <w:t xml:space="preserve">This instrument commences the </w:t>
      </w:r>
      <w:r w:rsidRPr="00D2055A">
        <w:rPr>
          <w:rFonts w:ascii="Times New Roman" w:hAnsi="Times New Roman"/>
          <w:sz w:val="24"/>
          <w:lang w:eastAsia="en-AU"/>
        </w:rPr>
        <w:t xml:space="preserve">day </w:t>
      </w:r>
      <w:r>
        <w:rPr>
          <w:rFonts w:ascii="Times New Roman" w:hAnsi="Times New Roman"/>
          <w:sz w:val="24"/>
          <w:lang w:eastAsia="en-AU"/>
        </w:rPr>
        <w:t xml:space="preserve">after the end of the period of 28 days </w:t>
      </w:r>
      <w:r w:rsidRPr="00D2055A">
        <w:rPr>
          <w:rFonts w:ascii="Times New Roman" w:hAnsi="Times New Roman"/>
          <w:sz w:val="24"/>
          <w:lang w:eastAsia="en-AU"/>
        </w:rPr>
        <w:t>beginning on the day this instrument is registered</w:t>
      </w:r>
      <w:r>
        <w:rPr>
          <w:rFonts w:ascii="Times New Roman" w:hAnsi="Times New Roman"/>
          <w:sz w:val="24"/>
          <w:lang w:eastAsia="en-AU"/>
        </w:rPr>
        <w:t>.</w:t>
      </w:r>
    </w:p>
    <w:p w14:paraId="4D40A566" w14:textId="3AA13CF7" w:rsidR="00A97308" w:rsidRPr="00483460" w:rsidRDefault="00A97308" w:rsidP="00D2055A">
      <w:pPr>
        <w:pStyle w:val="HR"/>
        <w:ind w:left="567" w:hanging="567"/>
        <w:rPr>
          <w:sz w:val="28"/>
          <w:szCs w:val="28"/>
        </w:rPr>
      </w:pPr>
      <w:r w:rsidRPr="00483460">
        <w:rPr>
          <w:sz w:val="28"/>
          <w:szCs w:val="28"/>
        </w:rPr>
        <w:t>3</w:t>
      </w:r>
      <w:r w:rsidRPr="00483460">
        <w:rPr>
          <w:sz w:val="28"/>
          <w:szCs w:val="28"/>
        </w:rPr>
        <w:tab/>
        <w:t>A</w:t>
      </w:r>
      <w:r w:rsidR="00483460" w:rsidRPr="00483460">
        <w:rPr>
          <w:sz w:val="28"/>
          <w:szCs w:val="28"/>
        </w:rPr>
        <w:t>uthority</w:t>
      </w:r>
    </w:p>
    <w:p w14:paraId="0FDFBE66" w14:textId="77777777" w:rsidR="00040BFD" w:rsidRDefault="00040BFD" w:rsidP="00040BFD">
      <w:pPr>
        <w:pStyle w:val="R1"/>
        <w:tabs>
          <w:tab w:val="clear" w:pos="794"/>
        </w:tabs>
        <w:spacing w:before="0"/>
        <w:ind w:left="1436" w:hanging="585"/>
        <w:jc w:val="left"/>
      </w:pPr>
    </w:p>
    <w:p w14:paraId="4FB33006" w14:textId="274E8FAF" w:rsidR="00483460" w:rsidRPr="00483460" w:rsidRDefault="00483460" w:rsidP="00231FBE">
      <w:pPr>
        <w:pStyle w:val="R1"/>
        <w:tabs>
          <w:tab w:val="clear" w:pos="794"/>
          <w:tab w:val="left" w:pos="1701"/>
        </w:tabs>
        <w:spacing w:before="0"/>
        <w:ind w:left="1134" w:firstLine="0"/>
        <w:jc w:val="left"/>
      </w:pPr>
      <w:r>
        <w:t xml:space="preserve">This instrument is made under section 229 of the </w:t>
      </w:r>
      <w:r w:rsidRPr="00483460">
        <w:rPr>
          <w:i/>
        </w:rPr>
        <w:t xml:space="preserve">Anti-Money </w:t>
      </w:r>
      <w:r>
        <w:rPr>
          <w:i/>
        </w:rPr>
        <w:t>L</w:t>
      </w:r>
      <w:r w:rsidRPr="00483460">
        <w:rPr>
          <w:i/>
        </w:rPr>
        <w:t>aundering and Counter-Terrorism Financing Act 2006</w:t>
      </w:r>
      <w:r>
        <w:t>.</w:t>
      </w:r>
    </w:p>
    <w:p w14:paraId="3B1AD046" w14:textId="628B866A" w:rsidR="000232C3" w:rsidRPr="00483460" w:rsidRDefault="000232C3" w:rsidP="000232C3">
      <w:pPr>
        <w:pStyle w:val="HR"/>
        <w:ind w:left="567" w:hanging="567"/>
        <w:rPr>
          <w:sz w:val="28"/>
          <w:szCs w:val="28"/>
        </w:rPr>
      </w:pPr>
      <w:r>
        <w:rPr>
          <w:sz w:val="28"/>
          <w:szCs w:val="28"/>
        </w:rPr>
        <w:t>4</w:t>
      </w:r>
      <w:r w:rsidRPr="00483460">
        <w:rPr>
          <w:sz w:val="28"/>
          <w:szCs w:val="28"/>
        </w:rPr>
        <w:tab/>
      </w:r>
      <w:r>
        <w:rPr>
          <w:sz w:val="28"/>
          <w:szCs w:val="28"/>
        </w:rPr>
        <w:t>Schedules</w:t>
      </w:r>
    </w:p>
    <w:p w14:paraId="7D851E10" w14:textId="76DF4BB6" w:rsidR="00D2055A" w:rsidRPr="00D2055A" w:rsidRDefault="00D2055A" w:rsidP="00D2055A">
      <w:pPr>
        <w:pStyle w:val="R1"/>
        <w:tabs>
          <w:tab w:val="clear" w:pos="794"/>
        </w:tabs>
        <w:spacing w:before="240"/>
        <w:ind w:left="1134" w:firstLine="0"/>
        <w:jc w:val="left"/>
      </w:pPr>
      <w:r w:rsidRPr="00D2055A">
        <w:t>Each instrument that is specified in a Schedule to this instrument is amended or repealed as set out in the applicable items in the Schedule concerned, and any other item in a Schedule to this instrument has effect according to its terms.</w:t>
      </w:r>
    </w:p>
    <w:p w14:paraId="1AC27B78" w14:textId="412D2F87" w:rsidR="00263507" w:rsidRDefault="00263507" w:rsidP="00263507">
      <w:pPr>
        <w:pStyle w:val="AS"/>
        <w:spacing w:after="240"/>
        <w:ind w:left="2268" w:hanging="2268"/>
        <w:rPr>
          <w:sz w:val="24"/>
        </w:rPr>
      </w:pPr>
      <w:r w:rsidRPr="00E626A4">
        <w:rPr>
          <w:sz w:val="28"/>
          <w:szCs w:val="28"/>
        </w:rPr>
        <w:t>Schedule 1</w:t>
      </w:r>
      <w:r>
        <w:rPr>
          <w:rFonts w:cs="Arial"/>
          <w:sz w:val="28"/>
          <w:szCs w:val="28"/>
        </w:rPr>
        <w:t>—</w:t>
      </w:r>
      <w:r>
        <w:rPr>
          <w:sz w:val="28"/>
          <w:szCs w:val="28"/>
        </w:rPr>
        <w:t>Amendmen</w:t>
      </w:r>
      <w:r w:rsidR="00040BFD">
        <w:rPr>
          <w:sz w:val="28"/>
          <w:szCs w:val="28"/>
        </w:rPr>
        <w:t>ts</w:t>
      </w:r>
    </w:p>
    <w:p w14:paraId="3207729A" w14:textId="77777777" w:rsidR="00263507" w:rsidRPr="00142000" w:rsidRDefault="00263507" w:rsidP="00263507">
      <w:pPr>
        <w:pStyle w:val="AS"/>
        <w:spacing w:before="360" w:after="360"/>
        <w:ind w:left="0" w:firstLine="0"/>
        <w:rPr>
          <w:rFonts w:ascii="Times New Roman" w:hAnsi="Times New Roman"/>
          <w:b w:val="0"/>
          <w:sz w:val="24"/>
        </w:rPr>
      </w:pPr>
      <w:r w:rsidRPr="00142000">
        <w:rPr>
          <w:i/>
          <w:sz w:val="24"/>
        </w:rPr>
        <w:t>Anti-Money Laundering and Counter-Terrorism Financing Rules Instrument 2007 (No. 1)</w:t>
      </w:r>
    </w:p>
    <w:p w14:paraId="7148B106" w14:textId="3AA5CDEF" w:rsidR="00263507" w:rsidRPr="00CC4FAC" w:rsidRDefault="006447C5" w:rsidP="00C74BE0">
      <w:pPr>
        <w:pStyle w:val="HR"/>
        <w:ind w:left="567" w:hanging="567"/>
      </w:pPr>
      <w:r>
        <w:t>1</w:t>
      </w:r>
      <w:r w:rsidR="00263507" w:rsidRPr="00CC4FAC">
        <w:tab/>
      </w:r>
      <w:r w:rsidR="001F3001">
        <w:t>Chapter 1</w:t>
      </w:r>
      <w:r>
        <w:t xml:space="preserve"> (definition of </w:t>
      </w:r>
      <w:r w:rsidRPr="006447C5">
        <w:rPr>
          <w:i/>
        </w:rPr>
        <w:t>certified copy</w:t>
      </w:r>
      <w:r w:rsidR="000705CF">
        <w:rPr>
          <w:i/>
        </w:rPr>
        <w:t xml:space="preserve">, </w:t>
      </w:r>
      <w:r w:rsidR="000705CF">
        <w:t>including the note</w:t>
      </w:r>
      <w:r>
        <w:t>)</w:t>
      </w:r>
    </w:p>
    <w:bookmarkEnd w:id="0"/>
    <w:p w14:paraId="22401119" w14:textId="2F3F79ED" w:rsidR="00BA1CBA" w:rsidRDefault="006447C5" w:rsidP="009F423C">
      <w:pPr>
        <w:autoSpaceDE w:val="0"/>
        <w:autoSpaceDN w:val="0"/>
        <w:adjustRightInd w:val="0"/>
        <w:spacing w:before="240"/>
        <w:ind w:left="1134"/>
        <w:rPr>
          <w:rFonts w:ascii="Times New Roman" w:hAnsi="Times New Roman"/>
          <w:sz w:val="24"/>
          <w:lang w:eastAsia="en-AU"/>
        </w:rPr>
      </w:pPr>
      <w:r w:rsidRPr="006447C5">
        <w:rPr>
          <w:rFonts w:ascii="Times New Roman" w:hAnsi="Times New Roman"/>
          <w:sz w:val="24"/>
          <w:lang w:eastAsia="en-AU"/>
        </w:rPr>
        <w:t>Omit “</w:t>
      </w:r>
      <w:r w:rsidRPr="006447C5">
        <w:rPr>
          <w:rFonts w:ascii="Times New Roman" w:hAnsi="Times New Roman"/>
          <w:i/>
          <w:sz w:val="24"/>
          <w:lang w:eastAsia="en-AU"/>
        </w:rPr>
        <w:t>Statutory Declarations Regulations 1993</w:t>
      </w:r>
      <w:r w:rsidRPr="006447C5">
        <w:rPr>
          <w:rFonts w:ascii="Times New Roman" w:hAnsi="Times New Roman"/>
          <w:sz w:val="24"/>
          <w:lang w:eastAsia="en-AU"/>
        </w:rPr>
        <w:t>” (wherever occurring)</w:t>
      </w:r>
      <w:r w:rsidR="00EC2296">
        <w:rPr>
          <w:rFonts w:ascii="Times New Roman" w:hAnsi="Times New Roman"/>
          <w:sz w:val="24"/>
          <w:lang w:eastAsia="en-AU"/>
        </w:rPr>
        <w:t>,</w:t>
      </w:r>
      <w:r w:rsidR="00B95D35">
        <w:rPr>
          <w:rFonts w:ascii="Times New Roman" w:hAnsi="Times New Roman"/>
          <w:sz w:val="24"/>
          <w:lang w:eastAsia="en-AU"/>
        </w:rPr>
        <w:t xml:space="preserve"> </w:t>
      </w:r>
      <w:r w:rsidRPr="006447C5">
        <w:rPr>
          <w:rFonts w:ascii="Times New Roman" w:hAnsi="Times New Roman"/>
          <w:sz w:val="24"/>
          <w:lang w:eastAsia="en-AU"/>
        </w:rPr>
        <w:t>substitute “</w:t>
      </w:r>
      <w:r w:rsidRPr="006447C5">
        <w:rPr>
          <w:rFonts w:ascii="Times New Roman" w:hAnsi="Times New Roman"/>
          <w:i/>
          <w:sz w:val="24"/>
          <w:lang w:eastAsia="en-AU"/>
        </w:rPr>
        <w:t xml:space="preserve">Statutory Declarations Regulations </w:t>
      </w:r>
      <w:r>
        <w:rPr>
          <w:rFonts w:ascii="Times New Roman" w:hAnsi="Times New Roman"/>
          <w:i/>
          <w:sz w:val="24"/>
          <w:lang w:eastAsia="en-AU"/>
        </w:rPr>
        <w:t>2018”</w:t>
      </w:r>
      <w:r w:rsidR="00B95D35">
        <w:rPr>
          <w:rFonts w:ascii="Times New Roman" w:hAnsi="Times New Roman"/>
          <w:i/>
          <w:sz w:val="24"/>
          <w:lang w:eastAsia="en-AU"/>
        </w:rPr>
        <w:t>.</w:t>
      </w:r>
    </w:p>
    <w:p w14:paraId="2BF3579C" w14:textId="13AD459D" w:rsidR="006447C5" w:rsidRDefault="006447C5" w:rsidP="006447C5">
      <w:pPr>
        <w:pStyle w:val="AS"/>
        <w:spacing w:after="240"/>
        <w:ind w:left="2268" w:hanging="2268"/>
        <w:rPr>
          <w:sz w:val="24"/>
        </w:rPr>
      </w:pPr>
      <w:r w:rsidRPr="00E626A4">
        <w:rPr>
          <w:sz w:val="28"/>
          <w:szCs w:val="28"/>
        </w:rPr>
        <w:t xml:space="preserve">Schedule </w:t>
      </w:r>
      <w:r>
        <w:rPr>
          <w:sz w:val="28"/>
          <w:szCs w:val="28"/>
        </w:rPr>
        <w:t>2</w:t>
      </w:r>
      <w:r>
        <w:rPr>
          <w:rFonts w:cs="Arial"/>
          <w:sz w:val="28"/>
          <w:szCs w:val="28"/>
        </w:rPr>
        <w:t>—</w:t>
      </w:r>
      <w:r>
        <w:rPr>
          <w:sz w:val="28"/>
          <w:szCs w:val="28"/>
        </w:rPr>
        <w:t>Amendments</w:t>
      </w:r>
    </w:p>
    <w:p w14:paraId="3174CC12" w14:textId="77777777" w:rsidR="006447C5" w:rsidRPr="00142000" w:rsidRDefault="006447C5" w:rsidP="006447C5">
      <w:pPr>
        <w:pStyle w:val="AS"/>
        <w:spacing w:before="360" w:after="360"/>
        <w:ind w:left="0" w:firstLine="0"/>
        <w:rPr>
          <w:rFonts w:ascii="Times New Roman" w:hAnsi="Times New Roman"/>
          <w:b w:val="0"/>
          <w:sz w:val="24"/>
        </w:rPr>
      </w:pPr>
      <w:r w:rsidRPr="00142000">
        <w:rPr>
          <w:i/>
          <w:sz w:val="24"/>
        </w:rPr>
        <w:t>Anti-Money Laundering and Counter-Terrorism Financing Rules Instrument 2007 (No. 1)</w:t>
      </w:r>
    </w:p>
    <w:p w14:paraId="15240F60" w14:textId="5DD5DDD1" w:rsidR="009F423C" w:rsidRPr="00CC4FAC" w:rsidRDefault="009F423C" w:rsidP="00C74BE0">
      <w:pPr>
        <w:pStyle w:val="HR"/>
        <w:ind w:left="567" w:hanging="567"/>
      </w:pPr>
      <w:r>
        <w:t>1</w:t>
      </w:r>
      <w:r w:rsidRPr="00CC4FAC">
        <w:tab/>
      </w:r>
      <w:r>
        <w:t>Paragraph 4.4.2</w:t>
      </w:r>
    </w:p>
    <w:p w14:paraId="48F4FAD9" w14:textId="37D3C5D6" w:rsidR="00A973BB" w:rsidRDefault="009F423C" w:rsidP="00D47793">
      <w:pPr>
        <w:autoSpaceDE w:val="0"/>
        <w:autoSpaceDN w:val="0"/>
        <w:adjustRightInd w:val="0"/>
        <w:spacing w:before="240"/>
        <w:ind w:left="1134"/>
      </w:pPr>
      <w:r w:rsidRPr="006447C5">
        <w:rPr>
          <w:rFonts w:ascii="Times New Roman" w:hAnsi="Times New Roman"/>
          <w:sz w:val="24"/>
          <w:lang w:eastAsia="en-AU"/>
        </w:rPr>
        <w:t>Omit “</w:t>
      </w:r>
      <w:r>
        <w:rPr>
          <w:rFonts w:ascii="Times New Roman" w:hAnsi="Times New Roman"/>
          <w:sz w:val="24"/>
          <w:lang w:eastAsia="en-AU"/>
        </w:rPr>
        <w:t>An AML/CTF program”, substitute “Subject to paragraph 4.4.18, an AML/CTF program”.</w:t>
      </w:r>
    </w:p>
    <w:p w14:paraId="62866DCC" w14:textId="7E26C3CD" w:rsidR="000705CF" w:rsidRPr="00CC4FAC" w:rsidRDefault="000705CF" w:rsidP="00C74BE0">
      <w:pPr>
        <w:pStyle w:val="HR"/>
        <w:ind w:left="567" w:hanging="567"/>
      </w:pPr>
      <w:r>
        <w:t>2</w:t>
      </w:r>
      <w:r w:rsidRPr="00CC4FAC">
        <w:tab/>
      </w:r>
      <w:r>
        <w:t>Subparagraph 4.4.3(1)</w:t>
      </w:r>
    </w:p>
    <w:p w14:paraId="1CEA5EAF" w14:textId="5E7BB8DD" w:rsidR="000705CF" w:rsidRDefault="009F23CB" w:rsidP="000705CF">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After “full name”, insert “(if any)”.</w:t>
      </w:r>
    </w:p>
    <w:p w14:paraId="0F4428D0" w14:textId="637E4CEA" w:rsidR="00146344" w:rsidRPr="00CC4FAC" w:rsidRDefault="00A270B6" w:rsidP="00C74BE0">
      <w:pPr>
        <w:pStyle w:val="HR"/>
        <w:numPr>
          <w:ilvl w:val="0"/>
          <w:numId w:val="30"/>
        </w:numPr>
        <w:ind w:left="567" w:hanging="567"/>
      </w:pPr>
      <w:r>
        <w:lastRenderedPageBreak/>
        <w:t>At the end of s</w:t>
      </w:r>
      <w:r w:rsidR="00146344">
        <w:t>ubparagraph 4.4.3(5)</w:t>
      </w:r>
      <w:r w:rsidR="00CE294E">
        <w:t>(c)</w:t>
      </w:r>
    </w:p>
    <w:p w14:paraId="0284A989" w14:textId="770D5A49" w:rsidR="00182985" w:rsidRDefault="00D463A5" w:rsidP="00182985">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Add</w:t>
      </w:r>
      <w:r w:rsidR="00182985">
        <w:rPr>
          <w:rFonts w:ascii="Times New Roman" w:hAnsi="Times New Roman"/>
          <w:sz w:val="24"/>
          <w:lang w:eastAsia="en-AU"/>
        </w:rPr>
        <w:t>:</w:t>
      </w:r>
    </w:p>
    <w:p w14:paraId="1D9EDB50" w14:textId="203F1366" w:rsidR="00C81593" w:rsidRDefault="00A270B6" w:rsidP="002119A8">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 xml:space="preserve">; </w:t>
      </w:r>
      <w:r w:rsidR="00C81593">
        <w:rPr>
          <w:rFonts w:ascii="Times New Roman" w:hAnsi="Times New Roman"/>
          <w:sz w:val="24"/>
          <w:lang w:eastAsia="en-AU"/>
        </w:rPr>
        <w:t>or</w:t>
      </w:r>
    </w:p>
    <w:p w14:paraId="1C8817F2" w14:textId="31D6EF16" w:rsidR="00182985" w:rsidRDefault="003D6346" w:rsidP="003D6346">
      <w:pPr>
        <w:tabs>
          <w:tab w:val="left" w:pos="1701"/>
        </w:tabs>
        <w:autoSpaceDE w:val="0"/>
        <w:autoSpaceDN w:val="0"/>
        <w:adjustRightInd w:val="0"/>
        <w:spacing w:before="240"/>
        <w:ind w:left="1701" w:hanging="567"/>
        <w:rPr>
          <w:rFonts w:ascii="Times New Roman" w:hAnsi="Times New Roman"/>
          <w:sz w:val="24"/>
          <w:lang w:eastAsia="en-AU"/>
        </w:rPr>
      </w:pPr>
      <w:r>
        <w:rPr>
          <w:rFonts w:ascii="Times New Roman" w:hAnsi="Times New Roman"/>
          <w:sz w:val="24"/>
          <w:lang w:eastAsia="en-AU"/>
        </w:rPr>
        <w:t>(d)</w:t>
      </w:r>
      <w:r>
        <w:rPr>
          <w:rFonts w:ascii="Times New Roman" w:hAnsi="Times New Roman"/>
          <w:sz w:val="24"/>
          <w:lang w:eastAsia="en-AU"/>
        </w:rPr>
        <w:tab/>
      </w:r>
      <w:r w:rsidR="00182985">
        <w:rPr>
          <w:rFonts w:ascii="Times New Roman" w:hAnsi="Times New Roman"/>
          <w:sz w:val="24"/>
          <w:lang w:eastAsia="en-AU"/>
        </w:rPr>
        <w:t>the customer is a custodian.</w:t>
      </w:r>
    </w:p>
    <w:p w14:paraId="24979C93" w14:textId="21E54491" w:rsidR="00182985" w:rsidRPr="00182985" w:rsidRDefault="00182985" w:rsidP="00182985">
      <w:pPr>
        <w:tabs>
          <w:tab w:val="left" w:pos="2552"/>
        </w:tabs>
        <w:autoSpaceDE w:val="0"/>
        <w:autoSpaceDN w:val="0"/>
        <w:adjustRightInd w:val="0"/>
        <w:spacing w:before="240"/>
        <w:ind w:left="2552" w:hanging="851"/>
        <w:rPr>
          <w:rFonts w:ascii="Times New Roman" w:hAnsi="Times New Roman"/>
          <w:i/>
          <w:sz w:val="24"/>
          <w:lang w:eastAsia="en-AU"/>
        </w:rPr>
      </w:pPr>
      <w:r w:rsidRPr="00182985">
        <w:rPr>
          <w:rFonts w:ascii="Times New Roman" w:hAnsi="Times New Roman"/>
          <w:i/>
          <w:sz w:val="24"/>
          <w:lang w:eastAsia="en-AU"/>
        </w:rPr>
        <w:t>Note:</w:t>
      </w:r>
      <w:r w:rsidRPr="00182985">
        <w:rPr>
          <w:rFonts w:ascii="Times New Roman" w:hAnsi="Times New Roman"/>
          <w:i/>
          <w:sz w:val="24"/>
          <w:lang w:eastAsia="en-AU"/>
        </w:rPr>
        <w:tab/>
        <w:t>‘Custodian’ is defined in subparagraph 4.4.19(1) of these Rules.</w:t>
      </w:r>
    </w:p>
    <w:p w14:paraId="5B073E46" w14:textId="0D94B70D" w:rsidR="00DE5D0F" w:rsidRPr="00CC4FAC" w:rsidRDefault="003D6346" w:rsidP="003D6346">
      <w:pPr>
        <w:pStyle w:val="HR"/>
        <w:numPr>
          <w:ilvl w:val="0"/>
          <w:numId w:val="30"/>
        </w:numPr>
        <w:ind w:left="567" w:hanging="567"/>
      </w:pPr>
      <w:r>
        <w:t>Subparagraph 4.4.5(1)</w:t>
      </w:r>
    </w:p>
    <w:p w14:paraId="060B2F58" w14:textId="77777777" w:rsidR="00DE5D0F" w:rsidRDefault="00DE5D0F" w:rsidP="00DE5D0F">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Repeal the subparagraph, substitute:</w:t>
      </w:r>
    </w:p>
    <w:p w14:paraId="762407E6" w14:textId="389B38C0" w:rsidR="00DE5D0F" w:rsidRDefault="00DE5D0F" w:rsidP="00DE5D0F">
      <w:pPr>
        <w:numPr>
          <w:ilvl w:val="0"/>
          <w:numId w:val="31"/>
        </w:numPr>
        <w:tabs>
          <w:tab w:val="left" w:pos="1701"/>
        </w:tabs>
        <w:autoSpaceDE w:val="0"/>
        <w:autoSpaceDN w:val="0"/>
        <w:adjustRightInd w:val="0"/>
        <w:spacing w:before="240"/>
        <w:ind w:left="1701" w:hanging="567"/>
        <w:rPr>
          <w:rFonts w:ascii="Times New Roman" w:hAnsi="Times New Roman"/>
          <w:sz w:val="24"/>
          <w:lang w:eastAsia="en-AU"/>
        </w:rPr>
      </w:pPr>
      <w:r>
        <w:rPr>
          <w:rFonts w:ascii="Times New Roman" w:hAnsi="Times New Roman"/>
          <w:sz w:val="24"/>
          <w:lang w:eastAsia="en-AU"/>
        </w:rPr>
        <w:t>the full name (if any) of the trust;</w:t>
      </w:r>
    </w:p>
    <w:p w14:paraId="10544AE8" w14:textId="70A3080A" w:rsidR="000F5446" w:rsidRPr="00CC4FAC" w:rsidRDefault="00A270B6" w:rsidP="003D6346">
      <w:pPr>
        <w:pStyle w:val="HR"/>
        <w:numPr>
          <w:ilvl w:val="0"/>
          <w:numId w:val="30"/>
        </w:numPr>
        <w:ind w:left="567" w:hanging="567"/>
      </w:pPr>
      <w:r>
        <w:t>At the end of s</w:t>
      </w:r>
      <w:r w:rsidR="003D6346">
        <w:t>ubparagraph 4.4.5(5)</w:t>
      </w:r>
      <w:r w:rsidR="00CE294E">
        <w:t>(c)</w:t>
      </w:r>
    </w:p>
    <w:p w14:paraId="0CCA520B" w14:textId="3E352F11" w:rsidR="000F5446" w:rsidRDefault="00D463A5" w:rsidP="000F5446">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Add</w:t>
      </w:r>
      <w:r w:rsidR="000F5446">
        <w:rPr>
          <w:rFonts w:ascii="Times New Roman" w:hAnsi="Times New Roman"/>
          <w:sz w:val="24"/>
          <w:lang w:eastAsia="en-AU"/>
        </w:rPr>
        <w:t>:</w:t>
      </w:r>
    </w:p>
    <w:p w14:paraId="4E21AF95" w14:textId="77777777" w:rsidR="00C81593" w:rsidRDefault="00A270B6" w:rsidP="002119A8">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w:t>
      </w:r>
      <w:r w:rsidR="00C81593">
        <w:rPr>
          <w:rFonts w:ascii="Times New Roman" w:hAnsi="Times New Roman"/>
          <w:sz w:val="24"/>
          <w:lang w:eastAsia="en-AU"/>
        </w:rPr>
        <w:t xml:space="preserve"> or</w:t>
      </w:r>
    </w:p>
    <w:p w14:paraId="6E2C51A3" w14:textId="0F238EE2" w:rsidR="00A270B6" w:rsidRDefault="00A270B6" w:rsidP="00A270B6">
      <w:pPr>
        <w:tabs>
          <w:tab w:val="left" w:pos="1701"/>
        </w:tabs>
        <w:autoSpaceDE w:val="0"/>
        <w:autoSpaceDN w:val="0"/>
        <w:adjustRightInd w:val="0"/>
        <w:spacing w:before="240"/>
        <w:ind w:left="1701" w:hanging="567"/>
        <w:rPr>
          <w:rFonts w:ascii="Times New Roman" w:hAnsi="Times New Roman"/>
          <w:sz w:val="24"/>
          <w:lang w:eastAsia="en-AU"/>
        </w:rPr>
      </w:pPr>
      <w:r>
        <w:rPr>
          <w:rFonts w:ascii="Times New Roman" w:hAnsi="Times New Roman"/>
          <w:sz w:val="24"/>
          <w:lang w:eastAsia="en-AU"/>
        </w:rPr>
        <w:t>(d)</w:t>
      </w:r>
      <w:r>
        <w:rPr>
          <w:rFonts w:ascii="Times New Roman" w:hAnsi="Times New Roman"/>
          <w:sz w:val="24"/>
          <w:lang w:eastAsia="en-AU"/>
        </w:rPr>
        <w:tab/>
        <w:t>the customer is a custodian.</w:t>
      </w:r>
    </w:p>
    <w:p w14:paraId="6B724780" w14:textId="77777777" w:rsidR="000F5446" w:rsidRPr="00182985" w:rsidRDefault="000F5446" w:rsidP="000F5446">
      <w:pPr>
        <w:tabs>
          <w:tab w:val="left" w:pos="2552"/>
        </w:tabs>
        <w:autoSpaceDE w:val="0"/>
        <w:autoSpaceDN w:val="0"/>
        <w:adjustRightInd w:val="0"/>
        <w:spacing w:before="240"/>
        <w:ind w:left="2552" w:hanging="851"/>
        <w:rPr>
          <w:rFonts w:ascii="Times New Roman" w:hAnsi="Times New Roman"/>
          <w:i/>
          <w:sz w:val="24"/>
          <w:lang w:eastAsia="en-AU"/>
        </w:rPr>
      </w:pPr>
      <w:r w:rsidRPr="00182985">
        <w:rPr>
          <w:rFonts w:ascii="Times New Roman" w:hAnsi="Times New Roman"/>
          <w:i/>
          <w:sz w:val="24"/>
          <w:lang w:eastAsia="en-AU"/>
        </w:rPr>
        <w:t>Note:</w:t>
      </w:r>
      <w:r w:rsidRPr="00182985">
        <w:rPr>
          <w:rFonts w:ascii="Times New Roman" w:hAnsi="Times New Roman"/>
          <w:i/>
          <w:sz w:val="24"/>
          <w:lang w:eastAsia="en-AU"/>
        </w:rPr>
        <w:tab/>
        <w:t>‘Custodian’ is defined in subparagraph 4.4.19(1) of these Rules.</w:t>
      </w:r>
    </w:p>
    <w:p w14:paraId="1C345839" w14:textId="66530576" w:rsidR="00BB59EF" w:rsidRPr="00CC4FAC" w:rsidRDefault="00BB59EF" w:rsidP="003D6346">
      <w:pPr>
        <w:pStyle w:val="HR"/>
        <w:numPr>
          <w:ilvl w:val="0"/>
          <w:numId w:val="30"/>
        </w:numPr>
        <w:ind w:left="567" w:hanging="567"/>
      </w:pPr>
      <w:r>
        <w:t>Paragraph 4.4.9</w:t>
      </w:r>
    </w:p>
    <w:p w14:paraId="1F2945EC" w14:textId="77777777" w:rsidR="00BB59EF" w:rsidRDefault="00BB59EF" w:rsidP="00BB59EF">
      <w:pPr>
        <w:autoSpaceDE w:val="0"/>
        <w:autoSpaceDN w:val="0"/>
        <w:adjustRightInd w:val="0"/>
        <w:spacing w:before="240"/>
        <w:ind w:left="1134"/>
        <w:rPr>
          <w:rFonts w:ascii="Times New Roman" w:hAnsi="Times New Roman"/>
          <w:sz w:val="24"/>
          <w:lang w:eastAsia="en-AU"/>
        </w:rPr>
      </w:pPr>
      <w:r w:rsidRPr="006447C5">
        <w:rPr>
          <w:rFonts w:ascii="Times New Roman" w:hAnsi="Times New Roman"/>
          <w:sz w:val="24"/>
          <w:lang w:eastAsia="en-AU"/>
        </w:rPr>
        <w:t>Omit “</w:t>
      </w:r>
      <w:r>
        <w:rPr>
          <w:rFonts w:ascii="Times New Roman" w:hAnsi="Times New Roman"/>
          <w:sz w:val="24"/>
          <w:lang w:eastAsia="en-AU"/>
        </w:rPr>
        <w:t>An AML/CTF program”, substitute “Subject to paragraph 4.4.18, an AML/CTF program”.</w:t>
      </w:r>
    </w:p>
    <w:p w14:paraId="30002468" w14:textId="28517E88" w:rsidR="00655038" w:rsidRPr="00CC4FAC" w:rsidRDefault="000D4A90" w:rsidP="003D6346">
      <w:pPr>
        <w:pStyle w:val="HR"/>
        <w:numPr>
          <w:ilvl w:val="0"/>
          <w:numId w:val="30"/>
        </w:numPr>
        <w:ind w:left="567" w:hanging="567"/>
      </w:pPr>
      <w:r>
        <w:t>After p</w:t>
      </w:r>
      <w:r w:rsidR="00655038">
        <w:t>aragraph 4.4.</w:t>
      </w:r>
      <w:r>
        <w:t>17</w:t>
      </w:r>
    </w:p>
    <w:p w14:paraId="77D7A171" w14:textId="667FDD3A" w:rsidR="000D4A90" w:rsidRDefault="000D4A90" w:rsidP="000D4A90">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Insert:</w:t>
      </w:r>
    </w:p>
    <w:p w14:paraId="3FF0E039" w14:textId="77777777" w:rsidR="00796244" w:rsidRPr="00796244" w:rsidRDefault="00796244" w:rsidP="00796244">
      <w:pPr>
        <w:ind w:left="1134"/>
        <w:rPr>
          <w:rFonts w:ascii="Times New Roman" w:hAnsi="Times New Roman"/>
          <w:i/>
          <w:color w:val="000000" w:themeColor="text1"/>
          <w:sz w:val="24"/>
        </w:rPr>
      </w:pPr>
    </w:p>
    <w:p w14:paraId="739AAA33" w14:textId="6102B544" w:rsidR="00796244" w:rsidRPr="00796244" w:rsidRDefault="00796244" w:rsidP="00C76CBF">
      <w:pPr>
        <w:rPr>
          <w:rFonts w:ascii="Times New Roman" w:hAnsi="Times New Roman"/>
          <w:i/>
          <w:color w:val="000000" w:themeColor="text1"/>
          <w:sz w:val="24"/>
          <w:lang w:eastAsia="en-AU"/>
        </w:rPr>
      </w:pPr>
      <w:r w:rsidRPr="00796244">
        <w:rPr>
          <w:rFonts w:ascii="Times New Roman" w:hAnsi="Times New Roman"/>
          <w:i/>
          <w:color w:val="000000" w:themeColor="text1"/>
          <w:sz w:val="24"/>
        </w:rPr>
        <w:t>Trustees who are custodians</w:t>
      </w:r>
    </w:p>
    <w:p w14:paraId="46986FB8" w14:textId="77777777" w:rsidR="00796244" w:rsidRPr="00796244" w:rsidRDefault="00796244" w:rsidP="00796244">
      <w:pPr>
        <w:tabs>
          <w:tab w:val="left" w:pos="2268"/>
        </w:tabs>
        <w:ind w:left="2268" w:hanging="1134"/>
        <w:rPr>
          <w:rFonts w:ascii="Times New Roman" w:hAnsi="Times New Roman"/>
          <w:color w:val="000000" w:themeColor="text1"/>
          <w:sz w:val="24"/>
        </w:rPr>
      </w:pPr>
    </w:p>
    <w:p w14:paraId="0F806E9A" w14:textId="3BD07154" w:rsidR="00796244" w:rsidRPr="00796244" w:rsidRDefault="00796244" w:rsidP="00C76CBF">
      <w:pPr>
        <w:tabs>
          <w:tab w:val="left" w:pos="851"/>
        </w:tabs>
        <w:ind w:left="851" w:hanging="851"/>
        <w:rPr>
          <w:rFonts w:ascii="Times New Roman" w:hAnsi="Times New Roman"/>
          <w:color w:val="000000" w:themeColor="text1"/>
          <w:sz w:val="24"/>
        </w:rPr>
      </w:pPr>
      <w:r w:rsidRPr="00796244">
        <w:rPr>
          <w:rFonts w:ascii="Times New Roman" w:hAnsi="Times New Roman"/>
          <w:color w:val="000000" w:themeColor="text1"/>
          <w:sz w:val="24"/>
        </w:rPr>
        <w:t>4.4.18</w:t>
      </w:r>
      <w:r w:rsidRPr="00796244">
        <w:rPr>
          <w:rFonts w:ascii="Times New Roman" w:hAnsi="Times New Roman"/>
          <w:color w:val="000000" w:themeColor="text1"/>
          <w:sz w:val="24"/>
        </w:rPr>
        <w:tab/>
        <w:t>An AML/CTF program need not include the requirements specified in the following AML/CTF Rules in relation to the provision by the reporting entity of designated services to a customer who is a custodian:</w:t>
      </w:r>
    </w:p>
    <w:p w14:paraId="519FFF30" w14:textId="77777777" w:rsidR="003162AD" w:rsidRPr="003162AD" w:rsidRDefault="003162AD" w:rsidP="003162AD">
      <w:pPr>
        <w:ind w:left="2835" w:hanging="567"/>
        <w:rPr>
          <w:rFonts w:ascii="Times New Roman" w:hAnsi="Times New Roman"/>
          <w:color w:val="000000" w:themeColor="text1"/>
          <w:sz w:val="24"/>
        </w:rPr>
      </w:pPr>
    </w:p>
    <w:p w14:paraId="4D1FB807" w14:textId="042204FD" w:rsidR="00796244" w:rsidRPr="003162AD" w:rsidRDefault="00796244" w:rsidP="00C76CBF">
      <w:pPr>
        <w:tabs>
          <w:tab w:val="left" w:pos="1418"/>
        </w:tabs>
        <w:ind w:left="1418" w:hanging="567"/>
        <w:rPr>
          <w:rFonts w:ascii="Times New Roman" w:hAnsi="Times New Roman"/>
          <w:color w:val="000000" w:themeColor="text1"/>
          <w:sz w:val="24"/>
        </w:rPr>
      </w:pPr>
      <w:r w:rsidRPr="003162AD">
        <w:rPr>
          <w:rFonts w:ascii="Times New Roman" w:hAnsi="Times New Roman"/>
          <w:color w:val="000000" w:themeColor="text1"/>
          <w:sz w:val="24"/>
        </w:rPr>
        <w:t>(1)</w:t>
      </w:r>
      <w:r w:rsidRPr="003162AD">
        <w:rPr>
          <w:rFonts w:ascii="Times New Roman" w:hAnsi="Times New Roman"/>
          <w:color w:val="000000" w:themeColor="text1"/>
          <w:sz w:val="24"/>
        </w:rPr>
        <w:tab/>
        <w:t>subparagraph 4.4.2(2);</w:t>
      </w:r>
      <w:r w:rsidR="00210EEE">
        <w:rPr>
          <w:rFonts w:ascii="Times New Roman" w:hAnsi="Times New Roman"/>
          <w:color w:val="000000" w:themeColor="text1"/>
          <w:sz w:val="24"/>
        </w:rPr>
        <w:t xml:space="preserve"> and</w:t>
      </w:r>
    </w:p>
    <w:p w14:paraId="6589E16F" w14:textId="77777777" w:rsidR="003162AD" w:rsidRPr="003162AD" w:rsidRDefault="003162AD" w:rsidP="00C76CBF">
      <w:pPr>
        <w:tabs>
          <w:tab w:val="left" w:pos="1418"/>
        </w:tabs>
        <w:ind w:left="1418" w:hanging="567"/>
        <w:rPr>
          <w:rFonts w:ascii="Times New Roman" w:hAnsi="Times New Roman"/>
          <w:color w:val="000000" w:themeColor="text1"/>
          <w:sz w:val="24"/>
        </w:rPr>
      </w:pPr>
    </w:p>
    <w:p w14:paraId="54E3B337" w14:textId="759A3C16" w:rsidR="00796244" w:rsidRPr="003162AD" w:rsidRDefault="00796244" w:rsidP="00C76CBF">
      <w:pPr>
        <w:tabs>
          <w:tab w:val="left" w:pos="1418"/>
        </w:tabs>
        <w:ind w:left="1418" w:hanging="567"/>
        <w:rPr>
          <w:rFonts w:ascii="Times New Roman" w:hAnsi="Times New Roman"/>
          <w:color w:val="000000" w:themeColor="text1"/>
          <w:sz w:val="24"/>
        </w:rPr>
      </w:pPr>
      <w:r w:rsidRPr="003162AD">
        <w:rPr>
          <w:rFonts w:ascii="Times New Roman" w:hAnsi="Times New Roman"/>
          <w:color w:val="000000" w:themeColor="text1"/>
          <w:sz w:val="24"/>
        </w:rPr>
        <w:t>(2)</w:t>
      </w:r>
      <w:r w:rsidRPr="003162AD">
        <w:rPr>
          <w:rFonts w:ascii="Times New Roman" w:hAnsi="Times New Roman"/>
          <w:color w:val="000000" w:themeColor="text1"/>
          <w:sz w:val="24"/>
        </w:rPr>
        <w:tab/>
        <w:t>subparagraph 4.4.9(2); and</w:t>
      </w:r>
    </w:p>
    <w:p w14:paraId="390003E4" w14:textId="77777777" w:rsidR="003162AD" w:rsidRPr="00380ACF" w:rsidRDefault="003162AD" w:rsidP="00C76CBF">
      <w:pPr>
        <w:tabs>
          <w:tab w:val="left" w:pos="1418"/>
        </w:tabs>
        <w:ind w:left="1418" w:hanging="567"/>
        <w:rPr>
          <w:rFonts w:ascii="Times New Roman" w:hAnsi="Times New Roman"/>
          <w:color w:val="000000" w:themeColor="text1"/>
          <w:sz w:val="24"/>
        </w:rPr>
      </w:pPr>
    </w:p>
    <w:p w14:paraId="3E5F3A8B" w14:textId="77777777" w:rsidR="00796244" w:rsidRPr="00380ACF" w:rsidRDefault="00796244" w:rsidP="00C76CBF">
      <w:pPr>
        <w:tabs>
          <w:tab w:val="left" w:pos="1418"/>
        </w:tabs>
        <w:ind w:left="1418" w:hanging="567"/>
        <w:rPr>
          <w:rFonts w:ascii="Times New Roman" w:hAnsi="Times New Roman"/>
          <w:color w:val="000000" w:themeColor="text1"/>
          <w:sz w:val="24"/>
        </w:rPr>
      </w:pPr>
      <w:r w:rsidRPr="00380ACF">
        <w:rPr>
          <w:rFonts w:ascii="Times New Roman" w:hAnsi="Times New Roman"/>
          <w:color w:val="000000" w:themeColor="text1"/>
          <w:sz w:val="24"/>
        </w:rPr>
        <w:t>(3)</w:t>
      </w:r>
      <w:r w:rsidRPr="00380ACF">
        <w:rPr>
          <w:rFonts w:ascii="Times New Roman" w:hAnsi="Times New Roman"/>
          <w:color w:val="000000" w:themeColor="text1"/>
          <w:sz w:val="24"/>
        </w:rPr>
        <w:tab/>
        <w:t>in so far as they relate to the collection, verification, updating or review (as applicable) of information on the underlying customers to whom the custodian is providing a custodial or depository service:</w:t>
      </w:r>
    </w:p>
    <w:p w14:paraId="7052392F" w14:textId="77777777" w:rsidR="00380ACF" w:rsidRDefault="00380ACF" w:rsidP="00C76CBF">
      <w:pPr>
        <w:tabs>
          <w:tab w:val="left" w:pos="1418"/>
        </w:tabs>
        <w:ind w:left="1418" w:hanging="567"/>
        <w:rPr>
          <w:rFonts w:ascii="Times New Roman" w:hAnsi="Times New Roman"/>
          <w:color w:val="000000" w:themeColor="text1"/>
          <w:sz w:val="24"/>
          <w:highlight w:val="yellow"/>
        </w:rPr>
      </w:pPr>
    </w:p>
    <w:p w14:paraId="6655C01C" w14:textId="3147778D" w:rsidR="00796244" w:rsidRPr="00380ACF" w:rsidRDefault="00796244" w:rsidP="00C76CBF">
      <w:pPr>
        <w:ind w:left="1985" w:hanging="567"/>
        <w:rPr>
          <w:rFonts w:ascii="Times New Roman" w:hAnsi="Times New Roman"/>
          <w:color w:val="000000" w:themeColor="text1"/>
          <w:sz w:val="24"/>
        </w:rPr>
      </w:pPr>
      <w:r w:rsidRPr="00380ACF">
        <w:rPr>
          <w:rFonts w:ascii="Times New Roman" w:hAnsi="Times New Roman"/>
          <w:color w:val="000000" w:themeColor="text1"/>
          <w:sz w:val="24"/>
        </w:rPr>
        <w:t>(a)</w:t>
      </w:r>
      <w:r w:rsidRPr="00380ACF">
        <w:rPr>
          <w:rFonts w:ascii="Times New Roman" w:hAnsi="Times New Roman"/>
          <w:color w:val="000000" w:themeColor="text1"/>
          <w:sz w:val="24"/>
        </w:rPr>
        <w:tab/>
        <w:t>Parts 4.12 and 4.13;</w:t>
      </w:r>
      <w:r w:rsidR="00210EEE">
        <w:rPr>
          <w:rFonts w:ascii="Times New Roman" w:hAnsi="Times New Roman"/>
          <w:color w:val="000000" w:themeColor="text1"/>
          <w:sz w:val="24"/>
        </w:rPr>
        <w:t xml:space="preserve"> and</w:t>
      </w:r>
    </w:p>
    <w:p w14:paraId="55A56120" w14:textId="77777777" w:rsidR="00380ACF" w:rsidRPr="00380ACF" w:rsidRDefault="00380ACF" w:rsidP="00C76CBF">
      <w:pPr>
        <w:ind w:left="1985" w:hanging="567"/>
        <w:rPr>
          <w:rFonts w:ascii="Times New Roman" w:hAnsi="Times New Roman"/>
          <w:color w:val="000000" w:themeColor="text1"/>
          <w:sz w:val="24"/>
        </w:rPr>
      </w:pPr>
    </w:p>
    <w:p w14:paraId="02B7D54E" w14:textId="1D68B99C" w:rsidR="00796244" w:rsidRPr="00380ACF" w:rsidRDefault="00796244" w:rsidP="00C76CBF">
      <w:pPr>
        <w:ind w:left="1985" w:hanging="567"/>
        <w:rPr>
          <w:rFonts w:ascii="Times New Roman" w:hAnsi="Times New Roman"/>
          <w:color w:val="000000" w:themeColor="text1"/>
          <w:sz w:val="24"/>
        </w:rPr>
      </w:pPr>
      <w:r w:rsidRPr="00380ACF">
        <w:rPr>
          <w:rFonts w:ascii="Times New Roman" w:hAnsi="Times New Roman"/>
          <w:color w:val="000000" w:themeColor="text1"/>
          <w:sz w:val="24"/>
        </w:rPr>
        <w:t>(b)</w:t>
      </w:r>
      <w:r w:rsidRPr="00380ACF">
        <w:rPr>
          <w:rFonts w:ascii="Times New Roman" w:hAnsi="Times New Roman"/>
          <w:color w:val="000000" w:themeColor="text1"/>
          <w:sz w:val="24"/>
        </w:rPr>
        <w:tab/>
        <w:t>paragraphs 15.2 and 15.3; and</w:t>
      </w:r>
    </w:p>
    <w:p w14:paraId="44FA66B9" w14:textId="77777777" w:rsidR="00380ACF" w:rsidRPr="00380ACF" w:rsidRDefault="00380ACF" w:rsidP="00C76CBF">
      <w:pPr>
        <w:ind w:left="1985" w:hanging="567"/>
        <w:rPr>
          <w:rFonts w:ascii="Times New Roman" w:hAnsi="Times New Roman"/>
          <w:color w:val="000000" w:themeColor="text1"/>
          <w:sz w:val="24"/>
        </w:rPr>
      </w:pPr>
    </w:p>
    <w:p w14:paraId="617ED0B9" w14:textId="448BDF18" w:rsidR="00796244" w:rsidRPr="00380ACF" w:rsidRDefault="00796244" w:rsidP="00C76CBF">
      <w:pPr>
        <w:ind w:left="1985" w:hanging="567"/>
        <w:rPr>
          <w:rFonts w:ascii="Times New Roman" w:hAnsi="Times New Roman"/>
          <w:color w:val="000000" w:themeColor="text1"/>
          <w:sz w:val="24"/>
        </w:rPr>
      </w:pPr>
      <w:r w:rsidRPr="00380ACF">
        <w:rPr>
          <w:rFonts w:ascii="Times New Roman" w:hAnsi="Times New Roman"/>
          <w:color w:val="000000" w:themeColor="text1"/>
          <w:sz w:val="24"/>
        </w:rPr>
        <w:t>(c)</w:t>
      </w:r>
      <w:r w:rsidRPr="00380ACF">
        <w:rPr>
          <w:rFonts w:ascii="Times New Roman" w:hAnsi="Times New Roman"/>
          <w:color w:val="000000" w:themeColor="text1"/>
          <w:sz w:val="24"/>
        </w:rPr>
        <w:tab/>
        <w:t>subparagraphs 15.9(2), 15.10(1)(b), 15.10(1)(c), 15.10(2) and 15.10(4).</w:t>
      </w:r>
    </w:p>
    <w:p w14:paraId="1D8086CD" w14:textId="77777777" w:rsidR="00380ACF" w:rsidRPr="00380ACF" w:rsidRDefault="00380ACF" w:rsidP="00380ACF">
      <w:pPr>
        <w:tabs>
          <w:tab w:val="left" w:pos="3686"/>
        </w:tabs>
        <w:ind w:left="3686" w:hanging="851"/>
        <w:rPr>
          <w:rFonts w:ascii="Times New Roman" w:hAnsi="Times New Roman"/>
          <w:i/>
          <w:color w:val="000000" w:themeColor="text1"/>
          <w:sz w:val="24"/>
        </w:rPr>
      </w:pPr>
    </w:p>
    <w:p w14:paraId="591A3CAC" w14:textId="55439A3A" w:rsidR="00796244" w:rsidRPr="00380ACF" w:rsidRDefault="00796244" w:rsidP="00427DDB">
      <w:pPr>
        <w:tabs>
          <w:tab w:val="left" w:pos="2268"/>
        </w:tabs>
        <w:ind w:left="850" w:hanging="850"/>
        <w:rPr>
          <w:rFonts w:ascii="Times New Roman" w:hAnsi="Times New Roman"/>
          <w:i/>
          <w:color w:val="000000" w:themeColor="text1"/>
          <w:sz w:val="24"/>
        </w:rPr>
      </w:pPr>
      <w:r w:rsidRPr="00380ACF">
        <w:rPr>
          <w:rFonts w:ascii="Times New Roman" w:hAnsi="Times New Roman"/>
          <w:i/>
          <w:color w:val="000000" w:themeColor="text1"/>
          <w:sz w:val="24"/>
        </w:rPr>
        <w:t>Note 1:</w:t>
      </w:r>
      <w:r w:rsidRPr="00380ACF">
        <w:rPr>
          <w:rFonts w:ascii="Times New Roman" w:hAnsi="Times New Roman"/>
          <w:i/>
          <w:color w:val="000000" w:themeColor="text1"/>
          <w:sz w:val="24"/>
        </w:rPr>
        <w:tab/>
        <w:t>The requirements in Parts 4.12 and 4.13 of the AML/CTF Rules continue to apply to reporting entities in relation to the collection and verification of information on the custodian customer.</w:t>
      </w:r>
    </w:p>
    <w:p w14:paraId="207CA647" w14:textId="77777777" w:rsidR="00380ACF" w:rsidRPr="00380ACF" w:rsidRDefault="00380ACF" w:rsidP="00427DDB">
      <w:pPr>
        <w:tabs>
          <w:tab w:val="left" w:pos="3686"/>
        </w:tabs>
        <w:ind w:left="2268" w:hanging="851"/>
        <w:rPr>
          <w:rFonts w:ascii="Times New Roman" w:hAnsi="Times New Roman"/>
          <w:i/>
          <w:color w:val="000000" w:themeColor="text1"/>
          <w:sz w:val="24"/>
        </w:rPr>
      </w:pPr>
    </w:p>
    <w:p w14:paraId="5E967FCE" w14:textId="06770EBA" w:rsidR="00796244" w:rsidRPr="00380ACF" w:rsidRDefault="00796244" w:rsidP="00427DDB">
      <w:pPr>
        <w:tabs>
          <w:tab w:val="left" w:pos="2268"/>
        </w:tabs>
        <w:ind w:left="850" w:hanging="850"/>
        <w:rPr>
          <w:rFonts w:ascii="Times New Roman" w:hAnsi="Times New Roman"/>
          <w:i/>
          <w:color w:val="000000" w:themeColor="text1"/>
          <w:sz w:val="24"/>
        </w:rPr>
      </w:pPr>
      <w:r w:rsidRPr="00380ACF">
        <w:rPr>
          <w:rFonts w:ascii="Times New Roman" w:hAnsi="Times New Roman"/>
          <w:i/>
          <w:color w:val="000000" w:themeColor="text1"/>
          <w:sz w:val="24"/>
        </w:rPr>
        <w:t>Note 2:</w:t>
      </w:r>
      <w:r w:rsidRPr="00380ACF">
        <w:rPr>
          <w:rFonts w:ascii="Times New Roman" w:hAnsi="Times New Roman"/>
          <w:i/>
          <w:color w:val="000000" w:themeColor="text1"/>
          <w:sz w:val="24"/>
        </w:rPr>
        <w:tab/>
        <w:t>The requirements in paragraphs 15.2 and 15.3 and subparagraphs 15.9(2), 15.10(1)(b), 15.10(1)(c), 15.10(2) and 15.10(4) of the AML/CTF Rules continue to apply to reporting entities in relation to the collection, verification, re-verification, clarification, updating, review and detailed analysis of:</w:t>
      </w:r>
    </w:p>
    <w:p w14:paraId="3716315D" w14:textId="77777777" w:rsidR="00380ACF" w:rsidRPr="00380ACF" w:rsidRDefault="00380ACF" w:rsidP="00427DDB">
      <w:pPr>
        <w:tabs>
          <w:tab w:val="left" w:pos="4536"/>
        </w:tabs>
        <w:ind w:left="3118" w:hanging="850"/>
        <w:rPr>
          <w:rFonts w:ascii="Times New Roman" w:hAnsi="Times New Roman"/>
          <w:i/>
          <w:color w:val="000000" w:themeColor="text1"/>
          <w:sz w:val="24"/>
        </w:rPr>
      </w:pPr>
    </w:p>
    <w:p w14:paraId="4EB1DC33" w14:textId="0BC59C9F" w:rsidR="00796244" w:rsidRPr="00380ACF" w:rsidRDefault="00796244" w:rsidP="00427DDB">
      <w:pPr>
        <w:tabs>
          <w:tab w:val="left" w:pos="2835"/>
        </w:tabs>
        <w:ind w:left="1417" w:hanging="567"/>
        <w:rPr>
          <w:rFonts w:ascii="Times New Roman" w:hAnsi="Times New Roman"/>
          <w:i/>
          <w:color w:val="000000" w:themeColor="text1"/>
          <w:sz w:val="24"/>
        </w:rPr>
      </w:pPr>
      <w:r w:rsidRPr="00380ACF">
        <w:rPr>
          <w:rFonts w:ascii="Times New Roman" w:hAnsi="Times New Roman"/>
          <w:i/>
          <w:color w:val="000000" w:themeColor="text1"/>
          <w:sz w:val="24"/>
        </w:rPr>
        <w:t>(a)</w:t>
      </w:r>
      <w:r w:rsidRPr="00380ACF">
        <w:rPr>
          <w:rFonts w:ascii="Times New Roman" w:hAnsi="Times New Roman"/>
          <w:i/>
          <w:color w:val="000000" w:themeColor="text1"/>
          <w:sz w:val="24"/>
        </w:rPr>
        <w:tab/>
        <w:t xml:space="preserve">KYC information of customers that are custodians; and </w:t>
      </w:r>
    </w:p>
    <w:p w14:paraId="20B97981" w14:textId="77777777" w:rsidR="00380ACF" w:rsidRPr="00380ACF" w:rsidRDefault="00380ACF" w:rsidP="00427DDB">
      <w:pPr>
        <w:tabs>
          <w:tab w:val="left" w:pos="2835"/>
        </w:tabs>
        <w:ind w:left="1417" w:hanging="567"/>
        <w:rPr>
          <w:rFonts w:ascii="Times New Roman" w:hAnsi="Times New Roman"/>
          <w:i/>
          <w:color w:val="000000" w:themeColor="text1"/>
          <w:sz w:val="24"/>
        </w:rPr>
      </w:pPr>
    </w:p>
    <w:p w14:paraId="18596C9E" w14:textId="6970A010" w:rsidR="00796244" w:rsidRPr="00380ACF" w:rsidRDefault="00796244" w:rsidP="00427DDB">
      <w:pPr>
        <w:tabs>
          <w:tab w:val="left" w:pos="2835"/>
        </w:tabs>
        <w:ind w:left="1417" w:hanging="567"/>
        <w:rPr>
          <w:rFonts w:ascii="Times New Roman" w:hAnsi="Times New Roman"/>
          <w:i/>
          <w:color w:val="000000" w:themeColor="text1"/>
          <w:sz w:val="24"/>
        </w:rPr>
      </w:pPr>
      <w:r w:rsidRPr="00380ACF">
        <w:rPr>
          <w:rFonts w:ascii="Times New Roman" w:hAnsi="Times New Roman"/>
          <w:i/>
          <w:color w:val="000000" w:themeColor="text1"/>
          <w:sz w:val="24"/>
        </w:rPr>
        <w:t>(b)</w:t>
      </w:r>
      <w:r w:rsidRPr="00380ACF">
        <w:rPr>
          <w:rFonts w:ascii="Times New Roman" w:hAnsi="Times New Roman"/>
          <w:i/>
          <w:color w:val="000000" w:themeColor="text1"/>
          <w:sz w:val="24"/>
        </w:rPr>
        <w:tab/>
        <w:t>beneficial owner information, other than information relating to the underlying customers of custodians.</w:t>
      </w:r>
    </w:p>
    <w:p w14:paraId="4C49D557" w14:textId="77777777" w:rsidR="00380ACF" w:rsidRPr="00304AF2" w:rsidRDefault="00380ACF" w:rsidP="00304AF2">
      <w:pPr>
        <w:tabs>
          <w:tab w:val="left" w:pos="2268"/>
        </w:tabs>
        <w:ind w:left="2268" w:hanging="1134"/>
        <w:rPr>
          <w:rFonts w:ascii="Times New Roman" w:hAnsi="Times New Roman"/>
          <w:color w:val="000000" w:themeColor="text1"/>
          <w:sz w:val="24"/>
        </w:rPr>
      </w:pPr>
    </w:p>
    <w:p w14:paraId="39A8A5F1" w14:textId="6903A7D0" w:rsidR="00796244" w:rsidRPr="00304AF2" w:rsidRDefault="00796244" w:rsidP="00C76CBF">
      <w:pPr>
        <w:tabs>
          <w:tab w:val="left" w:pos="851"/>
        </w:tabs>
        <w:ind w:left="851" w:hanging="851"/>
        <w:rPr>
          <w:rFonts w:ascii="Times New Roman" w:hAnsi="Times New Roman"/>
          <w:color w:val="000000" w:themeColor="text1"/>
          <w:sz w:val="24"/>
        </w:rPr>
      </w:pPr>
      <w:r w:rsidRPr="00304AF2">
        <w:rPr>
          <w:rFonts w:ascii="Times New Roman" w:hAnsi="Times New Roman"/>
          <w:color w:val="000000" w:themeColor="text1"/>
          <w:sz w:val="24"/>
        </w:rPr>
        <w:t>4.4.19</w:t>
      </w:r>
      <w:r w:rsidRPr="00304AF2">
        <w:rPr>
          <w:rFonts w:ascii="Times New Roman" w:hAnsi="Times New Roman"/>
          <w:color w:val="000000" w:themeColor="text1"/>
          <w:sz w:val="24"/>
        </w:rPr>
        <w:tab/>
        <w:t>For the purpose of Part 4.4 of these AML/CTF Rules:</w:t>
      </w:r>
    </w:p>
    <w:p w14:paraId="2EF8972B" w14:textId="77777777" w:rsidR="00753565" w:rsidRDefault="00753565" w:rsidP="00304AF2">
      <w:pPr>
        <w:tabs>
          <w:tab w:val="left" w:pos="2835"/>
        </w:tabs>
        <w:ind w:left="2835" w:hanging="567"/>
        <w:rPr>
          <w:rFonts w:ascii="Times New Roman" w:hAnsi="Times New Roman"/>
          <w:color w:val="000000" w:themeColor="text1"/>
          <w:sz w:val="24"/>
        </w:rPr>
      </w:pPr>
    </w:p>
    <w:p w14:paraId="15F2DF67" w14:textId="32E5A506" w:rsidR="00796244" w:rsidRPr="00304AF2" w:rsidRDefault="00796244" w:rsidP="00C76CBF">
      <w:pPr>
        <w:tabs>
          <w:tab w:val="left" w:pos="1418"/>
        </w:tabs>
        <w:ind w:left="1418" w:hanging="567"/>
        <w:rPr>
          <w:rFonts w:ascii="Times New Roman" w:hAnsi="Times New Roman"/>
          <w:color w:val="000000" w:themeColor="text1"/>
          <w:sz w:val="24"/>
        </w:rPr>
      </w:pPr>
      <w:r w:rsidRPr="00304AF2">
        <w:rPr>
          <w:rFonts w:ascii="Times New Roman" w:hAnsi="Times New Roman"/>
          <w:color w:val="000000" w:themeColor="text1"/>
          <w:sz w:val="24"/>
        </w:rPr>
        <w:t>(1)</w:t>
      </w:r>
      <w:r w:rsidRPr="00304AF2">
        <w:rPr>
          <w:rFonts w:ascii="Times New Roman" w:hAnsi="Times New Roman"/>
          <w:color w:val="000000" w:themeColor="text1"/>
          <w:sz w:val="24"/>
        </w:rPr>
        <w:tab/>
        <w:t>‘custodian’ means a company that:</w:t>
      </w:r>
    </w:p>
    <w:p w14:paraId="53886916" w14:textId="77777777" w:rsidR="00304AF2" w:rsidRPr="00304AF2" w:rsidRDefault="00304AF2" w:rsidP="00304AF2">
      <w:pPr>
        <w:tabs>
          <w:tab w:val="left" w:pos="3402"/>
        </w:tabs>
        <w:ind w:left="3402" w:hanging="567"/>
        <w:rPr>
          <w:rFonts w:ascii="Times New Roman" w:hAnsi="Times New Roman"/>
          <w:color w:val="000000" w:themeColor="text1"/>
          <w:sz w:val="24"/>
        </w:rPr>
      </w:pPr>
    </w:p>
    <w:p w14:paraId="21712585" w14:textId="036BA43D" w:rsidR="00796244" w:rsidRPr="00304AF2" w:rsidRDefault="00796244" w:rsidP="00C76CBF">
      <w:pPr>
        <w:tabs>
          <w:tab w:val="left" w:pos="1985"/>
        </w:tabs>
        <w:ind w:left="1985" w:hanging="567"/>
        <w:rPr>
          <w:rFonts w:ascii="Times New Roman" w:hAnsi="Times New Roman"/>
          <w:color w:val="000000" w:themeColor="text1"/>
          <w:sz w:val="24"/>
        </w:rPr>
      </w:pPr>
      <w:r w:rsidRPr="00304AF2">
        <w:rPr>
          <w:rFonts w:ascii="Times New Roman" w:hAnsi="Times New Roman"/>
          <w:color w:val="000000" w:themeColor="text1"/>
          <w:sz w:val="24"/>
        </w:rPr>
        <w:t>(a)</w:t>
      </w:r>
      <w:r w:rsidRPr="00304AF2">
        <w:rPr>
          <w:rFonts w:ascii="Times New Roman" w:hAnsi="Times New Roman"/>
          <w:color w:val="000000" w:themeColor="text1"/>
          <w:sz w:val="24"/>
        </w:rPr>
        <w:tab/>
        <w:t>is acting in the capacity of a trustee; and</w:t>
      </w:r>
    </w:p>
    <w:p w14:paraId="7BAB5692" w14:textId="77777777" w:rsidR="00304AF2" w:rsidRPr="00304AF2" w:rsidRDefault="00304AF2" w:rsidP="00C76CBF">
      <w:pPr>
        <w:tabs>
          <w:tab w:val="left" w:pos="1985"/>
        </w:tabs>
        <w:ind w:left="1985" w:hanging="567"/>
        <w:rPr>
          <w:rFonts w:ascii="Times New Roman" w:hAnsi="Times New Roman"/>
          <w:color w:val="000000" w:themeColor="text1"/>
          <w:sz w:val="24"/>
        </w:rPr>
      </w:pPr>
    </w:p>
    <w:p w14:paraId="0CB93483" w14:textId="33346249" w:rsidR="00796244" w:rsidRPr="00304AF2" w:rsidRDefault="00796244" w:rsidP="00C76CBF">
      <w:pPr>
        <w:tabs>
          <w:tab w:val="left" w:pos="1985"/>
        </w:tabs>
        <w:ind w:left="1985" w:hanging="567"/>
        <w:rPr>
          <w:rFonts w:ascii="Times New Roman" w:hAnsi="Times New Roman"/>
          <w:color w:val="000000" w:themeColor="text1"/>
          <w:sz w:val="24"/>
        </w:rPr>
      </w:pPr>
      <w:r w:rsidRPr="00304AF2">
        <w:rPr>
          <w:rFonts w:ascii="Times New Roman" w:hAnsi="Times New Roman"/>
          <w:color w:val="000000" w:themeColor="text1"/>
          <w:sz w:val="24"/>
        </w:rPr>
        <w:t>(b)</w:t>
      </w:r>
      <w:r w:rsidRPr="00304AF2">
        <w:rPr>
          <w:rFonts w:ascii="Times New Roman" w:hAnsi="Times New Roman"/>
          <w:color w:val="000000" w:themeColor="text1"/>
          <w:sz w:val="24"/>
        </w:rPr>
        <w:tab/>
        <w:t xml:space="preserve">is providing a custodial or depository service of the kind described in item 46 of table 1 in subsection 6(2) of the </w:t>
      </w:r>
      <w:r w:rsidRPr="00304AF2">
        <w:rPr>
          <w:rFonts w:ascii="Times New Roman" w:hAnsi="Times New Roman"/>
          <w:i/>
          <w:color w:val="000000" w:themeColor="text1"/>
          <w:sz w:val="24"/>
        </w:rPr>
        <w:t>Anti-Money Laundering and Counter-Terrorism Financing Act 2006</w:t>
      </w:r>
      <w:r w:rsidRPr="00304AF2">
        <w:rPr>
          <w:rFonts w:ascii="Times New Roman" w:hAnsi="Times New Roman"/>
          <w:color w:val="000000" w:themeColor="text1"/>
          <w:sz w:val="24"/>
        </w:rPr>
        <w:t xml:space="preserve"> (AML/CTF Act); and</w:t>
      </w:r>
    </w:p>
    <w:p w14:paraId="62862960" w14:textId="77777777" w:rsidR="00304AF2" w:rsidRPr="00304AF2" w:rsidRDefault="00304AF2" w:rsidP="00C76CBF">
      <w:pPr>
        <w:tabs>
          <w:tab w:val="left" w:pos="1985"/>
        </w:tabs>
        <w:ind w:left="1985" w:hanging="567"/>
        <w:rPr>
          <w:rFonts w:ascii="Times New Roman" w:hAnsi="Times New Roman"/>
          <w:color w:val="000000" w:themeColor="text1"/>
          <w:sz w:val="24"/>
        </w:rPr>
      </w:pPr>
    </w:p>
    <w:p w14:paraId="38204D39" w14:textId="772506E3" w:rsidR="00796244" w:rsidRPr="00304AF2" w:rsidRDefault="00796244" w:rsidP="00C76CBF">
      <w:pPr>
        <w:tabs>
          <w:tab w:val="left" w:pos="1985"/>
        </w:tabs>
        <w:ind w:left="1985" w:hanging="567"/>
        <w:rPr>
          <w:rFonts w:ascii="Times New Roman" w:hAnsi="Times New Roman"/>
          <w:color w:val="000000" w:themeColor="text1"/>
          <w:sz w:val="24"/>
        </w:rPr>
      </w:pPr>
      <w:r w:rsidRPr="00304AF2">
        <w:rPr>
          <w:rFonts w:ascii="Times New Roman" w:hAnsi="Times New Roman"/>
          <w:color w:val="000000" w:themeColor="text1"/>
          <w:sz w:val="24"/>
        </w:rPr>
        <w:t>(c)</w:t>
      </w:r>
      <w:r w:rsidRPr="00304AF2">
        <w:rPr>
          <w:rFonts w:ascii="Times New Roman" w:hAnsi="Times New Roman"/>
          <w:color w:val="000000" w:themeColor="text1"/>
          <w:sz w:val="24"/>
        </w:rPr>
        <w:tab/>
        <w:t>either:</w:t>
      </w:r>
    </w:p>
    <w:p w14:paraId="65E99B1F" w14:textId="77777777" w:rsidR="00304AF2" w:rsidRPr="00304AF2" w:rsidRDefault="00304AF2" w:rsidP="00304AF2">
      <w:pPr>
        <w:tabs>
          <w:tab w:val="left" w:pos="3969"/>
        </w:tabs>
        <w:ind w:left="3969" w:hanging="567"/>
        <w:rPr>
          <w:rFonts w:ascii="Times New Roman" w:hAnsi="Times New Roman"/>
          <w:color w:val="000000" w:themeColor="text1"/>
          <w:sz w:val="24"/>
        </w:rPr>
      </w:pPr>
    </w:p>
    <w:p w14:paraId="4A3F500F" w14:textId="2F803E7A" w:rsidR="00796244" w:rsidRPr="00304AF2" w:rsidRDefault="00796244" w:rsidP="00C76CBF">
      <w:pPr>
        <w:tabs>
          <w:tab w:val="left" w:pos="2552"/>
        </w:tabs>
        <w:ind w:left="2552" w:hanging="567"/>
        <w:rPr>
          <w:rFonts w:ascii="Times New Roman" w:hAnsi="Times New Roman"/>
          <w:color w:val="000000" w:themeColor="text1"/>
          <w:sz w:val="24"/>
        </w:rPr>
      </w:pPr>
      <w:r w:rsidRPr="00304AF2">
        <w:rPr>
          <w:rFonts w:ascii="Times New Roman" w:hAnsi="Times New Roman"/>
          <w:color w:val="000000" w:themeColor="text1"/>
          <w:sz w:val="24"/>
        </w:rPr>
        <w:t>(i)</w:t>
      </w:r>
      <w:r w:rsidRPr="00304AF2">
        <w:rPr>
          <w:rFonts w:ascii="Times New Roman" w:hAnsi="Times New Roman"/>
          <w:color w:val="000000" w:themeColor="text1"/>
          <w:sz w:val="24"/>
        </w:rPr>
        <w:tab/>
        <w:t xml:space="preserve">holds an Australian financial services licence authorising it to provide custodial or depository services under the </w:t>
      </w:r>
      <w:r w:rsidRPr="00304AF2">
        <w:rPr>
          <w:rFonts w:ascii="Times New Roman" w:hAnsi="Times New Roman"/>
          <w:i/>
          <w:color w:val="000000" w:themeColor="text1"/>
          <w:sz w:val="24"/>
        </w:rPr>
        <w:t>Corporations Act 2001</w:t>
      </w:r>
      <w:r w:rsidRPr="00304AF2">
        <w:rPr>
          <w:rFonts w:ascii="Times New Roman" w:hAnsi="Times New Roman"/>
          <w:color w:val="000000" w:themeColor="text1"/>
          <w:sz w:val="24"/>
        </w:rPr>
        <w:t xml:space="preserve">; or </w:t>
      </w:r>
    </w:p>
    <w:p w14:paraId="2B2AE117" w14:textId="77777777" w:rsidR="00304AF2" w:rsidRPr="00304AF2" w:rsidRDefault="00304AF2" w:rsidP="00C76CBF">
      <w:pPr>
        <w:tabs>
          <w:tab w:val="left" w:pos="2552"/>
        </w:tabs>
        <w:ind w:left="2552" w:hanging="567"/>
        <w:rPr>
          <w:rFonts w:ascii="Times New Roman" w:hAnsi="Times New Roman"/>
          <w:color w:val="000000" w:themeColor="text1"/>
          <w:sz w:val="24"/>
        </w:rPr>
      </w:pPr>
    </w:p>
    <w:p w14:paraId="79EF2CCF" w14:textId="4DF0D512" w:rsidR="00796244" w:rsidRPr="00304AF2" w:rsidRDefault="00796244" w:rsidP="00C76CBF">
      <w:pPr>
        <w:tabs>
          <w:tab w:val="left" w:pos="2552"/>
        </w:tabs>
        <w:ind w:left="2552" w:hanging="567"/>
        <w:rPr>
          <w:rFonts w:ascii="Times New Roman" w:hAnsi="Times New Roman"/>
          <w:color w:val="000000" w:themeColor="text1"/>
          <w:sz w:val="24"/>
        </w:rPr>
      </w:pPr>
      <w:r w:rsidRPr="00304AF2">
        <w:rPr>
          <w:rFonts w:ascii="Times New Roman" w:hAnsi="Times New Roman"/>
          <w:color w:val="000000" w:themeColor="text1"/>
          <w:sz w:val="24"/>
        </w:rPr>
        <w:t>(ii)</w:t>
      </w:r>
      <w:r w:rsidRPr="00304AF2">
        <w:rPr>
          <w:rFonts w:ascii="Times New Roman" w:hAnsi="Times New Roman"/>
          <w:color w:val="000000" w:themeColor="text1"/>
          <w:sz w:val="24"/>
        </w:rPr>
        <w:tab/>
        <w:t xml:space="preserve">is exempt under the </w:t>
      </w:r>
      <w:r w:rsidRPr="00304AF2">
        <w:rPr>
          <w:rFonts w:ascii="Times New Roman" w:hAnsi="Times New Roman"/>
          <w:i/>
          <w:color w:val="000000" w:themeColor="text1"/>
          <w:sz w:val="24"/>
        </w:rPr>
        <w:t>Corporations Act 2001</w:t>
      </w:r>
      <w:r w:rsidRPr="00304AF2">
        <w:rPr>
          <w:rFonts w:ascii="Times New Roman" w:hAnsi="Times New Roman"/>
          <w:color w:val="000000" w:themeColor="text1"/>
          <w:sz w:val="24"/>
        </w:rPr>
        <w:t xml:space="preserve"> from the requirement to hold such a licence; and</w:t>
      </w:r>
    </w:p>
    <w:p w14:paraId="289938E3" w14:textId="77777777" w:rsidR="00304AF2" w:rsidRPr="00304AF2" w:rsidRDefault="00304AF2" w:rsidP="00304AF2">
      <w:pPr>
        <w:tabs>
          <w:tab w:val="left" w:pos="3402"/>
        </w:tabs>
        <w:ind w:left="3402" w:hanging="567"/>
        <w:rPr>
          <w:rFonts w:ascii="Times New Roman" w:hAnsi="Times New Roman"/>
          <w:color w:val="000000" w:themeColor="text1"/>
          <w:sz w:val="24"/>
        </w:rPr>
      </w:pPr>
    </w:p>
    <w:p w14:paraId="6796E779" w14:textId="11DB6408" w:rsidR="00796244" w:rsidRPr="00304AF2" w:rsidRDefault="00796244" w:rsidP="00C76CBF">
      <w:pPr>
        <w:tabs>
          <w:tab w:val="left" w:pos="1985"/>
        </w:tabs>
        <w:ind w:left="1985" w:hanging="567"/>
        <w:rPr>
          <w:rFonts w:ascii="Times New Roman" w:hAnsi="Times New Roman"/>
          <w:color w:val="000000" w:themeColor="text1"/>
          <w:sz w:val="24"/>
        </w:rPr>
      </w:pPr>
      <w:r w:rsidRPr="00304AF2">
        <w:rPr>
          <w:rFonts w:ascii="Times New Roman" w:hAnsi="Times New Roman"/>
          <w:color w:val="000000" w:themeColor="text1"/>
          <w:sz w:val="24"/>
        </w:rPr>
        <w:t>(d)</w:t>
      </w:r>
      <w:r w:rsidRPr="00304AF2">
        <w:rPr>
          <w:rFonts w:ascii="Times New Roman" w:hAnsi="Times New Roman"/>
          <w:color w:val="000000" w:themeColor="text1"/>
          <w:sz w:val="24"/>
        </w:rPr>
        <w:tab/>
        <w:t>either:</w:t>
      </w:r>
    </w:p>
    <w:p w14:paraId="6EAC59F7" w14:textId="77777777" w:rsidR="00304AF2" w:rsidRPr="00304AF2" w:rsidRDefault="00304AF2" w:rsidP="00304AF2">
      <w:pPr>
        <w:tabs>
          <w:tab w:val="left" w:pos="3969"/>
        </w:tabs>
        <w:ind w:left="3969" w:hanging="567"/>
        <w:rPr>
          <w:rFonts w:ascii="Times New Roman" w:hAnsi="Times New Roman"/>
          <w:color w:val="000000" w:themeColor="text1"/>
          <w:sz w:val="24"/>
        </w:rPr>
      </w:pPr>
    </w:p>
    <w:p w14:paraId="233B0AEA" w14:textId="082E2E21" w:rsidR="00796244" w:rsidRPr="00304AF2" w:rsidRDefault="00796244" w:rsidP="00C76CBF">
      <w:pPr>
        <w:tabs>
          <w:tab w:val="left" w:pos="2552"/>
        </w:tabs>
        <w:ind w:left="2552" w:hanging="567"/>
        <w:rPr>
          <w:rFonts w:ascii="Times New Roman" w:hAnsi="Times New Roman"/>
          <w:color w:val="000000" w:themeColor="text1"/>
          <w:sz w:val="24"/>
        </w:rPr>
      </w:pPr>
      <w:r w:rsidRPr="00304AF2">
        <w:rPr>
          <w:rFonts w:ascii="Times New Roman" w:hAnsi="Times New Roman"/>
          <w:color w:val="000000" w:themeColor="text1"/>
          <w:sz w:val="24"/>
        </w:rPr>
        <w:t>(i)</w:t>
      </w:r>
      <w:r w:rsidRPr="00304AF2">
        <w:rPr>
          <w:rFonts w:ascii="Times New Roman" w:hAnsi="Times New Roman"/>
          <w:color w:val="000000" w:themeColor="text1"/>
          <w:sz w:val="24"/>
        </w:rPr>
        <w:tab/>
        <w:t>satisfies one of the ‘geographical link’ tests in subsection 6(6) of the AML/CTF Act; or</w:t>
      </w:r>
    </w:p>
    <w:p w14:paraId="6DF7F2A4" w14:textId="77777777" w:rsidR="00304AF2" w:rsidRPr="00304AF2" w:rsidRDefault="00304AF2" w:rsidP="00C76CBF">
      <w:pPr>
        <w:tabs>
          <w:tab w:val="left" w:pos="2552"/>
        </w:tabs>
        <w:ind w:left="2552" w:hanging="567"/>
        <w:rPr>
          <w:rFonts w:ascii="Times New Roman" w:hAnsi="Times New Roman"/>
          <w:color w:val="000000" w:themeColor="text1"/>
          <w:sz w:val="24"/>
        </w:rPr>
      </w:pPr>
    </w:p>
    <w:p w14:paraId="2B1E7373" w14:textId="5C24789C" w:rsidR="00796244" w:rsidRPr="00304AF2" w:rsidRDefault="00796244" w:rsidP="00C76CBF">
      <w:pPr>
        <w:tabs>
          <w:tab w:val="left" w:pos="2552"/>
        </w:tabs>
        <w:ind w:left="2552" w:hanging="567"/>
        <w:rPr>
          <w:rFonts w:ascii="Times New Roman" w:hAnsi="Times New Roman"/>
          <w:color w:val="000000" w:themeColor="text1"/>
          <w:sz w:val="24"/>
        </w:rPr>
      </w:pPr>
      <w:r w:rsidRPr="00304AF2">
        <w:rPr>
          <w:rFonts w:ascii="Times New Roman" w:hAnsi="Times New Roman"/>
          <w:color w:val="000000" w:themeColor="text1"/>
          <w:sz w:val="24"/>
        </w:rPr>
        <w:lastRenderedPageBreak/>
        <w:t>(ii)</w:t>
      </w:r>
      <w:r w:rsidRPr="00304AF2">
        <w:rPr>
          <w:rFonts w:ascii="Times New Roman" w:hAnsi="Times New Roman"/>
          <w:color w:val="000000" w:themeColor="text1"/>
          <w:sz w:val="24"/>
        </w:rPr>
        <w:tab/>
        <w:t>has certified in writing to the relevant reporting entity that its name and enrolment details are entered on the Reporting Entities Roll; and</w:t>
      </w:r>
    </w:p>
    <w:p w14:paraId="7E33DC66" w14:textId="77777777" w:rsidR="00304AF2" w:rsidRPr="00304AF2" w:rsidRDefault="00304AF2" w:rsidP="00304AF2">
      <w:pPr>
        <w:tabs>
          <w:tab w:val="left" w:pos="3969"/>
        </w:tabs>
        <w:ind w:left="3969" w:hanging="567"/>
        <w:rPr>
          <w:rFonts w:ascii="Times New Roman" w:hAnsi="Times New Roman"/>
          <w:color w:val="000000" w:themeColor="text1"/>
          <w:sz w:val="24"/>
        </w:rPr>
      </w:pPr>
    </w:p>
    <w:p w14:paraId="4A3FBE58" w14:textId="77777777" w:rsidR="00796244" w:rsidRPr="00304AF2" w:rsidRDefault="00796244" w:rsidP="00C76CBF">
      <w:pPr>
        <w:tabs>
          <w:tab w:val="left" w:pos="1985"/>
        </w:tabs>
        <w:ind w:left="1985" w:hanging="567"/>
        <w:rPr>
          <w:rFonts w:ascii="Times New Roman" w:hAnsi="Times New Roman"/>
          <w:color w:val="000000" w:themeColor="text1"/>
          <w:sz w:val="24"/>
        </w:rPr>
      </w:pPr>
      <w:r w:rsidRPr="00304AF2">
        <w:rPr>
          <w:rFonts w:ascii="Times New Roman" w:hAnsi="Times New Roman"/>
          <w:color w:val="000000" w:themeColor="text1"/>
          <w:sz w:val="24"/>
        </w:rPr>
        <w:t>(e)</w:t>
      </w:r>
      <w:r w:rsidRPr="00304AF2">
        <w:rPr>
          <w:rFonts w:ascii="Times New Roman" w:hAnsi="Times New Roman"/>
          <w:color w:val="000000" w:themeColor="text1"/>
          <w:sz w:val="24"/>
        </w:rPr>
        <w:tab/>
        <w:t>has certified in writing to the relevant reporting entity that it has carried out all applicable customer identification procedures and ongoing customer due diligence requirements in accordance with Chapter 15 of the AML/CTF Rules in relation to its underlying customers prior to, or at the time of, becoming a customer of the reporting entity.</w:t>
      </w:r>
    </w:p>
    <w:p w14:paraId="3ED1FE74" w14:textId="77777777" w:rsidR="00483A95" w:rsidRPr="00304AF2" w:rsidRDefault="00483A95" w:rsidP="00C76CBF">
      <w:pPr>
        <w:tabs>
          <w:tab w:val="left" w:pos="1418"/>
          <w:tab w:val="left" w:pos="1985"/>
        </w:tabs>
        <w:ind w:left="1985" w:hanging="567"/>
        <w:rPr>
          <w:rFonts w:ascii="Times New Roman" w:hAnsi="Times New Roman"/>
          <w:color w:val="000000" w:themeColor="text1"/>
          <w:sz w:val="24"/>
        </w:rPr>
      </w:pPr>
    </w:p>
    <w:p w14:paraId="0A761F52" w14:textId="061B79EA" w:rsidR="00796244" w:rsidRPr="00304AF2" w:rsidRDefault="00796244" w:rsidP="00C76CBF">
      <w:pPr>
        <w:tabs>
          <w:tab w:val="left" w:pos="1418"/>
        </w:tabs>
        <w:ind w:left="1418" w:hanging="567"/>
        <w:rPr>
          <w:rFonts w:ascii="Times New Roman" w:hAnsi="Times New Roman"/>
          <w:color w:val="000000" w:themeColor="text1"/>
          <w:sz w:val="24"/>
        </w:rPr>
      </w:pPr>
      <w:r w:rsidRPr="00304AF2">
        <w:rPr>
          <w:rFonts w:ascii="Times New Roman" w:hAnsi="Times New Roman"/>
          <w:color w:val="000000" w:themeColor="text1"/>
          <w:sz w:val="24"/>
        </w:rPr>
        <w:t>(2)</w:t>
      </w:r>
      <w:r w:rsidRPr="00304AF2">
        <w:rPr>
          <w:rFonts w:ascii="Times New Roman" w:hAnsi="Times New Roman"/>
          <w:color w:val="000000" w:themeColor="text1"/>
          <w:sz w:val="24"/>
        </w:rPr>
        <w:tab/>
        <w:t xml:space="preserve">‘IDPS’ has the same meaning as in ASIC Class Order [CO 13/763] – </w:t>
      </w:r>
      <w:r w:rsidRPr="00304AF2">
        <w:rPr>
          <w:rFonts w:ascii="Times New Roman" w:hAnsi="Times New Roman"/>
          <w:i/>
          <w:color w:val="000000" w:themeColor="text1"/>
          <w:sz w:val="24"/>
        </w:rPr>
        <w:t>Investor directed portfolio services</w:t>
      </w:r>
      <w:r w:rsidRPr="00304AF2">
        <w:rPr>
          <w:rFonts w:ascii="Times New Roman" w:hAnsi="Times New Roman"/>
          <w:color w:val="000000" w:themeColor="text1"/>
          <w:sz w:val="24"/>
        </w:rPr>
        <w:t>, or any legislative instrument that replaces that class order</w:t>
      </w:r>
      <w:r w:rsidR="00D463A5">
        <w:rPr>
          <w:rFonts w:ascii="Times New Roman" w:hAnsi="Times New Roman"/>
          <w:color w:val="000000" w:themeColor="text1"/>
          <w:sz w:val="24"/>
        </w:rPr>
        <w:t>.</w:t>
      </w:r>
    </w:p>
    <w:p w14:paraId="4CEF2788" w14:textId="77777777" w:rsidR="00483A95" w:rsidRPr="00304AF2" w:rsidRDefault="00483A95" w:rsidP="00C76CBF">
      <w:pPr>
        <w:tabs>
          <w:tab w:val="left" w:pos="1418"/>
        </w:tabs>
        <w:ind w:left="1418" w:hanging="567"/>
        <w:rPr>
          <w:rFonts w:ascii="Times New Roman" w:hAnsi="Times New Roman"/>
          <w:color w:val="000000" w:themeColor="text1"/>
          <w:sz w:val="24"/>
        </w:rPr>
      </w:pPr>
    </w:p>
    <w:p w14:paraId="709C4F19" w14:textId="6720C4B9" w:rsidR="00796244" w:rsidRPr="00304AF2" w:rsidRDefault="00796244" w:rsidP="00C76CBF">
      <w:pPr>
        <w:tabs>
          <w:tab w:val="left" w:pos="1418"/>
        </w:tabs>
        <w:ind w:left="1418" w:hanging="567"/>
        <w:rPr>
          <w:rFonts w:ascii="Times New Roman" w:hAnsi="Times New Roman"/>
          <w:color w:val="000000" w:themeColor="text1"/>
          <w:sz w:val="24"/>
        </w:rPr>
      </w:pPr>
      <w:r w:rsidRPr="00304AF2">
        <w:rPr>
          <w:rFonts w:ascii="Times New Roman" w:hAnsi="Times New Roman"/>
          <w:color w:val="000000" w:themeColor="text1"/>
          <w:sz w:val="24"/>
        </w:rPr>
        <w:t>(3)</w:t>
      </w:r>
      <w:r w:rsidRPr="00304AF2">
        <w:rPr>
          <w:rFonts w:ascii="Times New Roman" w:hAnsi="Times New Roman"/>
          <w:color w:val="000000" w:themeColor="text1"/>
          <w:sz w:val="24"/>
        </w:rPr>
        <w:tab/>
        <w:t xml:space="preserve">‘MDA service’ has the same meaning as in the </w:t>
      </w:r>
      <w:r w:rsidRPr="00304AF2">
        <w:rPr>
          <w:rFonts w:ascii="Times New Roman" w:hAnsi="Times New Roman"/>
          <w:i/>
          <w:color w:val="000000" w:themeColor="text1"/>
          <w:sz w:val="24"/>
        </w:rPr>
        <w:t>ASIC Corporations (Managed Discretionary Account Services) Instrument 2016/968</w:t>
      </w:r>
      <w:r w:rsidRPr="00304AF2">
        <w:rPr>
          <w:rFonts w:ascii="Times New Roman" w:hAnsi="Times New Roman"/>
          <w:color w:val="000000" w:themeColor="text1"/>
          <w:sz w:val="24"/>
        </w:rPr>
        <w:t>, or any legislative instrument that replaces that instrument</w:t>
      </w:r>
      <w:r w:rsidR="00D463A5">
        <w:rPr>
          <w:rFonts w:ascii="Times New Roman" w:hAnsi="Times New Roman"/>
          <w:color w:val="000000" w:themeColor="text1"/>
          <w:sz w:val="24"/>
        </w:rPr>
        <w:t>.</w:t>
      </w:r>
    </w:p>
    <w:p w14:paraId="7558D21C" w14:textId="77777777" w:rsidR="00483A95" w:rsidRPr="00304AF2" w:rsidRDefault="00483A95" w:rsidP="00C76CBF">
      <w:pPr>
        <w:tabs>
          <w:tab w:val="left" w:pos="1418"/>
        </w:tabs>
        <w:ind w:left="1418" w:hanging="567"/>
        <w:rPr>
          <w:rFonts w:ascii="Times New Roman" w:hAnsi="Times New Roman"/>
          <w:color w:val="000000" w:themeColor="text1"/>
          <w:sz w:val="24"/>
        </w:rPr>
      </w:pPr>
    </w:p>
    <w:p w14:paraId="379368C5" w14:textId="6F27C851" w:rsidR="00796244" w:rsidRPr="00304AF2" w:rsidRDefault="00796244" w:rsidP="000833D9">
      <w:pPr>
        <w:keepLines/>
        <w:tabs>
          <w:tab w:val="left" w:pos="1418"/>
        </w:tabs>
        <w:ind w:left="1418" w:hanging="567"/>
        <w:rPr>
          <w:rFonts w:ascii="Times New Roman" w:hAnsi="Times New Roman"/>
          <w:color w:val="000000" w:themeColor="text1"/>
          <w:sz w:val="24"/>
        </w:rPr>
      </w:pPr>
      <w:r w:rsidRPr="00304AF2">
        <w:rPr>
          <w:rFonts w:ascii="Times New Roman" w:hAnsi="Times New Roman"/>
          <w:color w:val="000000" w:themeColor="text1"/>
          <w:sz w:val="24"/>
        </w:rPr>
        <w:t>(4)</w:t>
      </w:r>
      <w:r w:rsidRPr="00304AF2">
        <w:rPr>
          <w:rFonts w:ascii="Times New Roman" w:hAnsi="Times New Roman"/>
          <w:color w:val="000000" w:themeColor="text1"/>
          <w:sz w:val="24"/>
        </w:rPr>
        <w:tab/>
        <w:t xml:space="preserve">‘providing a custodial or depository service’ has the same meaning as in section 5 of the </w:t>
      </w:r>
      <w:r w:rsidRPr="00304AF2">
        <w:rPr>
          <w:rFonts w:ascii="Times New Roman" w:hAnsi="Times New Roman"/>
          <w:i/>
          <w:color w:val="000000" w:themeColor="text1"/>
          <w:sz w:val="24"/>
        </w:rPr>
        <w:t>Anti-Money Laundering and Counter-Terrorism Financing Act 2006</w:t>
      </w:r>
      <w:r w:rsidRPr="00304AF2">
        <w:rPr>
          <w:rFonts w:ascii="Times New Roman" w:hAnsi="Times New Roman"/>
          <w:color w:val="000000" w:themeColor="text1"/>
          <w:sz w:val="24"/>
        </w:rPr>
        <w:t xml:space="preserve"> and includes providing a custodial or depository service as part of an IDPS or MDA service</w:t>
      </w:r>
      <w:r w:rsidR="00D463A5">
        <w:rPr>
          <w:rFonts w:ascii="Times New Roman" w:hAnsi="Times New Roman"/>
          <w:color w:val="000000" w:themeColor="text1"/>
          <w:sz w:val="24"/>
        </w:rPr>
        <w:t>.</w:t>
      </w:r>
    </w:p>
    <w:p w14:paraId="5D65B079" w14:textId="77777777" w:rsidR="00483A95" w:rsidRPr="00304AF2" w:rsidRDefault="00483A95" w:rsidP="00C76CBF">
      <w:pPr>
        <w:tabs>
          <w:tab w:val="left" w:pos="1418"/>
        </w:tabs>
        <w:ind w:left="1418" w:hanging="567"/>
        <w:rPr>
          <w:rFonts w:ascii="Times New Roman" w:hAnsi="Times New Roman"/>
          <w:color w:val="000000" w:themeColor="text1"/>
          <w:sz w:val="24"/>
        </w:rPr>
      </w:pPr>
    </w:p>
    <w:p w14:paraId="2D271C9E" w14:textId="4AFA9928" w:rsidR="00424E23" w:rsidRDefault="00796244" w:rsidP="00C76CBF">
      <w:pPr>
        <w:tabs>
          <w:tab w:val="left" w:pos="1418"/>
        </w:tabs>
        <w:ind w:left="1418" w:hanging="567"/>
        <w:rPr>
          <w:rFonts w:ascii="Times New Roman" w:hAnsi="Times New Roman"/>
          <w:i/>
          <w:color w:val="000000" w:themeColor="text1"/>
          <w:sz w:val="24"/>
        </w:rPr>
      </w:pPr>
      <w:r w:rsidRPr="00304AF2">
        <w:rPr>
          <w:rFonts w:ascii="Times New Roman" w:hAnsi="Times New Roman"/>
          <w:color w:val="000000" w:themeColor="text1"/>
          <w:sz w:val="24"/>
        </w:rPr>
        <w:t>(5)</w:t>
      </w:r>
      <w:r w:rsidRPr="00304AF2">
        <w:rPr>
          <w:rFonts w:ascii="Times New Roman" w:hAnsi="Times New Roman"/>
          <w:color w:val="000000" w:themeColor="text1"/>
          <w:sz w:val="24"/>
        </w:rPr>
        <w:tab/>
        <w:t xml:space="preserve">‘Reporting Entities Roll’ has the meaning given by section 51C of the </w:t>
      </w:r>
      <w:r w:rsidRPr="00304AF2">
        <w:rPr>
          <w:rFonts w:ascii="Times New Roman" w:hAnsi="Times New Roman"/>
          <w:i/>
          <w:color w:val="000000" w:themeColor="text1"/>
          <w:sz w:val="24"/>
        </w:rPr>
        <w:t>Anti-Money Laundering and Counter-Terrorism Financing Act 2006.</w:t>
      </w:r>
    </w:p>
    <w:p w14:paraId="104CC3DF" w14:textId="11CC2B1C" w:rsidR="004D220D" w:rsidRPr="00CC4FAC" w:rsidRDefault="004D220D" w:rsidP="003D6346">
      <w:pPr>
        <w:pStyle w:val="HR"/>
        <w:numPr>
          <w:ilvl w:val="0"/>
          <w:numId w:val="30"/>
        </w:numPr>
        <w:ind w:left="567" w:hanging="567"/>
      </w:pPr>
      <w:r>
        <w:t xml:space="preserve">Before paragraph 15.2 in Chapter 15 (after the </w:t>
      </w:r>
      <w:r w:rsidRPr="004D220D">
        <w:rPr>
          <w:i/>
        </w:rPr>
        <w:t>KYC information and Beneficial Owner Information</w:t>
      </w:r>
      <w:r>
        <w:t xml:space="preserve"> heading)</w:t>
      </w:r>
    </w:p>
    <w:p w14:paraId="33D2FC7F" w14:textId="77777777" w:rsidR="004D220D" w:rsidRDefault="004D220D" w:rsidP="004D220D">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Insert:</w:t>
      </w:r>
    </w:p>
    <w:p w14:paraId="20B0BC33" w14:textId="77777777" w:rsidR="005273FF" w:rsidRDefault="005273FF" w:rsidP="004D220D">
      <w:pPr>
        <w:ind w:left="1985" w:hanging="851"/>
        <w:rPr>
          <w:rFonts w:ascii="Times New Roman" w:hAnsi="Times New Roman"/>
          <w:i/>
          <w:color w:val="000000" w:themeColor="text1"/>
          <w:sz w:val="24"/>
        </w:rPr>
      </w:pPr>
    </w:p>
    <w:p w14:paraId="4D84F126" w14:textId="7A18B3A5" w:rsidR="004D220D" w:rsidRPr="004D220D" w:rsidRDefault="004D220D" w:rsidP="00C76CBF">
      <w:pPr>
        <w:ind w:left="1418" w:hanging="851"/>
        <w:rPr>
          <w:rFonts w:ascii="Times New Roman" w:hAnsi="Times New Roman"/>
          <w:i/>
          <w:color w:val="000000" w:themeColor="text1"/>
          <w:sz w:val="24"/>
          <w:lang w:eastAsia="en-AU"/>
        </w:rPr>
      </w:pPr>
      <w:r w:rsidRPr="004D220D">
        <w:rPr>
          <w:rFonts w:ascii="Times New Roman" w:hAnsi="Times New Roman"/>
          <w:i/>
          <w:color w:val="000000" w:themeColor="text1"/>
          <w:sz w:val="24"/>
        </w:rPr>
        <w:t>Note:</w:t>
      </w:r>
      <w:r w:rsidRPr="004D220D">
        <w:rPr>
          <w:rFonts w:ascii="Times New Roman" w:hAnsi="Times New Roman"/>
          <w:i/>
          <w:color w:val="000000" w:themeColor="text1"/>
          <w:sz w:val="24"/>
        </w:rPr>
        <w:tab/>
        <w:t>Reporting entities that provide designated services to customers who are custodians are exempt from the requirements specified in paragraphs 15.2 and 15.3 of these Rules in relation to certain beneficial owner information. These exemptions are set out in paragraph 4.4.18 of Chapter 4 of these Rules.</w:t>
      </w:r>
    </w:p>
    <w:p w14:paraId="600BD8CE" w14:textId="43297931" w:rsidR="004D220D" w:rsidRPr="00CC4FAC" w:rsidRDefault="004D220D" w:rsidP="003D6346">
      <w:pPr>
        <w:pStyle w:val="HR"/>
        <w:numPr>
          <w:ilvl w:val="0"/>
          <w:numId w:val="30"/>
        </w:numPr>
        <w:ind w:left="567" w:hanging="567"/>
      </w:pPr>
      <w:r>
        <w:t>Before paragraph 15.</w:t>
      </w:r>
      <w:r w:rsidR="005273FF">
        <w:t>8</w:t>
      </w:r>
      <w:r>
        <w:t xml:space="preserve"> in Chapter 15 (after the </w:t>
      </w:r>
      <w:r w:rsidR="005273FF">
        <w:rPr>
          <w:i/>
        </w:rPr>
        <w:t>Enhanced customer due diligence program</w:t>
      </w:r>
      <w:r>
        <w:t xml:space="preserve"> heading)</w:t>
      </w:r>
    </w:p>
    <w:p w14:paraId="41892E21" w14:textId="77777777" w:rsidR="004D220D" w:rsidRDefault="004D220D" w:rsidP="004D220D">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Insert:</w:t>
      </w:r>
    </w:p>
    <w:p w14:paraId="3ABF1A79" w14:textId="77777777" w:rsidR="004D220D" w:rsidRDefault="004D220D" w:rsidP="004D220D">
      <w:pPr>
        <w:ind w:left="1985" w:hanging="851"/>
        <w:rPr>
          <w:rFonts w:ascii="Times New Roman" w:hAnsi="Times New Roman"/>
          <w:i/>
          <w:color w:val="000000" w:themeColor="text1"/>
          <w:sz w:val="24"/>
        </w:rPr>
      </w:pPr>
    </w:p>
    <w:p w14:paraId="5402A695" w14:textId="65FD1FF0" w:rsidR="004D220D" w:rsidRPr="004D220D" w:rsidRDefault="004D220D" w:rsidP="00C76CBF">
      <w:pPr>
        <w:tabs>
          <w:tab w:val="left" w:pos="567"/>
        </w:tabs>
        <w:ind w:left="1418" w:hanging="851"/>
        <w:rPr>
          <w:rFonts w:ascii="Times New Roman" w:hAnsi="Times New Roman"/>
          <w:i/>
          <w:color w:val="000000" w:themeColor="text1"/>
          <w:sz w:val="24"/>
          <w:lang w:eastAsia="en-AU"/>
        </w:rPr>
      </w:pPr>
      <w:r w:rsidRPr="004D220D">
        <w:rPr>
          <w:rFonts w:ascii="Times New Roman" w:hAnsi="Times New Roman"/>
          <w:i/>
          <w:color w:val="000000" w:themeColor="text1"/>
          <w:sz w:val="24"/>
        </w:rPr>
        <w:t>Note:</w:t>
      </w:r>
      <w:r w:rsidRPr="004D220D">
        <w:rPr>
          <w:rFonts w:ascii="Times New Roman" w:hAnsi="Times New Roman"/>
          <w:i/>
          <w:color w:val="000000" w:themeColor="text1"/>
          <w:sz w:val="24"/>
        </w:rPr>
        <w:tab/>
        <w:t>Reporting entities that provide designated services to customers who are custodians are exempt from the requirements specified in subparagraphs 15.9(2), 15.10(1)(b), 15.10(1)(c), 15.10(2) and 15.10(4) of these Rules in relation to underlying customers of custodians. These exemptions are set out in paragraph 4.4.18 of Chapter 4 of these Rules.</w:t>
      </w:r>
    </w:p>
    <w:p w14:paraId="0EC37FF4" w14:textId="6A8F7082" w:rsidR="005273FF" w:rsidRDefault="00834DA9" w:rsidP="003D6346">
      <w:pPr>
        <w:pStyle w:val="HR"/>
        <w:numPr>
          <w:ilvl w:val="0"/>
          <w:numId w:val="30"/>
        </w:numPr>
        <w:ind w:left="567" w:hanging="567"/>
      </w:pPr>
      <w:r>
        <w:lastRenderedPageBreak/>
        <w:t>P</w:t>
      </w:r>
      <w:r w:rsidR="005273FF">
        <w:t>aragraph 15.9</w:t>
      </w:r>
    </w:p>
    <w:p w14:paraId="129EA5D5" w14:textId="67F220F0" w:rsidR="005273FF" w:rsidRDefault="005273FF" w:rsidP="005273FF">
      <w:pPr>
        <w:autoSpaceDE w:val="0"/>
        <w:autoSpaceDN w:val="0"/>
        <w:adjustRightInd w:val="0"/>
        <w:spacing w:before="240"/>
        <w:ind w:left="1134"/>
        <w:rPr>
          <w:rFonts w:ascii="Times New Roman" w:hAnsi="Times New Roman"/>
          <w:sz w:val="24"/>
          <w:lang w:eastAsia="en-AU"/>
        </w:rPr>
      </w:pPr>
      <w:r w:rsidRPr="006447C5">
        <w:rPr>
          <w:rFonts w:ascii="Times New Roman" w:hAnsi="Times New Roman"/>
          <w:sz w:val="24"/>
          <w:lang w:eastAsia="en-AU"/>
        </w:rPr>
        <w:t>Omit “</w:t>
      </w:r>
      <w:r>
        <w:rPr>
          <w:rFonts w:ascii="Times New Roman" w:hAnsi="Times New Roman"/>
          <w:sz w:val="24"/>
          <w:lang w:eastAsia="en-AU"/>
        </w:rPr>
        <w:t>The reporting entity”, substitute “Subject to paragraph 4.4.18, the reporting entity”.</w:t>
      </w:r>
    </w:p>
    <w:p w14:paraId="49131D70" w14:textId="2648C59E" w:rsidR="004D220D" w:rsidRPr="00CC4FAC" w:rsidRDefault="001D64A9" w:rsidP="003D6346">
      <w:pPr>
        <w:pStyle w:val="HR"/>
        <w:numPr>
          <w:ilvl w:val="0"/>
          <w:numId w:val="30"/>
        </w:numPr>
        <w:ind w:left="567" w:hanging="567"/>
      </w:pPr>
      <w:r>
        <w:t>Subparagraph</w:t>
      </w:r>
      <w:r w:rsidR="004D220D">
        <w:t xml:space="preserve"> </w:t>
      </w:r>
      <w:r w:rsidR="002A6963">
        <w:t>15.</w:t>
      </w:r>
      <w:r>
        <w:t>10(1)(b)</w:t>
      </w:r>
    </w:p>
    <w:p w14:paraId="57847469" w14:textId="45DC0312" w:rsidR="001D64A9" w:rsidRDefault="001D64A9" w:rsidP="004D220D">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Before “clarify”, insert “subject to paragraph 4.4.18,”.</w:t>
      </w:r>
    </w:p>
    <w:p w14:paraId="186155F3" w14:textId="28F0BD34" w:rsidR="001D64A9" w:rsidRPr="00CC4FAC" w:rsidRDefault="001D64A9" w:rsidP="003D6346">
      <w:pPr>
        <w:pStyle w:val="HR"/>
        <w:numPr>
          <w:ilvl w:val="0"/>
          <w:numId w:val="30"/>
        </w:numPr>
        <w:ind w:left="567" w:hanging="567"/>
      </w:pPr>
      <w:r>
        <w:t>Subparagraph 15.10(1)(c)</w:t>
      </w:r>
    </w:p>
    <w:p w14:paraId="6EF2E362" w14:textId="246EAF72" w:rsidR="001D64A9" w:rsidRDefault="001D64A9" w:rsidP="001D64A9">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Before “obtain”, insert “subject to paragraph 4.4.18,”.</w:t>
      </w:r>
    </w:p>
    <w:p w14:paraId="34D1A596" w14:textId="635A69F4" w:rsidR="00EB422A" w:rsidRPr="00CC4FAC" w:rsidRDefault="00EB422A" w:rsidP="003D6346">
      <w:pPr>
        <w:pStyle w:val="HR"/>
        <w:numPr>
          <w:ilvl w:val="0"/>
          <w:numId w:val="30"/>
        </w:numPr>
        <w:ind w:left="567" w:hanging="567"/>
      </w:pPr>
      <w:r>
        <w:t>Subparagraph 15.10(</w:t>
      </w:r>
      <w:r w:rsidR="00EE59CF">
        <w:t>2)</w:t>
      </w:r>
    </w:p>
    <w:p w14:paraId="761DDC61" w14:textId="5312C14A" w:rsidR="00EB422A" w:rsidRDefault="00EB422A" w:rsidP="00EB422A">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After “customer’s KYC information and”, insert “</w:t>
      </w:r>
      <w:r w:rsidR="00EE59CF">
        <w:rPr>
          <w:rFonts w:ascii="Times New Roman" w:hAnsi="Times New Roman"/>
          <w:sz w:val="24"/>
          <w:lang w:eastAsia="en-AU"/>
        </w:rPr>
        <w:t xml:space="preserve">, </w:t>
      </w:r>
      <w:r>
        <w:rPr>
          <w:rFonts w:ascii="Times New Roman" w:hAnsi="Times New Roman"/>
          <w:sz w:val="24"/>
          <w:lang w:eastAsia="en-AU"/>
        </w:rPr>
        <w:t>subject to paragraph 4.4.18,”.</w:t>
      </w:r>
    </w:p>
    <w:p w14:paraId="08BC2626" w14:textId="7913124D" w:rsidR="00EE59CF" w:rsidRPr="00CC4FAC" w:rsidRDefault="00EE59CF" w:rsidP="003D6346">
      <w:pPr>
        <w:pStyle w:val="HR"/>
        <w:numPr>
          <w:ilvl w:val="0"/>
          <w:numId w:val="30"/>
        </w:numPr>
        <w:ind w:left="567" w:hanging="567"/>
      </w:pPr>
      <w:r>
        <w:t>Subparagraph 15.10(4)</w:t>
      </w:r>
    </w:p>
    <w:p w14:paraId="73724805" w14:textId="19C59FD7" w:rsidR="00796244" w:rsidRDefault="00EE59CF" w:rsidP="005273FF">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Before “verify”, insert “subject to paragraph 4.4.18,”.</w:t>
      </w:r>
    </w:p>
    <w:p w14:paraId="72A2FB6A" w14:textId="4A5D0F54" w:rsidR="00CB06FF" w:rsidRDefault="00CB06FF" w:rsidP="00CB06FF">
      <w:pPr>
        <w:pStyle w:val="AS"/>
        <w:spacing w:after="240"/>
        <w:ind w:left="2268" w:hanging="2268"/>
        <w:rPr>
          <w:sz w:val="24"/>
        </w:rPr>
      </w:pPr>
      <w:r w:rsidRPr="00E626A4">
        <w:rPr>
          <w:sz w:val="28"/>
          <w:szCs w:val="28"/>
        </w:rPr>
        <w:t xml:space="preserve">Schedule </w:t>
      </w:r>
      <w:r w:rsidR="00B138A7">
        <w:rPr>
          <w:sz w:val="28"/>
          <w:szCs w:val="28"/>
        </w:rPr>
        <w:t>3</w:t>
      </w:r>
      <w:r>
        <w:rPr>
          <w:rFonts w:cs="Arial"/>
          <w:sz w:val="28"/>
          <w:szCs w:val="28"/>
        </w:rPr>
        <w:t>—</w:t>
      </w:r>
      <w:r>
        <w:rPr>
          <w:sz w:val="28"/>
          <w:szCs w:val="28"/>
        </w:rPr>
        <w:t>Amendments</w:t>
      </w:r>
    </w:p>
    <w:p w14:paraId="71941754" w14:textId="77777777" w:rsidR="00CB06FF" w:rsidRDefault="00CB06FF" w:rsidP="00CB06FF">
      <w:pPr>
        <w:pStyle w:val="AS"/>
        <w:spacing w:before="360" w:after="360"/>
        <w:ind w:left="0" w:firstLine="0"/>
        <w:rPr>
          <w:i/>
          <w:sz w:val="24"/>
        </w:rPr>
      </w:pPr>
      <w:r w:rsidRPr="00142000">
        <w:rPr>
          <w:i/>
          <w:sz w:val="24"/>
        </w:rPr>
        <w:t>Anti-Money Laundering and Counter-Terrorism Financing Rules Instrument 2007 (No. 1)</w:t>
      </w:r>
    </w:p>
    <w:p w14:paraId="594FDB3D" w14:textId="6C4847CF" w:rsidR="00CB06FF" w:rsidRPr="00CC4FAC" w:rsidRDefault="00CB06FF" w:rsidP="00210EEE">
      <w:pPr>
        <w:pStyle w:val="HR"/>
        <w:ind w:left="567" w:hanging="567"/>
      </w:pPr>
      <w:r>
        <w:t>1</w:t>
      </w:r>
      <w:r w:rsidRPr="00CC4FAC">
        <w:tab/>
      </w:r>
      <w:r>
        <w:t>Subparagraph 38.2(4)(a)</w:t>
      </w:r>
    </w:p>
    <w:p w14:paraId="679A9863" w14:textId="77777777" w:rsidR="00CB06FF" w:rsidRDefault="00CB06FF" w:rsidP="00CB06FF">
      <w:pPr>
        <w:autoSpaceDE w:val="0"/>
        <w:autoSpaceDN w:val="0"/>
        <w:adjustRightInd w:val="0"/>
        <w:spacing w:before="240"/>
        <w:ind w:left="1134"/>
        <w:rPr>
          <w:rFonts w:ascii="Times New Roman" w:hAnsi="Times New Roman"/>
          <w:sz w:val="24"/>
          <w:lang w:eastAsia="en-AU"/>
        </w:rPr>
      </w:pPr>
      <w:r>
        <w:rPr>
          <w:rFonts w:ascii="Times New Roman" w:hAnsi="Times New Roman"/>
          <w:sz w:val="24"/>
          <w:lang w:eastAsia="en-AU"/>
        </w:rPr>
        <w:t>Omit “before the end of the financial year in which it receives the proceeds”.</w:t>
      </w:r>
    </w:p>
    <w:p w14:paraId="4D91B087" w14:textId="77777777" w:rsidR="00CB06FF" w:rsidRPr="00304AF2" w:rsidRDefault="00CB06FF" w:rsidP="00CB06FF">
      <w:pPr>
        <w:autoSpaceDE w:val="0"/>
        <w:autoSpaceDN w:val="0"/>
        <w:adjustRightInd w:val="0"/>
        <w:spacing w:before="240"/>
        <w:rPr>
          <w:rFonts w:ascii="Times New Roman" w:hAnsi="Times New Roman"/>
          <w:color w:val="000000" w:themeColor="text1"/>
          <w:sz w:val="24"/>
          <w:lang w:eastAsia="en-AU"/>
        </w:rPr>
      </w:pPr>
    </w:p>
    <w:sectPr w:rsidR="00CB06FF" w:rsidRPr="00304AF2">
      <w:footerReference w:type="even"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940">
      <w:rPr>
        <w:rStyle w:val="PageNumber"/>
        <w:noProof/>
      </w:rPr>
      <w:t>9</w:t>
    </w:r>
    <w:r>
      <w:rPr>
        <w:rStyle w:val="PageNumber"/>
      </w:rPr>
      <w:fldChar w:fldCharType="end"/>
    </w:r>
  </w:p>
  <w:p w14:paraId="35B4AB36" w14:textId="77777777" w:rsidR="00725B3A" w:rsidRDefault="0072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680"/>
    <w:multiLevelType w:val="hybridMultilevel"/>
    <w:tmpl w:val="DBE463DE"/>
    <w:lvl w:ilvl="0" w:tplc="19981C54">
      <w:start w:val="1"/>
      <w:numFmt w:val="lowerLetter"/>
      <w:lvlText w:val="(%1)"/>
      <w:lvlJc w:val="left"/>
      <w:pPr>
        <w:ind w:left="243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B59"/>
    <w:multiLevelType w:val="hybridMultilevel"/>
    <w:tmpl w:val="D446235E"/>
    <w:lvl w:ilvl="0" w:tplc="E47E7A0E">
      <w:start w:val="1"/>
      <w:numFmt w:val="decimal"/>
      <w:pStyle w:val="IndentListLevel1"/>
      <w:lvlText w:val="(%1)"/>
      <w:lvlJc w:val="left"/>
      <w:pPr>
        <w:ind w:left="1353" w:hanging="360"/>
      </w:pPr>
      <w:rPr>
        <w:rFonts w:hint="default"/>
      </w:rPr>
    </w:lvl>
    <w:lvl w:ilvl="1" w:tplc="19981C54">
      <w:start w:val="1"/>
      <w:numFmt w:val="lowerLetter"/>
      <w:lvlText w:val="(%2)"/>
      <w:lvlJc w:val="left"/>
      <w:pPr>
        <w:ind w:left="2433" w:hanging="720"/>
      </w:pPr>
      <w:rPr>
        <w:rFonts w:hint="default"/>
      </w:r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140B2188"/>
    <w:multiLevelType w:val="hybridMultilevel"/>
    <w:tmpl w:val="B3903E0C"/>
    <w:lvl w:ilvl="0" w:tplc="89DAE6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7338BC"/>
    <w:multiLevelType w:val="hybridMultilevel"/>
    <w:tmpl w:val="BD20EE96"/>
    <w:lvl w:ilvl="0" w:tplc="D14A838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69603AE"/>
    <w:multiLevelType w:val="hybridMultilevel"/>
    <w:tmpl w:val="9E6C36E6"/>
    <w:lvl w:ilvl="0" w:tplc="3460C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B77DAD"/>
    <w:multiLevelType w:val="hybridMultilevel"/>
    <w:tmpl w:val="25CC6848"/>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35DC763B"/>
    <w:multiLevelType w:val="hybridMultilevel"/>
    <w:tmpl w:val="6F90898A"/>
    <w:lvl w:ilvl="0" w:tplc="B5842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171AED"/>
    <w:multiLevelType w:val="hybridMultilevel"/>
    <w:tmpl w:val="9710CDC8"/>
    <w:lvl w:ilvl="0" w:tplc="67BAC7F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082A5B"/>
    <w:multiLevelType w:val="hybridMultilevel"/>
    <w:tmpl w:val="07128358"/>
    <w:lvl w:ilvl="0" w:tplc="3D984BFA">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54521611"/>
    <w:multiLevelType w:val="hybridMultilevel"/>
    <w:tmpl w:val="9230CA3E"/>
    <w:lvl w:ilvl="0" w:tplc="21BEF58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AE71A0"/>
    <w:multiLevelType w:val="hybridMultilevel"/>
    <w:tmpl w:val="4E14C918"/>
    <w:lvl w:ilvl="0" w:tplc="1AA45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81733CA"/>
    <w:multiLevelType w:val="hybridMultilevel"/>
    <w:tmpl w:val="3800BF2C"/>
    <w:lvl w:ilvl="0" w:tplc="8A14C3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3" w15:restartNumberingAfterBreak="0">
    <w:nsid w:val="74BD4FAD"/>
    <w:multiLevelType w:val="hybridMultilevel"/>
    <w:tmpl w:val="166C936C"/>
    <w:lvl w:ilvl="0" w:tplc="442218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D3460F"/>
    <w:multiLevelType w:val="hybridMultilevel"/>
    <w:tmpl w:val="E5C40CE2"/>
    <w:lvl w:ilvl="0" w:tplc="F216FD44">
      <w:start w:val="3"/>
      <w:numFmt w:val="lowerLetter"/>
      <w:lvlText w:val="(%1)"/>
      <w:lvlJc w:val="left"/>
      <w:pPr>
        <w:ind w:left="5180" w:hanging="360"/>
      </w:pPr>
      <w:rPr>
        <w:rFonts w:hint="default"/>
      </w:rPr>
    </w:lvl>
    <w:lvl w:ilvl="1" w:tplc="0C090019" w:tentative="1">
      <w:start w:val="1"/>
      <w:numFmt w:val="lowerLetter"/>
      <w:lvlText w:val="%2."/>
      <w:lvlJc w:val="left"/>
      <w:pPr>
        <w:ind w:left="5900" w:hanging="360"/>
      </w:pPr>
    </w:lvl>
    <w:lvl w:ilvl="2" w:tplc="0C09001B" w:tentative="1">
      <w:start w:val="1"/>
      <w:numFmt w:val="lowerRoman"/>
      <w:lvlText w:val="%3."/>
      <w:lvlJc w:val="right"/>
      <w:pPr>
        <w:ind w:left="6620" w:hanging="180"/>
      </w:pPr>
    </w:lvl>
    <w:lvl w:ilvl="3" w:tplc="0C09000F" w:tentative="1">
      <w:start w:val="1"/>
      <w:numFmt w:val="decimal"/>
      <w:lvlText w:val="%4."/>
      <w:lvlJc w:val="left"/>
      <w:pPr>
        <w:ind w:left="7340" w:hanging="360"/>
      </w:pPr>
    </w:lvl>
    <w:lvl w:ilvl="4" w:tplc="0C090019" w:tentative="1">
      <w:start w:val="1"/>
      <w:numFmt w:val="lowerLetter"/>
      <w:lvlText w:val="%5."/>
      <w:lvlJc w:val="left"/>
      <w:pPr>
        <w:ind w:left="8060" w:hanging="360"/>
      </w:pPr>
    </w:lvl>
    <w:lvl w:ilvl="5" w:tplc="0C09001B" w:tentative="1">
      <w:start w:val="1"/>
      <w:numFmt w:val="lowerRoman"/>
      <w:lvlText w:val="%6."/>
      <w:lvlJc w:val="right"/>
      <w:pPr>
        <w:ind w:left="8780" w:hanging="180"/>
      </w:pPr>
    </w:lvl>
    <w:lvl w:ilvl="6" w:tplc="0C09000F" w:tentative="1">
      <w:start w:val="1"/>
      <w:numFmt w:val="decimal"/>
      <w:lvlText w:val="%7."/>
      <w:lvlJc w:val="left"/>
      <w:pPr>
        <w:ind w:left="9500" w:hanging="360"/>
      </w:pPr>
    </w:lvl>
    <w:lvl w:ilvl="7" w:tplc="0C090019" w:tentative="1">
      <w:start w:val="1"/>
      <w:numFmt w:val="lowerLetter"/>
      <w:lvlText w:val="%8."/>
      <w:lvlJc w:val="left"/>
      <w:pPr>
        <w:ind w:left="10220" w:hanging="360"/>
      </w:pPr>
    </w:lvl>
    <w:lvl w:ilvl="8" w:tplc="0C09001B" w:tentative="1">
      <w:start w:val="1"/>
      <w:numFmt w:val="lowerRoman"/>
      <w:lvlText w:val="%9."/>
      <w:lvlJc w:val="right"/>
      <w:pPr>
        <w:ind w:left="10940" w:hanging="180"/>
      </w:pPr>
    </w:lvl>
  </w:abstractNum>
  <w:abstractNum w:abstractNumId="15" w15:restartNumberingAfterBreak="0">
    <w:nsid w:val="79CF4C08"/>
    <w:multiLevelType w:val="hybridMultilevel"/>
    <w:tmpl w:val="0FACA92C"/>
    <w:lvl w:ilvl="0" w:tplc="D772B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1C67BE"/>
    <w:multiLevelType w:val="hybridMultilevel"/>
    <w:tmpl w:val="18B66FB4"/>
    <w:lvl w:ilvl="0" w:tplc="C50CFE3A">
      <w:start w:val="1"/>
      <w:numFmt w:val="decimal"/>
      <w:lvlText w:val="(%1)"/>
      <w:lvlJc w:val="left"/>
      <w:pPr>
        <w:ind w:left="1211" w:hanging="360"/>
      </w:pPr>
      <w:rPr>
        <w:rFonts w:hint="default"/>
      </w:rPr>
    </w:lvl>
    <w:lvl w:ilvl="1" w:tplc="19981C54">
      <w:start w:val="1"/>
      <w:numFmt w:val="lowerLetter"/>
      <w:lvlText w:val="(%2)"/>
      <w:lvlJc w:val="left"/>
      <w:pPr>
        <w:ind w:left="2291" w:hanging="720"/>
      </w:pPr>
      <w:rPr>
        <w:rFonts w:hint="default"/>
      </w:rPr>
    </w:lvl>
    <w:lvl w:ilvl="2" w:tplc="CECE39DC">
      <w:start w:val="1"/>
      <w:numFmt w:val="lowerRoman"/>
      <w:lvlText w:val="(%3)"/>
      <w:lvlJc w:val="left"/>
      <w:pPr>
        <w:ind w:left="2651" w:hanging="18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7AC1006C"/>
    <w:multiLevelType w:val="hybridMultilevel"/>
    <w:tmpl w:val="BE9E384E"/>
    <w:lvl w:ilvl="0" w:tplc="E6C6D818">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0"/>
  </w:num>
  <w:num w:numId="3">
    <w:abstractNumId w:val="1"/>
  </w:num>
  <w:num w:numId="4">
    <w:abstractNumId w:val="16"/>
  </w:num>
  <w:num w:numId="5">
    <w:abstractNumId w:val="5"/>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1"/>
  </w:num>
  <w:num w:numId="23">
    <w:abstractNumId w:val="1"/>
  </w:num>
  <w:num w:numId="24">
    <w:abstractNumId w:val="1"/>
  </w:num>
  <w:num w:numId="25">
    <w:abstractNumId w:val="1"/>
  </w:num>
  <w:num w:numId="26">
    <w:abstractNumId w:val="1"/>
  </w:num>
  <w:num w:numId="27">
    <w:abstractNumId w:val="3"/>
  </w:num>
  <w:num w:numId="28">
    <w:abstractNumId w:val="8"/>
  </w:num>
  <w:num w:numId="29">
    <w:abstractNumId w:val="17"/>
  </w:num>
  <w:num w:numId="30">
    <w:abstractNumId w:val="9"/>
  </w:num>
  <w:num w:numId="31">
    <w:abstractNumId w:val="6"/>
  </w:num>
  <w:num w:numId="32">
    <w:abstractNumId w:val="14"/>
  </w:num>
  <w:num w:numId="33">
    <w:abstractNumId w:val="15"/>
  </w:num>
  <w:num w:numId="34">
    <w:abstractNumId w:val="7"/>
  </w:num>
  <w:num w:numId="35">
    <w:abstractNumId w:val="4"/>
  </w:num>
  <w:num w:numId="36">
    <w:abstractNumId w:val="2"/>
  </w:num>
  <w:num w:numId="37">
    <w:abstractNumId w:val="13"/>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C5"/>
    <w:rsid w:val="000006D4"/>
    <w:rsid w:val="00001AA1"/>
    <w:rsid w:val="00001CD3"/>
    <w:rsid w:val="00003C3C"/>
    <w:rsid w:val="000074A8"/>
    <w:rsid w:val="000114B9"/>
    <w:rsid w:val="00022233"/>
    <w:rsid w:val="000229AE"/>
    <w:rsid w:val="00022CC4"/>
    <w:rsid w:val="000232C3"/>
    <w:rsid w:val="00023531"/>
    <w:rsid w:val="00024678"/>
    <w:rsid w:val="00024FCF"/>
    <w:rsid w:val="000309E8"/>
    <w:rsid w:val="00034375"/>
    <w:rsid w:val="00035795"/>
    <w:rsid w:val="00040564"/>
    <w:rsid w:val="00040BFD"/>
    <w:rsid w:val="00042C01"/>
    <w:rsid w:val="00044071"/>
    <w:rsid w:val="00045C9D"/>
    <w:rsid w:val="0005087F"/>
    <w:rsid w:val="00053AA3"/>
    <w:rsid w:val="00057191"/>
    <w:rsid w:val="00063416"/>
    <w:rsid w:val="00065073"/>
    <w:rsid w:val="000705CF"/>
    <w:rsid w:val="00070F3B"/>
    <w:rsid w:val="00070FAB"/>
    <w:rsid w:val="00071049"/>
    <w:rsid w:val="000712BF"/>
    <w:rsid w:val="00077221"/>
    <w:rsid w:val="000833D9"/>
    <w:rsid w:val="00085C54"/>
    <w:rsid w:val="00086429"/>
    <w:rsid w:val="00090A04"/>
    <w:rsid w:val="000930EC"/>
    <w:rsid w:val="00094B82"/>
    <w:rsid w:val="000978E4"/>
    <w:rsid w:val="000A0B6C"/>
    <w:rsid w:val="000A44BD"/>
    <w:rsid w:val="000A7118"/>
    <w:rsid w:val="000A7974"/>
    <w:rsid w:val="000B2653"/>
    <w:rsid w:val="000D1DC2"/>
    <w:rsid w:val="000D4A90"/>
    <w:rsid w:val="000E2E31"/>
    <w:rsid w:val="000E5734"/>
    <w:rsid w:val="000E659E"/>
    <w:rsid w:val="000F2C03"/>
    <w:rsid w:val="000F5446"/>
    <w:rsid w:val="00101432"/>
    <w:rsid w:val="00101905"/>
    <w:rsid w:val="00101F7A"/>
    <w:rsid w:val="00104AB5"/>
    <w:rsid w:val="00114168"/>
    <w:rsid w:val="00114766"/>
    <w:rsid w:val="001156F3"/>
    <w:rsid w:val="0011785B"/>
    <w:rsid w:val="00122636"/>
    <w:rsid w:val="00122694"/>
    <w:rsid w:val="0012271C"/>
    <w:rsid w:val="00123EAE"/>
    <w:rsid w:val="00134832"/>
    <w:rsid w:val="00146344"/>
    <w:rsid w:val="00147F30"/>
    <w:rsid w:val="00154255"/>
    <w:rsid w:val="00157BF6"/>
    <w:rsid w:val="00161559"/>
    <w:rsid w:val="0017190D"/>
    <w:rsid w:val="00171A90"/>
    <w:rsid w:val="001723AB"/>
    <w:rsid w:val="00172596"/>
    <w:rsid w:val="001737CA"/>
    <w:rsid w:val="00182017"/>
    <w:rsid w:val="00182985"/>
    <w:rsid w:val="0018441A"/>
    <w:rsid w:val="001853C0"/>
    <w:rsid w:val="00197D48"/>
    <w:rsid w:val="001A4926"/>
    <w:rsid w:val="001A6413"/>
    <w:rsid w:val="001B6068"/>
    <w:rsid w:val="001B63FA"/>
    <w:rsid w:val="001C0E69"/>
    <w:rsid w:val="001C19F2"/>
    <w:rsid w:val="001C28BE"/>
    <w:rsid w:val="001C5103"/>
    <w:rsid w:val="001D1606"/>
    <w:rsid w:val="001D1877"/>
    <w:rsid w:val="001D3559"/>
    <w:rsid w:val="001D391C"/>
    <w:rsid w:val="001D64A9"/>
    <w:rsid w:val="001D6830"/>
    <w:rsid w:val="001D6A71"/>
    <w:rsid w:val="001E4B14"/>
    <w:rsid w:val="001F3001"/>
    <w:rsid w:val="00200CE6"/>
    <w:rsid w:val="00203BA6"/>
    <w:rsid w:val="00210EEE"/>
    <w:rsid w:val="0021109D"/>
    <w:rsid w:val="002119A8"/>
    <w:rsid w:val="00213004"/>
    <w:rsid w:val="00214208"/>
    <w:rsid w:val="002152F0"/>
    <w:rsid w:val="00231B0A"/>
    <w:rsid w:val="00231FBE"/>
    <w:rsid w:val="002368A8"/>
    <w:rsid w:val="00245CD5"/>
    <w:rsid w:val="00245DEE"/>
    <w:rsid w:val="00252EE9"/>
    <w:rsid w:val="00263507"/>
    <w:rsid w:val="00265868"/>
    <w:rsid w:val="00267AC5"/>
    <w:rsid w:val="00270B3F"/>
    <w:rsid w:val="002830D1"/>
    <w:rsid w:val="0029065E"/>
    <w:rsid w:val="00292DFA"/>
    <w:rsid w:val="002942D7"/>
    <w:rsid w:val="002A660E"/>
    <w:rsid w:val="002A6963"/>
    <w:rsid w:val="002B0655"/>
    <w:rsid w:val="002B7343"/>
    <w:rsid w:val="002C315D"/>
    <w:rsid w:val="002D104A"/>
    <w:rsid w:val="002D177A"/>
    <w:rsid w:val="002D392F"/>
    <w:rsid w:val="002D551F"/>
    <w:rsid w:val="002E1E85"/>
    <w:rsid w:val="002E2F1C"/>
    <w:rsid w:val="002E3569"/>
    <w:rsid w:val="002E49BD"/>
    <w:rsid w:val="002F0DFD"/>
    <w:rsid w:val="002F33C7"/>
    <w:rsid w:val="00300EF7"/>
    <w:rsid w:val="003013EC"/>
    <w:rsid w:val="00304A3F"/>
    <w:rsid w:val="00304AF2"/>
    <w:rsid w:val="00304C17"/>
    <w:rsid w:val="00305227"/>
    <w:rsid w:val="003130DC"/>
    <w:rsid w:val="003162AD"/>
    <w:rsid w:val="00316550"/>
    <w:rsid w:val="00320686"/>
    <w:rsid w:val="00324035"/>
    <w:rsid w:val="00324F0F"/>
    <w:rsid w:val="003269A0"/>
    <w:rsid w:val="003276CA"/>
    <w:rsid w:val="00327927"/>
    <w:rsid w:val="00327C31"/>
    <w:rsid w:val="00327C72"/>
    <w:rsid w:val="00330066"/>
    <w:rsid w:val="00331CA0"/>
    <w:rsid w:val="00337A28"/>
    <w:rsid w:val="00340DF8"/>
    <w:rsid w:val="003460C3"/>
    <w:rsid w:val="0034741C"/>
    <w:rsid w:val="00347AAE"/>
    <w:rsid w:val="00350244"/>
    <w:rsid w:val="00352679"/>
    <w:rsid w:val="0036259E"/>
    <w:rsid w:val="003638EA"/>
    <w:rsid w:val="003650AA"/>
    <w:rsid w:val="00365BFF"/>
    <w:rsid w:val="00367B27"/>
    <w:rsid w:val="003714D8"/>
    <w:rsid w:val="00376C6C"/>
    <w:rsid w:val="00380ACF"/>
    <w:rsid w:val="00385230"/>
    <w:rsid w:val="00385861"/>
    <w:rsid w:val="00386360"/>
    <w:rsid w:val="00393136"/>
    <w:rsid w:val="003A0DE5"/>
    <w:rsid w:val="003A1A45"/>
    <w:rsid w:val="003A2557"/>
    <w:rsid w:val="003A55BF"/>
    <w:rsid w:val="003A73B8"/>
    <w:rsid w:val="003B1089"/>
    <w:rsid w:val="003B1CD4"/>
    <w:rsid w:val="003B2FD3"/>
    <w:rsid w:val="003B334E"/>
    <w:rsid w:val="003B5E51"/>
    <w:rsid w:val="003B5E72"/>
    <w:rsid w:val="003C3A0C"/>
    <w:rsid w:val="003C4603"/>
    <w:rsid w:val="003C7327"/>
    <w:rsid w:val="003D3A47"/>
    <w:rsid w:val="003D6127"/>
    <w:rsid w:val="003D6346"/>
    <w:rsid w:val="003E712A"/>
    <w:rsid w:val="003F2A10"/>
    <w:rsid w:val="003F4C29"/>
    <w:rsid w:val="003F5B43"/>
    <w:rsid w:val="00400400"/>
    <w:rsid w:val="0040110E"/>
    <w:rsid w:val="00406838"/>
    <w:rsid w:val="00410E57"/>
    <w:rsid w:val="004248D7"/>
    <w:rsid w:val="00424E23"/>
    <w:rsid w:val="00426A4F"/>
    <w:rsid w:val="00427DDB"/>
    <w:rsid w:val="00432BE0"/>
    <w:rsid w:val="00432FF0"/>
    <w:rsid w:val="00433E2C"/>
    <w:rsid w:val="0043707E"/>
    <w:rsid w:val="0043763C"/>
    <w:rsid w:val="00440B53"/>
    <w:rsid w:val="00441D69"/>
    <w:rsid w:val="00445AAE"/>
    <w:rsid w:val="004601AA"/>
    <w:rsid w:val="00463561"/>
    <w:rsid w:val="00464913"/>
    <w:rsid w:val="00466942"/>
    <w:rsid w:val="00474F8E"/>
    <w:rsid w:val="00483460"/>
    <w:rsid w:val="00483A95"/>
    <w:rsid w:val="00484B71"/>
    <w:rsid w:val="00485718"/>
    <w:rsid w:val="00490D49"/>
    <w:rsid w:val="0049221E"/>
    <w:rsid w:val="00492FE9"/>
    <w:rsid w:val="0049701A"/>
    <w:rsid w:val="004A0B38"/>
    <w:rsid w:val="004B15E8"/>
    <w:rsid w:val="004B1E01"/>
    <w:rsid w:val="004B4436"/>
    <w:rsid w:val="004B489D"/>
    <w:rsid w:val="004B5A6B"/>
    <w:rsid w:val="004B5C27"/>
    <w:rsid w:val="004B6809"/>
    <w:rsid w:val="004C5D38"/>
    <w:rsid w:val="004D0DE9"/>
    <w:rsid w:val="004D220D"/>
    <w:rsid w:val="004F49AC"/>
    <w:rsid w:val="004F4D09"/>
    <w:rsid w:val="005037B4"/>
    <w:rsid w:val="005103F8"/>
    <w:rsid w:val="00510D6A"/>
    <w:rsid w:val="00512549"/>
    <w:rsid w:val="00521DFA"/>
    <w:rsid w:val="00524D1D"/>
    <w:rsid w:val="00525AD7"/>
    <w:rsid w:val="005273FF"/>
    <w:rsid w:val="0053071F"/>
    <w:rsid w:val="00531AD1"/>
    <w:rsid w:val="00534D7C"/>
    <w:rsid w:val="00536C84"/>
    <w:rsid w:val="00537CDA"/>
    <w:rsid w:val="0054018E"/>
    <w:rsid w:val="00547B85"/>
    <w:rsid w:val="00547D22"/>
    <w:rsid w:val="005512E1"/>
    <w:rsid w:val="00553B36"/>
    <w:rsid w:val="00557189"/>
    <w:rsid w:val="00557350"/>
    <w:rsid w:val="005605BA"/>
    <w:rsid w:val="00566F10"/>
    <w:rsid w:val="00586BCA"/>
    <w:rsid w:val="005A4692"/>
    <w:rsid w:val="005A666A"/>
    <w:rsid w:val="005C0F96"/>
    <w:rsid w:val="005C176A"/>
    <w:rsid w:val="005C497B"/>
    <w:rsid w:val="005C747A"/>
    <w:rsid w:val="005D2E86"/>
    <w:rsid w:val="005D4E97"/>
    <w:rsid w:val="005D67E7"/>
    <w:rsid w:val="005E285A"/>
    <w:rsid w:val="005E2AD0"/>
    <w:rsid w:val="005E2C67"/>
    <w:rsid w:val="005E2CC0"/>
    <w:rsid w:val="005E31D0"/>
    <w:rsid w:val="005F0B81"/>
    <w:rsid w:val="005F5ADE"/>
    <w:rsid w:val="0060270F"/>
    <w:rsid w:val="006046C3"/>
    <w:rsid w:val="0060485E"/>
    <w:rsid w:val="00604B15"/>
    <w:rsid w:val="00607C32"/>
    <w:rsid w:val="0061056E"/>
    <w:rsid w:val="00610EEA"/>
    <w:rsid w:val="00615FD0"/>
    <w:rsid w:val="00621FE1"/>
    <w:rsid w:val="00625EC6"/>
    <w:rsid w:val="0062775F"/>
    <w:rsid w:val="00627F07"/>
    <w:rsid w:val="006323EB"/>
    <w:rsid w:val="00635A00"/>
    <w:rsid w:val="00640109"/>
    <w:rsid w:val="006424A8"/>
    <w:rsid w:val="00644276"/>
    <w:rsid w:val="006447C5"/>
    <w:rsid w:val="00645F87"/>
    <w:rsid w:val="006474D5"/>
    <w:rsid w:val="00655038"/>
    <w:rsid w:val="0066457C"/>
    <w:rsid w:val="00675036"/>
    <w:rsid w:val="006757A9"/>
    <w:rsid w:val="0067588A"/>
    <w:rsid w:val="006806B2"/>
    <w:rsid w:val="0068425E"/>
    <w:rsid w:val="00684C28"/>
    <w:rsid w:val="006857EB"/>
    <w:rsid w:val="0068617F"/>
    <w:rsid w:val="00687917"/>
    <w:rsid w:val="006903BA"/>
    <w:rsid w:val="006905E3"/>
    <w:rsid w:val="00690A06"/>
    <w:rsid w:val="0069161B"/>
    <w:rsid w:val="00692127"/>
    <w:rsid w:val="00693230"/>
    <w:rsid w:val="006A3617"/>
    <w:rsid w:val="006A45B7"/>
    <w:rsid w:val="006A6A98"/>
    <w:rsid w:val="006B3DD4"/>
    <w:rsid w:val="006B434D"/>
    <w:rsid w:val="006C42EB"/>
    <w:rsid w:val="006D7993"/>
    <w:rsid w:val="006E36DA"/>
    <w:rsid w:val="006E4FA3"/>
    <w:rsid w:val="006E5452"/>
    <w:rsid w:val="006E5F27"/>
    <w:rsid w:val="006E694C"/>
    <w:rsid w:val="006F05E1"/>
    <w:rsid w:val="006F116E"/>
    <w:rsid w:val="006F3E09"/>
    <w:rsid w:val="006F3E7B"/>
    <w:rsid w:val="006F471C"/>
    <w:rsid w:val="006F5D47"/>
    <w:rsid w:val="0070088D"/>
    <w:rsid w:val="00710B82"/>
    <w:rsid w:val="00715A08"/>
    <w:rsid w:val="00716B54"/>
    <w:rsid w:val="00725B3A"/>
    <w:rsid w:val="00731203"/>
    <w:rsid w:val="007335F2"/>
    <w:rsid w:val="0073399A"/>
    <w:rsid w:val="007349BA"/>
    <w:rsid w:val="007434C7"/>
    <w:rsid w:val="00750347"/>
    <w:rsid w:val="00753565"/>
    <w:rsid w:val="0075397C"/>
    <w:rsid w:val="007570DC"/>
    <w:rsid w:val="0075722F"/>
    <w:rsid w:val="007629E2"/>
    <w:rsid w:val="00763029"/>
    <w:rsid w:val="00773530"/>
    <w:rsid w:val="00773DAA"/>
    <w:rsid w:val="00777645"/>
    <w:rsid w:val="00781C25"/>
    <w:rsid w:val="00796244"/>
    <w:rsid w:val="0079716D"/>
    <w:rsid w:val="007A0879"/>
    <w:rsid w:val="007A0F45"/>
    <w:rsid w:val="007B20A0"/>
    <w:rsid w:val="007B4339"/>
    <w:rsid w:val="007B4A18"/>
    <w:rsid w:val="007C52B3"/>
    <w:rsid w:val="007D135E"/>
    <w:rsid w:val="007D3203"/>
    <w:rsid w:val="007D4B87"/>
    <w:rsid w:val="007D72FE"/>
    <w:rsid w:val="007E20A3"/>
    <w:rsid w:val="007E2BBD"/>
    <w:rsid w:val="007E6551"/>
    <w:rsid w:val="007F294B"/>
    <w:rsid w:val="00803737"/>
    <w:rsid w:val="00804DDA"/>
    <w:rsid w:val="00806AE2"/>
    <w:rsid w:val="00810308"/>
    <w:rsid w:val="00815375"/>
    <w:rsid w:val="0082059D"/>
    <w:rsid w:val="0082443C"/>
    <w:rsid w:val="008339B6"/>
    <w:rsid w:val="008343B2"/>
    <w:rsid w:val="00834DA9"/>
    <w:rsid w:val="008354D7"/>
    <w:rsid w:val="00836CDB"/>
    <w:rsid w:val="00844D9E"/>
    <w:rsid w:val="008528FA"/>
    <w:rsid w:val="00853128"/>
    <w:rsid w:val="00854B7C"/>
    <w:rsid w:val="0085692C"/>
    <w:rsid w:val="00864940"/>
    <w:rsid w:val="00867590"/>
    <w:rsid w:val="00867C3C"/>
    <w:rsid w:val="008727B9"/>
    <w:rsid w:val="00874A7B"/>
    <w:rsid w:val="008751C2"/>
    <w:rsid w:val="008803AC"/>
    <w:rsid w:val="00880F12"/>
    <w:rsid w:val="008836A2"/>
    <w:rsid w:val="008929D0"/>
    <w:rsid w:val="00893759"/>
    <w:rsid w:val="00895EC9"/>
    <w:rsid w:val="008A46FE"/>
    <w:rsid w:val="008C0128"/>
    <w:rsid w:val="008C57C8"/>
    <w:rsid w:val="008C758A"/>
    <w:rsid w:val="008D190B"/>
    <w:rsid w:val="008D48C9"/>
    <w:rsid w:val="008D6834"/>
    <w:rsid w:val="008E1455"/>
    <w:rsid w:val="008E697F"/>
    <w:rsid w:val="008F4A2A"/>
    <w:rsid w:val="008F6EB6"/>
    <w:rsid w:val="0091043E"/>
    <w:rsid w:val="00911781"/>
    <w:rsid w:val="00911BD8"/>
    <w:rsid w:val="00925B6E"/>
    <w:rsid w:val="009367DA"/>
    <w:rsid w:val="009368CE"/>
    <w:rsid w:val="00937C6C"/>
    <w:rsid w:val="009421D6"/>
    <w:rsid w:val="00943252"/>
    <w:rsid w:val="00946684"/>
    <w:rsid w:val="00946D2F"/>
    <w:rsid w:val="00954789"/>
    <w:rsid w:val="00957BAC"/>
    <w:rsid w:val="009643F2"/>
    <w:rsid w:val="00972299"/>
    <w:rsid w:val="00972C45"/>
    <w:rsid w:val="00975100"/>
    <w:rsid w:val="00980667"/>
    <w:rsid w:val="0098404F"/>
    <w:rsid w:val="0099236A"/>
    <w:rsid w:val="0099257B"/>
    <w:rsid w:val="009949C9"/>
    <w:rsid w:val="009962F7"/>
    <w:rsid w:val="009A47FD"/>
    <w:rsid w:val="009B2190"/>
    <w:rsid w:val="009B4496"/>
    <w:rsid w:val="009B65AE"/>
    <w:rsid w:val="009B79F1"/>
    <w:rsid w:val="009C4A41"/>
    <w:rsid w:val="009C6B7B"/>
    <w:rsid w:val="009D263D"/>
    <w:rsid w:val="009D678C"/>
    <w:rsid w:val="009D6C58"/>
    <w:rsid w:val="009D7365"/>
    <w:rsid w:val="009F1F93"/>
    <w:rsid w:val="009F23CB"/>
    <w:rsid w:val="009F336A"/>
    <w:rsid w:val="009F423C"/>
    <w:rsid w:val="00A0104A"/>
    <w:rsid w:val="00A015B7"/>
    <w:rsid w:val="00A07175"/>
    <w:rsid w:val="00A0745B"/>
    <w:rsid w:val="00A103EB"/>
    <w:rsid w:val="00A13BAC"/>
    <w:rsid w:val="00A15B82"/>
    <w:rsid w:val="00A25CC7"/>
    <w:rsid w:val="00A270B6"/>
    <w:rsid w:val="00A30061"/>
    <w:rsid w:val="00A314D8"/>
    <w:rsid w:val="00A31AFC"/>
    <w:rsid w:val="00A3319F"/>
    <w:rsid w:val="00A365D1"/>
    <w:rsid w:val="00A37EF2"/>
    <w:rsid w:val="00A448AB"/>
    <w:rsid w:val="00A61151"/>
    <w:rsid w:val="00A63263"/>
    <w:rsid w:val="00A70F1D"/>
    <w:rsid w:val="00A7363E"/>
    <w:rsid w:val="00A809B3"/>
    <w:rsid w:val="00A82FF9"/>
    <w:rsid w:val="00A83772"/>
    <w:rsid w:val="00A86953"/>
    <w:rsid w:val="00A92DC6"/>
    <w:rsid w:val="00A97308"/>
    <w:rsid w:val="00A973BB"/>
    <w:rsid w:val="00AA49E9"/>
    <w:rsid w:val="00AA60F9"/>
    <w:rsid w:val="00AB448E"/>
    <w:rsid w:val="00AB55F2"/>
    <w:rsid w:val="00AB68B8"/>
    <w:rsid w:val="00AC4D19"/>
    <w:rsid w:val="00AD5190"/>
    <w:rsid w:val="00AD54FC"/>
    <w:rsid w:val="00AE398F"/>
    <w:rsid w:val="00AE4B4F"/>
    <w:rsid w:val="00AF2133"/>
    <w:rsid w:val="00AF59AC"/>
    <w:rsid w:val="00B00A76"/>
    <w:rsid w:val="00B02505"/>
    <w:rsid w:val="00B0323B"/>
    <w:rsid w:val="00B03BDE"/>
    <w:rsid w:val="00B05435"/>
    <w:rsid w:val="00B06C8D"/>
    <w:rsid w:val="00B07478"/>
    <w:rsid w:val="00B1120A"/>
    <w:rsid w:val="00B138A7"/>
    <w:rsid w:val="00B153BF"/>
    <w:rsid w:val="00B15E58"/>
    <w:rsid w:val="00B16170"/>
    <w:rsid w:val="00B20C44"/>
    <w:rsid w:val="00B2438C"/>
    <w:rsid w:val="00B30D96"/>
    <w:rsid w:val="00B312FF"/>
    <w:rsid w:val="00B345E1"/>
    <w:rsid w:val="00B35188"/>
    <w:rsid w:val="00B35389"/>
    <w:rsid w:val="00B5106A"/>
    <w:rsid w:val="00B52186"/>
    <w:rsid w:val="00B55B29"/>
    <w:rsid w:val="00B62498"/>
    <w:rsid w:val="00B64677"/>
    <w:rsid w:val="00B64ECC"/>
    <w:rsid w:val="00B70988"/>
    <w:rsid w:val="00B74B14"/>
    <w:rsid w:val="00B77670"/>
    <w:rsid w:val="00B8001B"/>
    <w:rsid w:val="00B804DA"/>
    <w:rsid w:val="00B83163"/>
    <w:rsid w:val="00B8717E"/>
    <w:rsid w:val="00B92CA1"/>
    <w:rsid w:val="00B941A4"/>
    <w:rsid w:val="00B95D35"/>
    <w:rsid w:val="00BA1CBA"/>
    <w:rsid w:val="00BA6C30"/>
    <w:rsid w:val="00BB59EF"/>
    <w:rsid w:val="00BC3292"/>
    <w:rsid w:val="00BC40EF"/>
    <w:rsid w:val="00BC4D3D"/>
    <w:rsid w:val="00BC54DD"/>
    <w:rsid w:val="00BD15C4"/>
    <w:rsid w:val="00BD15D7"/>
    <w:rsid w:val="00BD79C7"/>
    <w:rsid w:val="00BE1584"/>
    <w:rsid w:val="00BF1367"/>
    <w:rsid w:val="00BF599C"/>
    <w:rsid w:val="00C006DA"/>
    <w:rsid w:val="00C036CF"/>
    <w:rsid w:val="00C11F32"/>
    <w:rsid w:val="00C157F5"/>
    <w:rsid w:val="00C174D2"/>
    <w:rsid w:val="00C20554"/>
    <w:rsid w:val="00C21BCC"/>
    <w:rsid w:val="00C2377C"/>
    <w:rsid w:val="00C2776C"/>
    <w:rsid w:val="00C30EB3"/>
    <w:rsid w:val="00C37BF7"/>
    <w:rsid w:val="00C4056F"/>
    <w:rsid w:val="00C406AA"/>
    <w:rsid w:val="00C40D50"/>
    <w:rsid w:val="00C41EB1"/>
    <w:rsid w:val="00C42F32"/>
    <w:rsid w:val="00C47619"/>
    <w:rsid w:val="00C47E71"/>
    <w:rsid w:val="00C52E16"/>
    <w:rsid w:val="00C55029"/>
    <w:rsid w:val="00C6103C"/>
    <w:rsid w:val="00C637EC"/>
    <w:rsid w:val="00C64A34"/>
    <w:rsid w:val="00C707DE"/>
    <w:rsid w:val="00C70F00"/>
    <w:rsid w:val="00C717A1"/>
    <w:rsid w:val="00C726CD"/>
    <w:rsid w:val="00C74BE0"/>
    <w:rsid w:val="00C74E9E"/>
    <w:rsid w:val="00C7532D"/>
    <w:rsid w:val="00C76CBF"/>
    <w:rsid w:val="00C76CF2"/>
    <w:rsid w:val="00C80375"/>
    <w:rsid w:val="00C81593"/>
    <w:rsid w:val="00C9255B"/>
    <w:rsid w:val="00C972E2"/>
    <w:rsid w:val="00CA1F93"/>
    <w:rsid w:val="00CA3EE2"/>
    <w:rsid w:val="00CA4382"/>
    <w:rsid w:val="00CA640A"/>
    <w:rsid w:val="00CA7D65"/>
    <w:rsid w:val="00CB06FF"/>
    <w:rsid w:val="00CB0DFF"/>
    <w:rsid w:val="00CB2874"/>
    <w:rsid w:val="00CB2F03"/>
    <w:rsid w:val="00CB2F65"/>
    <w:rsid w:val="00CB3BFF"/>
    <w:rsid w:val="00CC1E40"/>
    <w:rsid w:val="00CC3572"/>
    <w:rsid w:val="00CC48BE"/>
    <w:rsid w:val="00CC4FAC"/>
    <w:rsid w:val="00CE294E"/>
    <w:rsid w:val="00CF096E"/>
    <w:rsid w:val="00CF17D8"/>
    <w:rsid w:val="00CF187B"/>
    <w:rsid w:val="00CF3740"/>
    <w:rsid w:val="00CF51B5"/>
    <w:rsid w:val="00D00BBB"/>
    <w:rsid w:val="00D02EB1"/>
    <w:rsid w:val="00D0524B"/>
    <w:rsid w:val="00D11413"/>
    <w:rsid w:val="00D13CCA"/>
    <w:rsid w:val="00D13DE2"/>
    <w:rsid w:val="00D16980"/>
    <w:rsid w:val="00D2055A"/>
    <w:rsid w:val="00D2062E"/>
    <w:rsid w:val="00D2466E"/>
    <w:rsid w:val="00D25E11"/>
    <w:rsid w:val="00D36E14"/>
    <w:rsid w:val="00D373C6"/>
    <w:rsid w:val="00D37547"/>
    <w:rsid w:val="00D41F56"/>
    <w:rsid w:val="00D463A5"/>
    <w:rsid w:val="00D47139"/>
    <w:rsid w:val="00D47793"/>
    <w:rsid w:val="00D53972"/>
    <w:rsid w:val="00D5425D"/>
    <w:rsid w:val="00D57C51"/>
    <w:rsid w:val="00D60106"/>
    <w:rsid w:val="00D65DD1"/>
    <w:rsid w:val="00D66E96"/>
    <w:rsid w:val="00D80A79"/>
    <w:rsid w:val="00D82968"/>
    <w:rsid w:val="00D85D97"/>
    <w:rsid w:val="00D9143C"/>
    <w:rsid w:val="00D97ABF"/>
    <w:rsid w:val="00DA309D"/>
    <w:rsid w:val="00DA3B14"/>
    <w:rsid w:val="00DA6898"/>
    <w:rsid w:val="00DC3B25"/>
    <w:rsid w:val="00DC4A5E"/>
    <w:rsid w:val="00DD0BC2"/>
    <w:rsid w:val="00DD2C80"/>
    <w:rsid w:val="00DE3D5A"/>
    <w:rsid w:val="00DE567A"/>
    <w:rsid w:val="00DE5A68"/>
    <w:rsid w:val="00DE5D0F"/>
    <w:rsid w:val="00DF0564"/>
    <w:rsid w:val="00DF08B0"/>
    <w:rsid w:val="00DF1D67"/>
    <w:rsid w:val="00DF2039"/>
    <w:rsid w:val="00DF3828"/>
    <w:rsid w:val="00DF3B4E"/>
    <w:rsid w:val="00DF42D9"/>
    <w:rsid w:val="00DF7F1B"/>
    <w:rsid w:val="00E01E95"/>
    <w:rsid w:val="00E052FA"/>
    <w:rsid w:val="00E146D5"/>
    <w:rsid w:val="00E14C12"/>
    <w:rsid w:val="00E153D1"/>
    <w:rsid w:val="00E246DF"/>
    <w:rsid w:val="00E248A8"/>
    <w:rsid w:val="00E262B2"/>
    <w:rsid w:val="00E272D3"/>
    <w:rsid w:val="00E27EBB"/>
    <w:rsid w:val="00E32CA6"/>
    <w:rsid w:val="00E3543F"/>
    <w:rsid w:val="00E40E51"/>
    <w:rsid w:val="00E422A8"/>
    <w:rsid w:val="00E4685C"/>
    <w:rsid w:val="00E523F2"/>
    <w:rsid w:val="00E52B1E"/>
    <w:rsid w:val="00E52D97"/>
    <w:rsid w:val="00E57D10"/>
    <w:rsid w:val="00E626A4"/>
    <w:rsid w:val="00E660FB"/>
    <w:rsid w:val="00E757C1"/>
    <w:rsid w:val="00E77C31"/>
    <w:rsid w:val="00E82E45"/>
    <w:rsid w:val="00E83C35"/>
    <w:rsid w:val="00E84C52"/>
    <w:rsid w:val="00E87F53"/>
    <w:rsid w:val="00E92A48"/>
    <w:rsid w:val="00E94830"/>
    <w:rsid w:val="00EA560E"/>
    <w:rsid w:val="00EA602A"/>
    <w:rsid w:val="00EB07C9"/>
    <w:rsid w:val="00EB3BE8"/>
    <w:rsid w:val="00EB422A"/>
    <w:rsid w:val="00EB53C5"/>
    <w:rsid w:val="00EC2296"/>
    <w:rsid w:val="00EC2BA3"/>
    <w:rsid w:val="00EC40E6"/>
    <w:rsid w:val="00EC606B"/>
    <w:rsid w:val="00ED1E2D"/>
    <w:rsid w:val="00ED741C"/>
    <w:rsid w:val="00EE59CF"/>
    <w:rsid w:val="00EF0774"/>
    <w:rsid w:val="00EF0BE9"/>
    <w:rsid w:val="00F03927"/>
    <w:rsid w:val="00F0516C"/>
    <w:rsid w:val="00F169D0"/>
    <w:rsid w:val="00F230E8"/>
    <w:rsid w:val="00F23230"/>
    <w:rsid w:val="00F316C0"/>
    <w:rsid w:val="00F32C73"/>
    <w:rsid w:val="00F344DF"/>
    <w:rsid w:val="00F379CF"/>
    <w:rsid w:val="00F41665"/>
    <w:rsid w:val="00F43D41"/>
    <w:rsid w:val="00F478FA"/>
    <w:rsid w:val="00F508A1"/>
    <w:rsid w:val="00F5098C"/>
    <w:rsid w:val="00F5204F"/>
    <w:rsid w:val="00F526D8"/>
    <w:rsid w:val="00F5299C"/>
    <w:rsid w:val="00F52AA1"/>
    <w:rsid w:val="00F53C39"/>
    <w:rsid w:val="00F55DA1"/>
    <w:rsid w:val="00F60EFF"/>
    <w:rsid w:val="00F612B2"/>
    <w:rsid w:val="00F6188F"/>
    <w:rsid w:val="00F6745D"/>
    <w:rsid w:val="00F67586"/>
    <w:rsid w:val="00F71AC7"/>
    <w:rsid w:val="00F7663F"/>
    <w:rsid w:val="00F7675C"/>
    <w:rsid w:val="00F804E6"/>
    <w:rsid w:val="00F8508D"/>
    <w:rsid w:val="00F91195"/>
    <w:rsid w:val="00FA175C"/>
    <w:rsid w:val="00FA1DD7"/>
    <w:rsid w:val="00FA30AF"/>
    <w:rsid w:val="00FA45DE"/>
    <w:rsid w:val="00FA7A34"/>
    <w:rsid w:val="00FB0344"/>
    <w:rsid w:val="00FB1854"/>
    <w:rsid w:val="00FB2398"/>
    <w:rsid w:val="00FB4A8E"/>
    <w:rsid w:val="00FB7773"/>
    <w:rsid w:val="00FC036D"/>
    <w:rsid w:val="00FC5D78"/>
    <w:rsid w:val="00FD0EF6"/>
    <w:rsid w:val="00FD771C"/>
    <w:rsid w:val="00FF372A"/>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F9976"/>
  <w15:docId w15:val="{103686DE-C154-414C-9136-BC81E530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 w:type="paragraph" w:styleId="BodyText">
    <w:name w:val="Body Text"/>
    <w:basedOn w:val="Normal"/>
    <w:link w:val="BodyTextChar"/>
    <w:rsid w:val="00806AE2"/>
    <w:pPr>
      <w:spacing w:after="120"/>
    </w:pPr>
    <w:rPr>
      <w:rFonts w:ascii="Times New Roman" w:hAnsi="Times New Roman"/>
      <w:sz w:val="24"/>
      <w:lang w:eastAsia="en-AU"/>
    </w:rPr>
  </w:style>
  <w:style w:type="character" w:customStyle="1" w:styleId="BodyTextChar">
    <w:name w:val="Body Text Char"/>
    <w:basedOn w:val="DefaultParagraphFont"/>
    <w:link w:val="BodyText"/>
    <w:rsid w:val="00806AE2"/>
    <w:rPr>
      <w:sz w:val="24"/>
      <w:szCs w:val="24"/>
    </w:rPr>
  </w:style>
  <w:style w:type="paragraph" w:customStyle="1" w:styleId="IndentListLevel1">
    <w:name w:val="Indent List Level 1"/>
    <w:basedOn w:val="Heading2"/>
    <w:link w:val="IndentListLevel1Char"/>
    <w:qFormat/>
    <w:rsid w:val="00645F87"/>
    <w:pPr>
      <w:numPr>
        <w:numId w:val="3"/>
      </w:numPr>
    </w:pPr>
    <w:rPr>
      <w:b w:val="0"/>
    </w:rPr>
  </w:style>
  <w:style w:type="character" w:customStyle="1" w:styleId="IndentListLevel1Char">
    <w:name w:val="Indent List Level 1 Char"/>
    <w:link w:val="IndentListLevel1"/>
    <w:rsid w:val="00645F87"/>
    <w:rPr>
      <w:sz w:val="24"/>
      <w:szCs w:val="24"/>
    </w:rPr>
  </w:style>
  <w:style w:type="character" w:customStyle="1" w:styleId="subsectionChar">
    <w:name w:val="subsection Char"/>
    <w:aliases w:val="ss Char"/>
    <w:link w:val="subsection"/>
    <w:locked/>
    <w:rsid w:val="00B30D96"/>
  </w:style>
  <w:style w:type="paragraph" w:customStyle="1" w:styleId="subsection">
    <w:name w:val="subsection"/>
    <w:aliases w:val="ss,Subsection"/>
    <w:basedOn w:val="Normal"/>
    <w:link w:val="subsectionChar"/>
    <w:rsid w:val="00B30D96"/>
    <w:pPr>
      <w:spacing w:before="180"/>
      <w:ind w:left="1134" w:hanging="1134"/>
    </w:pPr>
    <w:rPr>
      <w:rFonts w:ascii="Times New Roman" w:hAnsi="Times New Roman"/>
      <w:sz w:val="20"/>
      <w:szCs w:val="20"/>
      <w:lang w:eastAsia="en-AU"/>
    </w:rPr>
  </w:style>
  <w:style w:type="character" w:customStyle="1" w:styleId="ActHead5Char">
    <w:name w:val="ActHead 5 Char"/>
    <w:aliases w:val="s Char"/>
    <w:link w:val="ActHead5"/>
    <w:locked/>
    <w:rsid w:val="00B30D96"/>
    <w:rPr>
      <w:b/>
      <w:bCs/>
    </w:rPr>
  </w:style>
  <w:style w:type="paragraph" w:customStyle="1" w:styleId="ActHead5">
    <w:name w:val="ActHead 5"/>
    <w:aliases w:val="s"/>
    <w:basedOn w:val="Normal"/>
    <w:link w:val="ActHead5Char"/>
    <w:rsid w:val="00B30D96"/>
    <w:pPr>
      <w:keepNext/>
      <w:spacing w:before="280"/>
      <w:ind w:left="1134" w:hanging="1134"/>
    </w:pPr>
    <w:rPr>
      <w:rFonts w:ascii="Times New Roman" w:hAnsi="Times New Roman"/>
      <w:b/>
      <w:bCs/>
      <w:sz w:val="20"/>
      <w:szCs w:val="20"/>
      <w:lang w:eastAsia="en-AU"/>
    </w:rPr>
  </w:style>
  <w:style w:type="paragraph" w:customStyle="1" w:styleId="Tabletext">
    <w:name w:val="Tabletext"/>
    <w:aliases w:val="tt"/>
    <w:basedOn w:val="Normal"/>
    <w:uiPriority w:val="99"/>
    <w:rsid w:val="00B30D96"/>
    <w:pPr>
      <w:spacing w:before="60" w:line="240" w:lineRule="atLeast"/>
    </w:pPr>
    <w:rPr>
      <w:rFonts w:ascii="Times New Roman" w:eastAsia="Calibri" w:hAnsi="Times New Roman"/>
      <w:sz w:val="20"/>
      <w:szCs w:val="20"/>
      <w:lang w:eastAsia="en-AU"/>
    </w:rPr>
  </w:style>
  <w:style w:type="character" w:customStyle="1" w:styleId="notetextChar">
    <w:name w:val="note(text) Char"/>
    <w:aliases w:val="n Char"/>
    <w:link w:val="notetext"/>
    <w:locked/>
    <w:rsid w:val="00B30D96"/>
  </w:style>
  <w:style w:type="paragraph" w:customStyle="1" w:styleId="notetext">
    <w:name w:val="note(text)"/>
    <w:aliases w:val="n"/>
    <w:basedOn w:val="Normal"/>
    <w:link w:val="notetextChar"/>
    <w:rsid w:val="00B30D96"/>
    <w:pPr>
      <w:spacing w:before="122"/>
      <w:ind w:left="1985" w:hanging="851"/>
    </w:pPr>
    <w:rPr>
      <w:rFonts w:ascii="Times New Roman" w:hAnsi="Times New Roman"/>
      <w:sz w:val="20"/>
      <w:szCs w:val="20"/>
      <w:lang w:eastAsia="en-AU"/>
    </w:rPr>
  </w:style>
  <w:style w:type="paragraph" w:customStyle="1" w:styleId="TableHeading">
    <w:name w:val="TableHeading"/>
    <w:aliases w:val="th"/>
    <w:basedOn w:val="Normal"/>
    <w:uiPriority w:val="99"/>
    <w:rsid w:val="00B30D96"/>
    <w:pPr>
      <w:keepNext/>
      <w:spacing w:before="60" w:line="240" w:lineRule="atLeast"/>
    </w:pPr>
    <w:rPr>
      <w:rFonts w:ascii="Times New Roman" w:eastAsia="Calibri" w:hAnsi="Times New Roman"/>
      <w:b/>
      <w:bCs/>
      <w:sz w:val="20"/>
      <w:szCs w:val="20"/>
      <w:lang w:eastAsia="en-AU"/>
    </w:rPr>
  </w:style>
  <w:style w:type="character" w:customStyle="1" w:styleId="CharSectno">
    <w:name w:val="CharSectno"/>
    <w:rsid w:val="00B3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56211">
      <w:bodyDiv w:val="1"/>
      <w:marLeft w:val="0"/>
      <w:marRight w:val="0"/>
      <w:marTop w:val="0"/>
      <w:marBottom w:val="0"/>
      <w:divBdr>
        <w:top w:val="none" w:sz="0" w:space="0" w:color="auto"/>
        <w:left w:val="none" w:sz="0" w:space="0" w:color="auto"/>
        <w:bottom w:val="none" w:sz="0" w:space="0" w:color="auto"/>
        <w:right w:val="none" w:sz="0" w:space="0" w:color="auto"/>
      </w:divBdr>
    </w:div>
    <w:div w:id="1299264883">
      <w:bodyDiv w:val="1"/>
      <w:marLeft w:val="0"/>
      <w:marRight w:val="0"/>
      <w:marTop w:val="0"/>
      <w:marBottom w:val="0"/>
      <w:divBdr>
        <w:top w:val="none" w:sz="0" w:space="0" w:color="auto"/>
        <w:left w:val="none" w:sz="0" w:space="0" w:color="auto"/>
        <w:bottom w:val="none" w:sz="0" w:space="0" w:color="auto"/>
        <w:right w:val="none" w:sz="0" w:space="0" w:color="auto"/>
      </w:divBdr>
    </w:div>
    <w:div w:id="1397237860">
      <w:bodyDiv w:val="1"/>
      <w:marLeft w:val="0"/>
      <w:marRight w:val="0"/>
      <w:marTop w:val="0"/>
      <w:marBottom w:val="0"/>
      <w:divBdr>
        <w:top w:val="none" w:sz="0" w:space="0" w:color="auto"/>
        <w:left w:val="none" w:sz="0" w:space="0" w:color="auto"/>
        <w:bottom w:val="none" w:sz="0" w:space="0" w:color="auto"/>
        <w:right w:val="none" w:sz="0" w:space="0" w:color="auto"/>
      </w:divBdr>
    </w:div>
    <w:div w:id="1457217483">
      <w:bodyDiv w:val="1"/>
      <w:marLeft w:val="0"/>
      <w:marRight w:val="0"/>
      <w:marTop w:val="0"/>
      <w:marBottom w:val="0"/>
      <w:divBdr>
        <w:top w:val="none" w:sz="0" w:space="0" w:color="auto"/>
        <w:left w:val="none" w:sz="0" w:space="0" w:color="auto"/>
        <w:bottom w:val="none" w:sz="0" w:space="0" w:color="auto"/>
        <w:right w:val="none" w:sz="0" w:space="0" w:color="auto"/>
      </w:divBdr>
    </w:div>
    <w:div w:id="1520661188">
      <w:bodyDiv w:val="1"/>
      <w:marLeft w:val="0"/>
      <w:marRight w:val="0"/>
      <w:marTop w:val="0"/>
      <w:marBottom w:val="0"/>
      <w:divBdr>
        <w:top w:val="none" w:sz="0" w:space="0" w:color="auto"/>
        <w:left w:val="none" w:sz="0" w:space="0" w:color="auto"/>
        <w:bottom w:val="none" w:sz="0" w:space="0" w:color="auto"/>
        <w:right w:val="none" w:sz="0" w:space="0" w:color="auto"/>
      </w:divBdr>
    </w:div>
    <w:div w:id="17597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85E0-6FE5-4CCE-B6AD-BC6CD619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Tania Chomenko</cp:lastModifiedBy>
  <cp:revision>2</cp:revision>
  <cp:lastPrinted>2018-12-13T06:09:00Z</cp:lastPrinted>
  <dcterms:created xsi:type="dcterms:W3CDTF">2019-04-01T04:47:00Z</dcterms:created>
  <dcterms:modified xsi:type="dcterms:W3CDTF">2019-04-01T04:47:00Z</dcterms:modified>
</cp:coreProperties>
</file>