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31D5E" w14:textId="77777777" w:rsidR="00A069E1" w:rsidRPr="000A2EFF" w:rsidRDefault="00A069E1" w:rsidP="00A069E1">
      <w:pPr>
        <w:jc w:val="center"/>
        <w:rPr>
          <w:b/>
        </w:rPr>
      </w:pPr>
      <w:r w:rsidRPr="000A2EFF">
        <w:rPr>
          <w:b/>
        </w:rPr>
        <w:t>EXPLANATORY STATEMENT</w:t>
      </w:r>
    </w:p>
    <w:p w14:paraId="0A3A8D5F" w14:textId="77777777" w:rsidR="00A069E1" w:rsidRPr="000A2EFF" w:rsidRDefault="00A069E1" w:rsidP="00A069E1">
      <w:pPr>
        <w:jc w:val="center"/>
        <w:rPr>
          <w:b/>
          <w:i/>
        </w:rPr>
      </w:pPr>
    </w:p>
    <w:p w14:paraId="034E307C" w14:textId="77777777" w:rsidR="00A069E1" w:rsidRPr="000A2EFF" w:rsidRDefault="00A069E1" w:rsidP="00A069E1">
      <w:pPr>
        <w:jc w:val="center"/>
      </w:pPr>
      <w:r w:rsidRPr="000A2EFF">
        <w:t>Issued by the Authority of the Minister for Health</w:t>
      </w:r>
    </w:p>
    <w:p w14:paraId="69A6B6A6" w14:textId="77777777" w:rsidR="00A069E1" w:rsidRPr="000A2EFF" w:rsidRDefault="00A069E1" w:rsidP="00A069E1">
      <w:pPr>
        <w:jc w:val="center"/>
        <w:rPr>
          <w:b/>
          <w:i/>
        </w:rPr>
      </w:pPr>
    </w:p>
    <w:p w14:paraId="3BB9E196" w14:textId="77777777" w:rsidR="00A069E1" w:rsidRPr="000A2EFF" w:rsidRDefault="00A069E1" w:rsidP="00A069E1">
      <w:pPr>
        <w:jc w:val="center"/>
        <w:rPr>
          <w:b/>
          <w:i/>
        </w:rPr>
      </w:pPr>
      <w:r w:rsidRPr="000A2EFF">
        <w:rPr>
          <w:b/>
          <w:i/>
        </w:rPr>
        <w:t>National Health Act 1953</w:t>
      </w:r>
    </w:p>
    <w:p w14:paraId="65101BD2" w14:textId="77777777" w:rsidR="00A069E1" w:rsidRPr="000A2EFF" w:rsidRDefault="00A069E1" w:rsidP="00A069E1">
      <w:pPr>
        <w:pStyle w:val="Header"/>
        <w:tabs>
          <w:tab w:val="left" w:pos="720"/>
        </w:tabs>
      </w:pPr>
      <w:bookmarkStart w:id="0" w:name="RecipNameAddr"/>
      <w:bookmarkEnd w:id="0"/>
    </w:p>
    <w:p w14:paraId="36082972" w14:textId="7D4C76E1" w:rsidR="00A069E1" w:rsidRPr="000A2EFF" w:rsidRDefault="00A069E1" w:rsidP="004A601C">
      <w:pPr>
        <w:jc w:val="center"/>
        <w:rPr>
          <w:b/>
          <w:bCs/>
          <w:i/>
        </w:rPr>
      </w:pPr>
      <w:r w:rsidRPr="000A2EFF">
        <w:rPr>
          <w:b/>
          <w:bCs/>
          <w:i/>
        </w:rPr>
        <w:t xml:space="preserve">National Health (Immunisation Program – Designated Vaccines) </w:t>
      </w:r>
      <w:r w:rsidR="00D611A0">
        <w:rPr>
          <w:b/>
          <w:bCs/>
          <w:i/>
        </w:rPr>
        <w:t>Amendment</w:t>
      </w:r>
      <w:r w:rsidR="00D611A0" w:rsidRPr="000A2EFF">
        <w:rPr>
          <w:b/>
          <w:bCs/>
          <w:i/>
        </w:rPr>
        <w:t xml:space="preserve"> </w:t>
      </w:r>
      <w:r w:rsidRPr="000A2EFF">
        <w:rPr>
          <w:b/>
          <w:bCs/>
          <w:i/>
        </w:rPr>
        <w:t>Determination (No</w:t>
      </w:r>
      <w:r w:rsidR="00697CCF">
        <w:rPr>
          <w:b/>
          <w:bCs/>
          <w:i/>
        </w:rPr>
        <w:t>.1) 2019</w:t>
      </w:r>
      <w:r w:rsidRPr="000A2EFF">
        <w:rPr>
          <w:b/>
          <w:bCs/>
          <w:i/>
        </w:rPr>
        <w:t xml:space="preserve"> </w:t>
      </w:r>
    </w:p>
    <w:p w14:paraId="722AD24D" w14:textId="77777777" w:rsidR="00A069E1" w:rsidRPr="000A2EFF" w:rsidRDefault="00A069E1" w:rsidP="00A069E1">
      <w:pPr>
        <w:jc w:val="center"/>
        <w:rPr>
          <w:sz w:val="28"/>
          <w:szCs w:val="28"/>
        </w:rPr>
      </w:pPr>
    </w:p>
    <w:p w14:paraId="6FD2D6A5" w14:textId="77777777" w:rsidR="00A069E1" w:rsidRPr="000A2EFF" w:rsidRDefault="00A069E1" w:rsidP="00A069E1">
      <w:pPr>
        <w:pStyle w:val="Header"/>
        <w:tabs>
          <w:tab w:val="left" w:pos="720"/>
        </w:tabs>
      </w:pPr>
      <w:r w:rsidRPr="000A2EFF">
        <w:rPr>
          <w:b/>
          <w:bCs/>
        </w:rPr>
        <w:t>Authority</w:t>
      </w:r>
    </w:p>
    <w:p w14:paraId="06816FC1" w14:textId="77777777" w:rsidR="00A069E1" w:rsidRDefault="00A069E1" w:rsidP="00A069E1">
      <w:r w:rsidRPr="000A2EFF">
        <w:t xml:space="preserve">Subsection </w:t>
      </w:r>
      <w:proofErr w:type="gramStart"/>
      <w:r w:rsidRPr="000A2EFF">
        <w:t>9B(</w:t>
      </w:r>
      <w:proofErr w:type="gramEnd"/>
      <w:r w:rsidRPr="000A2EFF">
        <w:t xml:space="preserve">1) of the </w:t>
      </w:r>
      <w:r w:rsidRPr="000A2EFF">
        <w:rPr>
          <w:i/>
        </w:rPr>
        <w:t xml:space="preserve">National Health Act 1953 </w:t>
      </w:r>
      <w:r w:rsidRPr="000A2EFF">
        <w:t xml:space="preserve">(the Act) provides that the Minister may provide, or arrange for the provision of, designated vaccines and goods or services that are associated with, or incidental to, the provision or administration of designated vaccines.  Subsection </w:t>
      </w:r>
      <w:proofErr w:type="gramStart"/>
      <w:r w:rsidRPr="000A2EFF">
        <w:t>9B(</w:t>
      </w:r>
      <w:proofErr w:type="gramEnd"/>
      <w:r w:rsidRPr="000A2EFF">
        <w:t xml:space="preserve">2) provides that the Minister may, by legislative instrument, determine that a specified vaccine is a designated vaccine for the purposes of the Act.  Subsection </w:t>
      </w:r>
      <w:proofErr w:type="gramStart"/>
      <w:r w:rsidRPr="000A2EFF">
        <w:t>9B(</w:t>
      </w:r>
      <w:proofErr w:type="gramEnd"/>
      <w:r w:rsidRPr="000A2EFF">
        <w:t>5) provides that in addition to specifying a vaccine, a determination may specify the circumstances in which the vaccine may be provided.</w:t>
      </w:r>
    </w:p>
    <w:p w14:paraId="2EA903AD" w14:textId="77777777" w:rsidR="00E003BF" w:rsidRDefault="00E003BF" w:rsidP="00A069E1"/>
    <w:p w14:paraId="24FEBF0B" w14:textId="77777777" w:rsidR="00E003BF" w:rsidRPr="000A2EFF" w:rsidRDefault="00E003BF" w:rsidP="00A069E1">
      <w:r>
        <w:rPr>
          <w:lang w:val="en"/>
        </w:rPr>
        <w:t xml:space="preserve">In addition to the power to make this instrument under section 9B of the Act, subsection 33(3) of the </w:t>
      </w:r>
      <w:r>
        <w:rPr>
          <w:rStyle w:val="Emphasis"/>
          <w:lang w:val="en"/>
        </w:rPr>
        <w:t>Acts Interpretation Act 1901</w:t>
      </w:r>
      <w:r>
        <w:rPr>
          <w:lang w:val="en"/>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BF3CF81" w14:textId="77777777" w:rsidR="00A069E1" w:rsidRPr="000A2EFF" w:rsidRDefault="00A069E1" w:rsidP="00F8490A">
      <w:pPr>
        <w:pStyle w:val="Header"/>
        <w:tabs>
          <w:tab w:val="left" w:pos="720"/>
        </w:tabs>
      </w:pPr>
    </w:p>
    <w:p w14:paraId="336C5EC8" w14:textId="77777777" w:rsidR="00A069E1" w:rsidRPr="00F8490A" w:rsidRDefault="00A069E1" w:rsidP="00F8490A">
      <w:pPr>
        <w:pStyle w:val="Header"/>
        <w:tabs>
          <w:tab w:val="left" w:pos="720"/>
        </w:tabs>
      </w:pPr>
      <w:r w:rsidRPr="00F8490A">
        <w:rPr>
          <w:b/>
          <w:bCs/>
        </w:rPr>
        <w:t>Purpose</w:t>
      </w:r>
    </w:p>
    <w:p w14:paraId="7A5B8C34" w14:textId="3CB2D0AA" w:rsidR="001B3204" w:rsidRPr="004A601C" w:rsidRDefault="00573931" w:rsidP="00A4602F">
      <w:r>
        <w:rPr>
          <w:bCs/>
        </w:rPr>
        <w:t>T</w:t>
      </w:r>
      <w:r w:rsidR="00A069E1" w:rsidRPr="0026014B">
        <w:rPr>
          <w:bCs/>
        </w:rPr>
        <w:t>he</w:t>
      </w:r>
      <w:r w:rsidR="00A069E1" w:rsidRPr="0026014B">
        <w:rPr>
          <w:bCs/>
          <w:i/>
        </w:rPr>
        <w:t xml:space="preserve"> National Health (Immunisation Program – Designated Vaccines) </w:t>
      </w:r>
      <w:r w:rsidR="00890971" w:rsidRPr="0026014B">
        <w:rPr>
          <w:bCs/>
          <w:i/>
        </w:rPr>
        <w:t xml:space="preserve">Amendment </w:t>
      </w:r>
      <w:r w:rsidR="00A069E1" w:rsidRPr="0026014B">
        <w:rPr>
          <w:bCs/>
          <w:i/>
        </w:rPr>
        <w:t>Determination (No.</w:t>
      </w:r>
      <w:r w:rsidR="00697CCF" w:rsidRPr="0026014B">
        <w:rPr>
          <w:bCs/>
          <w:i/>
        </w:rPr>
        <w:t>1) 2019</w:t>
      </w:r>
      <w:r w:rsidR="00A069E1" w:rsidRPr="0026014B">
        <w:rPr>
          <w:bCs/>
          <w:i/>
        </w:rPr>
        <w:t xml:space="preserve"> </w:t>
      </w:r>
      <w:r w:rsidR="00A069E1" w:rsidRPr="0026014B">
        <w:rPr>
          <w:bCs/>
        </w:rPr>
        <w:t xml:space="preserve">(the </w:t>
      </w:r>
      <w:r w:rsidR="00890971" w:rsidRPr="0026014B">
        <w:rPr>
          <w:bCs/>
        </w:rPr>
        <w:t xml:space="preserve">Amendment </w:t>
      </w:r>
      <w:r w:rsidR="00A069E1" w:rsidRPr="0026014B">
        <w:rPr>
          <w:bCs/>
        </w:rPr>
        <w:t xml:space="preserve">Determination) </w:t>
      </w:r>
      <w:r>
        <w:rPr>
          <w:bCs/>
        </w:rPr>
        <w:t xml:space="preserve">amends the </w:t>
      </w:r>
      <w:r w:rsidRPr="00A4602F">
        <w:rPr>
          <w:bCs/>
          <w:i/>
        </w:rPr>
        <w:t>National Health (Immunisation Program – Designated Vaccines) Determination 2014(No. 1)</w:t>
      </w:r>
      <w:r>
        <w:rPr>
          <w:bCs/>
        </w:rPr>
        <w:t xml:space="preserve"> (the Determination)  </w:t>
      </w:r>
      <w:r w:rsidR="00A069E1" w:rsidRPr="0026014B">
        <w:rPr>
          <w:bCs/>
        </w:rPr>
        <w:t xml:space="preserve">to </w:t>
      </w:r>
      <w:r w:rsidR="00CE2FFF" w:rsidRPr="0026014B">
        <w:rPr>
          <w:bCs/>
        </w:rPr>
        <w:t>expand</w:t>
      </w:r>
      <w:r w:rsidR="00890971" w:rsidRPr="0026014B">
        <w:t xml:space="preserve"> the circumstances in which </w:t>
      </w:r>
      <w:proofErr w:type="spellStart"/>
      <w:r w:rsidR="00890971" w:rsidRPr="0026014B">
        <w:rPr>
          <w:color w:val="000000"/>
          <w:szCs w:val="22"/>
        </w:rPr>
        <w:t>Fluarix</w:t>
      </w:r>
      <w:proofErr w:type="spellEnd"/>
      <w:r w:rsidR="00890971" w:rsidRPr="0026014B">
        <w:rPr>
          <w:color w:val="000000"/>
          <w:szCs w:val="22"/>
        </w:rPr>
        <w:t xml:space="preserve"> Tetra</w:t>
      </w:r>
      <w:r w:rsidR="00890971" w:rsidRPr="0026014B">
        <w:t>®</w:t>
      </w:r>
      <w:r w:rsidR="00890971" w:rsidRPr="0026014B">
        <w:rPr>
          <w:color w:val="000000"/>
          <w:szCs w:val="22"/>
        </w:rPr>
        <w:t xml:space="preserve"> </w:t>
      </w:r>
      <w:r w:rsidR="00890971" w:rsidRPr="0026014B">
        <w:t>(a designated vaccine under existing item 207A of Part 2 of Schedule 1 of the Determination) may be provided.</w:t>
      </w:r>
    </w:p>
    <w:p w14:paraId="251EAF43" w14:textId="77777777" w:rsidR="00A069E1" w:rsidRPr="004A601C" w:rsidRDefault="00A069E1" w:rsidP="00F8490A">
      <w:pPr>
        <w:pStyle w:val="ListParagraph"/>
        <w:rPr>
          <w:rStyle w:val="normalchar"/>
        </w:rPr>
      </w:pPr>
    </w:p>
    <w:p w14:paraId="2536674C" w14:textId="77777777" w:rsidR="00A069E1" w:rsidRPr="004A601C" w:rsidRDefault="00A069E1" w:rsidP="0026014B">
      <w:pPr>
        <w:autoSpaceDE w:val="0"/>
        <w:autoSpaceDN w:val="0"/>
        <w:adjustRightInd w:val="0"/>
        <w:rPr>
          <w:b/>
        </w:rPr>
      </w:pPr>
      <w:r w:rsidRPr="004A601C">
        <w:rPr>
          <w:rStyle w:val="normalchar"/>
          <w:b/>
        </w:rPr>
        <w:t xml:space="preserve">Background </w:t>
      </w:r>
    </w:p>
    <w:p w14:paraId="33258CCD" w14:textId="77777777" w:rsidR="00A069E1" w:rsidRPr="000A2EFF" w:rsidRDefault="00A069E1" w:rsidP="00A069E1">
      <w:pPr>
        <w:rPr>
          <w:i/>
          <w:u w:val="single"/>
        </w:rPr>
      </w:pPr>
      <w:r w:rsidRPr="004A601C">
        <w:rPr>
          <w:i/>
          <w:u w:val="single"/>
        </w:rPr>
        <w:t>Pharmaceutical Benefits Advisory</w:t>
      </w:r>
      <w:r w:rsidRPr="000A2EFF">
        <w:rPr>
          <w:i/>
          <w:u w:val="single"/>
        </w:rPr>
        <w:t xml:space="preserve"> Committee (PBAC) recommendations</w:t>
      </w:r>
    </w:p>
    <w:p w14:paraId="45111483" w14:textId="3EFCEBFF" w:rsidR="001B3204" w:rsidRPr="00697CCF" w:rsidRDefault="009F23AB" w:rsidP="00697CCF">
      <w:pPr>
        <w:spacing w:after="240"/>
        <w:rPr>
          <w:color w:val="000000"/>
          <w:szCs w:val="22"/>
        </w:rPr>
      </w:pPr>
      <w:r w:rsidRPr="00E46FE9">
        <w:rPr>
          <w:color w:val="000000"/>
          <w:szCs w:val="22"/>
        </w:rPr>
        <w:t xml:space="preserve">In </w:t>
      </w:r>
      <w:r w:rsidR="00697CCF">
        <w:rPr>
          <w:color w:val="000000"/>
          <w:szCs w:val="22"/>
        </w:rPr>
        <w:t>March 2019</w:t>
      </w:r>
      <w:r w:rsidRPr="00E46FE9">
        <w:rPr>
          <w:color w:val="000000"/>
          <w:szCs w:val="22"/>
        </w:rPr>
        <w:t>, the P</w:t>
      </w:r>
      <w:r w:rsidR="00A4602F">
        <w:rPr>
          <w:color w:val="000000"/>
          <w:szCs w:val="22"/>
        </w:rPr>
        <w:t>BAC</w:t>
      </w:r>
      <w:r w:rsidRPr="00E46FE9">
        <w:rPr>
          <w:color w:val="000000"/>
          <w:szCs w:val="22"/>
        </w:rPr>
        <w:t xml:space="preserve"> recommended changes to the </w:t>
      </w:r>
      <w:r w:rsidR="007E6449">
        <w:rPr>
          <w:color w:val="000000"/>
          <w:szCs w:val="22"/>
        </w:rPr>
        <w:t xml:space="preserve">existing </w:t>
      </w:r>
      <w:r w:rsidR="007B1255">
        <w:rPr>
          <w:color w:val="000000"/>
          <w:szCs w:val="22"/>
        </w:rPr>
        <w:t xml:space="preserve">subsection </w:t>
      </w:r>
      <w:proofErr w:type="gramStart"/>
      <w:r w:rsidR="007B1255">
        <w:rPr>
          <w:color w:val="000000"/>
          <w:szCs w:val="22"/>
        </w:rPr>
        <w:t>9B(</w:t>
      </w:r>
      <w:proofErr w:type="gramEnd"/>
      <w:r w:rsidR="007B1255">
        <w:rPr>
          <w:color w:val="000000"/>
          <w:szCs w:val="22"/>
        </w:rPr>
        <w:t>2) determination</w:t>
      </w:r>
      <w:r w:rsidR="00AC77FB">
        <w:rPr>
          <w:color w:val="000000"/>
          <w:szCs w:val="22"/>
        </w:rPr>
        <w:t xml:space="preserve"> for </w:t>
      </w:r>
      <w:proofErr w:type="spellStart"/>
      <w:r w:rsidR="00697CCF">
        <w:rPr>
          <w:color w:val="000000"/>
          <w:szCs w:val="22"/>
        </w:rPr>
        <w:t>Fluarix</w:t>
      </w:r>
      <w:proofErr w:type="spellEnd"/>
      <w:r w:rsidR="00697CCF">
        <w:rPr>
          <w:color w:val="000000"/>
          <w:szCs w:val="22"/>
        </w:rPr>
        <w:t xml:space="preserve"> Tetra</w:t>
      </w:r>
      <w:r w:rsidR="00F31211" w:rsidRPr="00E46FE9">
        <w:t>®</w:t>
      </w:r>
      <w:r w:rsidR="003F1BF7" w:rsidRPr="00E46FE9">
        <w:rPr>
          <w:color w:val="000000"/>
          <w:szCs w:val="22"/>
        </w:rPr>
        <w:t xml:space="preserve"> to </w:t>
      </w:r>
      <w:r w:rsidR="00E10A75">
        <w:rPr>
          <w:color w:val="000000"/>
          <w:szCs w:val="22"/>
        </w:rPr>
        <w:t>expand the circumstances in which that vaccine may be provided</w:t>
      </w:r>
      <w:r w:rsidR="007B1255">
        <w:rPr>
          <w:color w:val="000000"/>
          <w:szCs w:val="22"/>
        </w:rPr>
        <w:t xml:space="preserve"> for the </w:t>
      </w:r>
      <w:r w:rsidR="00CE0901">
        <w:rPr>
          <w:color w:val="000000"/>
          <w:szCs w:val="22"/>
        </w:rPr>
        <w:t>National Immunisation Program (</w:t>
      </w:r>
      <w:r w:rsidR="007B1255">
        <w:rPr>
          <w:color w:val="000000"/>
          <w:szCs w:val="22"/>
        </w:rPr>
        <w:t>NIP</w:t>
      </w:r>
      <w:r w:rsidR="00CE0901">
        <w:rPr>
          <w:color w:val="000000"/>
          <w:szCs w:val="22"/>
        </w:rPr>
        <w:t>)</w:t>
      </w:r>
      <w:r w:rsidR="00E10A75">
        <w:rPr>
          <w:color w:val="000000"/>
          <w:szCs w:val="22"/>
        </w:rPr>
        <w:t xml:space="preserve">.  The recommended </w:t>
      </w:r>
      <w:r w:rsidR="00716F4D">
        <w:rPr>
          <w:color w:val="000000"/>
          <w:szCs w:val="22"/>
        </w:rPr>
        <w:t>change</w:t>
      </w:r>
      <w:r w:rsidR="0052166E">
        <w:rPr>
          <w:color w:val="000000"/>
          <w:szCs w:val="22"/>
        </w:rPr>
        <w:t xml:space="preserve"> </w:t>
      </w:r>
      <w:r w:rsidR="00584ECC">
        <w:rPr>
          <w:color w:val="000000"/>
          <w:szCs w:val="22"/>
        </w:rPr>
        <w:t>will</w:t>
      </w:r>
      <w:r w:rsidR="007B1255">
        <w:rPr>
          <w:color w:val="000000"/>
          <w:szCs w:val="22"/>
        </w:rPr>
        <w:t xml:space="preserve"> </w:t>
      </w:r>
      <w:r w:rsidR="00577B0D">
        <w:rPr>
          <w:color w:val="000000"/>
          <w:szCs w:val="22"/>
        </w:rPr>
        <w:t xml:space="preserve">lower the age of </w:t>
      </w:r>
      <w:r w:rsidR="004B6DD4">
        <w:rPr>
          <w:color w:val="000000"/>
          <w:szCs w:val="22"/>
        </w:rPr>
        <w:t xml:space="preserve">persons </w:t>
      </w:r>
      <w:r w:rsidR="00577B0D">
        <w:rPr>
          <w:color w:val="000000"/>
          <w:szCs w:val="22"/>
        </w:rPr>
        <w:t xml:space="preserve">to whom </w:t>
      </w:r>
      <w:proofErr w:type="spellStart"/>
      <w:r w:rsidR="00577B0D">
        <w:rPr>
          <w:color w:val="000000"/>
          <w:szCs w:val="22"/>
        </w:rPr>
        <w:t>Fluarix</w:t>
      </w:r>
      <w:proofErr w:type="spellEnd"/>
      <w:r w:rsidR="00577B0D">
        <w:rPr>
          <w:color w:val="000000"/>
          <w:szCs w:val="22"/>
        </w:rPr>
        <w:t xml:space="preserve"> Tetra</w:t>
      </w:r>
      <w:r w:rsidR="00577B0D" w:rsidRPr="00E46FE9">
        <w:t>®</w:t>
      </w:r>
      <w:r w:rsidR="00577B0D">
        <w:t xml:space="preserve"> can be </w:t>
      </w:r>
      <w:r w:rsidR="004B6DD4">
        <w:t xml:space="preserve">provided </w:t>
      </w:r>
      <w:r w:rsidR="00577B0D">
        <w:t>under the NIP from 3 years to 6 months (</w:t>
      </w:r>
      <w:r w:rsidR="009B49D7">
        <w:t xml:space="preserve">the person </w:t>
      </w:r>
      <w:r w:rsidR="004B6DD4">
        <w:t>must also me</w:t>
      </w:r>
      <w:r w:rsidR="009B49D7">
        <w:t>e</w:t>
      </w:r>
      <w:r w:rsidR="004B6DD4">
        <w:t>t</w:t>
      </w:r>
      <w:r w:rsidR="009B49D7">
        <w:t xml:space="preserve"> other eligibility criteria</w:t>
      </w:r>
      <w:r w:rsidR="00716F4D">
        <w:t xml:space="preserve">, which are not </w:t>
      </w:r>
      <w:r w:rsidR="009B49D7">
        <w:t>changed</w:t>
      </w:r>
      <w:r w:rsidR="00716F4D">
        <w:t xml:space="preserve"> by the recommendations</w:t>
      </w:r>
      <w:r w:rsidR="00577B0D">
        <w:t>).</w:t>
      </w:r>
    </w:p>
    <w:p w14:paraId="3B4CC307" w14:textId="77777777" w:rsidR="00A069E1" w:rsidRPr="00E46FE9" w:rsidRDefault="00A069E1" w:rsidP="00A069E1">
      <w:pPr>
        <w:rPr>
          <w:i/>
          <w:u w:val="single"/>
        </w:rPr>
      </w:pPr>
      <w:r w:rsidRPr="00E46FE9">
        <w:rPr>
          <w:i/>
          <w:u w:val="single"/>
        </w:rPr>
        <w:t>Government approval</w:t>
      </w:r>
    </w:p>
    <w:p w14:paraId="0AE2AA6E" w14:textId="580D795C" w:rsidR="009F23AB" w:rsidRPr="009F23AB" w:rsidRDefault="009F23AB" w:rsidP="009F23AB">
      <w:pPr>
        <w:spacing w:after="240"/>
      </w:pPr>
      <w:r w:rsidRPr="00E46FE9">
        <w:t xml:space="preserve">On </w:t>
      </w:r>
      <w:r w:rsidR="00CF31AC">
        <w:t>29 March 2019</w:t>
      </w:r>
      <w:r w:rsidRPr="00E46FE9">
        <w:t xml:space="preserve">, the Minister for Health, the Hon Greg Hunt MP, approved </w:t>
      </w:r>
      <w:r w:rsidR="00287BD6">
        <w:t xml:space="preserve">the PBAC recommended changes </w:t>
      </w:r>
      <w:r w:rsidRPr="00E46FE9">
        <w:t xml:space="preserve">to the </w:t>
      </w:r>
      <w:r w:rsidR="00177EEA">
        <w:t>existing</w:t>
      </w:r>
      <w:r w:rsidR="00177EEA" w:rsidRPr="00E46FE9">
        <w:t xml:space="preserve"> </w:t>
      </w:r>
      <w:r w:rsidRPr="00E46FE9">
        <w:t xml:space="preserve">NIP listing for </w:t>
      </w:r>
      <w:proofErr w:type="spellStart"/>
      <w:r w:rsidR="003F1BF7" w:rsidRPr="00E46FE9">
        <w:t>Fluarix</w:t>
      </w:r>
      <w:proofErr w:type="spellEnd"/>
      <w:r w:rsidR="003F1BF7" w:rsidRPr="00E46FE9">
        <w:t xml:space="preserve"> Tetra</w:t>
      </w:r>
      <w:r w:rsidR="00F31211" w:rsidRPr="00E46FE9">
        <w:t>®</w:t>
      </w:r>
      <w:r w:rsidR="003F1BF7" w:rsidRPr="00E46FE9">
        <w:t xml:space="preserve">. </w:t>
      </w:r>
      <w:r w:rsidRPr="00E46FE9">
        <w:t>This will take effect from the day after</w:t>
      </w:r>
      <w:r w:rsidR="00890971">
        <w:t xml:space="preserve"> the Amendment Determination is</w:t>
      </w:r>
      <w:r w:rsidRPr="00E46FE9">
        <w:t xml:space="preserve"> </w:t>
      </w:r>
      <w:r w:rsidR="00890971">
        <w:t>registered</w:t>
      </w:r>
      <w:r w:rsidRPr="00E46FE9">
        <w:t>.</w:t>
      </w:r>
    </w:p>
    <w:p w14:paraId="34B0EAFE" w14:textId="77777777" w:rsidR="00A069E1" w:rsidRPr="000A2EFF" w:rsidRDefault="00A069E1" w:rsidP="00A069E1">
      <w:pPr>
        <w:rPr>
          <w:b/>
        </w:rPr>
      </w:pPr>
      <w:r w:rsidRPr="000A2EFF">
        <w:rPr>
          <w:b/>
        </w:rPr>
        <w:t>Details</w:t>
      </w:r>
    </w:p>
    <w:p w14:paraId="1DEA3B37" w14:textId="17F5AF7E" w:rsidR="00F8490A" w:rsidRPr="00A4602F" w:rsidRDefault="00A069E1" w:rsidP="00A069E1">
      <w:pPr>
        <w:rPr>
          <w:rFonts w:ascii="pbac" w:hAnsi="pbac"/>
        </w:rPr>
      </w:pPr>
      <w:r w:rsidRPr="000A2EFF">
        <w:t xml:space="preserve">The Determination commenced on 23 September 2014.  Once a vaccine is listed in the Determination, the supplier of that vaccine is eligible to participate in any </w:t>
      </w:r>
      <w:r w:rsidRPr="000A2EFF">
        <w:lastRenderedPageBreak/>
        <w:t xml:space="preserve">procurement processes undertaken by the Department of Health for the supply of vaccines on the NIP. </w:t>
      </w:r>
      <w:r w:rsidR="00852FFE">
        <w:t xml:space="preserve"> </w:t>
      </w:r>
    </w:p>
    <w:p w14:paraId="51B1B809" w14:textId="77777777" w:rsidR="00697CCF" w:rsidRDefault="00697CCF" w:rsidP="00A4602F">
      <w:pPr>
        <w:rPr>
          <w:rStyle w:val="normalchar"/>
          <w:b/>
        </w:rPr>
      </w:pPr>
    </w:p>
    <w:p w14:paraId="29EE0B56" w14:textId="77777777" w:rsidR="00A069E1" w:rsidRPr="000A2EFF" w:rsidRDefault="00A069E1" w:rsidP="00A069E1">
      <w:pPr>
        <w:autoSpaceDE w:val="0"/>
        <w:autoSpaceDN w:val="0"/>
        <w:adjustRightInd w:val="0"/>
        <w:rPr>
          <w:b/>
        </w:rPr>
      </w:pPr>
      <w:r w:rsidRPr="000A2EFF">
        <w:rPr>
          <w:rStyle w:val="normalchar"/>
          <w:b/>
        </w:rPr>
        <w:t>Consultation</w:t>
      </w:r>
    </w:p>
    <w:p w14:paraId="2C35B976" w14:textId="6A6BC491" w:rsidR="00F36245" w:rsidRDefault="00CF31AC" w:rsidP="00CF31AC">
      <w:r>
        <w:t>The involvement of interested parties through the membership of the PBAC constitutes a formal and ongoing process of consultation.  The PBAC is an independent expert body established by section 100A of the Act, which makes recommendations to</w:t>
      </w:r>
      <w:r w:rsidR="007B04C7">
        <w:t>, and advises</w:t>
      </w:r>
      <w:r>
        <w:t xml:space="preserve"> the Minister about</w:t>
      </w:r>
      <w:r w:rsidR="007B04C7">
        <w:t>,</w:t>
      </w:r>
      <w:r>
        <w:t xml:space="preserve"> </w:t>
      </w:r>
      <w:r w:rsidR="007B04C7">
        <w:t xml:space="preserve">the determination of </w:t>
      </w:r>
      <w:r w:rsidR="0043740B">
        <w:t xml:space="preserve">specified </w:t>
      </w:r>
      <w:r w:rsidR="007B04C7">
        <w:t xml:space="preserve">vaccines </w:t>
      </w:r>
      <w:r w:rsidR="00F36245">
        <w:t xml:space="preserve">as designated vaccines </w:t>
      </w:r>
      <w:r w:rsidR="007B04C7">
        <w:t>under subsection 9B, for the NIP</w:t>
      </w:r>
      <w:r w:rsidR="0043740B">
        <w:t>.</w:t>
      </w:r>
      <w:r w:rsidR="007B04C7">
        <w:t xml:space="preserve"> </w:t>
      </w:r>
      <w:r>
        <w:t xml:space="preserve"> The PBAC members are appointed </w:t>
      </w:r>
      <w:r w:rsidR="007B04C7">
        <w:t xml:space="preserve">from </w:t>
      </w:r>
      <w:r>
        <w:t>nomination</w:t>
      </w:r>
      <w:r w:rsidR="007B04C7">
        <w:t>s</w:t>
      </w:r>
      <w:r>
        <w:t xml:space="preserve"> by organisations and associations </w:t>
      </w:r>
      <w:r w:rsidR="007B04C7">
        <w:t xml:space="preserve">representing industry, </w:t>
      </w:r>
      <w:r>
        <w:t xml:space="preserve">consumers, </w:t>
      </w:r>
      <w:proofErr w:type="gramStart"/>
      <w:r>
        <w:t>health</w:t>
      </w:r>
      <w:proofErr w:type="gramEnd"/>
      <w:r>
        <w:t xml:space="preserve"> economists, practising community pharmacists, general practitioners, clinical pharmacologists and specialists, with at least one member selected from each of those interests or professions.  Remaining members are persons whom the Minister is satisfied have qualifications </w:t>
      </w:r>
      <w:r w:rsidR="007B04C7">
        <w:t xml:space="preserve">or </w:t>
      </w:r>
      <w:r>
        <w:t>experience in a field relevant to the functions of the PBAC</w:t>
      </w:r>
      <w:r w:rsidR="007B04C7">
        <w:t xml:space="preserve"> </w:t>
      </w:r>
      <w:r>
        <w:t xml:space="preserve">that would enable them to contribute meaningfully to the deliberations of the </w:t>
      </w:r>
      <w:proofErr w:type="gramStart"/>
      <w:r>
        <w:t>PBAC.</w:t>
      </w:r>
      <w:proofErr w:type="gramEnd"/>
    </w:p>
    <w:p w14:paraId="2418A7D4" w14:textId="77777777" w:rsidR="00F36245" w:rsidRDefault="00F36245" w:rsidP="00CF31AC"/>
    <w:p w14:paraId="60EB4030" w14:textId="4DDAB56B" w:rsidR="00CF31AC" w:rsidRDefault="00CF31AC" w:rsidP="00CF31AC">
      <w:r>
        <w:t>When recommending the listing of a vaccine on the NIP</w:t>
      </w:r>
      <w:r w:rsidR="00F36245">
        <w:t xml:space="preserve"> and the circumstances in which a designated vaccine should be provided</w:t>
      </w:r>
      <w:r>
        <w:t xml:space="preserve">, PBAC takes into account the </w:t>
      </w:r>
      <w:r w:rsidR="001D631C">
        <w:t xml:space="preserve">target population for which the vaccine </w:t>
      </w:r>
      <w:r>
        <w:t>has been approve</w:t>
      </w:r>
      <w:r w:rsidR="001D631C">
        <w:t>d for use in Australia and</w:t>
      </w:r>
      <w:r>
        <w:t xml:space="preserve"> its clinical effectiveness, safety and cost-effectiveness.</w:t>
      </w:r>
      <w:r w:rsidR="00BB7D36">
        <w:t xml:space="preserve">  PBAC also receives advice from the Australian Technical Advisory Group on Immunisation regarding the clinical aspects of the disease and the vaccine.</w:t>
      </w:r>
      <w:bookmarkStart w:id="1" w:name="_GoBack"/>
      <w:bookmarkEnd w:id="1"/>
    </w:p>
    <w:p w14:paraId="3C0A58EA" w14:textId="77777777" w:rsidR="00CF31AC" w:rsidRDefault="00CF31AC" w:rsidP="00CF31AC"/>
    <w:p w14:paraId="7401DCED" w14:textId="77777777" w:rsidR="001D631C" w:rsidRDefault="00CF31AC" w:rsidP="00CF31AC">
      <w:r>
        <w:t xml:space="preserve">Pharmaceutical companies are consulted throughout the process of the listing of their </w:t>
      </w:r>
      <w:r w:rsidR="001D631C">
        <w:t>vaccine on the NIP</w:t>
      </w:r>
      <w:r>
        <w:t xml:space="preserve"> and in relation to changes to those listings.  This includes the company submission to the PBAC and involvem</w:t>
      </w:r>
      <w:r w:rsidR="001D631C">
        <w:t>ent throughout the PBAC process</w:t>
      </w:r>
      <w:r>
        <w:t>.</w:t>
      </w:r>
    </w:p>
    <w:p w14:paraId="06855AB9" w14:textId="77777777" w:rsidR="001D631C" w:rsidRDefault="001D631C" w:rsidP="00CF31AC"/>
    <w:p w14:paraId="44F630F7" w14:textId="77777777" w:rsidR="00CF31AC" w:rsidRPr="001D631C" w:rsidRDefault="001D631C" w:rsidP="001D631C">
      <w:r>
        <w:t xml:space="preserve">As part of the PBAC process, </w:t>
      </w:r>
      <w:r w:rsidRPr="001D631C">
        <w:t>patient</w:t>
      </w:r>
      <w:r>
        <w:t>s</w:t>
      </w:r>
      <w:r w:rsidRPr="001D631C">
        <w:t>, carer</w:t>
      </w:r>
      <w:r>
        <w:t>s</w:t>
      </w:r>
      <w:r w:rsidRPr="001D631C">
        <w:t>, member</w:t>
      </w:r>
      <w:r>
        <w:t>s</w:t>
      </w:r>
      <w:r w:rsidRPr="001D631C">
        <w:t xml:space="preserve"> of the public, health professional</w:t>
      </w:r>
      <w:r>
        <w:t>s</w:t>
      </w:r>
      <w:r w:rsidRPr="001D631C">
        <w:t xml:space="preserve"> or member</w:t>
      </w:r>
      <w:r>
        <w:t xml:space="preserve">s of </w:t>
      </w:r>
      <w:r w:rsidRPr="001D631C">
        <w:t>consumer interest group</w:t>
      </w:r>
      <w:r>
        <w:t xml:space="preserve">s may provide comments </w:t>
      </w:r>
      <w:r w:rsidR="00D97AA9">
        <w:t>and feedback on vaccines being considered by the PBAC via a web interface or in writing over a period of six weeks prior to PBAC meetings. These are provided to the PBAC in a de-identified form for consideration alongside the company submission.</w:t>
      </w:r>
    </w:p>
    <w:p w14:paraId="33C151B1" w14:textId="77777777" w:rsidR="00CF31AC" w:rsidRDefault="00CF31AC" w:rsidP="00CF31AC"/>
    <w:p w14:paraId="1A67C49A" w14:textId="77777777" w:rsidR="00CF31AC" w:rsidRDefault="00CF31AC" w:rsidP="00CF31AC">
      <w:pPr>
        <w:rPr>
          <w:highlight w:val="yellow"/>
        </w:rPr>
      </w:pPr>
      <w:r>
        <w:t>It was considered that further consultation for this Instrument was unnecessary due to the nature of the consultation that had already taken place.</w:t>
      </w:r>
    </w:p>
    <w:p w14:paraId="19EDFE7F" w14:textId="77777777" w:rsidR="00A069E1" w:rsidRPr="000A2EFF" w:rsidRDefault="00A069E1" w:rsidP="00A069E1"/>
    <w:p w14:paraId="5A490A9A" w14:textId="77777777" w:rsidR="00A069E1" w:rsidRPr="000A2EFF" w:rsidRDefault="00A069E1" w:rsidP="00A069E1">
      <w:r w:rsidRPr="000A2EFF">
        <w:t xml:space="preserve">Details of the </w:t>
      </w:r>
      <w:r w:rsidR="002B4810">
        <w:t xml:space="preserve">Amendment </w:t>
      </w:r>
      <w:r w:rsidRPr="000A2EFF">
        <w:t xml:space="preserve">Determination are set out in the </w:t>
      </w:r>
      <w:r w:rsidRPr="000A2EFF">
        <w:rPr>
          <w:u w:val="single"/>
        </w:rPr>
        <w:t>Attachment</w:t>
      </w:r>
      <w:r w:rsidRPr="000A2EFF">
        <w:t>.</w:t>
      </w:r>
    </w:p>
    <w:p w14:paraId="3F28A630" w14:textId="77777777" w:rsidR="00A069E1" w:rsidRPr="000A2EFF" w:rsidRDefault="00A069E1" w:rsidP="00A069E1"/>
    <w:p w14:paraId="157C5D07" w14:textId="77777777" w:rsidR="00A069E1" w:rsidRPr="000A2EFF" w:rsidRDefault="00A069E1" w:rsidP="00A069E1">
      <w:r w:rsidRPr="000A2EFF">
        <w:t xml:space="preserve">The </w:t>
      </w:r>
      <w:r w:rsidR="002B4810">
        <w:t xml:space="preserve">Amendment </w:t>
      </w:r>
      <w:r w:rsidRPr="000A2EFF">
        <w:t xml:space="preserve">Determination commences on the day after registration. </w:t>
      </w:r>
    </w:p>
    <w:p w14:paraId="5F0983FF" w14:textId="77777777" w:rsidR="00A069E1" w:rsidRPr="000A2EFF" w:rsidRDefault="00A069E1" w:rsidP="00A069E1"/>
    <w:p w14:paraId="0B19BF28" w14:textId="77777777" w:rsidR="00A069E1" w:rsidRPr="000A2EFF" w:rsidRDefault="00A069E1" w:rsidP="00A069E1">
      <w:pPr>
        <w:spacing w:after="200" w:line="276" w:lineRule="auto"/>
      </w:pPr>
      <w:r w:rsidRPr="000A2EFF">
        <w:t xml:space="preserve">The </w:t>
      </w:r>
      <w:r w:rsidR="002B4810">
        <w:t xml:space="preserve">Amendment </w:t>
      </w:r>
      <w:r w:rsidRPr="000A2EFF">
        <w:t xml:space="preserve">Determination is a legislative instrument for the purposes of the </w:t>
      </w:r>
      <w:r w:rsidRPr="000A2EFF">
        <w:rPr>
          <w:i/>
          <w:iCs/>
        </w:rPr>
        <w:t>Legislation Act 2003</w:t>
      </w:r>
      <w:r w:rsidRPr="000A2EFF">
        <w:t>.</w:t>
      </w:r>
    </w:p>
    <w:p w14:paraId="75C71C1F" w14:textId="4360E7E9" w:rsidR="00A069E1" w:rsidRPr="000A2EFF" w:rsidRDefault="00A069E1" w:rsidP="00A069E1">
      <w:pPr>
        <w:ind w:left="6663" w:hanging="3119"/>
      </w:pPr>
      <w:r w:rsidRPr="000A2EFF">
        <w:rPr>
          <w:u w:val="single"/>
        </w:rPr>
        <w:t>Authority</w:t>
      </w:r>
      <w:r w:rsidRPr="000A2EFF">
        <w:t xml:space="preserve">:     Subsection 9B of the </w:t>
      </w:r>
    </w:p>
    <w:p w14:paraId="728ED31C" w14:textId="77777777" w:rsidR="00A069E1" w:rsidRPr="000A2EFF" w:rsidRDefault="00A069E1" w:rsidP="00A069E1">
      <w:pPr>
        <w:tabs>
          <w:tab w:val="left" w:pos="4820"/>
        </w:tabs>
        <w:sectPr w:rsidR="00A069E1" w:rsidRPr="000A2EFF" w:rsidSect="002C0C90">
          <w:headerReference w:type="default" r:id="rId8"/>
          <w:pgSz w:w="11906" w:h="16838"/>
          <w:pgMar w:top="1440" w:right="1800" w:bottom="1440" w:left="1800" w:header="708" w:footer="708" w:gutter="0"/>
          <w:pgNumType w:start="1"/>
          <w:cols w:space="708"/>
          <w:docGrid w:linePitch="360"/>
        </w:sectPr>
      </w:pPr>
      <w:r w:rsidRPr="000A2EFF">
        <w:rPr>
          <w:i/>
        </w:rPr>
        <w:tab/>
        <w:t>National Health Act 1973</w:t>
      </w:r>
      <w:r w:rsidRPr="000A2EFF">
        <w:t xml:space="preserve"> </w:t>
      </w:r>
    </w:p>
    <w:p w14:paraId="6C45D121" w14:textId="77777777" w:rsidR="00A069E1" w:rsidRPr="000A2EFF" w:rsidRDefault="00A069E1" w:rsidP="00A069E1">
      <w:pPr>
        <w:jc w:val="right"/>
        <w:rPr>
          <w:b/>
        </w:rPr>
      </w:pPr>
    </w:p>
    <w:p w14:paraId="4D74D7D9" w14:textId="77777777" w:rsidR="00A069E1" w:rsidRPr="000A2EFF" w:rsidRDefault="00A069E1" w:rsidP="00A069E1">
      <w:pPr>
        <w:jc w:val="right"/>
        <w:rPr>
          <w:b/>
          <w:i/>
        </w:rPr>
      </w:pPr>
      <w:r w:rsidRPr="000A2EFF">
        <w:rPr>
          <w:b/>
        </w:rPr>
        <w:t>ATTACHMENTS</w:t>
      </w:r>
    </w:p>
    <w:p w14:paraId="16897939" w14:textId="77777777" w:rsidR="00A069E1" w:rsidRPr="000A2EFF" w:rsidRDefault="00A069E1" w:rsidP="00A069E1">
      <w:pPr>
        <w:jc w:val="both"/>
        <w:rPr>
          <w:b/>
        </w:rPr>
      </w:pPr>
    </w:p>
    <w:p w14:paraId="32FC4DEF" w14:textId="5C96C0B3" w:rsidR="00A069E1" w:rsidRPr="000A2EFF" w:rsidRDefault="00A069E1" w:rsidP="00D17DFB">
      <w:pPr>
        <w:jc w:val="both"/>
        <w:rPr>
          <w:b/>
          <w:i/>
        </w:rPr>
      </w:pPr>
      <w:r w:rsidRPr="000A2EFF">
        <w:rPr>
          <w:b/>
        </w:rPr>
        <w:t xml:space="preserve">DETAILS ON THE </w:t>
      </w:r>
      <w:r w:rsidRPr="000A2EFF">
        <w:rPr>
          <w:b/>
          <w:i/>
        </w:rPr>
        <w:t xml:space="preserve">NATIONAL HEALTH (IMMUNISATION PROGRAM – DESIGNATED VACCINES) </w:t>
      </w:r>
      <w:r w:rsidR="004C1163">
        <w:rPr>
          <w:b/>
          <w:i/>
        </w:rPr>
        <w:t>AMENDMENT</w:t>
      </w:r>
      <w:r w:rsidR="004C1163" w:rsidRPr="000A2EFF">
        <w:rPr>
          <w:b/>
          <w:i/>
        </w:rPr>
        <w:t xml:space="preserve"> </w:t>
      </w:r>
      <w:r w:rsidRPr="000A2EFF">
        <w:rPr>
          <w:b/>
          <w:i/>
        </w:rPr>
        <w:t xml:space="preserve">DETERMINATION (NO. </w:t>
      </w:r>
      <w:r w:rsidR="00697CCF">
        <w:rPr>
          <w:b/>
          <w:i/>
        </w:rPr>
        <w:t>1) 2019</w:t>
      </w:r>
      <w:r w:rsidRPr="000A2EFF">
        <w:rPr>
          <w:b/>
          <w:i/>
        </w:rPr>
        <w:t xml:space="preserve"> </w:t>
      </w:r>
    </w:p>
    <w:p w14:paraId="14469594" w14:textId="77777777" w:rsidR="00A069E1" w:rsidRPr="000A2EFF" w:rsidRDefault="00A069E1" w:rsidP="00A069E1">
      <w:pPr>
        <w:jc w:val="both"/>
        <w:rPr>
          <w:b/>
        </w:rPr>
      </w:pPr>
    </w:p>
    <w:p w14:paraId="72E51ABD" w14:textId="77777777" w:rsidR="00A069E1" w:rsidRPr="000A2EFF" w:rsidRDefault="00A069E1" w:rsidP="00A069E1">
      <w:pPr>
        <w:jc w:val="both"/>
        <w:rPr>
          <w:b/>
        </w:rPr>
      </w:pPr>
      <w:r w:rsidRPr="000A2EFF">
        <w:rPr>
          <w:b/>
        </w:rPr>
        <w:t>1. Name of Determination</w:t>
      </w:r>
    </w:p>
    <w:p w14:paraId="5A3FCBE8" w14:textId="32BC5DDB" w:rsidR="00A069E1" w:rsidRPr="000A2EFF" w:rsidRDefault="00A069E1" w:rsidP="00A069E1">
      <w:pPr>
        <w:rPr>
          <w:i/>
        </w:rPr>
      </w:pPr>
      <w:r w:rsidRPr="000A2EFF">
        <w:t xml:space="preserve">Section 1 provides that the </w:t>
      </w:r>
      <w:r w:rsidR="0043419D">
        <w:t>name</w:t>
      </w:r>
      <w:r w:rsidR="0043419D" w:rsidRPr="000A2EFF">
        <w:t xml:space="preserve"> </w:t>
      </w:r>
      <w:r w:rsidRPr="000A2EFF">
        <w:t xml:space="preserve">of the </w:t>
      </w:r>
      <w:r w:rsidR="0043419D">
        <w:t>instrument</w:t>
      </w:r>
      <w:r w:rsidR="0043419D" w:rsidRPr="000A2EFF">
        <w:t xml:space="preserve"> </w:t>
      </w:r>
      <w:r w:rsidRPr="000A2EFF">
        <w:t xml:space="preserve">is the </w:t>
      </w:r>
      <w:r w:rsidRPr="000A2EFF">
        <w:rPr>
          <w:i/>
        </w:rPr>
        <w:t xml:space="preserve">National Health (Immunisation Program – Designated Vaccines) </w:t>
      </w:r>
      <w:r w:rsidR="0043419D">
        <w:rPr>
          <w:i/>
        </w:rPr>
        <w:t>Amendment</w:t>
      </w:r>
      <w:r w:rsidR="0043419D" w:rsidRPr="000A2EFF">
        <w:rPr>
          <w:i/>
        </w:rPr>
        <w:t xml:space="preserve"> </w:t>
      </w:r>
      <w:r w:rsidRPr="000A2EFF">
        <w:rPr>
          <w:i/>
        </w:rPr>
        <w:t xml:space="preserve">Determination (No </w:t>
      </w:r>
      <w:r w:rsidR="00697CCF">
        <w:rPr>
          <w:i/>
        </w:rPr>
        <w:t>1</w:t>
      </w:r>
      <w:r w:rsidRPr="000A2EFF">
        <w:rPr>
          <w:i/>
        </w:rPr>
        <w:t>)</w:t>
      </w:r>
      <w:r>
        <w:rPr>
          <w:i/>
        </w:rPr>
        <w:t xml:space="preserve"> </w:t>
      </w:r>
      <w:r w:rsidR="00697CCF">
        <w:rPr>
          <w:i/>
        </w:rPr>
        <w:t>2019</w:t>
      </w:r>
      <w:r>
        <w:rPr>
          <w:i/>
        </w:rPr>
        <w:t xml:space="preserve"> </w:t>
      </w:r>
      <w:r>
        <w:t xml:space="preserve">(the </w:t>
      </w:r>
      <w:r w:rsidR="0043419D">
        <w:t xml:space="preserve">Amendment </w:t>
      </w:r>
      <w:r>
        <w:t>Determination)</w:t>
      </w:r>
      <w:r>
        <w:rPr>
          <w:i/>
        </w:rPr>
        <w:t>.</w:t>
      </w:r>
    </w:p>
    <w:p w14:paraId="5C7E57E0" w14:textId="77777777" w:rsidR="00A069E1" w:rsidRPr="000A2EFF" w:rsidRDefault="00A069E1" w:rsidP="00A069E1"/>
    <w:p w14:paraId="75FE08FC" w14:textId="77777777" w:rsidR="00A069E1" w:rsidRPr="000A2EFF" w:rsidRDefault="00A069E1" w:rsidP="00A069E1">
      <w:pPr>
        <w:rPr>
          <w:b/>
        </w:rPr>
      </w:pPr>
      <w:r w:rsidRPr="000A2EFF">
        <w:rPr>
          <w:b/>
        </w:rPr>
        <w:t>2. Commencement</w:t>
      </w:r>
    </w:p>
    <w:p w14:paraId="2DAB98DE" w14:textId="7F696303" w:rsidR="00A069E1" w:rsidRPr="000A2EFF" w:rsidRDefault="00A069E1" w:rsidP="00A069E1">
      <w:r w:rsidRPr="000A2EFF">
        <w:t xml:space="preserve">Section 2 provides that the </w:t>
      </w:r>
      <w:r w:rsidR="00CC7512">
        <w:t xml:space="preserve">Amendment </w:t>
      </w:r>
      <w:r w:rsidRPr="000A2EFF">
        <w:t>Determination commence</w:t>
      </w:r>
      <w:r>
        <w:t>s</w:t>
      </w:r>
      <w:r w:rsidRPr="000A2EFF">
        <w:t xml:space="preserve"> on the day after</w:t>
      </w:r>
      <w:r w:rsidR="00CC7512">
        <w:t xml:space="preserve"> its</w:t>
      </w:r>
      <w:r w:rsidRPr="000A2EFF">
        <w:t xml:space="preserve"> registration.</w:t>
      </w:r>
    </w:p>
    <w:p w14:paraId="2B145717" w14:textId="77777777" w:rsidR="00A069E1" w:rsidRPr="000A2EFF" w:rsidRDefault="00A069E1" w:rsidP="00A069E1"/>
    <w:p w14:paraId="465DCA0C" w14:textId="77777777" w:rsidR="00A069E1" w:rsidRPr="000A2EFF" w:rsidRDefault="00A069E1" w:rsidP="00A069E1">
      <w:pPr>
        <w:rPr>
          <w:b/>
        </w:rPr>
      </w:pPr>
      <w:r w:rsidRPr="000A2EFF">
        <w:rPr>
          <w:b/>
        </w:rPr>
        <w:t>3. Authority</w:t>
      </w:r>
    </w:p>
    <w:p w14:paraId="171D0D26" w14:textId="20DA487A" w:rsidR="00A069E1" w:rsidRPr="000A2EFF" w:rsidRDefault="00A069E1" w:rsidP="00A069E1">
      <w:pPr>
        <w:rPr>
          <w:b/>
        </w:rPr>
      </w:pPr>
      <w:r w:rsidRPr="000A2EFF">
        <w:rPr>
          <w:sz w:val="23"/>
          <w:szCs w:val="23"/>
        </w:rPr>
        <w:t xml:space="preserve">Section 3 provides that the </w:t>
      </w:r>
      <w:r w:rsidR="00CC7512">
        <w:rPr>
          <w:sz w:val="23"/>
          <w:szCs w:val="23"/>
        </w:rPr>
        <w:t xml:space="preserve">Amendment </w:t>
      </w:r>
      <w:r w:rsidRPr="000A2EFF">
        <w:rPr>
          <w:sz w:val="23"/>
          <w:szCs w:val="23"/>
        </w:rPr>
        <w:t xml:space="preserve">Determination is made under </w:t>
      </w:r>
      <w:r>
        <w:rPr>
          <w:sz w:val="23"/>
          <w:szCs w:val="23"/>
        </w:rPr>
        <w:t>s</w:t>
      </w:r>
      <w:r w:rsidRPr="000A2EFF">
        <w:rPr>
          <w:sz w:val="23"/>
          <w:szCs w:val="23"/>
        </w:rPr>
        <w:t xml:space="preserve">ubsection 9B of the </w:t>
      </w:r>
      <w:r w:rsidRPr="000A2EFF">
        <w:rPr>
          <w:i/>
          <w:iCs/>
          <w:sz w:val="23"/>
          <w:szCs w:val="23"/>
        </w:rPr>
        <w:t>National Health Act 1953</w:t>
      </w:r>
      <w:r w:rsidRPr="000A2EFF">
        <w:rPr>
          <w:sz w:val="23"/>
          <w:szCs w:val="23"/>
        </w:rPr>
        <w:t>.</w:t>
      </w:r>
    </w:p>
    <w:p w14:paraId="508E15AA" w14:textId="77777777" w:rsidR="00A069E1" w:rsidRPr="000A2EFF" w:rsidRDefault="00A069E1" w:rsidP="00A069E1">
      <w:pPr>
        <w:rPr>
          <w:b/>
        </w:rPr>
      </w:pPr>
    </w:p>
    <w:p w14:paraId="77DBE9FA" w14:textId="1DC83871" w:rsidR="00A069E1" w:rsidRDefault="00A069E1" w:rsidP="00BC6A5B">
      <w:pPr>
        <w:rPr>
          <w:b/>
        </w:rPr>
      </w:pPr>
      <w:r w:rsidRPr="000A2EFF">
        <w:rPr>
          <w:b/>
        </w:rPr>
        <w:t xml:space="preserve">4. </w:t>
      </w:r>
      <w:r w:rsidR="00BC6A5B">
        <w:rPr>
          <w:b/>
        </w:rPr>
        <w:t>Schedules</w:t>
      </w:r>
    </w:p>
    <w:p w14:paraId="4AAC0BD6" w14:textId="252A0638" w:rsidR="00BC6A5B" w:rsidRPr="00BC6A5B" w:rsidRDefault="00BC6A5B" w:rsidP="00BC6A5B">
      <w:r w:rsidRPr="00A4602F">
        <w:t>Section 4 provides</w:t>
      </w:r>
      <w:r>
        <w:t xml:space="preserve"> that the Amendment Determination amends </w:t>
      </w:r>
      <w:r w:rsidR="00573931">
        <w:t xml:space="preserve">the </w:t>
      </w:r>
      <w:r>
        <w:t>instrument specified in a schedule to the Amendment Determination</w:t>
      </w:r>
      <w:r w:rsidR="00573931">
        <w:t>, and any other item in a Schedule to the instrument has effect according to its terms</w:t>
      </w:r>
      <w:r>
        <w:t>.</w:t>
      </w:r>
    </w:p>
    <w:p w14:paraId="454EFFDC" w14:textId="77777777" w:rsidR="00A069E1" w:rsidRPr="000A2EFF" w:rsidRDefault="00A069E1" w:rsidP="00A069E1"/>
    <w:p w14:paraId="02BA8314" w14:textId="77777777" w:rsidR="00A069E1" w:rsidRDefault="00A069E1" w:rsidP="00A069E1">
      <w:pPr>
        <w:rPr>
          <w:b/>
        </w:rPr>
      </w:pPr>
      <w:r w:rsidRPr="000A2EFF">
        <w:rPr>
          <w:b/>
        </w:rPr>
        <w:t>Schedul</w:t>
      </w:r>
      <w:r w:rsidR="00232329">
        <w:rPr>
          <w:b/>
        </w:rPr>
        <w:t>e</w:t>
      </w:r>
      <w:r w:rsidR="00C12805">
        <w:rPr>
          <w:b/>
        </w:rPr>
        <w:t xml:space="preserve"> 1</w:t>
      </w:r>
      <w:r w:rsidRPr="000A2EFF">
        <w:rPr>
          <w:b/>
        </w:rPr>
        <w:tab/>
        <w:t xml:space="preserve"> Amendments</w:t>
      </w:r>
    </w:p>
    <w:p w14:paraId="484335CF" w14:textId="77777777" w:rsidR="00BC6A5B" w:rsidRPr="000A2EFF" w:rsidRDefault="00BC6A5B" w:rsidP="00BC6A5B">
      <w:r w:rsidRPr="000A2EFF">
        <w:t xml:space="preserve">Schedule 1 varies the </w:t>
      </w:r>
      <w:r w:rsidRPr="000A2EFF">
        <w:rPr>
          <w:i/>
        </w:rPr>
        <w:t>National Health (Immunisation Program – Designated Vaccines) Determination 2014 (No. 1)</w:t>
      </w:r>
      <w:r>
        <w:rPr>
          <w:i/>
        </w:rPr>
        <w:t xml:space="preserve"> </w:t>
      </w:r>
      <w:r>
        <w:t>(the Determination).</w:t>
      </w:r>
    </w:p>
    <w:p w14:paraId="55743219" w14:textId="77777777" w:rsidR="00BC6A5B" w:rsidRDefault="00BC6A5B" w:rsidP="00A069E1">
      <w:pPr>
        <w:rPr>
          <w:b/>
        </w:rPr>
      </w:pPr>
    </w:p>
    <w:p w14:paraId="65B2C923" w14:textId="77777777" w:rsidR="009E18ED" w:rsidRPr="000A2EFF" w:rsidRDefault="009E18ED" w:rsidP="00A069E1">
      <w:pPr>
        <w:rPr>
          <w:b/>
          <w:i/>
        </w:rPr>
      </w:pPr>
    </w:p>
    <w:p w14:paraId="16DB3EAD" w14:textId="77777777" w:rsidR="00280BA4" w:rsidRPr="006B714B" w:rsidRDefault="00DD6EF0" w:rsidP="00697CCF">
      <w:pPr>
        <w:rPr>
          <w:b/>
          <w:i/>
        </w:rPr>
      </w:pPr>
      <w:r w:rsidRPr="00A4602F">
        <w:rPr>
          <w:b/>
          <w:i/>
        </w:rPr>
        <w:t xml:space="preserve">Item </w:t>
      </w:r>
      <w:r w:rsidR="00E44EB7">
        <w:rPr>
          <w:b/>
          <w:i/>
        </w:rPr>
        <w:t xml:space="preserve">1 </w:t>
      </w:r>
    </w:p>
    <w:p w14:paraId="74002918" w14:textId="583D4A8A" w:rsidR="00701DCD" w:rsidRDefault="00280BA4" w:rsidP="00701DCD">
      <w:r w:rsidRPr="00A4602F">
        <w:t>Item</w:t>
      </w:r>
      <w:r w:rsidRPr="006B714B">
        <w:rPr>
          <w:b/>
        </w:rPr>
        <w:t xml:space="preserve"> </w:t>
      </w:r>
      <w:r w:rsidR="00E44EB7" w:rsidRPr="00A4602F">
        <w:t>1</w:t>
      </w:r>
      <w:r w:rsidRPr="00E44EB7">
        <w:t xml:space="preserve"> </w:t>
      </w:r>
      <w:r w:rsidRPr="00A4602F">
        <w:t>inserts</w:t>
      </w:r>
      <w:r w:rsidR="006B714B" w:rsidRPr="00A4602F">
        <w:rPr>
          <w:b/>
        </w:rPr>
        <w:t xml:space="preserve"> </w:t>
      </w:r>
      <w:r w:rsidR="006B714B" w:rsidRPr="00A4602F">
        <w:t xml:space="preserve">new subsection 7(7A) after existing subsection 7(7).  New subsection 7(7A) </w:t>
      </w:r>
      <w:r w:rsidR="009F1AF7">
        <w:t>specifies</w:t>
      </w:r>
      <w:r w:rsidR="006B714B" w:rsidRPr="00A4602F">
        <w:t xml:space="preserve"> the circumstances in which the designated vaccine mentioned in item 207A of Schedule 1 </w:t>
      </w:r>
      <w:r w:rsidR="006B714B">
        <w:t>(</w:t>
      </w:r>
      <w:proofErr w:type="spellStart"/>
      <w:r w:rsidR="006B714B">
        <w:rPr>
          <w:color w:val="000000"/>
          <w:szCs w:val="22"/>
        </w:rPr>
        <w:t>Fluarix</w:t>
      </w:r>
      <w:proofErr w:type="spellEnd"/>
      <w:r w:rsidR="006B714B">
        <w:rPr>
          <w:color w:val="000000"/>
          <w:szCs w:val="22"/>
        </w:rPr>
        <w:t xml:space="preserve"> Tetra</w:t>
      </w:r>
      <w:r w:rsidR="006B714B" w:rsidRPr="00E46FE9">
        <w:t>®</w:t>
      </w:r>
      <w:r w:rsidR="006B714B">
        <w:t xml:space="preserve">) </w:t>
      </w:r>
      <w:r w:rsidR="00477E4C" w:rsidRPr="00477E4C">
        <w:t>may be provided.</w:t>
      </w:r>
      <w:r w:rsidR="00701DCD">
        <w:t xml:space="preserve">  </w:t>
      </w:r>
      <w:r w:rsidR="0045318E">
        <w:t xml:space="preserve">Prior to </w:t>
      </w:r>
      <w:r w:rsidR="000F4BEC">
        <w:t>th</w:t>
      </w:r>
      <w:r w:rsidR="00701DCD">
        <w:t>is amendment</w:t>
      </w:r>
      <w:r w:rsidR="0045318E">
        <w:t xml:space="preserve">, the circumstances </w:t>
      </w:r>
      <w:r w:rsidR="0045318E" w:rsidRPr="009862F8">
        <w:t xml:space="preserve">in which the designated vaccine mentioned in item 207A of Schedule 1 </w:t>
      </w:r>
      <w:r w:rsidR="0045318E">
        <w:t>(</w:t>
      </w:r>
      <w:proofErr w:type="spellStart"/>
      <w:r w:rsidR="0045318E">
        <w:rPr>
          <w:color w:val="000000"/>
          <w:szCs w:val="22"/>
        </w:rPr>
        <w:t>Fluarix</w:t>
      </w:r>
      <w:proofErr w:type="spellEnd"/>
      <w:r w:rsidR="0045318E">
        <w:rPr>
          <w:color w:val="000000"/>
          <w:szCs w:val="22"/>
        </w:rPr>
        <w:t xml:space="preserve"> Tetra</w:t>
      </w:r>
      <w:r w:rsidR="0045318E" w:rsidRPr="00E46FE9">
        <w:t>®</w:t>
      </w:r>
      <w:r w:rsidR="0045318E">
        <w:t>) may be provided were specified under subsection 7(8).</w:t>
      </w:r>
    </w:p>
    <w:p w14:paraId="45356B0A" w14:textId="77777777" w:rsidR="00701DCD" w:rsidRDefault="00701DCD" w:rsidP="00701DCD"/>
    <w:p w14:paraId="2D583913" w14:textId="77777777" w:rsidR="00F67DC9" w:rsidRDefault="00DB2577" w:rsidP="00CE1D6B">
      <w:r>
        <w:t xml:space="preserve">Under subsection 7(8), as it applied to </w:t>
      </w:r>
      <w:r w:rsidRPr="009862F8">
        <w:t xml:space="preserve">item 207A of Schedule 1 </w:t>
      </w:r>
      <w:r>
        <w:t>(</w:t>
      </w:r>
      <w:proofErr w:type="spellStart"/>
      <w:r>
        <w:rPr>
          <w:color w:val="000000"/>
          <w:szCs w:val="22"/>
        </w:rPr>
        <w:t>Fluarix</w:t>
      </w:r>
      <w:proofErr w:type="spellEnd"/>
      <w:r>
        <w:rPr>
          <w:color w:val="000000"/>
          <w:szCs w:val="22"/>
        </w:rPr>
        <w:t xml:space="preserve"> Tetra</w:t>
      </w:r>
      <w:r w:rsidRPr="00E46FE9">
        <w:t>®</w:t>
      </w:r>
      <w:r>
        <w:t xml:space="preserve">) prior to the amendment, the circumstances at </w:t>
      </w:r>
      <w:r w:rsidR="00CE1D6B">
        <w:t xml:space="preserve">paragraphs (b),(c) and (d) </w:t>
      </w:r>
      <w:r>
        <w:t>applied to persons at least 3 years old.  Under new subsection 7(7A), the circumstances at</w:t>
      </w:r>
      <w:r w:rsidR="00CE1D6B">
        <w:t xml:space="preserve"> </w:t>
      </w:r>
      <w:r>
        <w:t>paragraphs (b)</w:t>
      </w:r>
      <w:proofErr w:type="gramStart"/>
      <w:r>
        <w:t>,(</w:t>
      </w:r>
      <w:proofErr w:type="gramEnd"/>
      <w:r>
        <w:t xml:space="preserve">c) and (d) </w:t>
      </w:r>
      <w:r w:rsidR="00CE1D6B">
        <w:t>apply to persons who are at least 6 months</w:t>
      </w:r>
      <w:r>
        <w:t xml:space="preserve"> old.</w:t>
      </w:r>
      <w:r w:rsidR="00CE1D6B">
        <w:t xml:space="preserve"> </w:t>
      </w:r>
      <w:r>
        <w:t xml:space="preserve"> </w:t>
      </w:r>
      <w:r w:rsidR="00CE1D6B">
        <w:t xml:space="preserve">In all other respects, the circumstances that apply to </w:t>
      </w:r>
      <w:r w:rsidR="00F67DC9" w:rsidRPr="009862F8">
        <w:t xml:space="preserve">item 207A of Schedule 1 </w:t>
      </w:r>
      <w:r w:rsidR="00F67DC9">
        <w:t>(</w:t>
      </w:r>
      <w:proofErr w:type="spellStart"/>
      <w:r w:rsidR="00F67DC9">
        <w:rPr>
          <w:color w:val="000000"/>
          <w:szCs w:val="22"/>
        </w:rPr>
        <w:t>Fluarix</w:t>
      </w:r>
      <w:proofErr w:type="spellEnd"/>
      <w:r w:rsidR="00F67DC9">
        <w:rPr>
          <w:color w:val="000000"/>
          <w:szCs w:val="22"/>
        </w:rPr>
        <w:t xml:space="preserve"> Tetra</w:t>
      </w:r>
      <w:r w:rsidR="00F67DC9" w:rsidRPr="00E46FE9">
        <w:t>®</w:t>
      </w:r>
      <w:r w:rsidR="00F67DC9">
        <w:t xml:space="preserve">) </w:t>
      </w:r>
      <w:r w:rsidR="00CE1D6B">
        <w:t xml:space="preserve">are </w:t>
      </w:r>
      <w:r>
        <w:t>unchanged by the amendment</w:t>
      </w:r>
      <w:r w:rsidR="00CE1D6B">
        <w:t>.</w:t>
      </w:r>
    </w:p>
    <w:p w14:paraId="2C924A99" w14:textId="2F7E77DF" w:rsidR="00F31211" w:rsidRPr="00E46FE9" w:rsidRDefault="00F31211" w:rsidP="00F67DC9"/>
    <w:p w14:paraId="03448802" w14:textId="77777777" w:rsidR="00BE7766" w:rsidRPr="006B714B" w:rsidRDefault="00C12805" w:rsidP="00A4602F">
      <w:pPr>
        <w:keepNext/>
        <w:rPr>
          <w:b/>
          <w:i/>
        </w:rPr>
      </w:pPr>
      <w:r>
        <w:rPr>
          <w:b/>
          <w:i/>
        </w:rPr>
        <w:t xml:space="preserve">Item </w:t>
      </w:r>
      <w:r w:rsidR="00E44EB7">
        <w:rPr>
          <w:b/>
          <w:i/>
        </w:rPr>
        <w:t>2</w:t>
      </w:r>
    </w:p>
    <w:p w14:paraId="77225F95" w14:textId="44D4C903" w:rsidR="00A069E1" w:rsidRDefault="00BE7766" w:rsidP="00BE7766">
      <w:r w:rsidRPr="00A4602F">
        <w:t xml:space="preserve">Item </w:t>
      </w:r>
      <w:r w:rsidR="00162E15">
        <w:t>2</w:t>
      </w:r>
      <w:r>
        <w:t xml:space="preserve"> amends existing subsection 7(8) so that subsection 7(8) no longer applies to </w:t>
      </w:r>
      <w:r w:rsidRPr="009862F8">
        <w:t xml:space="preserve">item 207A of Schedule 1 </w:t>
      </w:r>
      <w:r>
        <w:t>(</w:t>
      </w:r>
      <w:proofErr w:type="spellStart"/>
      <w:r>
        <w:rPr>
          <w:color w:val="000000"/>
          <w:szCs w:val="22"/>
        </w:rPr>
        <w:t>Fluarix</w:t>
      </w:r>
      <w:proofErr w:type="spellEnd"/>
      <w:r>
        <w:rPr>
          <w:color w:val="000000"/>
          <w:szCs w:val="22"/>
        </w:rPr>
        <w:t xml:space="preserve"> Tetra</w:t>
      </w:r>
      <w:r w:rsidRPr="00E46FE9">
        <w:t>®</w:t>
      </w:r>
      <w:r>
        <w:t xml:space="preserve">).  The circumstances in which </w:t>
      </w:r>
      <w:r w:rsidRPr="009862F8">
        <w:t xml:space="preserve">item 207A of Schedule 1 </w:t>
      </w:r>
      <w:r>
        <w:t>(</w:t>
      </w:r>
      <w:proofErr w:type="spellStart"/>
      <w:r>
        <w:rPr>
          <w:color w:val="000000"/>
          <w:szCs w:val="22"/>
        </w:rPr>
        <w:t>Fluarix</w:t>
      </w:r>
      <w:proofErr w:type="spellEnd"/>
      <w:r>
        <w:rPr>
          <w:color w:val="000000"/>
          <w:szCs w:val="22"/>
        </w:rPr>
        <w:t xml:space="preserve"> Tetra</w:t>
      </w:r>
      <w:r w:rsidRPr="00E46FE9">
        <w:t>®</w:t>
      </w:r>
      <w:r>
        <w:t xml:space="preserve">) may be provided are now </w:t>
      </w:r>
      <w:r w:rsidR="009F1AF7">
        <w:t>specified</w:t>
      </w:r>
      <w:r>
        <w:t xml:space="preserve"> by new subsection 7(7A).</w:t>
      </w:r>
    </w:p>
    <w:p w14:paraId="7CB9D36F" w14:textId="77777777" w:rsidR="009F1AF7" w:rsidRDefault="009F1AF7" w:rsidP="00BE7766"/>
    <w:p w14:paraId="7FF14746" w14:textId="77777777" w:rsidR="009F1AF7" w:rsidRDefault="009F1AF7" w:rsidP="00A4602F">
      <w:pPr>
        <w:keepNext/>
        <w:rPr>
          <w:b/>
        </w:rPr>
      </w:pPr>
      <w:r w:rsidRPr="00A4602F">
        <w:rPr>
          <w:b/>
          <w:i/>
        </w:rPr>
        <w:t xml:space="preserve">Item </w:t>
      </w:r>
      <w:r w:rsidR="00E44EB7">
        <w:rPr>
          <w:b/>
          <w:i/>
        </w:rPr>
        <w:t xml:space="preserve">3 </w:t>
      </w:r>
    </w:p>
    <w:p w14:paraId="664855AB" w14:textId="77777777" w:rsidR="009F1AF7" w:rsidRDefault="00C12805" w:rsidP="00477E4C">
      <w:r>
        <w:t xml:space="preserve">Item </w:t>
      </w:r>
      <w:r w:rsidR="00E44EB7">
        <w:t xml:space="preserve">3 </w:t>
      </w:r>
      <w:r w:rsidR="009F1AF7">
        <w:t xml:space="preserve">amends </w:t>
      </w:r>
      <w:r w:rsidR="009F1AF7" w:rsidRPr="009F1AF7">
        <w:t>Part 2 of Schedule 1 (table item 207A, column headed “Vaccine and the circumstances in which vaccine may be provided”)</w:t>
      </w:r>
      <w:r w:rsidR="009F1AF7">
        <w:t xml:space="preserve"> to </w:t>
      </w:r>
      <w:r w:rsidR="00480857">
        <w:t>omit the reference to subsection 7(8) and substitute a reference to subsection 7(7A).  T</w:t>
      </w:r>
      <w:r w:rsidR="009F1AF7">
        <w:t xml:space="preserve">he circumstances in which </w:t>
      </w:r>
      <w:r w:rsidR="00477E4C">
        <w:t xml:space="preserve">item 207A </w:t>
      </w:r>
      <w:r w:rsidR="00477E4C" w:rsidRPr="009862F8">
        <w:t xml:space="preserve">of Schedule 1 </w:t>
      </w:r>
      <w:r w:rsidR="00477E4C">
        <w:t>(</w:t>
      </w:r>
      <w:proofErr w:type="spellStart"/>
      <w:r w:rsidR="00477E4C">
        <w:rPr>
          <w:color w:val="000000"/>
          <w:szCs w:val="22"/>
        </w:rPr>
        <w:t>Fluarix</w:t>
      </w:r>
      <w:proofErr w:type="spellEnd"/>
      <w:r w:rsidR="00477E4C">
        <w:rPr>
          <w:color w:val="000000"/>
          <w:szCs w:val="22"/>
        </w:rPr>
        <w:t xml:space="preserve"> Tetra</w:t>
      </w:r>
      <w:r w:rsidR="00477E4C" w:rsidRPr="00E46FE9">
        <w:t>®</w:t>
      </w:r>
      <w:r w:rsidR="00477E4C">
        <w:t xml:space="preserve">) may be provided are now specified by new subsection 7(7A).  </w:t>
      </w:r>
      <w:r w:rsidR="00480857">
        <w:t xml:space="preserve">Subsection 7(8) no longer applies to item 207A of </w:t>
      </w:r>
      <w:r w:rsidR="00477E4C" w:rsidRPr="009862F8">
        <w:t xml:space="preserve">Schedule 1 </w:t>
      </w:r>
      <w:r w:rsidR="00477E4C">
        <w:t>(</w:t>
      </w:r>
      <w:proofErr w:type="spellStart"/>
      <w:r w:rsidR="00477E4C">
        <w:rPr>
          <w:color w:val="000000"/>
          <w:szCs w:val="22"/>
        </w:rPr>
        <w:t>Fluarix</w:t>
      </w:r>
      <w:proofErr w:type="spellEnd"/>
      <w:r w:rsidR="00477E4C">
        <w:rPr>
          <w:color w:val="000000"/>
          <w:szCs w:val="22"/>
        </w:rPr>
        <w:t xml:space="preserve"> Tetra</w:t>
      </w:r>
      <w:r w:rsidR="00477E4C" w:rsidRPr="00E46FE9">
        <w:t>®</w:t>
      </w:r>
      <w:r w:rsidR="00477E4C">
        <w:t>).</w:t>
      </w:r>
    </w:p>
    <w:p w14:paraId="000B6A1A" w14:textId="77777777" w:rsidR="004F0CB1" w:rsidRDefault="004F0CB1" w:rsidP="00BE7766"/>
    <w:p w14:paraId="50F206EA" w14:textId="77777777" w:rsidR="004F0CB1" w:rsidRDefault="004F0CB1" w:rsidP="00BE7766">
      <w:r w:rsidRPr="00A4602F">
        <w:rPr>
          <w:b/>
          <w:i/>
        </w:rPr>
        <w:lastRenderedPageBreak/>
        <w:t xml:space="preserve">Item </w:t>
      </w:r>
      <w:r w:rsidR="00E44EB7">
        <w:rPr>
          <w:b/>
          <w:i/>
        </w:rPr>
        <w:t xml:space="preserve">4 </w:t>
      </w:r>
    </w:p>
    <w:p w14:paraId="700023EF" w14:textId="77777777" w:rsidR="004F0CB1" w:rsidRPr="00A4602F" w:rsidRDefault="00C12805" w:rsidP="00246B5C">
      <w:pPr>
        <w:rPr>
          <w:b/>
        </w:rPr>
      </w:pPr>
      <w:r>
        <w:t xml:space="preserve">Item </w:t>
      </w:r>
      <w:r w:rsidR="00E44EB7">
        <w:t xml:space="preserve">4 </w:t>
      </w:r>
      <w:r w:rsidR="00EC477D">
        <w:t xml:space="preserve">amends </w:t>
      </w:r>
      <w:r w:rsidR="00EC477D" w:rsidRPr="00EC477D">
        <w:t>Part 2 of Schedule 1 (table item 207A, column headed “Number and timing of doses”)</w:t>
      </w:r>
      <w:r w:rsidR="004F0CB1" w:rsidRPr="00A4602F">
        <w:rPr>
          <w:b/>
          <w:i/>
        </w:rPr>
        <w:t xml:space="preserve"> </w:t>
      </w:r>
      <w:r w:rsidR="00C652A8" w:rsidRPr="00A4602F">
        <w:t>so that the</w:t>
      </w:r>
      <w:r w:rsidR="00C652A8">
        <w:rPr>
          <w:b/>
          <w:i/>
        </w:rPr>
        <w:t xml:space="preserve"> </w:t>
      </w:r>
      <w:r w:rsidR="00EC477D" w:rsidRPr="00A4602F">
        <w:t xml:space="preserve">number and timing of doses </w:t>
      </w:r>
      <w:r w:rsidR="00C652A8">
        <w:t>that applied to “children 3 years and older but less than 9 years”, prior to the amendment, now applies to “</w:t>
      </w:r>
      <w:r w:rsidR="00EC477D">
        <w:t xml:space="preserve">children </w:t>
      </w:r>
      <w:r w:rsidR="00FC3C42">
        <w:rPr>
          <w:color w:val="000000"/>
          <w:szCs w:val="22"/>
        </w:rPr>
        <w:t xml:space="preserve">6 months </w:t>
      </w:r>
      <w:r w:rsidR="00C652A8">
        <w:rPr>
          <w:color w:val="000000"/>
          <w:szCs w:val="22"/>
        </w:rPr>
        <w:t>and older but less than 9 years”</w:t>
      </w:r>
      <w:r w:rsidR="00FC3C42">
        <w:rPr>
          <w:color w:val="000000"/>
          <w:szCs w:val="22"/>
        </w:rPr>
        <w:t xml:space="preserve">.  </w:t>
      </w:r>
      <w:r w:rsidR="00C652A8">
        <w:rPr>
          <w:color w:val="000000"/>
          <w:szCs w:val="22"/>
        </w:rPr>
        <w:t>This change is required for consistency with new subsection 7(7A), which is inserted by item 3.</w:t>
      </w:r>
    </w:p>
    <w:p w14:paraId="506F8900" w14:textId="77777777" w:rsidR="00A069E1" w:rsidRPr="000A2EFF" w:rsidRDefault="00A069E1" w:rsidP="00A069E1">
      <w:pPr>
        <w:spacing w:after="200" w:line="276" w:lineRule="auto"/>
        <w:rPr>
          <w:b/>
          <w:sz w:val="28"/>
          <w:szCs w:val="28"/>
        </w:rPr>
      </w:pPr>
      <w:r w:rsidRPr="000A2EFF">
        <w:rPr>
          <w:b/>
          <w:sz w:val="28"/>
          <w:szCs w:val="28"/>
        </w:rPr>
        <w:br w:type="page"/>
      </w:r>
    </w:p>
    <w:p w14:paraId="61E7A488" w14:textId="77777777" w:rsidR="00A069E1" w:rsidRPr="000A2EFF" w:rsidRDefault="00A069E1" w:rsidP="00A069E1">
      <w:pPr>
        <w:spacing w:after="200" w:line="276" w:lineRule="auto"/>
        <w:jc w:val="center"/>
        <w:rPr>
          <w:b/>
          <w:sz w:val="28"/>
          <w:szCs w:val="28"/>
        </w:rPr>
      </w:pPr>
      <w:r w:rsidRPr="000A2EFF">
        <w:rPr>
          <w:b/>
          <w:sz w:val="28"/>
          <w:szCs w:val="28"/>
        </w:rPr>
        <w:lastRenderedPageBreak/>
        <w:t>Statement of Compatibility with Human Rights</w:t>
      </w:r>
    </w:p>
    <w:p w14:paraId="0E9FE5F4" w14:textId="77777777" w:rsidR="00A069E1" w:rsidRPr="000A2EFF" w:rsidRDefault="00A069E1" w:rsidP="00A069E1">
      <w:pPr>
        <w:keepNext/>
        <w:keepLines/>
        <w:jc w:val="center"/>
        <w:rPr>
          <w:i/>
        </w:rPr>
      </w:pPr>
      <w:r w:rsidRPr="000A2EFF">
        <w:rPr>
          <w:i/>
        </w:rPr>
        <w:t>Prepared in accordance with Part 3 of the Human Rights (Parliamentary Scrutiny) Act 2011</w:t>
      </w:r>
    </w:p>
    <w:p w14:paraId="27456E60" w14:textId="77777777" w:rsidR="00A069E1" w:rsidRPr="000A2EFF" w:rsidRDefault="00A069E1" w:rsidP="00A069E1">
      <w:pPr>
        <w:keepNext/>
        <w:keepLines/>
        <w:ind w:right="45"/>
        <w:jc w:val="center"/>
        <w:rPr>
          <w:b/>
          <w:iCs/>
        </w:rPr>
      </w:pPr>
    </w:p>
    <w:p w14:paraId="2DA81D36" w14:textId="25424787" w:rsidR="00A069E1" w:rsidRPr="000A2EFF" w:rsidRDefault="00A069E1" w:rsidP="00A069E1">
      <w:pPr>
        <w:jc w:val="center"/>
        <w:rPr>
          <w:b/>
          <w:bCs/>
          <w:i/>
        </w:rPr>
      </w:pPr>
      <w:r w:rsidRPr="000A2EFF">
        <w:rPr>
          <w:b/>
          <w:bCs/>
          <w:i/>
        </w:rPr>
        <w:t xml:space="preserve">National Health (Immunisation Program – Designated Vaccines) </w:t>
      </w:r>
      <w:r w:rsidR="004A601C">
        <w:rPr>
          <w:b/>
          <w:bCs/>
          <w:i/>
        </w:rPr>
        <w:t>Amendment</w:t>
      </w:r>
      <w:r w:rsidRPr="000A2EFF">
        <w:rPr>
          <w:b/>
          <w:bCs/>
          <w:i/>
        </w:rPr>
        <w:br/>
        <w:t>Determination (No.</w:t>
      </w:r>
      <w:r w:rsidR="00D53335">
        <w:rPr>
          <w:b/>
          <w:bCs/>
          <w:i/>
        </w:rPr>
        <w:t>1</w:t>
      </w:r>
      <w:r w:rsidRPr="000A2EFF">
        <w:rPr>
          <w:b/>
          <w:bCs/>
          <w:i/>
        </w:rPr>
        <w:t>) 201</w:t>
      </w:r>
      <w:r w:rsidR="00D53335">
        <w:rPr>
          <w:b/>
          <w:bCs/>
          <w:i/>
        </w:rPr>
        <w:t>9</w:t>
      </w:r>
      <w:r w:rsidRPr="000A2EFF">
        <w:rPr>
          <w:b/>
          <w:bCs/>
          <w:i/>
        </w:rPr>
        <w:t xml:space="preserve"> </w:t>
      </w:r>
    </w:p>
    <w:p w14:paraId="25756D45" w14:textId="77777777" w:rsidR="00A069E1" w:rsidRPr="000A2EFF" w:rsidRDefault="00A069E1" w:rsidP="00A069E1">
      <w:pPr>
        <w:keepNext/>
        <w:keepLines/>
        <w:ind w:right="45"/>
        <w:jc w:val="center"/>
        <w:rPr>
          <w:b/>
          <w:iCs/>
        </w:rPr>
      </w:pPr>
    </w:p>
    <w:p w14:paraId="24EDC2F0" w14:textId="77777777" w:rsidR="00A069E1" w:rsidRPr="000A2EFF" w:rsidRDefault="00A069E1" w:rsidP="00A069E1">
      <w:pPr>
        <w:keepNext/>
        <w:keepLines/>
        <w:ind w:right="91"/>
      </w:pPr>
      <w:r w:rsidRPr="000A2EFF">
        <w:t xml:space="preserve">This Legislative Instrument is compatible with the human rights and freedoms recognised or declared in the international instruments listed in section 3 of the </w:t>
      </w:r>
      <w:r w:rsidRPr="000A2EFF">
        <w:rPr>
          <w:i/>
        </w:rPr>
        <w:t>Human Rights (Parliamentary Scrutiny) Act 2011</w:t>
      </w:r>
      <w:r w:rsidRPr="000A2EFF">
        <w:t>.</w:t>
      </w:r>
    </w:p>
    <w:p w14:paraId="505C46FB" w14:textId="77777777" w:rsidR="00A069E1" w:rsidRPr="000A2EFF" w:rsidRDefault="00A069E1" w:rsidP="00A069E1">
      <w:pPr>
        <w:keepNext/>
        <w:keepLines/>
        <w:ind w:right="91"/>
        <w:rPr>
          <w:b/>
        </w:rPr>
      </w:pPr>
    </w:p>
    <w:p w14:paraId="7F1BE432" w14:textId="77777777" w:rsidR="00A069E1" w:rsidRPr="000A2EFF" w:rsidRDefault="00A069E1" w:rsidP="00A069E1">
      <w:pPr>
        <w:keepNext/>
        <w:keepLines/>
        <w:spacing w:after="120"/>
        <w:ind w:right="91"/>
      </w:pPr>
      <w:r w:rsidRPr="000A2EFF">
        <w:rPr>
          <w:b/>
        </w:rPr>
        <w:t>Overview of the Legislative Instrument</w:t>
      </w:r>
    </w:p>
    <w:p w14:paraId="6C0E4A46" w14:textId="0DFE73E5" w:rsidR="00A069E1" w:rsidRDefault="00A069E1" w:rsidP="00A069E1">
      <w:pPr>
        <w:keepNext/>
        <w:keepLines/>
        <w:spacing w:after="120"/>
        <w:ind w:right="-136"/>
      </w:pPr>
      <w:r w:rsidRPr="000A2EFF">
        <w:t xml:space="preserve">The </w:t>
      </w:r>
      <w:r w:rsidRPr="000A2EFF">
        <w:rPr>
          <w:i/>
        </w:rPr>
        <w:t xml:space="preserve">National Health (Immunisation Program – Designated Vaccines) </w:t>
      </w:r>
      <w:r w:rsidR="00D17DFB">
        <w:rPr>
          <w:i/>
        </w:rPr>
        <w:t>Amendment</w:t>
      </w:r>
      <w:r w:rsidR="00D17DFB" w:rsidRPr="000A2EFF">
        <w:rPr>
          <w:i/>
        </w:rPr>
        <w:t xml:space="preserve"> </w:t>
      </w:r>
      <w:r w:rsidRPr="000A2EFF">
        <w:rPr>
          <w:i/>
        </w:rPr>
        <w:t xml:space="preserve">Determination (No. </w:t>
      </w:r>
      <w:r w:rsidR="00697CCF">
        <w:rPr>
          <w:i/>
        </w:rPr>
        <w:t>1) 2019</w:t>
      </w:r>
      <w:r w:rsidRPr="000A2EFF">
        <w:rPr>
          <w:i/>
        </w:rPr>
        <w:t xml:space="preserve"> </w:t>
      </w:r>
      <w:r w:rsidRPr="000A2EFF">
        <w:t xml:space="preserve">(the </w:t>
      </w:r>
      <w:r w:rsidR="00D17DFB">
        <w:t xml:space="preserve">Amendment </w:t>
      </w:r>
      <w:r w:rsidRPr="000A2EFF">
        <w:t xml:space="preserve">Determination) varies the </w:t>
      </w:r>
      <w:r w:rsidRPr="000A2EFF">
        <w:rPr>
          <w:bCs/>
          <w:i/>
        </w:rPr>
        <w:t>National Health (Immunisation Program – Designated Vaccines) Determination 2014 (No.1</w:t>
      </w:r>
      <w:r w:rsidRPr="000A2EFF">
        <w:t>) (the Determination), which determines</w:t>
      </w:r>
      <w:r w:rsidR="00414964">
        <w:t>, under</w:t>
      </w:r>
      <w:r w:rsidRPr="000A2EFF">
        <w:t xml:space="preserve"> </w:t>
      </w:r>
      <w:r w:rsidR="00414964" w:rsidRPr="000A2EFF">
        <w:t xml:space="preserve">subsection </w:t>
      </w:r>
      <w:proofErr w:type="gramStart"/>
      <w:r w:rsidR="00414964" w:rsidRPr="000A2EFF">
        <w:t>9B(</w:t>
      </w:r>
      <w:proofErr w:type="gramEnd"/>
      <w:r w:rsidR="00414964" w:rsidRPr="000A2EFF">
        <w:t>2) of the</w:t>
      </w:r>
      <w:r w:rsidR="00414964" w:rsidRPr="000A2EFF">
        <w:rPr>
          <w:i/>
        </w:rPr>
        <w:t xml:space="preserve"> National Health Act 1953</w:t>
      </w:r>
      <w:r w:rsidR="00414964" w:rsidRPr="000A2EFF">
        <w:t xml:space="preserve"> (the Act)</w:t>
      </w:r>
      <w:r w:rsidR="00414964">
        <w:t xml:space="preserve">, </w:t>
      </w:r>
      <w:r w:rsidRPr="000A2EFF">
        <w:t xml:space="preserve">that a specified vaccine </w:t>
      </w:r>
      <w:r w:rsidR="009C2528">
        <w:t xml:space="preserve">in the instrument </w:t>
      </w:r>
      <w:r w:rsidRPr="000A2EFF">
        <w:t>is a designated vaccine for the purposes of the Act</w:t>
      </w:r>
      <w:r w:rsidR="006F1CC2">
        <w:t>.</w:t>
      </w:r>
    </w:p>
    <w:p w14:paraId="7B443FDC" w14:textId="2CFBC47C" w:rsidR="00DD6EF0" w:rsidRPr="00E46FE9" w:rsidRDefault="00DD6EF0" w:rsidP="0001299F">
      <w:pPr>
        <w:spacing w:before="120" w:after="120"/>
        <w:ind w:right="-341"/>
      </w:pPr>
      <w:r w:rsidRPr="00E46FE9">
        <w:t xml:space="preserve">The </w:t>
      </w:r>
      <w:r w:rsidR="004C7E48">
        <w:t>Amendment</w:t>
      </w:r>
      <w:r w:rsidR="004C7E48" w:rsidRPr="00E46FE9">
        <w:t xml:space="preserve"> </w:t>
      </w:r>
      <w:r w:rsidRPr="00E46FE9">
        <w:t xml:space="preserve">Determination </w:t>
      </w:r>
      <w:r w:rsidR="004C7E48">
        <w:t xml:space="preserve">expands </w:t>
      </w:r>
      <w:r w:rsidRPr="00E46FE9">
        <w:t xml:space="preserve">the </w:t>
      </w:r>
      <w:r w:rsidR="004C7E48">
        <w:t xml:space="preserve">circumstances in which </w:t>
      </w:r>
      <w:proofErr w:type="spellStart"/>
      <w:r w:rsidR="00697CCF">
        <w:t>Fluarix</w:t>
      </w:r>
      <w:proofErr w:type="spellEnd"/>
      <w:r w:rsidR="00697CCF">
        <w:t xml:space="preserve"> Tetra</w:t>
      </w:r>
      <w:r w:rsidR="00371484" w:rsidRPr="00E46FE9">
        <w:t>®</w:t>
      </w:r>
      <w:r w:rsidRPr="00E46FE9">
        <w:t xml:space="preserve"> </w:t>
      </w:r>
      <w:r w:rsidR="00CB2C24">
        <w:t xml:space="preserve">(a designated vaccine already </w:t>
      </w:r>
      <w:r w:rsidR="00CB2C24" w:rsidRPr="00E46FE9">
        <w:t>listed in Item 207</w:t>
      </w:r>
      <w:r w:rsidR="00CB2C24">
        <w:t>A</w:t>
      </w:r>
      <w:r w:rsidR="00CB2C24" w:rsidRPr="00E46FE9">
        <w:t xml:space="preserve"> of Schedule 1 of the Determination</w:t>
      </w:r>
      <w:r w:rsidR="00CB2C24">
        <w:t xml:space="preserve">) </w:t>
      </w:r>
      <w:r w:rsidR="004C7E48">
        <w:t>can be provided</w:t>
      </w:r>
      <w:r w:rsidR="0001299F">
        <w:t xml:space="preserve">, </w:t>
      </w:r>
      <w:r w:rsidRPr="00E46FE9">
        <w:t xml:space="preserve">to </w:t>
      </w:r>
      <w:r w:rsidR="0001299F">
        <w:t xml:space="preserve">include </w:t>
      </w:r>
      <w:r w:rsidRPr="00E46FE9">
        <w:t xml:space="preserve">persons aged </w:t>
      </w:r>
      <w:r w:rsidR="00697CCF">
        <w:t>6 months and over</w:t>
      </w:r>
      <w:r w:rsidR="00CB2C24">
        <w:t xml:space="preserve"> who meet the </w:t>
      </w:r>
      <w:r w:rsidR="0001299F">
        <w:t>specified circumstances</w:t>
      </w:r>
      <w:r w:rsidR="00697CCF">
        <w:t>.</w:t>
      </w:r>
      <w:r w:rsidR="0001299F">
        <w:t xml:space="preserve">  Prior to the amendment, </w:t>
      </w:r>
      <w:proofErr w:type="spellStart"/>
      <w:r w:rsidR="0001299F">
        <w:t>Fluarix</w:t>
      </w:r>
      <w:proofErr w:type="spellEnd"/>
      <w:r w:rsidR="0001299F">
        <w:t xml:space="preserve"> Tetra</w:t>
      </w:r>
      <w:r w:rsidR="0001299F" w:rsidRPr="00E46FE9">
        <w:t>®</w:t>
      </w:r>
      <w:r w:rsidR="0001299F">
        <w:t xml:space="preserve"> could only be provided to persons aged 3 years and over who met the specified circumstances.  In all other respects, the circumstances in which </w:t>
      </w:r>
      <w:proofErr w:type="spellStart"/>
      <w:r w:rsidR="0001299F">
        <w:t>Fluarix</w:t>
      </w:r>
      <w:proofErr w:type="spellEnd"/>
      <w:r w:rsidR="0001299F">
        <w:t xml:space="preserve"> Tetra</w:t>
      </w:r>
      <w:r w:rsidR="0001299F" w:rsidRPr="00E46FE9">
        <w:t>®</w:t>
      </w:r>
      <w:r w:rsidR="0001299F">
        <w:t xml:space="preserve"> can be provided are unchanged by the amendment.</w:t>
      </w:r>
    </w:p>
    <w:p w14:paraId="0452D270" w14:textId="77777777" w:rsidR="00A069E1" w:rsidRPr="000A2EFF" w:rsidRDefault="00A069E1" w:rsidP="00A069E1">
      <w:pPr>
        <w:keepNext/>
        <w:keepLines/>
        <w:spacing w:after="120"/>
        <w:jc w:val="both"/>
        <w:rPr>
          <w:b/>
        </w:rPr>
      </w:pPr>
      <w:r w:rsidRPr="000A2EFF">
        <w:rPr>
          <w:b/>
        </w:rPr>
        <w:t>Human Rights Implications</w:t>
      </w:r>
    </w:p>
    <w:p w14:paraId="785FBB5F" w14:textId="51AD9E64" w:rsidR="00A069E1" w:rsidRPr="000A2EFF" w:rsidRDefault="00A069E1" w:rsidP="00A069E1">
      <w:pPr>
        <w:spacing w:before="120" w:after="120"/>
      </w:pPr>
      <w:r w:rsidRPr="000A2EFF">
        <w:t xml:space="preserve">This </w:t>
      </w:r>
      <w:r w:rsidR="00136E7B">
        <w:t>Amendment</w:t>
      </w:r>
      <w:r w:rsidR="00136E7B" w:rsidRPr="000A2EFF">
        <w:t xml:space="preserve"> </w:t>
      </w:r>
      <w:r w:rsidRPr="000A2EFF">
        <w:t>Determination engages the right to health as set out in Article</w:t>
      </w:r>
      <w:r>
        <w:t xml:space="preserve"> 2 and</w:t>
      </w:r>
      <w:r w:rsidRPr="000A2EFF">
        <w:t xml:space="preserve"> 12 of the International Covenant on Economic, Social and Cultural Rights by assisting with the progressive realisation by all appropriate means of the right of everyone to the enjoyment of the highest attainable standard of physical and mental health.</w:t>
      </w:r>
    </w:p>
    <w:p w14:paraId="0BA41D8E" w14:textId="246620F7" w:rsidR="00A069E1" w:rsidRPr="000A2EFF" w:rsidRDefault="00A069E1" w:rsidP="00A069E1">
      <w:pPr>
        <w:spacing w:after="240"/>
        <w:ind w:right="-136"/>
      </w:pPr>
      <w:r w:rsidRPr="000A2EFF">
        <w:t xml:space="preserve">The </w:t>
      </w:r>
      <w:r w:rsidR="00136E7B">
        <w:t>Amendment</w:t>
      </w:r>
      <w:r w:rsidR="00136E7B" w:rsidRPr="000A2EFF">
        <w:t xml:space="preserve"> </w:t>
      </w:r>
      <w:r w:rsidRPr="000A2EFF">
        <w:t xml:space="preserve">Determination </w:t>
      </w:r>
      <w:r w:rsidR="009C2528">
        <w:t xml:space="preserve">maintains compliance with the right to health </w:t>
      </w:r>
      <w:r w:rsidRPr="000A2EFF">
        <w:t xml:space="preserve">by </w:t>
      </w:r>
      <w:r w:rsidR="009C2528">
        <w:t xml:space="preserve">continuing to </w:t>
      </w:r>
      <w:r w:rsidRPr="000A2EFF">
        <w:t>provid</w:t>
      </w:r>
      <w:r w:rsidR="009C2528">
        <w:t>e</w:t>
      </w:r>
      <w:r w:rsidRPr="000A2EFF">
        <w:t xml:space="preserve"> free access for eligible people to designated vaccines.  </w:t>
      </w:r>
      <w:r w:rsidR="009C2528">
        <w:t xml:space="preserve">The Amendment Determination continues to support the attainment of </w:t>
      </w:r>
      <w:r w:rsidRPr="000A2EFF">
        <w:t xml:space="preserve">the highest standard of health for all Australians, by protecting individuals and the community against vaccine preventable disease.  </w:t>
      </w:r>
    </w:p>
    <w:p w14:paraId="320E95BF" w14:textId="77777777" w:rsidR="00A069E1" w:rsidRPr="000A2EFF" w:rsidRDefault="00A069E1" w:rsidP="00A069E1">
      <w:pPr>
        <w:keepNext/>
        <w:keepLines/>
        <w:spacing w:after="120"/>
        <w:jc w:val="both"/>
        <w:rPr>
          <w:b/>
        </w:rPr>
      </w:pPr>
      <w:r w:rsidRPr="000A2EFF">
        <w:rPr>
          <w:b/>
        </w:rPr>
        <w:t>Conclusion</w:t>
      </w:r>
    </w:p>
    <w:p w14:paraId="74938CF6" w14:textId="57460FA4" w:rsidR="00A069E1" w:rsidRPr="000A2EFF" w:rsidRDefault="00A069E1" w:rsidP="00A069E1">
      <w:pPr>
        <w:keepNext/>
        <w:keepLines/>
        <w:spacing w:after="240"/>
        <w:ind w:right="-136"/>
      </w:pPr>
      <w:r w:rsidRPr="000A2EFF">
        <w:t xml:space="preserve">The </w:t>
      </w:r>
      <w:r w:rsidR="00136E7B">
        <w:t>Amendment</w:t>
      </w:r>
      <w:r w:rsidR="00136E7B" w:rsidRPr="000A2EFF">
        <w:t xml:space="preserve"> </w:t>
      </w:r>
      <w:r w:rsidRPr="000A2EFF">
        <w:t xml:space="preserve">Determination is compatible with human rights as it </w:t>
      </w:r>
      <w:r w:rsidR="009C2528">
        <w:t xml:space="preserve">continues to </w:t>
      </w:r>
      <w:r w:rsidRPr="000A2EFF">
        <w:t>promote the right to health.</w:t>
      </w:r>
    </w:p>
    <w:p w14:paraId="5B93ABA2" w14:textId="77777777" w:rsidR="00A069E1" w:rsidRPr="000A2EFF" w:rsidRDefault="00A069E1" w:rsidP="00A069E1">
      <w:pPr>
        <w:keepNext/>
        <w:keepLines/>
        <w:jc w:val="center"/>
        <w:rPr>
          <w:b/>
        </w:rPr>
      </w:pPr>
    </w:p>
    <w:p w14:paraId="4B2C3FD7" w14:textId="77777777" w:rsidR="00A069E1" w:rsidRPr="000A2EFF" w:rsidRDefault="00A069E1" w:rsidP="00A069E1">
      <w:pPr>
        <w:keepNext/>
        <w:keepLines/>
        <w:jc w:val="center"/>
        <w:rPr>
          <w:b/>
        </w:rPr>
      </w:pPr>
      <w:r w:rsidRPr="000A2EFF">
        <w:rPr>
          <w:b/>
        </w:rPr>
        <w:t>Masha Somi</w:t>
      </w:r>
    </w:p>
    <w:p w14:paraId="7B99FAB6" w14:textId="77777777" w:rsidR="00A069E1" w:rsidRPr="000A2EFF" w:rsidRDefault="00A069E1" w:rsidP="00A069E1">
      <w:pPr>
        <w:keepNext/>
        <w:keepLines/>
        <w:jc w:val="center"/>
        <w:rPr>
          <w:b/>
        </w:rPr>
      </w:pPr>
      <w:r w:rsidRPr="000A2EFF">
        <w:rPr>
          <w:b/>
        </w:rPr>
        <w:t>Assistant Secretary Immunisation Branch</w:t>
      </w:r>
    </w:p>
    <w:p w14:paraId="5D340FA0" w14:textId="77777777" w:rsidR="00A069E1" w:rsidRPr="000A2EFF" w:rsidRDefault="00A069E1" w:rsidP="00A069E1">
      <w:pPr>
        <w:keepNext/>
        <w:keepLines/>
        <w:jc w:val="center"/>
        <w:rPr>
          <w:b/>
        </w:rPr>
      </w:pPr>
      <w:r w:rsidRPr="000A2EFF">
        <w:rPr>
          <w:b/>
        </w:rPr>
        <w:t>Office of Health Protection</w:t>
      </w:r>
    </w:p>
    <w:p w14:paraId="3148628A" w14:textId="77777777" w:rsidR="00A069E1" w:rsidRPr="000A2EFF" w:rsidRDefault="00A069E1" w:rsidP="00A069E1">
      <w:pPr>
        <w:keepNext/>
        <w:keepLines/>
        <w:jc w:val="center"/>
        <w:rPr>
          <w:u w:val="single"/>
        </w:rPr>
      </w:pPr>
      <w:r w:rsidRPr="000A2EFF">
        <w:rPr>
          <w:b/>
        </w:rPr>
        <w:t>Department of Health</w:t>
      </w:r>
    </w:p>
    <w:p w14:paraId="40F913D0" w14:textId="77777777" w:rsidR="00A069E1" w:rsidRPr="000A2EFF" w:rsidRDefault="00A069E1" w:rsidP="00A069E1">
      <w:pPr>
        <w:keepNext/>
        <w:keepLines/>
        <w:spacing w:after="120"/>
        <w:jc w:val="both"/>
        <w:rPr>
          <w:b/>
        </w:rPr>
      </w:pPr>
    </w:p>
    <w:p w14:paraId="2E79D793" w14:textId="77777777" w:rsidR="00A069E1" w:rsidRPr="000A2EFF" w:rsidRDefault="00A069E1" w:rsidP="00A069E1">
      <w:pPr>
        <w:keepNext/>
        <w:keepLines/>
        <w:jc w:val="center"/>
        <w:rPr>
          <w:b/>
        </w:rPr>
      </w:pPr>
    </w:p>
    <w:p w14:paraId="134FE10C" w14:textId="77777777" w:rsidR="00EB310F" w:rsidRPr="00A069E1" w:rsidRDefault="00EB310F" w:rsidP="00A069E1"/>
    <w:sectPr w:rsidR="00EB310F" w:rsidRPr="00A069E1" w:rsidSect="00A67478">
      <w:headerReference w:type="even" r:id="rId9"/>
      <w:headerReference w:type="default" r:id="rId10"/>
      <w:footerReference w:type="even" r:id="rId11"/>
      <w:footerReference w:type="default" r:id="rId12"/>
      <w:headerReference w:type="first" r:id="rId13"/>
      <w:footerReference w:type="first" r:id="rId14"/>
      <w:pgSz w:w="11906" w:h="16838"/>
      <w:pgMar w:top="567" w:right="1440" w:bottom="426"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46C7C" w14:textId="77777777" w:rsidR="009912C8" w:rsidRDefault="009912C8" w:rsidP="00A96A1B">
      <w:r>
        <w:separator/>
      </w:r>
    </w:p>
  </w:endnote>
  <w:endnote w:type="continuationSeparator" w:id="0">
    <w:p w14:paraId="28B77E7B" w14:textId="77777777" w:rsidR="009912C8" w:rsidRDefault="009912C8" w:rsidP="00A96A1B">
      <w:r>
        <w:continuationSeparator/>
      </w:r>
    </w:p>
  </w:endnote>
  <w:endnote w:type="continuationNotice" w:id="1">
    <w:p w14:paraId="0871C875" w14:textId="77777777" w:rsidR="009912C8" w:rsidRDefault="00991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ba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4D1B9" w14:textId="77777777" w:rsidR="004C4232" w:rsidRDefault="004C42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C3E46" w14:textId="77777777" w:rsidR="004C4232" w:rsidRDefault="004C42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828FC" w14:textId="77777777" w:rsidR="004C4232" w:rsidRDefault="004C4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732A2" w14:textId="77777777" w:rsidR="009912C8" w:rsidRDefault="009912C8" w:rsidP="00A96A1B">
      <w:r>
        <w:separator/>
      </w:r>
    </w:p>
  </w:footnote>
  <w:footnote w:type="continuationSeparator" w:id="0">
    <w:p w14:paraId="48CD64B1" w14:textId="77777777" w:rsidR="009912C8" w:rsidRDefault="009912C8" w:rsidP="00A96A1B">
      <w:r>
        <w:continuationSeparator/>
      </w:r>
    </w:p>
  </w:footnote>
  <w:footnote w:type="continuationNotice" w:id="1">
    <w:p w14:paraId="3A4728C6" w14:textId="77777777" w:rsidR="009912C8" w:rsidRDefault="009912C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D5F13" w14:textId="2BCAEEEA" w:rsidR="00A069E1" w:rsidRDefault="00A069E1" w:rsidP="002C0C90">
    <w:pPr>
      <w:pStyle w:val="Header"/>
      <w:jc w:val="center"/>
    </w:pPr>
    <w:r>
      <w:fldChar w:fldCharType="begin"/>
    </w:r>
    <w:r>
      <w:instrText xml:space="preserve"> PAGE  \* Arabic  \* MERGEFORMAT </w:instrText>
    </w:r>
    <w:r>
      <w:fldChar w:fldCharType="separate"/>
    </w:r>
    <w:r w:rsidR="00BB7D36">
      <w:rPr>
        <w:noProof/>
      </w:rPr>
      <w:t>2</w:t>
    </w:r>
    <w:r>
      <w:fldChar w:fldCharType="end"/>
    </w:r>
  </w:p>
  <w:p w14:paraId="00F53346" w14:textId="77777777" w:rsidR="00A069E1" w:rsidRDefault="00A069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75EAA" w14:textId="77777777" w:rsidR="004C4232" w:rsidRDefault="004C42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0A9DB" w14:textId="77777777" w:rsidR="004C4232" w:rsidRDefault="004C42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98FCD" w14:textId="77777777" w:rsidR="004C4232" w:rsidRDefault="004C42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02A9"/>
    <w:multiLevelType w:val="hybridMultilevel"/>
    <w:tmpl w:val="57B430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73F67"/>
    <w:multiLevelType w:val="hybridMultilevel"/>
    <w:tmpl w:val="2214B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516D32"/>
    <w:multiLevelType w:val="hybridMultilevel"/>
    <w:tmpl w:val="D9485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5B3EE5"/>
    <w:multiLevelType w:val="hybridMultilevel"/>
    <w:tmpl w:val="5672A698"/>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4" w15:restartNumberingAfterBreak="0">
    <w:nsid w:val="173C065E"/>
    <w:multiLevelType w:val="hybridMultilevel"/>
    <w:tmpl w:val="020CC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8222DF"/>
    <w:multiLevelType w:val="hybridMultilevel"/>
    <w:tmpl w:val="DF2EA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B45F2D"/>
    <w:multiLevelType w:val="hybridMultilevel"/>
    <w:tmpl w:val="2A229D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2B24E57"/>
    <w:multiLevelType w:val="hybridMultilevel"/>
    <w:tmpl w:val="42F2B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937D23"/>
    <w:multiLevelType w:val="hybridMultilevel"/>
    <w:tmpl w:val="92567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0E56B7"/>
    <w:multiLevelType w:val="hybridMultilevel"/>
    <w:tmpl w:val="FAFAE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093439"/>
    <w:multiLevelType w:val="hybridMultilevel"/>
    <w:tmpl w:val="71E8309A"/>
    <w:lvl w:ilvl="0" w:tplc="0C09000F">
      <w:start w:val="1"/>
      <w:numFmt w:val="decimal"/>
      <w:lvlText w:val="%1."/>
      <w:lvlJc w:val="left"/>
      <w:pPr>
        <w:tabs>
          <w:tab w:val="num" w:pos="780"/>
        </w:tabs>
        <w:ind w:left="780" w:hanging="360"/>
      </w:pPr>
    </w:lvl>
    <w:lvl w:ilvl="1" w:tplc="0C090019">
      <w:start w:val="1"/>
      <w:numFmt w:val="lowerLetter"/>
      <w:lvlText w:val="%2."/>
      <w:lvlJc w:val="left"/>
      <w:pPr>
        <w:tabs>
          <w:tab w:val="num" w:pos="1500"/>
        </w:tabs>
        <w:ind w:left="1500" w:hanging="360"/>
      </w:pPr>
    </w:lvl>
    <w:lvl w:ilvl="2" w:tplc="0C09001B">
      <w:start w:val="1"/>
      <w:numFmt w:val="lowerRoman"/>
      <w:lvlText w:val="%3."/>
      <w:lvlJc w:val="right"/>
      <w:pPr>
        <w:tabs>
          <w:tab w:val="num" w:pos="2220"/>
        </w:tabs>
        <w:ind w:left="2220" w:hanging="180"/>
      </w:pPr>
    </w:lvl>
    <w:lvl w:ilvl="3" w:tplc="0C09000F">
      <w:start w:val="1"/>
      <w:numFmt w:val="decimal"/>
      <w:lvlText w:val="%4."/>
      <w:lvlJc w:val="left"/>
      <w:pPr>
        <w:tabs>
          <w:tab w:val="num" w:pos="2940"/>
        </w:tabs>
        <w:ind w:left="2940" w:hanging="360"/>
      </w:pPr>
    </w:lvl>
    <w:lvl w:ilvl="4" w:tplc="0C090019">
      <w:start w:val="1"/>
      <w:numFmt w:val="lowerLetter"/>
      <w:lvlText w:val="%5."/>
      <w:lvlJc w:val="left"/>
      <w:pPr>
        <w:tabs>
          <w:tab w:val="num" w:pos="3660"/>
        </w:tabs>
        <w:ind w:left="3660" w:hanging="360"/>
      </w:pPr>
    </w:lvl>
    <w:lvl w:ilvl="5" w:tplc="0C09001B">
      <w:start w:val="1"/>
      <w:numFmt w:val="lowerRoman"/>
      <w:lvlText w:val="%6."/>
      <w:lvlJc w:val="right"/>
      <w:pPr>
        <w:tabs>
          <w:tab w:val="num" w:pos="4380"/>
        </w:tabs>
        <w:ind w:left="4380" w:hanging="180"/>
      </w:pPr>
    </w:lvl>
    <w:lvl w:ilvl="6" w:tplc="0C09000F">
      <w:start w:val="1"/>
      <w:numFmt w:val="decimal"/>
      <w:lvlText w:val="%7."/>
      <w:lvlJc w:val="left"/>
      <w:pPr>
        <w:tabs>
          <w:tab w:val="num" w:pos="5100"/>
        </w:tabs>
        <w:ind w:left="5100" w:hanging="360"/>
      </w:pPr>
    </w:lvl>
    <w:lvl w:ilvl="7" w:tplc="0C090019">
      <w:start w:val="1"/>
      <w:numFmt w:val="lowerLetter"/>
      <w:lvlText w:val="%8."/>
      <w:lvlJc w:val="left"/>
      <w:pPr>
        <w:tabs>
          <w:tab w:val="num" w:pos="5820"/>
        </w:tabs>
        <w:ind w:left="5820" w:hanging="360"/>
      </w:pPr>
    </w:lvl>
    <w:lvl w:ilvl="8" w:tplc="0C09001B">
      <w:start w:val="1"/>
      <w:numFmt w:val="lowerRoman"/>
      <w:lvlText w:val="%9."/>
      <w:lvlJc w:val="right"/>
      <w:pPr>
        <w:tabs>
          <w:tab w:val="num" w:pos="6540"/>
        </w:tabs>
        <w:ind w:left="6540" w:hanging="180"/>
      </w:pPr>
    </w:lvl>
  </w:abstractNum>
  <w:abstractNum w:abstractNumId="11" w15:restartNumberingAfterBreak="0">
    <w:nsid w:val="69965AC7"/>
    <w:multiLevelType w:val="hybridMultilevel"/>
    <w:tmpl w:val="979A644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0"/>
  </w:num>
  <w:num w:numId="4">
    <w:abstractNumId w:val="9"/>
  </w:num>
  <w:num w:numId="5">
    <w:abstractNumId w:val="11"/>
  </w:num>
  <w:num w:numId="6">
    <w:abstractNumId w:val="8"/>
  </w:num>
  <w:num w:numId="7">
    <w:abstractNumId w:val="7"/>
  </w:num>
  <w:num w:numId="8">
    <w:abstractNumId w:val="1"/>
  </w:num>
  <w:num w:numId="9">
    <w:abstractNumId w:val="5"/>
  </w:num>
  <w:num w:numId="10">
    <w:abstractNumId w:val="6"/>
  </w:num>
  <w:num w:numId="11">
    <w:abstractNumId w:val="4"/>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0A"/>
    <w:rsid w:val="00003124"/>
    <w:rsid w:val="000067D7"/>
    <w:rsid w:val="000103BF"/>
    <w:rsid w:val="00012628"/>
    <w:rsid w:val="0001265F"/>
    <w:rsid w:val="0001299F"/>
    <w:rsid w:val="00015A2C"/>
    <w:rsid w:val="0003595B"/>
    <w:rsid w:val="00042B02"/>
    <w:rsid w:val="00046478"/>
    <w:rsid w:val="0005207F"/>
    <w:rsid w:val="00054A5F"/>
    <w:rsid w:val="00065AC3"/>
    <w:rsid w:val="0006795E"/>
    <w:rsid w:val="000758A2"/>
    <w:rsid w:val="00076B31"/>
    <w:rsid w:val="000A2EFF"/>
    <w:rsid w:val="000A4307"/>
    <w:rsid w:val="000A7A81"/>
    <w:rsid w:val="000B0633"/>
    <w:rsid w:val="000B6B6F"/>
    <w:rsid w:val="000B75C5"/>
    <w:rsid w:val="000C0E81"/>
    <w:rsid w:val="000D2F5C"/>
    <w:rsid w:val="000E43CC"/>
    <w:rsid w:val="000F112E"/>
    <w:rsid w:val="000F4BEC"/>
    <w:rsid w:val="00101452"/>
    <w:rsid w:val="00107615"/>
    <w:rsid w:val="00112F81"/>
    <w:rsid w:val="001161F2"/>
    <w:rsid w:val="00117752"/>
    <w:rsid w:val="001178A9"/>
    <w:rsid w:val="00136E7B"/>
    <w:rsid w:val="00143DA0"/>
    <w:rsid w:val="00143F9E"/>
    <w:rsid w:val="00147F34"/>
    <w:rsid w:val="001509BA"/>
    <w:rsid w:val="00151760"/>
    <w:rsid w:val="0015424F"/>
    <w:rsid w:val="001555C9"/>
    <w:rsid w:val="00162E15"/>
    <w:rsid w:val="00177EEA"/>
    <w:rsid w:val="00184A7F"/>
    <w:rsid w:val="00190FC6"/>
    <w:rsid w:val="001A6D75"/>
    <w:rsid w:val="001A7BE1"/>
    <w:rsid w:val="001B07E6"/>
    <w:rsid w:val="001B1667"/>
    <w:rsid w:val="001B3204"/>
    <w:rsid w:val="001B5F7B"/>
    <w:rsid w:val="001D631C"/>
    <w:rsid w:val="001D7AFB"/>
    <w:rsid w:val="001F22F0"/>
    <w:rsid w:val="001F6600"/>
    <w:rsid w:val="0020077A"/>
    <w:rsid w:val="0020340D"/>
    <w:rsid w:val="00204EC3"/>
    <w:rsid w:val="0021440F"/>
    <w:rsid w:val="0021476E"/>
    <w:rsid w:val="00215420"/>
    <w:rsid w:val="002311A8"/>
    <w:rsid w:val="00231F9D"/>
    <w:rsid w:val="00232329"/>
    <w:rsid w:val="00232E4D"/>
    <w:rsid w:val="00244275"/>
    <w:rsid w:val="00246B5C"/>
    <w:rsid w:val="00246EBD"/>
    <w:rsid w:val="0025015A"/>
    <w:rsid w:val="0025349D"/>
    <w:rsid w:val="00253B15"/>
    <w:rsid w:val="00254D4E"/>
    <w:rsid w:val="0026014B"/>
    <w:rsid w:val="0026064A"/>
    <w:rsid w:val="00265B08"/>
    <w:rsid w:val="00275FFF"/>
    <w:rsid w:val="00276277"/>
    <w:rsid w:val="00280BA4"/>
    <w:rsid w:val="00280E2D"/>
    <w:rsid w:val="00284AF6"/>
    <w:rsid w:val="00287BD6"/>
    <w:rsid w:val="00290ACD"/>
    <w:rsid w:val="00291208"/>
    <w:rsid w:val="0029310E"/>
    <w:rsid w:val="002A1F08"/>
    <w:rsid w:val="002A46D7"/>
    <w:rsid w:val="002B4810"/>
    <w:rsid w:val="002B5B34"/>
    <w:rsid w:val="002D36FC"/>
    <w:rsid w:val="002D6033"/>
    <w:rsid w:val="002E0D2A"/>
    <w:rsid w:val="002F2E09"/>
    <w:rsid w:val="00310444"/>
    <w:rsid w:val="00315848"/>
    <w:rsid w:val="00322BC6"/>
    <w:rsid w:val="003250D6"/>
    <w:rsid w:val="003259AA"/>
    <w:rsid w:val="0034148E"/>
    <w:rsid w:val="00344AEB"/>
    <w:rsid w:val="00355F20"/>
    <w:rsid w:val="003576EB"/>
    <w:rsid w:val="003640E1"/>
    <w:rsid w:val="00366069"/>
    <w:rsid w:val="003671F4"/>
    <w:rsid w:val="003673DA"/>
    <w:rsid w:val="003679B9"/>
    <w:rsid w:val="00371484"/>
    <w:rsid w:val="00371857"/>
    <w:rsid w:val="0038293A"/>
    <w:rsid w:val="003852B4"/>
    <w:rsid w:val="003923C6"/>
    <w:rsid w:val="00396266"/>
    <w:rsid w:val="003A6A2D"/>
    <w:rsid w:val="003A7C55"/>
    <w:rsid w:val="003B029D"/>
    <w:rsid w:val="003C0E22"/>
    <w:rsid w:val="003C7CC3"/>
    <w:rsid w:val="003E0614"/>
    <w:rsid w:val="003E3CF6"/>
    <w:rsid w:val="003E41FB"/>
    <w:rsid w:val="003E4617"/>
    <w:rsid w:val="003E7086"/>
    <w:rsid w:val="003F06D3"/>
    <w:rsid w:val="003F14C6"/>
    <w:rsid w:val="003F1BF7"/>
    <w:rsid w:val="003F256E"/>
    <w:rsid w:val="003F3714"/>
    <w:rsid w:val="00414964"/>
    <w:rsid w:val="00422AF9"/>
    <w:rsid w:val="0043377A"/>
    <w:rsid w:val="004337C7"/>
    <w:rsid w:val="0043419D"/>
    <w:rsid w:val="004341D7"/>
    <w:rsid w:val="0043652C"/>
    <w:rsid w:val="0043740B"/>
    <w:rsid w:val="0045318E"/>
    <w:rsid w:val="00470E55"/>
    <w:rsid w:val="00475327"/>
    <w:rsid w:val="00477E4C"/>
    <w:rsid w:val="00480857"/>
    <w:rsid w:val="004904B2"/>
    <w:rsid w:val="004910AE"/>
    <w:rsid w:val="00491848"/>
    <w:rsid w:val="0049509A"/>
    <w:rsid w:val="00497458"/>
    <w:rsid w:val="004979A1"/>
    <w:rsid w:val="004A601C"/>
    <w:rsid w:val="004A78E5"/>
    <w:rsid w:val="004B0136"/>
    <w:rsid w:val="004B2B6E"/>
    <w:rsid w:val="004B3D9D"/>
    <w:rsid w:val="004B63B0"/>
    <w:rsid w:val="004B6DD4"/>
    <w:rsid w:val="004B7BE2"/>
    <w:rsid w:val="004C0913"/>
    <w:rsid w:val="004C1163"/>
    <w:rsid w:val="004C1C16"/>
    <w:rsid w:val="004C39F7"/>
    <w:rsid w:val="004C4232"/>
    <w:rsid w:val="004C7E48"/>
    <w:rsid w:val="004D0D36"/>
    <w:rsid w:val="004D637B"/>
    <w:rsid w:val="004E03B0"/>
    <w:rsid w:val="004F030B"/>
    <w:rsid w:val="004F0CB1"/>
    <w:rsid w:val="004F0E86"/>
    <w:rsid w:val="00511DF5"/>
    <w:rsid w:val="00512CC6"/>
    <w:rsid w:val="0051340D"/>
    <w:rsid w:val="00513903"/>
    <w:rsid w:val="00513A42"/>
    <w:rsid w:val="00520B14"/>
    <w:rsid w:val="0052166E"/>
    <w:rsid w:val="00530B5D"/>
    <w:rsid w:val="0053301E"/>
    <w:rsid w:val="005373B7"/>
    <w:rsid w:val="00545BFB"/>
    <w:rsid w:val="00550F63"/>
    <w:rsid w:val="00561F46"/>
    <w:rsid w:val="005659BB"/>
    <w:rsid w:val="00570F60"/>
    <w:rsid w:val="00573931"/>
    <w:rsid w:val="00575181"/>
    <w:rsid w:val="00577B0D"/>
    <w:rsid w:val="00584ECC"/>
    <w:rsid w:val="0059372B"/>
    <w:rsid w:val="0059669C"/>
    <w:rsid w:val="005A4686"/>
    <w:rsid w:val="005A4BBB"/>
    <w:rsid w:val="005A6E6C"/>
    <w:rsid w:val="005A79F1"/>
    <w:rsid w:val="005B1B9E"/>
    <w:rsid w:val="005B42B4"/>
    <w:rsid w:val="005B7807"/>
    <w:rsid w:val="005C3F0E"/>
    <w:rsid w:val="005C6651"/>
    <w:rsid w:val="005D2C78"/>
    <w:rsid w:val="005D5057"/>
    <w:rsid w:val="005E2AF0"/>
    <w:rsid w:val="005E7E29"/>
    <w:rsid w:val="005F18DC"/>
    <w:rsid w:val="005F23BA"/>
    <w:rsid w:val="00600033"/>
    <w:rsid w:val="0060348D"/>
    <w:rsid w:val="00615A77"/>
    <w:rsid w:val="0061748A"/>
    <w:rsid w:val="00625A0A"/>
    <w:rsid w:val="006302EA"/>
    <w:rsid w:val="006313FE"/>
    <w:rsid w:val="00631665"/>
    <w:rsid w:val="00633C6B"/>
    <w:rsid w:val="00640685"/>
    <w:rsid w:val="006442C6"/>
    <w:rsid w:val="006451A2"/>
    <w:rsid w:val="0064555A"/>
    <w:rsid w:val="0065139F"/>
    <w:rsid w:val="00655346"/>
    <w:rsid w:val="00656CFE"/>
    <w:rsid w:val="006645DE"/>
    <w:rsid w:val="00676C3B"/>
    <w:rsid w:val="00683690"/>
    <w:rsid w:val="00683CD2"/>
    <w:rsid w:val="0069235E"/>
    <w:rsid w:val="00697CCF"/>
    <w:rsid w:val="006B21B7"/>
    <w:rsid w:val="006B714B"/>
    <w:rsid w:val="006C280C"/>
    <w:rsid w:val="006C7D61"/>
    <w:rsid w:val="006D1594"/>
    <w:rsid w:val="006D2473"/>
    <w:rsid w:val="006E0BD0"/>
    <w:rsid w:val="006E25F3"/>
    <w:rsid w:val="006E2C81"/>
    <w:rsid w:val="006F1CC2"/>
    <w:rsid w:val="006F36E2"/>
    <w:rsid w:val="00701DCD"/>
    <w:rsid w:val="00707830"/>
    <w:rsid w:val="007148EC"/>
    <w:rsid w:val="00716F4D"/>
    <w:rsid w:val="007200FE"/>
    <w:rsid w:val="00736285"/>
    <w:rsid w:val="007362DB"/>
    <w:rsid w:val="00741281"/>
    <w:rsid w:val="00744C8E"/>
    <w:rsid w:val="007466F2"/>
    <w:rsid w:val="007518EF"/>
    <w:rsid w:val="00754F2A"/>
    <w:rsid w:val="007608BC"/>
    <w:rsid w:val="00760DF2"/>
    <w:rsid w:val="00762496"/>
    <w:rsid w:val="00776269"/>
    <w:rsid w:val="00780F84"/>
    <w:rsid w:val="00781661"/>
    <w:rsid w:val="00783606"/>
    <w:rsid w:val="00796D28"/>
    <w:rsid w:val="007975EE"/>
    <w:rsid w:val="007A19AB"/>
    <w:rsid w:val="007A3D4A"/>
    <w:rsid w:val="007A4456"/>
    <w:rsid w:val="007A647C"/>
    <w:rsid w:val="007B04C7"/>
    <w:rsid w:val="007B0A15"/>
    <w:rsid w:val="007B1255"/>
    <w:rsid w:val="007B190A"/>
    <w:rsid w:val="007C6AE9"/>
    <w:rsid w:val="007D0E91"/>
    <w:rsid w:val="007D1D6C"/>
    <w:rsid w:val="007D407A"/>
    <w:rsid w:val="007E6449"/>
    <w:rsid w:val="007F0DD6"/>
    <w:rsid w:val="007F4E20"/>
    <w:rsid w:val="00801BA4"/>
    <w:rsid w:val="00802E18"/>
    <w:rsid w:val="00815DBE"/>
    <w:rsid w:val="00816DD5"/>
    <w:rsid w:val="008261B2"/>
    <w:rsid w:val="00835135"/>
    <w:rsid w:val="00837D4D"/>
    <w:rsid w:val="00852FFE"/>
    <w:rsid w:val="00863FD6"/>
    <w:rsid w:val="00870DA6"/>
    <w:rsid w:val="0087170A"/>
    <w:rsid w:val="00872317"/>
    <w:rsid w:val="00874E21"/>
    <w:rsid w:val="00886593"/>
    <w:rsid w:val="00890971"/>
    <w:rsid w:val="00895645"/>
    <w:rsid w:val="00895897"/>
    <w:rsid w:val="008A502A"/>
    <w:rsid w:val="008B3CF1"/>
    <w:rsid w:val="008D2223"/>
    <w:rsid w:val="008D2255"/>
    <w:rsid w:val="008D35AB"/>
    <w:rsid w:val="008D36E3"/>
    <w:rsid w:val="008E01C6"/>
    <w:rsid w:val="008E04E8"/>
    <w:rsid w:val="008E24DE"/>
    <w:rsid w:val="008F6DAE"/>
    <w:rsid w:val="00902847"/>
    <w:rsid w:val="00917FD6"/>
    <w:rsid w:val="0092397E"/>
    <w:rsid w:val="009266FD"/>
    <w:rsid w:val="0093470F"/>
    <w:rsid w:val="00954925"/>
    <w:rsid w:val="00955452"/>
    <w:rsid w:val="0096582B"/>
    <w:rsid w:val="009658C7"/>
    <w:rsid w:val="0097487C"/>
    <w:rsid w:val="00983735"/>
    <w:rsid w:val="00986944"/>
    <w:rsid w:val="009912C8"/>
    <w:rsid w:val="0099290C"/>
    <w:rsid w:val="00993660"/>
    <w:rsid w:val="00996B99"/>
    <w:rsid w:val="009A1A50"/>
    <w:rsid w:val="009A4146"/>
    <w:rsid w:val="009A7C9E"/>
    <w:rsid w:val="009B49D7"/>
    <w:rsid w:val="009B5412"/>
    <w:rsid w:val="009C2528"/>
    <w:rsid w:val="009C2D75"/>
    <w:rsid w:val="009C403E"/>
    <w:rsid w:val="009C432A"/>
    <w:rsid w:val="009C52F0"/>
    <w:rsid w:val="009C5912"/>
    <w:rsid w:val="009D182F"/>
    <w:rsid w:val="009D20E9"/>
    <w:rsid w:val="009D2DCF"/>
    <w:rsid w:val="009D4900"/>
    <w:rsid w:val="009E18ED"/>
    <w:rsid w:val="009E7728"/>
    <w:rsid w:val="009F1AF7"/>
    <w:rsid w:val="009F23AB"/>
    <w:rsid w:val="009F2E6A"/>
    <w:rsid w:val="009F602E"/>
    <w:rsid w:val="00A069E1"/>
    <w:rsid w:val="00A1713B"/>
    <w:rsid w:val="00A17EDB"/>
    <w:rsid w:val="00A23081"/>
    <w:rsid w:val="00A269B8"/>
    <w:rsid w:val="00A34E1E"/>
    <w:rsid w:val="00A36360"/>
    <w:rsid w:val="00A375B8"/>
    <w:rsid w:val="00A37984"/>
    <w:rsid w:val="00A4277E"/>
    <w:rsid w:val="00A4602F"/>
    <w:rsid w:val="00A5405B"/>
    <w:rsid w:val="00A67478"/>
    <w:rsid w:val="00A77183"/>
    <w:rsid w:val="00A87F9A"/>
    <w:rsid w:val="00A91B71"/>
    <w:rsid w:val="00A94DBD"/>
    <w:rsid w:val="00A96A1B"/>
    <w:rsid w:val="00AA01D8"/>
    <w:rsid w:val="00AA0CBB"/>
    <w:rsid w:val="00AB65A5"/>
    <w:rsid w:val="00AC5B48"/>
    <w:rsid w:val="00AC77FB"/>
    <w:rsid w:val="00AD091E"/>
    <w:rsid w:val="00AD1552"/>
    <w:rsid w:val="00AE16C5"/>
    <w:rsid w:val="00AF267D"/>
    <w:rsid w:val="00B0197D"/>
    <w:rsid w:val="00B02C18"/>
    <w:rsid w:val="00B047FD"/>
    <w:rsid w:val="00B06631"/>
    <w:rsid w:val="00B16B9F"/>
    <w:rsid w:val="00B17780"/>
    <w:rsid w:val="00B218C5"/>
    <w:rsid w:val="00B236B2"/>
    <w:rsid w:val="00B25673"/>
    <w:rsid w:val="00B32110"/>
    <w:rsid w:val="00B33933"/>
    <w:rsid w:val="00B34F94"/>
    <w:rsid w:val="00B37257"/>
    <w:rsid w:val="00B445D6"/>
    <w:rsid w:val="00B533F0"/>
    <w:rsid w:val="00B54FB0"/>
    <w:rsid w:val="00B616B4"/>
    <w:rsid w:val="00B6440F"/>
    <w:rsid w:val="00B7685A"/>
    <w:rsid w:val="00B777D8"/>
    <w:rsid w:val="00B81C18"/>
    <w:rsid w:val="00B852CB"/>
    <w:rsid w:val="00B9284E"/>
    <w:rsid w:val="00B958C7"/>
    <w:rsid w:val="00B974FD"/>
    <w:rsid w:val="00BA23AE"/>
    <w:rsid w:val="00BA3B32"/>
    <w:rsid w:val="00BB015F"/>
    <w:rsid w:val="00BB0232"/>
    <w:rsid w:val="00BB7D36"/>
    <w:rsid w:val="00BC1E81"/>
    <w:rsid w:val="00BC6A5B"/>
    <w:rsid w:val="00BC7D90"/>
    <w:rsid w:val="00BD2364"/>
    <w:rsid w:val="00BD5986"/>
    <w:rsid w:val="00BD7D1B"/>
    <w:rsid w:val="00BE7766"/>
    <w:rsid w:val="00BF2B94"/>
    <w:rsid w:val="00BF580C"/>
    <w:rsid w:val="00C000AC"/>
    <w:rsid w:val="00C12805"/>
    <w:rsid w:val="00C134A8"/>
    <w:rsid w:val="00C23057"/>
    <w:rsid w:val="00C23B1D"/>
    <w:rsid w:val="00C2512E"/>
    <w:rsid w:val="00C25D0A"/>
    <w:rsid w:val="00C3067E"/>
    <w:rsid w:val="00C30873"/>
    <w:rsid w:val="00C33EB5"/>
    <w:rsid w:val="00C342FC"/>
    <w:rsid w:val="00C36021"/>
    <w:rsid w:val="00C37CEF"/>
    <w:rsid w:val="00C41ACE"/>
    <w:rsid w:val="00C424F0"/>
    <w:rsid w:val="00C4327D"/>
    <w:rsid w:val="00C4372A"/>
    <w:rsid w:val="00C44C48"/>
    <w:rsid w:val="00C53C97"/>
    <w:rsid w:val="00C6227E"/>
    <w:rsid w:val="00C63E21"/>
    <w:rsid w:val="00C652A8"/>
    <w:rsid w:val="00C65EC3"/>
    <w:rsid w:val="00C71423"/>
    <w:rsid w:val="00C71EBC"/>
    <w:rsid w:val="00C77449"/>
    <w:rsid w:val="00C77C43"/>
    <w:rsid w:val="00C82EEC"/>
    <w:rsid w:val="00C84059"/>
    <w:rsid w:val="00C84C13"/>
    <w:rsid w:val="00C85D89"/>
    <w:rsid w:val="00C92D3E"/>
    <w:rsid w:val="00CA023C"/>
    <w:rsid w:val="00CA0D59"/>
    <w:rsid w:val="00CA7CE0"/>
    <w:rsid w:val="00CB2C24"/>
    <w:rsid w:val="00CB5795"/>
    <w:rsid w:val="00CB6459"/>
    <w:rsid w:val="00CC5722"/>
    <w:rsid w:val="00CC7512"/>
    <w:rsid w:val="00CD19BC"/>
    <w:rsid w:val="00CD6DB9"/>
    <w:rsid w:val="00CE0901"/>
    <w:rsid w:val="00CE1D6B"/>
    <w:rsid w:val="00CE2FFF"/>
    <w:rsid w:val="00CE62D0"/>
    <w:rsid w:val="00CF31AC"/>
    <w:rsid w:val="00D02D8D"/>
    <w:rsid w:val="00D03C8E"/>
    <w:rsid w:val="00D1519D"/>
    <w:rsid w:val="00D15D44"/>
    <w:rsid w:val="00D15F0F"/>
    <w:rsid w:val="00D17DFB"/>
    <w:rsid w:val="00D27B18"/>
    <w:rsid w:val="00D40984"/>
    <w:rsid w:val="00D510DF"/>
    <w:rsid w:val="00D51538"/>
    <w:rsid w:val="00D523B7"/>
    <w:rsid w:val="00D53335"/>
    <w:rsid w:val="00D611A0"/>
    <w:rsid w:val="00D7769C"/>
    <w:rsid w:val="00D77F01"/>
    <w:rsid w:val="00D80311"/>
    <w:rsid w:val="00D81848"/>
    <w:rsid w:val="00D853D9"/>
    <w:rsid w:val="00D91DD2"/>
    <w:rsid w:val="00D97AA9"/>
    <w:rsid w:val="00DA5520"/>
    <w:rsid w:val="00DB10E7"/>
    <w:rsid w:val="00DB2577"/>
    <w:rsid w:val="00DC288E"/>
    <w:rsid w:val="00DD402C"/>
    <w:rsid w:val="00DD6EF0"/>
    <w:rsid w:val="00DE2ACD"/>
    <w:rsid w:val="00DE3097"/>
    <w:rsid w:val="00E003BF"/>
    <w:rsid w:val="00E00FD2"/>
    <w:rsid w:val="00E0213A"/>
    <w:rsid w:val="00E06C6C"/>
    <w:rsid w:val="00E10A75"/>
    <w:rsid w:val="00E12D46"/>
    <w:rsid w:val="00E14083"/>
    <w:rsid w:val="00E149EA"/>
    <w:rsid w:val="00E15385"/>
    <w:rsid w:val="00E21352"/>
    <w:rsid w:val="00E312DC"/>
    <w:rsid w:val="00E319CD"/>
    <w:rsid w:val="00E4012C"/>
    <w:rsid w:val="00E423FE"/>
    <w:rsid w:val="00E44EB7"/>
    <w:rsid w:val="00E46ABD"/>
    <w:rsid w:val="00E46FE9"/>
    <w:rsid w:val="00E610C6"/>
    <w:rsid w:val="00E71CFF"/>
    <w:rsid w:val="00E738DA"/>
    <w:rsid w:val="00E871FD"/>
    <w:rsid w:val="00E8774E"/>
    <w:rsid w:val="00E92216"/>
    <w:rsid w:val="00E9485D"/>
    <w:rsid w:val="00E97DAE"/>
    <w:rsid w:val="00EA1615"/>
    <w:rsid w:val="00EA69C0"/>
    <w:rsid w:val="00EB310F"/>
    <w:rsid w:val="00EB6391"/>
    <w:rsid w:val="00EB7D2F"/>
    <w:rsid w:val="00EC2415"/>
    <w:rsid w:val="00EC477D"/>
    <w:rsid w:val="00ED349A"/>
    <w:rsid w:val="00ED75B0"/>
    <w:rsid w:val="00ED7BBA"/>
    <w:rsid w:val="00EE09C9"/>
    <w:rsid w:val="00EE2A47"/>
    <w:rsid w:val="00EF3006"/>
    <w:rsid w:val="00EF6CA4"/>
    <w:rsid w:val="00F007DC"/>
    <w:rsid w:val="00F12D91"/>
    <w:rsid w:val="00F14F4A"/>
    <w:rsid w:val="00F262C5"/>
    <w:rsid w:val="00F31211"/>
    <w:rsid w:val="00F36245"/>
    <w:rsid w:val="00F3729B"/>
    <w:rsid w:val="00F4075C"/>
    <w:rsid w:val="00F55806"/>
    <w:rsid w:val="00F67DC9"/>
    <w:rsid w:val="00F67DF9"/>
    <w:rsid w:val="00F67FAD"/>
    <w:rsid w:val="00F735BA"/>
    <w:rsid w:val="00F73ECF"/>
    <w:rsid w:val="00F80792"/>
    <w:rsid w:val="00F8490A"/>
    <w:rsid w:val="00F852AD"/>
    <w:rsid w:val="00F8578F"/>
    <w:rsid w:val="00F91062"/>
    <w:rsid w:val="00F97362"/>
    <w:rsid w:val="00FA5921"/>
    <w:rsid w:val="00FB1BD7"/>
    <w:rsid w:val="00FB6465"/>
    <w:rsid w:val="00FC1438"/>
    <w:rsid w:val="00FC3C42"/>
    <w:rsid w:val="00FC53EE"/>
    <w:rsid w:val="00FC5882"/>
    <w:rsid w:val="00FC79D1"/>
    <w:rsid w:val="00FD2B9E"/>
    <w:rsid w:val="00FD5223"/>
    <w:rsid w:val="00FE01C5"/>
    <w:rsid w:val="00FE2D27"/>
    <w:rsid w:val="00FE6156"/>
    <w:rsid w:val="00FE7D29"/>
    <w:rsid w:val="00FF0D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8394B2"/>
  <w15:docId w15:val="{BBAEA251-1022-494E-A098-6E77F7FC1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9E1"/>
    <w:pPr>
      <w:spacing w:after="0" w:line="240" w:lineRule="auto"/>
    </w:pPr>
    <w:rPr>
      <w:rFonts w:eastAsia="Times New Roman" w:cs="Times New Roman"/>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170A"/>
    <w:pPr>
      <w:tabs>
        <w:tab w:val="center" w:pos="4153"/>
        <w:tab w:val="right" w:pos="8306"/>
      </w:tabs>
    </w:pPr>
  </w:style>
  <w:style w:type="character" w:customStyle="1" w:styleId="HeaderChar">
    <w:name w:val="Header Char"/>
    <w:basedOn w:val="DefaultParagraphFont"/>
    <w:link w:val="Header"/>
    <w:uiPriority w:val="99"/>
    <w:rsid w:val="0087170A"/>
    <w:rPr>
      <w:rFonts w:eastAsia="Times New Roman" w:cs="Times New Roman"/>
      <w:szCs w:val="24"/>
      <w:lang w:eastAsia="en-AU"/>
    </w:rPr>
  </w:style>
  <w:style w:type="character" w:customStyle="1" w:styleId="normalchar">
    <w:name w:val="normal_char"/>
    <w:basedOn w:val="DefaultParagraphFont"/>
    <w:rsid w:val="0087170A"/>
    <w:rPr>
      <w:color w:val="auto"/>
    </w:rPr>
  </w:style>
  <w:style w:type="paragraph" w:styleId="BalloonText">
    <w:name w:val="Balloon Text"/>
    <w:basedOn w:val="Normal"/>
    <w:link w:val="BalloonTextChar"/>
    <w:uiPriority w:val="99"/>
    <w:semiHidden/>
    <w:unhideWhenUsed/>
    <w:rsid w:val="00371857"/>
    <w:rPr>
      <w:rFonts w:ascii="Tahoma" w:hAnsi="Tahoma" w:cs="Tahoma"/>
      <w:sz w:val="16"/>
      <w:szCs w:val="16"/>
    </w:rPr>
  </w:style>
  <w:style w:type="character" w:customStyle="1" w:styleId="BalloonTextChar">
    <w:name w:val="Balloon Text Char"/>
    <w:basedOn w:val="DefaultParagraphFont"/>
    <w:link w:val="BalloonText"/>
    <w:uiPriority w:val="99"/>
    <w:semiHidden/>
    <w:rsid w:val="0037185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B37257"/>
    <w:rPr>
      <w:sz w:val="16"/>
      <w:szCs w:val="16"/>
    </w:rPr>
  </w:style>
  <w:style w:type="paragraph" w:styleId="CommentText">
    <w:name w:val="annotation text"/>
    <w:basedOn w:val="Normal"/>
    <w:link w:val="CommentTextChar"/>
    <w:uiPriority w:val="99"/>
    <w:unhideWhenUsed/>
    <w:rsid w:val="00B37257"/>
    <w:rPr>
      <w:sz w:val="20"/>
      <w:szCs w:val="20"/>
    </w:rPr>
  </w:style>
  <w:style w:type="character" w:customStyle="1" w:styleId="CommentTextChar">
    <w:name w:val="Comment Text Char"/>
    <w:basedOn w:val="DefaultParagraphFont"/>
    <w:link w:val="CommentText"/>
    <w:uiPriority w:val="99"/>
    <w:semiHidden/>
    <w:rsid w:val="00B37257"/>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37257"/>
    <w:rPr>
      <w:b/>
      <w:bCs/>
    </w:rPr>
  </w:style>
  <w:style w:type="character" w:customStyle="1" w:styleId="CommentSubjectChar">
    <w:name w:val="Comment Subject Char"/>
    <w:basedOn w:val="CommentTextChar"/>
    <w:link w:val="CommentSubject"/>
    <w:uiPriority w:val="99"/>
    <w:semiHidden/>
    <w:rsid w:val="00B37257"/>
    <w:rPr>
      <w:rFonts w:eastAsia="Times New Roman" w:cs="Times New Roman"/>
      <w:b/>
      <w:bCs/>
      <w:sz w:val="20"/>
      <w:szCs w:val="20"/>
      <w:lang w:eastAsia="en-AU"/>
    </w:rPr>
  </w:style>
  <w:style w:type="paragraph" w:styleId="Footer">
    <w:name w:val="footer"/>
    <w:basedOn w:val="Normal"/>
    <w:link w:val="FooterChar"/>
    <w:uiPriority w:val="99"/>
    <w:unhideWhenUsed/>
    <w:rsid w:val="00A96A1B"/>
    <w:pPr>
      <w:tabs>
        <w:tab w:val="center" w:pos="4513"/>
        <w:tab w:val="right" w:pos="9026"/>
      </w:tabs>
    </w:pPr>
  </w:style>
  <w:style w:type="character" w:customStyle="1" w:styleId="FooterChar">
    <w:name w:val="Footer Char"/>
    <w:basedOn w:val="DefaultParagraphFont"/>
    <w:link w:val="Footer"/>
    <w:uiPriority w:val="99"/>
    <w:rsid w:val="00A96A1B"/>
    <w:rPr>
      <w:rFonts w:eastAsia="Times New Roman" w:cs="Times New Roman"/>
      <w:szCs w:val="24"/>
      <w:lang w:eastAsia="en-AU"/>
    </w:rPr>
  </w:style>
  <w:style w:type="paragraph" w:styleId="ListParagraph">
    <w:name w:val="List Paragraph"/>
    <w:basedOn w:val="Normal"/>
    <w:link w:val="ListParagraphChar"/>
    <w:uiPriority w:val="34"/>
    <w:qFormat/>
    <w:rsid w:val="00C23057"/>
    <w:pPr>
      <w:ind w:left="720"/>
      <w:contextualSpacing/>
    </w:pPr>
  </w:style>
  <w:style w:type="paragraph" w:customStyle="1" w:styleId="subsection">
    <w:name w:val="subsection"/>
    <w:basedOn w:val="Normal"/>
    <w:rsid w:val="000103BF"/>
    <w:pPr>
      <w:spacing w:before="100" w:beforeAutospacing="1" w:after="100" w:afterAutospacing="1"/>
    </w:pPr>
  </w:style>
  <w:style w:type="paragraph" w:customStyle="1" w:styleId="notetext">
    <w:name w:val="notetext"/>
    <w:basedOn w:val="Normal"/>
    <w:rsid w:val="000103BF"/>
    <w:pPr>
      <w:spacing w:before="100" w:beforeAutospacing="1" w:after="100" w:afterAutospacing="1"/>
    </w:pPr>
  </w:style>
  <w:style w:type="character" w:customStyle="1" w:styleId="ListParagraphChar">
    <w:name w:val="List Paragraph Char"/>
    <w:link w:val="ListParagraph"/>
    <w:uiPriority w:val="34"/>
    <w:locked/>
    <w:rsid w:val="00F852AD"/>
    <w:rPr>
      <w:rFonts w:eastAsia="Times New Roman" w:cs="Times New Roman"/>
      <w:szCs w:val="24"/>
      <w:lang w:eastAsia="en-AU"/>
    </w:rPr>
  </w:style>
  <w:style w:type="paragraph" w:customStyle="1" w:styleId="TableText">
    <w:name w:val="TableText"/>
    <w:basedOn w:val="Normal"/>
    <w:rsid w:val="00C36021"/>
    <w:pPr>
      <w:spacing w:before="60" w:after="60" w:line="240" w:lineRule="exact"/>
    </w:pPr>
    <w:rPr>
      <w:sz w:val="22"/>
    </w:rPr>
  </w:style>
  <w:style w:type="paragraph" w:styleId="Revision">
    <w:name w:val="Revision"/>
    <w:hidden/>
    <w:uiPriority w:val="99"/>
    <w:semiHidden/>
    <w:rsid w:val="0026014B"/>
    <w:pPr>
      <w:spacing w:after="0" w:line="240" w:lineRule="auto"/>
    </w:pPr>
    <w:rPr>
      <w:rFonts w:eastAsia="Times New Roman" w:cs="Times New Roman"/>
      <w:szCs w:val="24"/>
      <w:lang w:eastAsia="en-AU"/>
    </w:rPr>
  </w:style>
  <w:style w:type="character" w:styleId="Emphasis">
    <w:name w:val="Emphasis"/>
    <w:basedOn w:val="DefaultParagraphFont"/>
    <w:uiPriority w:val="20"/>
    <w:qFormat/>
    <w:rsid w:val="00E003BF"/>
    <w:rPr>
      <w:i/>
      <w:iCs/>
    </w:rPr>
  </w:style>
  <w:style w:type="paragraph" w:customStyle="1" w:styleId="Item">
    <w:name w:val="Item"/>
    <w:aliases w:val="i"/>
    <w:basedOn w:val="Normal"/>
    <w:next w:val="ItemHead"/>
    <w:rsid w:val="00003124"/>
    <w:pPr>
      <w:keepLines/>
      <w:spacing w:before="80"/>
      <w:ind w:left="709"/>
    </w:pPr>
    <w:rPr>
      <w:sz w:val="22"/>
      <w:szCs w:val="20"/>
    </w:rPr>
  </w:style>
  <w:style w:type="paragraph" w:customStyle="1" w:styleId="ItemHead">
    <w:name w:val="ItemHead"/>
    <w:aliases w:val="ih"/>
    <w:basedOn w:val="Normal"/>
    <w:next w:val="Item"/>
    <w:rsid w:val="00003124"/>
    <w:pPr>
      <w:keepNext/>
      <w:keepLines/>
      <w:spacing w:before="220"/>
      <w:ind w:left="709" w:hanging="709"/>
    </w:pPr>
    <w:rPr>
      <w:rFonts w:ascii="Arial" w:hAnsi="Arial"/>
      <w:b/>
      <w:kern w:val="28"/>
      <w:szCs w:val="20"/>
    </w:rPr>
  </w:style>
  <w:style w:type="paragraph" w:customStyle="1" w:styleId="notetext0">
    <w:name w:val="note(text)"/>
    <w:aliases w:val="n"/>
    <w:basedOn w:val="Normal"/>
    <w:rsid w:val="00003124"/>
    <w:pPr>
      <w:spacing w:before="122" w:line="198" w:lineRule="exact"/>
      <w:ind w:left="1985" w:hanging="851"/>
    </w:pPr>
    <w:rPr>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877382">
      <w:bodyDiv w:val="1"/>
      <w:marLeft w:val="0"/>
      <w:marRight w:val="0"/>
      <w:marTop w:val="0"/>
      <w:marBottom w:val="0"/>
      <w:divBdr>
        <w:top w:val="none" w:sz="0" w:space="0" w:color="auto"/>
        <w:left w:val="none" w:sz="0" w:space="0" w:color="auto"/>
        <w:bottom w:val="none" w:sz="0" w:space="0" w:color="auto"/>
        <w:right w:val="none" w:sz="0" w:space="0" w:color="auto"/>
      </w:divBdr>
    </w:div>
    <w:div w:id="991837429">
      <w:bodyDiv w:val="1"/>
      <w:marLeft w:val="0"/>
      <w:marRight w:val="0"/>
      <w:marTop w:val="0"/>
      <w:marBottom w:val="0"/>
      <w:divBdr>
        <w:top w:val="none" w:sz="0" w:space="0" w:color="auto"/>
        <w:left w:val="none" w:sz="0" w:space="0" w:color="auto"/>
        <w:bottom w:val="none" w:sz="0" w:space="0" w:color="auto"/>
        <w:right w:val="none" w:sz="0" w:space="0" w:color="auto"/>
      </w:divBdr>
    </w:div>
    <w:div w:id="1024596833">
      <w:bodyDiv w:val="1"/>
      <w:marLeft w:val="0"/>
      <w:marRight w:val="0"/>
      <w:marTop w:val="0"/>
      <w:marBottom w:val="0"/>
      <w:divBdr>
        <w:top w:val="none" w:sz="0" w:space="0" w:color="auto"/>
        <w:left w:val="none" w:sz="0" w:space="0" w:color="auto"/>
        <w:bottom w:val="none" w:sz="0" w:space="0" w:color="auto"/>
        <w:right w:val="none" w:sz="0" w:space="0" w:color="auto"/>
      </w:divBdr>
    </w:div>
    <w:div w:id="1058820450">
      <w:bodyDiv w:val="1"/>
      <w:marLeft w:val="0"/>
      <w:marRight w:val="0"/>
      <w:marTop w:val="0"/>
      <w:marBottom w:val="0"/>
      <w:divBdr>
        <w:top w:val="none" w:sz="0" w:space="0" w:color="auto"/>
        <w:left w:val="none" w:sz="0" w:space="0" w:color="auto"/>
        <w:bottom w:val="none" w:sz="0" w:space="0" w:color="auto"/>
        <w:right w:val="none" w:sz="0" w:space="0" w:color="auto"/>
      </w:divBdr>
      <w:divsChild>
        <w:div w:id="2130926633">
          <w:marLeft w:val="0"/>
          <w:marRight w:val="0"/>
          <w:marTop w:val="0"/>
          <w:marBottom w:val="0"/>
          <w:divBdr>
            <w:top w:val="none" w:sz="0" w:space="0" w:color="auto"/>
            <w:left w:val="none" w:sz="0" w:space="0" w:color="auto"/>
            <w:bottom w:val="none" w:sz="0" w:space="0" w:color="auto"/>
            <w:right w:val="none" w:sz="0" w:space="0" w:color="auto"/>
          </w:divBdr>
          <w:divsChild>
            <w:div w:id="1104032541">
              <w:marLeft w:val="0"/>
              <w:marRight w:val="0"/>
              <w:marTop w:val="0"/>
              <w:marBottom w:val="0"/>
              <w:divBdr>
                <w:top w:val="none" w:sz="0" w:space="0" w:color="auto"/>
                <w:left w:val="none" w:sz="0" w:space="0" w:color="auto"/>
                <w:bottom w:val="none" w:sz="0" w:space="0" w:color="auto"/>
                <w:right w:val="none" w:sz="0" w:space="0" w:color="auto"/>
              </w:divBdr>
              <w:divsChild>
                <w:div w:id="137890331">
                  <w:marLeft w:val="0"/>
                  <w:marRight w:val="0"/>
                  <w:marTop w:val="0"/>
                  <w:marBottom w:val="0"/>
                  <w:divBdr>
                    <w:top w:val="none" w:sz="0" w:space="0" w:color="auto"/>
                    <w:left w:val="none" w:sz="0" w:space="0" w:color="auto"/>
                    <w:bottom w:val="none" w:sz="0" w:space="0" w:color="auto"/>
                    <w:right w:val="none" w:sz="0" w:space="0" w:color="auto"/>
                  </w:divBdr>
                  <w:divsChild>
                    <w:div w:id="1030452626">
                      <w:marLeft w:val="0"/>
                      <w:marRight w:val="0"/>
                      <w:marTop w:val="0"/>
                      <w:marBottom w:val="0"/>
                      <w:divBdr>
                        <w:top w:val="none" w:sz="0" w:space="0" w:color="auto"/>
                        <w:left w:val="none" w:sz="0" w:space="0" w:color="auto"/>
                        <w:bottom w:val="none" w:sz="0" w:space="0" w:color="auto"/>
                        <w:right w:val="none" w:sz="0" w:space="0" w:color="auto"/>
                      </w:divBdr>
                      <w:divsChild>
                        <w:div w:id="927033046">
                          <w:marLeft w:val="0"/>
                          <w:marRight w:val="0"/>
                          <w:marTop w:val="0"/>
                          <w:marBottom w:val="0"/>
                          <w:divBdr>
                            <w:top w:val="none" w:sz="0" w:space="0" w:color="auto"/>
                            <w:left w:val="none" w:sz="0" w:space="0" w:color="auto"/>
                            <w:bottom w:val="none" w:sz="0" w:space="0" w:color="auto"/>
                            <w:right w:val="none" w:sz="0" w:space="0" w:color="auto"/>
                          </w:divBdr>
                          <w:divsChild>
                            <w:div w:id="1363901694">
                              <w:marLeft w:val="0"/>
                              <w:marRight w:val="0"/>
                              <w:marTop w:val="0"/>
                              <w:marBottom w:val="0"/>
                              <w:divBdr>
                                <w:top w:val="single" w:sz="6" w:space="0" w:color="828282"/>
                                <w:left w:val="single" w:sz="6" w:space="0" w:color="828282"/>
                                <w:bottom w:val="single" w:sz="6" w:space="0" w:color="828282"/>
                                <w:right w:val="single" w:sz="6" w:space="0" w:color="828282"/>
                              </w:divBdr>
                              <w:divsChild>
                                <w:div w:id="1954631891">
                                  <w:marLeft w:val="0"/>
                                  <w:marRight w:val="0"/>
                                  <w:marTop w:val="0"/>
                                  <w:marBottom w:val="0"/>
                                  <w:divBdr>
                                    <w:top w:val="none" w:sz="0" w:space="0" w:color="auto"/>
                                    <w:left w:val="none" w:sz="0" w:space="0" w:color="auto"/>
                                    <w:bottom w:val="none" w:sz="0" w:space="0" w:color="auto"/>
                                    <w:right w:val="none" w:sz="0" w:space="0" w:color="auto"/>
                                  </w:divBdr>
                                  <w:divsChild>
                                    <w:div w:id="1854681161">
                                      <w:marLeft w:val="0"/>
                                      <w:marRight w:val="0"/>
                                      <w:marTop w:val="0"/>
                                      <w:marBottom w:val="0"/>
                                      <w:divBdr>
                                        <w:top w:val="none" w:sz="0" w:space="0" w:color="auto"/>
                                        <w:left w:val="none" w:sz="0" w:space="0" w:color="auto"/>
                                        <w:bottom w:val="none" w:sz="0" w:space="0" w:color="auto"/>
                                        <w:right w:val="none" w:sz="0" w:space="0" w:color="auto"/>
                                      </w:divBdr>
                                      <w:divsChild>
                                        <w:div w:id="2143383642">
                                          <w:marLeft w:val="0"/>
                                          <w:marRight w:val="0"/>
                                          <w:marTop w:val="0"/>
                                          <w:marBottom w:val="0"/>
                                          <w:divBdr>
                                            <w:top w:val="none" w:sz="0" w:space="0" w:color="auto"/>
                                            <w:left w:val="none" w:sz="0" w:space="0" w:color="auto"/>
                                            <w:bottom w:val="none" w:sz="0" w:space="0" w:color="auto"/>
                                            <w:right w:val="none" w:sz="0" w:space="0" w:color="auto"/>
                                          </w:divBdr>
                                          <w:divsChild>
                                            <w:div w:id="1472288430">
                                              <w:marLeft w:val="0"/>
                                              <w:marRight w:val="0"/>
                                              <w:marTop w:val="0"/>
                                              <w:marBottom w:val="0"/>
                                              <w:divBdr>
                                                <w:top w:val="none" w:sz="0" w:space="0" w:color="auto"/>
                                                <w:left w:val="none" w:sz="0" w:space="0" w:color="auto"/>
                                                <w:bottom w:val="none" w:sz="0" w:space="0" w:color="auto"/>
                                                <w:right w:val="none" w:sz="0" w:space="0" w:color="auto"/>
                                              </w:divBdr>
                                              <w:divsChild>
                                                <w:div w:id="2073307221">
                                                  <w:marLeft w:val="0"/>
                                                  <w:marRight w:val="0"/>
                                                  <w:marTop w:val="0"/>
                                                  <w:marBottom w:val="0"/>
                                                  <w:divBdr>
                                                    <w:top w:val="none" w:sz="0" w:space="0" w:color="auto"/>
                                                    <w:left w:val="none" w:sz="0" w:space="0" w:color="auto"/>
                                                    <w:bottom w:val="none" w:sz="0" w:space="0" w:color="auto"/>
                                                    <w:right w:val="none" w:sz="0" w:space="0" w:color="auto"/>
                                                  </w:divBdr>
                                                  <w:divsChild>
                                                    <w:div w:id="49650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8960424">
      <w:bodyDiv w:val="1"/>
      <w:marLeft w:val="0"/>
      <w:marRight w:val="0"/>
      <w:marTop w:val="0"/>
      <w:marBottom w:val="0"/>
      <w:divBdr>
        <w:top w:val="none" w:sz="0" w:space="0" w:color="auto"/>
        <w:left w:val="none" w:sz="0" w:space="0" w:color="auto"/>
        <w:bottom w:val="none" w:sz="0" w:space="0" w:color="auto"/>
        <w:right w:val="none" w:sz="0" w:space="0" w:color="auto"/>
      </w:divBdr>
    </w:div>
    <w:div w:id="1157108180">
      <w:bodyDiv w:val="1"/>
      <w:marLeft w:val="0"/>
      <w:marRight w:val="0"/>
      <w:marTop w:val="0"/>
      <w:marBottom w:val="0"/>
      <w:divBdr>
        <w:top w:val="none" w:sz="0" w:space="0" w:color="auto"/>
        <w:left w:val="none" w:sz="0" w:space="0" w:color="auto"/>
        <w:bottom w:val="none" w:sz="0" w:space="0" w:color="auto"/>
        <w:right w:val="none" w:sz="0" w:space="0" w:color="auto"/>
      </w:divBdr>
    </w:div>
    <w:div w:id="1316034537">
      <w:bodyDiv w:val="1"/>
      <w:marLeft w:val="0"/>
      <w:marRight w:val="0"/>
      <w:marTop w:val="0"/>
      <w:marBottom w:val="0"/>
      <w:divBdr>
        <w:top w:val="none" w:sz="0" w:space="0" w:color="auto"/>
        <w:left w:val="none" w:sz="0" w:space="0" w:color="auto"/>
        <w:bottom w:val="none" w:sz="0" w:space="0" w:color="auto"/>
        <w:right w:val="none" w:sz="0" w:space="0" w:color="auto"/>
      </w:divBdr>
      <w:divsChild>
        <w:div w:id="90009096">
          <w:marLeft w:val="0"/>
          <w:marRight w:val="0"/>
          <w:marTop w:val="0"/>
          <w:marBottom w:val="0"/>
          <w:divBdr>
            <w:top w:val="none" w:sz="0" w:space="0" w:color="auto"/>
            <w:left w:val="none" w:sz="0" w:space="0" w:color="auto"/>
            <w:bottom w:val="none" w:sz="0" w:space="0" w:color="auto"/>
            <w:right w:val="none" w:sz="0" w:space="0" w:color="auto"/>
          </w:divBdr>
          <w:divsChild>
            <w:div w:id="1167671300">
              <w:marLeft w:val="0"/>
              <w:marRight w:val="0"/>
              <w:marTop w:val="0"/>
              <w:marBottom w:val="0"/>
              <w:divBdr>
                <w:top w:val="none" w:sz="0" w:space="0" w:color="auto"/>
                <w:left w:val="none" w:sz="0" w:space="0" w:color="auto"/>
                <w:bottom w:val="none" w:sz="0" w:space="0" w:color="auto"/>
                <w:right w:val="none" w:sz="0" w:space="0" w:color="auto"/>
              </w:divBdr>
              <w:divsChild>
                <w:div w:id="1093933860">
                  <w:marLeft w:val="0"/>
                  <w:marRight w:val="0"/>
                  <w:marTop w:val="0"/>
                  <w:marBottom w:val="0"/>
                  <w:divBdr>
                    <w:top w:val="none" w:sz="0" w:space="0" w:color="auto"/>
                    <w:left w:val="none" w:sz="0" w:space="0" w:color="auto"/>
                    <w:bottom w:val="none" w:sz="0" w:space="0" w:color="auto"/>
                    <w:right w:val="none" w:sz="0" w:space="0" w:color="auto"/>
                  </w:divBdr>
                  <w:divsChild>
                    <w:div w:id="1986886940">
                      <w:marLeft w:val="0"/>
                      <w:marRight w:val="0"/>
                      <w:marTop w:val="0"/>
                      <w:marBottom w:val="0"/>
                      <w:divBdr>
                        <w:top w:val="none" w:sz="0" w:space="0" w:color="auto"/>
                        <w:left w:val="none" w:sz="0" w:space="0" w:color="auto"/>
                        <w:bottom w:val="none" w:sz="0" w:space="0" w:color="auto"/>
                        <w:right w:val="none" w:sz="0" w:space="0" w:color="auto"/>
                      </w:divBdr>
                      <w:divsChild>
                        <w:div w:id="834996828">
                          <w:marLeft w:val="0"/>
                          <w:marRight w:val="0"/>
                          <w:marTop w:val="0"/>
                          <w:marBottom w:val="0"/>
                          <w:divBdr>
                            <w:top w:val="single" w:sz="6" w:space="0" w:color="828282"/>
                            <w:left w:val="single" w:sz="6" w:space="0" w:color="828282"/>
                            <w:bottom w:val="single" w:sz="6" w:space="0" w:color="828282"/>
                            <w:right w:val="single" w:sz="6" w:space="0" w:color="828282"/>
                          </w:divBdr>
                          <w:divsChild>
                            <w:div w:id="1590652336">
                              <w:marLeft w:val="0"/>
                              <w:marRight w:val="0"/>
                              <w:marTop w:val="0"/>
                              <w:marBottom w:val="0"/>
                              <w:divBdr>
                                <w:top w:val="none" w:sz="0" w:space="0" w:color="auto"/>
                                <w:left w:val="none" w:sz="0" w:space="0" w:color="auto"/>
                                <w:bottom w:val="none" w:sz="0" w:space="0" w:color="auto"/>
                                <w:right w:val="none" w:sz="0" w:space="0" w:color="auto"/>
                              </w:divBdr>
                              <w:divsChild>
                                <w:div w:id="1953785348">
                                  <w:marLeft w:val="0"/>
                                  <w:marRight w:val="0"/>
                                  <w:marTop w:val="0"/>
                                  <w:marBottom w:val="0"/>
                                  <w:divBdr>
                                    <w:top w:val="none" w:sz="0" w:space="0" w:color="auto"/>
                                    <w:left w:val="none" w:sz="0" w:space="0" w:color="auto"/>
                                    <w:bottom w:val="none" w:sz="0" w:space="0" w:color="auto"/>
                                    <w:right w:val="none" w:sz="0" w:space="0" w:color="auto"/>
                                  </w:divBdr>
                                  <w:divsChild>
                                    <w:div w:id="409232700">
                                      <w:marLeft w:val="0"/>
                                      <w:marRight w:val="0"/>
                                      <w:marTop w:val="0"/>
                                      <w:marBottom w:val="0"/>
                                      <w:divBdr>
                                        <w:top w:val="none" w:sz="0" w:space="0" w:color="auto"/>
                                        <w:left w:val="none" w:sz="0" w:space="0" w:color="auto"/>
                                        <w:bottom w:val="none" w:sz="0" w:space="0" w:color="auto"/>
                                        <w:right w:val="none" w:sz="0" w:space="0" w:color="auto"/>
                                      </w:divBdr>
                                      <w:divsChild>
                                        <w:div w:id="1620721872">
                                          <w:marLeft w:val="0"/>
                                          <w:marRight w:val="0"/>
                                          <w:marTop w:val="0"/>
                                          <w:marBottom w:val="0"/>
                                          <w:divBdr>
                                            <w:top w:val="none" w:sz="0" w:space="0" w:color="auto"/>
                                            <w:left w:val="none" w:sz="0" w:space="0" w:color="auto"/>
                                            <w:bottom w:val="none" w:sz="0" w:space="0" w:color="auto"/>
                                            <w:right w:val="none" w:sz="0" w:space="0" w:color="auto"/>
                                          </w:divBdr>
                                          <w:divsChild>
                                            <w:div w:id="1421097036">
                                              <w:marLeft w:val="0"/>
                                              <w:marRight w:val="0"/>
                                              <w:marTop w:val="0"/>
                                              <w:marBottom w:val="0"/>
                                              <w:divBdr>
                                                <w:top w:val="none" w:sz="0" w:space="0" w:color="auto"/>
                                                <w:left w:val="none" w:sz="0" w:space="0" w:color="auto"/>
                                                <w:bottom w:val="none" w:sz="0" w:space="0" w:color="auto"/>
                                                <w:right w:val="none" w:sz="0" w:space="0" w:color="auto"/>
                                              </w:divBdr>
                                              <w:divsChild>
                                                <w:div w:id="145845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3188802">
      <w:bodyDiv w:val="1"/>
      <w:marLeft w:val="0"/>
      <w:marRight w:val="0"/>
      <w:marTop w:val="0"/>
      <w:marBottom w:val="0"/>
      <w:divBdr>
        <w:top w:val="none" w:sz="0" w:space="0" w:color="auto"/>
        <w:left w:val="none" w:sz="0" w:space="0" w:color="auto"/>
        <w:bottom w:val="none" w:sz="0" w:space="0" w:color="auto"/>
        <w:right w:val="none" w:sz="0" w:space="0" w:color="auto"/>
      </w:divBdr>
    </w:div>
    <w:div w:id="1691909875">
      <w:bodyDiv w:val="1"/>
      <w:marLeft w:val="0"/>
      <w:marRight w:val="0"/>
      <w:marTop w:val="0"/>
      <w:marBottom w:val="0"/>
      <w:divBdr>
        <w:top w:val="none" w:sz="0" w:space="0" w:color="auto"/>
        <w:left w:val="none" w:sz="0" w:space="0" w:color="auto"/>
        <w:bottom w:val="none" w:sz="0" w:space="0" w:color="auto"/>
        <w:right w:val="none" w:sz="0" w:space="0" w:color="auto"/>
      </w:divBdr>
    </w:div>
    <w:div w:id="1783069968">
      <w:bodyDiv w:val="1"/>
      <w:marLeft w:val="0"/>
      <w:marRight w:val="0"/>
      <w:marTop w:val="0"/>
      <w:marBottom w:val="0"/>
      <w:divBdr>
        <w:top w:val="none" w:sz="0" w:space="0" w:color="auto"/>
        <w:left w:val="none" w:sz="0" w:space="0" w:color="auto"/>
        <w:bottom w:val="none" w:sz="0" w:space="0" w:color="auto"/>
        <w:right w:val="none" w:sz="0" w:space="0" w:color="auto"/>
      </w:divBdr>
      <w:divsChild>
        <w:div w:id="35158084">
          <w:marLeft w:val="0"/>
          <w:marRight w:val="0"/>
          <w:marTop w:val="0"/>
          <w:marBottom w:val="0"/>
          <w:divBdr>
            <w:top w:val="none" w:sz="0" w:space="0" w:color="auto"/>
            <w:left w:val="none" w:sz="0" w:space="0" w:color="auto"/>
            <w:bottom w:val="none" w:sz="0" w:space="0" w:color="auto"/>
            <w:right w:val="none" w:sz="0" w:space="0" w:color="auto"/>
          </w:divBdr>
          <w:divsChild>
            <w:div w:id="1872065724">
              <w:marLeft w:val="0"/>
              <w:marRight w:val="0"/>
              <w:marTop w:val="0"/>
              <w:marBottom w:val="0"/>
              <w:divBdr>
                <w:top w:val="none" w:sz="0" w:space="0" w:color="auto"/>
                <w:left w:val="none" w:sz="0" w:space="0" w:color="auto"/>
                <w:bottom w:val="none" w:sz="0" w:space="0" w:color="auto"/>
                <w:right w:val="none" w:sz="0" w:space="0" w:color="auto"/>
              </w:divBdr>
              <w:divsChild>
                <w:div w:id="44959634">
                  <w:marLeft w:val="0"/>
                  <w:marRight w:val="0"/>
                  <w:marTop w:val="0"/>
                  <w:marBottom w:val="0"/>
                  <w:divBdr>
                    <w:top w:val="none" w:sz="0" w:space="0" w:color="auto"/>
                    <w:left w:val="none" w:sz="0" w:space="0" w:color="auto"/>
                    <w:bottom w:val="none" w:sz="0" w:space="0" w:color="auto"/>
                    <w:right w:val="none" w:sz="0" w:space="0" w:color="auto"/>
                  </w:divBdr>
                  <w:divsChild>
                    <w:div w:id="48772810">
                      <w:marLeft w:val="0"/>
                      <w:marRight w:val="0"/>
                      <w:marTop w:val="0"/>
                      <w:marBottom w:val="0"/>
                      <w:divBdr>
                        <w:top w:val="none" w:sz="0" w:space="0" w:color="auto"/>
                        <w:left w:val="none" w:sz="0" w:space="0" w:color="auto"/>
                        <w:bottom w:val="none" w:sz="0" w:space="0" w:color="auto"/>
                        <w:right w:val="none" w:sz="0" w:space="0" w:color="auto"/>
                      </w:divBdr>
                      <w:divsChild>
                        <w:div w:id="1830946756">
                          <w:marLeft w:val="0"/>
                          <w:marRight w:val="0"/>
                          <w:marTop w:val="0"/>
                          <w:marBottom w:val="0"/>
                          <w:divBdr>
                            <w:top w:val="single" w:sz="6" w:space="0" w:color="828282"/>
                            <w:left w:val="single" w:sz="6" w:space="0" w:color="828282"/>
                            <w:bottom w:val="single" w:sz="6" w:space="0" w:color="828282"/>
                            <w:right w:val="single" w:sz="6" w:space="0" w:color="828282"/>
                          </w:divBdr>
                          <w:divsChild>
                            <w:div w:id="1207257119">
                              <w:marLeft w:val="0"/>
                              <w:marRight w:val="0"/>
                              <w:marTop w:val="0"/>
                              <w:marBottom w:val="0"/>
                              <w:divBdr>
                                <w:top w:val="none" w:sz="0" w:space="0" w:color="auto"/>
                                <w:left w:val="none" w:sz="0" w:space="0" w:color="auto"/>
                                <w:bottom w:val="none" w:sz="0" w:space="0" w:color="auto"/>
                                <w:right w:val="none" w:sz="0" w:space="0" w:color="auto"/>
                              </w:divBdr>
                              <w:divsChild>
                                <w:div w:id="455874170">
                                  <w:marLeft w:val="0"/>
                                  <w:marRight w:val="0"/>
                                  <w:marTop w:val="0"/>
                                  <w:marBottom w:val="0"/>
                                  <w:divBdr>
                                    <w:top w:val="none" w:sz="0" w:space="0" w:color="auto"/>
                                    <w:left w:val="none" w:sz="0" w:space="0" w:color="auto"/>
                                    <w:bottom w:val="none" w:sz="0" w:space="0" w:color="auto"/>
                                    <w:right w:val="none" w:sz="0" w:space="0" w:color="auto"/>
                                  </w:divBdr>
                                  <w:divsChild>
                                    <w:div w:id="752358334">
                                      <w:marLeft w:val="0"/>
                                      <w:marRight w:val="0"/>
                                      <w:marTop w:val="0"/>
                                      <w:marBottom w:val="0"/>
                                      <w:divBdr>
                                        <w:top w:val="none" w:sz="0" w:space="0" w:color="auto"/>
                                        <w:left w:val="none" w:sz="0" w:space="0" w:color="auto"/>
                                        <w:bottom w:val="none" w:sz="0" w:space="0" w:color="auto"/>
                                        <w:right w:val="none" w:sz="0" w:space="0" w:color="auto"/>
                                      </w:divBdr>
                                      <w:divsChild>
                                        <w:div w:id="1386641294">
                                          <w:marLeft w:val="0"/>
                                          <w:marRight w:val="0"/>
                                          <w:marTop w:val="0"/>
                                          <w:marBottom w:val="0"/>
                                          <w:divBdr>
                                            <w:top w:val="none" w:sz="0" w:space="0" w:color="auto"/>
                                            <w:left w:val="none" w:sz="0" w:space="0" w:color="auto"/>
                                            <w:bottom w:val="none" w:sz="0" w:space="0" w:color="auto"/>
                                            <w:right w:val="none" w:sz="0" w:space="0" w:color="auto"/>
                                          </w:divBdr>
                                          <w:divsChild>
                                            <w:div w:id="2126851544">
                                              <w:marLeft w:val="0"/>
                                              <w:marRight w:val="0"/>
                                              <w:marTop w:val="0"/>
                                              <w:marBottom w:val="0"/>
                                              <w:divBdr>
                                                <w:top w:val="none" w:sz="0" w:space="0" w:color="auto"/>
                                                <w:left w:val="none" w:sz="0" w:space="0" w:color="auto"/>
                                                <w:bottom w:val="none" w:sz="0" w:space="0" w:color="auto"/>
                                                <w:right w:val="none" w:sz="0" w:space="0" w:color="auto"/>
                                              </w:divBdr>
                                              <w:divsChild>
                                                <w:div w:id="44088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606190">
      <w:bodyDiv w:val="1"/>
      <w:marLeft w:val="0"/>
      <w:marRight w:val="0"/>
      <w:marTop w:val="0"/>
      <w:marBottom w:val="0"/>
      <w:divBdr>
        <w:top w:val="none" w:sz="0" w:space="0" w:color="auto"/>
        <w:left w:val="none" w:sz="0" w:space="0" w:color="auto"/>
        <w:bottom w:val="none" w:sz="0" w:space="0" w:color="auto"/>
        <w:right w:val="none" w:sz="0" w:space="0" w:color="auto"/>
      </w:divBdr>
    </w:div>
    <w:div w:id="2045012986">
      <w:bodyDiv w:val="1"/>
      <w:marLeft w:val="0"/>
      <w:marRight w:val="0"/>
      <w:marTop w:val="0"/>
      <w:marBottom w:val="0"/>
      <w:divBdr>
        <w:top w:val="none" w:sz="0" w:space="0" w:color="auto"/>
        <w:left w:val="none" w:sz="0" w:space="0" w:color="auto"/>
        <w:bottom w:val="none" w:sz="0" w:space="0" w:color="auto"/>
        <w:right w:val="none" w:sz="0" w:space="0" w:color="auto"/>
      </w:divBdr>
      <w:divsChild>
        <w:div w:id="1885555704">
          <w:marLeft w:val="0"/>
          <w:marRight w:val="0"/>
          <w:marTop w:val="0"/>
          <w:marBottom w:val="0"/>
          <w:divBdr>
            <w:top w:val="none" w:sz="0" w:space="0" w:color="auto"/>
            <w:left w:val="none" w:sz="0" w:space="0" w:color="auto"/>
            <w:bottom w:val="none" w:sz="0" w:space="0" w:color="auto"/>
            <w:right w:val="none" w:sz="0" w:space="0" w:color="auto"/>
          </w:divBdr>
          <w:divsChild>
            <w:div w:id="1384980742">
              <w:marLeft w:val="0"/>
              <w:marRight w:val="0"/>
              <w:marTop w:val="0"/>
              <w:marBottom w:val="0"/>
              <w:divBdr>
                <w:top w:val="none" w:sz="0" w:space="0" w:color="auto"/>
                <w:left w:val="none" w:sz="0" w:space="0" w:color="auto"/>
                <w:bottom w:val="none" w:sz="0" w:space="0" w:color="auto"/>
                <w:right w:val="none" w:sz="0" w:space="0" w:color="auto"/>
              </w:divBdr>
              <w:divsChild>
                <w:div w:id="1411152503">
                  <w:marLeft w:val="0"/>
                  <w:marRight w:val="0"/>
                  <w:marTop w:val="0"/>
                  <w:marBottom w:val="0"/>
                  <w:divBdr>
                    <w:top w:val="none" w:sz="0" w:space="0" w:color="auto"/>
                    <w:left w:val="none" w:sz="0" w:space="0" w:color="auto"/>
                    <w:bottom w:val="none" w:sz="0" w:space="0" w:color="auto"/>
                    <w:right w:val="none" w:sz="0" w:space="0" w:color="auto"/>
                  </w:divBdr>
                  <w:divsChild>
                    <w:div w:id="670064462">
                      <w:marLeft w:val="0"/>
                      <w:marRight w:val="0"/>
                      <w:marTop w:val="0"/>
                      <w:marBottom w:val="0"/>
                      <w:divBdr>
                        <w:top w:val="none" w:sz="0" w:space="0" w:color="auto"/>
                        <w:left w:val="none" w:sz="0" w:space="0" w:color="auto"/>
                        <w:bottom w:val="none" w:sz="0" w:space="0" w:color="auto"/>
                        <w:right w:val="none" w:sz="0" w:space="0" w:color="auto"/>
                      </w:divBdr>
                      <w:divsChild>
                        <w:div w:id="359286683">
                          <w:marLeft w:val="0"/>
                          <w:marRight w:val="0"/>
                          <w:marTop w:val="0"/>
                          <w:marBottom w:val="0"/>
                          <w:divBdr>
                            <w:top w:val="none" w:sz="0" w:space="0" w:color="auto"/>
                            <w:left w:val="none" w:sz="0" w:space="0" w:color="auto"/>
                            <w:bottom w:val="none" w:sz="0" w:space="0" w:color="auto"/>
                            <w:right w:val="none" w:sz="0" w:space="0" w:color="auto"/>
                          </w:divBdr>
                          <w:divsChild>
                            <w:div w:id="1625843359">
                              <w:marLeft w:val="0"/>
                              <w:marRight w:val="0"/>
                              <w:marTop w:val="0"/>
                              <w:marBottom w:val="0"/>
                              <w:divBdr>
                                <w:top w:val="none" w:sz="0" w:space="0" w:color="auto"/>
                                <w:left w:val="none" w:sz="0" w:space="0" w:color="auto"/>
                                <w:bottom w:val="none" w:sz="0" w:space="0" w:color="auto"/>
                                <w:right w:val="none" w:sz="0" w:space="0" w:color="auto"/>
                              </w:divBdr>
                              <w:divsChild>
                                <w:div w:id="1440104158">
                                  <w:marLeft w:val="0"/>
                                  <w:marRight w:val="0"/>
                                  <w:marTop w:val="0"/>
                                  <w:marBottom w:val="0"/>
                                  <w:divBdr>
                                    <w:top w:val="none" w:sz="0" w:space="0" w:color="auto"/>
                                    <w:left w:val="none" w:sz="0" w:space="0" w:color="auto"/>
                                    <w:bottom w:val="none" w:sz="0" w:space="0" w:color="auto"/>
                                    <w:right w:val="none" w:sz="0" w:space="0" w:color="auto"/>
                                  </w:divBdr>
                                  <w:divsChild>
                                    <w:div w:id="1194076372">
                                      <w:marLeft w:val="0"/>
                                      <w:marRight w:val="0"/>
                                      <w:marTop w:val="0"/>
                                      <w:marBottom w:val="0"/>
                                      <w:divBdr>
                                        <w:top w:val="none" w:sz="0" w:space="0" w:color="auto"/>
                                        <w:left w:val="none" w:sz="0" w:space="0" w:color="auto"/>
                                        <w:bottom w:val="none" w:sz="0" w:space="0" w:color="auto"/>
                                        <w:right w:val="none" w:sz="0" w:space="0" w:color="auto"/>
                                      </w:divBdr>
                                      <w:divsChild>
                                        <w:div w:id="2046252347">
                                          <w:marLeft w:val="0"/>
                                          <w:marRight w:val="0"/>
                                          <w:marTop w:val="0"/>
                                          <w:marBottom w:val="0"/>
                                          <w:divBdr>
                                            <w:top w:val="none" w:sz="0" w:space="0" w:color="auto"/>
                                            <w:left w:val="none" w:sz="0" w:space="0" w:color="auto"/>
                                            <w:bottom w:val="none" w:sz="0" w:space="0" w:color="auto"/>
                                            <w:right w:val="none" w:sz="0" w:space="0" w:color="auto"/>
                                          </w:divBdr>
                                          <w:divsChild>
                                            <w:div w:id="758674583">
                                              <w:marLeft w:val="0"/>
                                              <w:marRight w:val="0"/>
                                              <w:marTop w:val="0"/>
                                              <w:marBottom w:val="0"/>
                                              <w:divBdr>
                                                <w:top w:val="none" w:sz="0" w:space="0" w:color="auto"/>
                                                <w:left w:val="none" w:sz="0" w:space="0" w:color="auto"/>
                                                <w:bottom w:val="none" w:sz="0" w:space="0" w:color="auto"/>
                                                <w:right w:val="none" w:sz="0" w:space="0" w:color="auto"/>
                                              </w:divBdr>
                                              <w:divsChild>
                                                <w:div w:id="495000632">
                                                  <w:marLeft w:val="0"/>
                                                  <w:marRight w:val="0"/>
                                                  <w:marTop w:val="0"/>
                                                  <w:marBottom w:val="0"/>
                                                  <w:divBdr>
                                                    <w:top w:val="none" w:sz="0" w:space="0" w:color="auto"/>
                                                    <w:left w:val="none" w:sz="0" w:space="0" w:color="auto"/>
                                                    <w:bottom w:val="none" w:sz="0" w:space="0" w:color="auto"/>
                                                    <w:right w:val="none" w:sz="0" w:space="0" w:color="auto"/>
                                                  </w:divBdr>
                                                  <w:divsChild>
                                                    <w:div w:id="238637413">
                                                      <w:marLeft w:val="0"/>
                                                      <w:marRight w:val="0"/>
                                                      <w:marTop w:val="0"/>
                                                      <w:marBottom w:val="0"/>
                                                      <w:divBdr>
                                                        <w:top w:val="none" w:sz="0" w:space="0" w:color="auto"/>
                                                        <w:left w:val="none" w:sz="0" w:space="0" w:color="auto"/>
                                                        <w:bottom w:val="none" w:sz="0" w:space="0" w:color="auto"/>
                                                        <w:right w:val="none" w:sz="0" w:space="0" w:color="auto"/>
                                                      </w:divBdr>
                                                      <w:divsChild>
                                                        <w:div w:id="199121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328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DED2C-99A3-4CF9-99FE-D3B2694A2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1575</Words>
  <Characters>8979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Burford</dc:creator>
  <cp:lastModifiedBy>SOMI, Masha</cp:lastModifiedBy>
  <cp:revision>6</cp:revision>
  <cp:lastPrinted>2018-09-05T00:15:00Z</cp:lastPrinted>
  <dcterms:created xsi:type="dcterms:W3CDTF">2019-04-03T02:47:00Z</dcterms:created>
  <dcterms:modified xsi:type="dcterms:W3CDTF">2019-04-03T04:08:00Z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