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3D762" w14:textId="1F31896E" w:rsidR="002E3895" w:rsidRPr="005F09F7" w:rsidRDefault="00D45DFF" w:rsidP="0086430F">
      <w:pPr>
        <w:pStyle w:val="Title"/>
      </w:pPr>
      <w:r w:rsidRPr="00727908">
        <w:t>EXPLANATORY STATEMENT</w:t>
      </w:r>
    </w:p>
    <w:p w14:paraId="4F93D763" w14:textId="55F3B6F2" w:rsidR="000D0E22" w:rsidRPr="005F09F7" w:rsidRDefault="001D2EB8" w:rsidP="00727908">
      <w:pPr>
        <w:pStyle w:val="Subtitle"/>
      </w:pPr>
      <w:r w:rsidRPr="001D2EB8">
        <w:t>Competition and Consumer Act 2010</w:t>
      </w:r>
    </w:p>
    <w:p w14:paraId="4F93D764" w14:textId="3C91FECF" w:rsidR="000D0E22" w:rsidRPr="001D2EB8" w:rsidRDefault="001D2EB8" w:rsidP="00727908">
      <w:pPr>
        <w:pStyle w:val="Subtitle"/>
      </w:pPr>
      <w:r w:rsidRPr="001D2EB8">
        <w:t xml:space="preserve">Competition and Consumer (Industry Code </w:t>
      </w:r>
      <w:r w:rsidR="00A37C64">
        <w:t>-</w:t>
      </w:r>
      <w:r w:rsidRPr="001D2EB8">
        <w:t xml:space="preserve"> Electricity Retail) Regulations</w:t>
      </w:r>
      <w:r w:rsidR="00E255FA">
        <w:t xml:space="preserve"> </w:t>
      </w:r>
      <w:r w:rsidR="00346AEC" w:rsidRPr="00C808D9">
        <w:t>2019</w:t>
      </w:r>
    </w:p>
    <w:p w14:paraId="4F93D765" w14:textId="2CB9C329" w:rsidR="004E0E3B" w:rsidRDefault="004E0E3B" w:rsidP="005836CC">
      <w:pPr>
        <w:pStyle w:val="Sub-subtitle"/>
      </w:pPr>
      <w:r>
        <w:t>(</w:t>
      </w:r>
      <w:r w:rsidR="001D2EB8">
        <w:t xml:space="preserve">Issued by the authority of the </w:t>
      </w:r>
      <w:r w:rsidR="0086430F" w:rsidRPr="001D2EB8">
        <w:t>Minister for Energy</w:t>
      </w:r>
      <w:r>
        <w:t>)</w:t>
      </w:r>
    </w:p>
    <w:p w14:paraId="4F93D766" w14:textId="77777777" w:rsidR="000D0E22" w:rsidRDefault="004E0E3B" w:rsidP="005F09F7">
      <w:pPr>
        <w:pStyle w:val="Heading1"/>
      </w:pPr>
      <w:r>
        <w:t>Purpose and o</w:t>
      </w:r>
      <w:r w:rsidR="000D0E22" w:rsidRPr="000D0E22">
        <w:t>peration</w:t>
      </w:r>
    </w:p>
    <w:p w14:paraId="4F93D76C" w14:textId="6931C812" w:rsidR="002510F5" w:rsidRDefault="005B42F7" w:rsidP="0098386A">
      <w:pPr>
        <w:spacing w:before="120"/>
      </w:pPr>
      <w:r w:rsidRPr="00EB638E">
        <w:t xml:space="preserve">The </w:t>
      </w:r>
      <w:r w:rsidR="00F53846">
        <w:t>Australian Competition and Consumer Commission (</w:t>
      </w:r>
      <w:r w:rsidRPr="00EB638E">
        <w:t>ACCC</w:t>
      </w:r>
      <w:r w:rsidR="00F53846">
        <w:t>)</w:t>
      </w:r>
      <w:r w:rsidRPr="00EB638E">
        <w:t xml:space="preserve"> recommended</w:t>
      </w:r>
      <w:r>
        <w:t xml:space="preserve"> </w:t>
      </w:r>
      <w:r w:rsidRPr="00EB638E">
        <w:t xml:space="preserve">the </w:t>
      </w:r>
      <w:r>
        <w:t>Australian Energy Regulator</w:t>
      </w:r>
      <w:r w:rsidR="00915E89">
        <w:t xml:space="preserve"> (AER)</w:t>
      </w:r>
      <w:r>
        <w:t xml:space="preserve"> </w:t>
      </w:r>
      <w:r w:rsidR="00F53846">
        <w:t>be given power to set maximum standing offer prices for electricity</w:t>
      </w:r>
      <w:r w:rsidR="00414719">
        <w:t xml:space="preserve"> supplied to small customers</w:t>
      </w:r>
      <w:r>
        <w:t xml:space="preserve">. It also recommended </w:t>
      </w:r>
      <w:r w:rsidR="00F53846">
        <w:t xml:space="preserve">electricity </w:t>
      </w:r>
      <w:r>
        <w:t xml:space="preserve">retailers </w:t>
      </w:r>
      <w:r w:rsidRPr="00EB638E">
        <w:t xml:space="preserve">be required to discount all their offers from a reference </w:t>
      </w:r>
      <w:r w:rsidR="0083526C">
        <w:t>price</w:t>
      </w:r>
      <w:r w:rsidRPr="00EB638E">
        <w:t xml:space="preserve"> set by the </w:t>
      </w:r>
      <w:r w:rsidR="00915E89">
        <w:t>AER</w:t>
      </w:r>
      <w:r>
        <w:t xml:space="preserve">. The </w:t>
      </w:r>
      <w:r w:rsidR="00CF7F34" w:rsidRPr="00935C45">
        <w:rPr>
          <w:i/>
          <w:szCs w:val="24"/>
        </w:rPr>
        <w:t xml:space="preserve">Competition and Consumer (Industry Code - </w:t>
      </w:r>
      <w:r w:rsidR="00CF7F34" w:rsidRPr="00935C45">
        <w:rPr>
          <w:i/>
        </w:rPr>
        <w:t>Electricity Retail) Regulations</w:t>
      </w:r>
      <w:r w:rsidR="00CF7F34">
        <w:rPr>
          <w:i/>
        </w:rPr>
        <w:t xml:space="preserve"> </w:t>
      </w:r>
      <w:r w:rsidR="00346AEC" w:rsidRPr="00C808D9">
        <w:rPr>
          <w:i/>
        </w:rPr>
        <w:t>2019</w:t>
      </w:r>
      <w:r w:rsidR="00346AEC">
        <w:t xml:space="preserve"> </w:t>
      </w:r>
      <w:r w:rsidR="00CF7F34">
        <w:t>(the Regulations) give effect to these recommendations</w:t>
      </w:r>
      <w:r>
        <w:t>.</w:t>
      </w:r>
    </w:p>
    <w:p w14:paraId="111AF4B3" w14:textId="0055C2F5" w:rsidR="005B42F7" w:rsidRDefault="00B50C56" w:rsidP="005B42F7">
      <w:pPr>
        <w:autoSpaceDE w:val="0"/>
        <w:autoSpaceDN w:val="0"/>
      </w:pPr>
      <w:r>
        <w:t>Part 2 of t</w:t>
      </w:r>
      <w:r w:rsidR="005B42F7">
        <w:t>he Regulations prescribe</w:t>
      </w:r>
      <w:r w:rsidR="00414719">
        <w:t>s</w:t>
      </w:r>
      <w:r w:rsidR="005B42F7">
        <w:t xml:space="preserve"> a mandatory industry code for the purposes of Part IVB of the </w:t>
      </w:r>
      <w:r w:rsidR="00F53846">
        <w:rPr>
          <w:i/>
        </w:rPr>
        <w:t>Competition and Consumer Act 2010</w:t>
      </w:r>
      <w:r w:rsidR="005B42F7">
        <w:t xml:space="preserve">. </w:t>
      </w:r>
      <w:r w:rsidR="00CF7F34">
        <w:t>Under the code, standing offer price</w:t>
      </w:r>
      <w:r w:rsidR="00A4344C">
        <w:t>s</w:t>
      </w:r>
      <w:r w:rsidR="00CF7F34">
        <w:t xml:space="preserve"> must not exceed </w:t>
      </w:r>
      <w:r w:rsidR="004648CC">
        <w:t>a</w:t>
      </w:r>
      <w:r w:rsidR="00CF7F34">
        <w:t xml:space="preserve"> price determined by the AER, </w:t>
      </w:r>
      <w:r w:rsidR="003C02B4">
        <w:t xml:space="preserve">small customers must be told how a retailer’s prices compare with the AER-determined price, </w:t>
      </w:r>
      <w:r w:rsidR="004648CC">
        <w:t>the most prominent price</w:t>
      </w:r>
      <w:r w:rsidR="00E86579">
        <w:t>-related</w:t>
      </w:r>
      <w:r w:rsidR="004648CC">
        <w:t xml:space="preserve"> feature in an advertisement must not be a conditional discount</w:t>
      </w:r>
      <w:r w:rsidR="00FF6A1E">
        <w:t>;</w:t>
      </w:r>
      <w:r w:rsidR="0093783A">
        <w:t xml:space="preserve"> </w:t>
      </w:r>
      <w:r w:rsidR="003C02B4">
        <w:t xml:space="preserve">and any conditions </w:t>
      </w:r>
      <w:r w:rsidR="00E86579">
        <w:t>on other</w:t>
      </w:r>
      <w:r w:rsidR="00CF7F34" w:rsidRPr="003C02B4">
        <w:t xml:space="preserve"> discount</w:t>
      </w:r>
      <w:r w:rsidR="0093783A">
        <w:t>s</w:t>
      </w:r>
      <w:r w:rsidR="00CF7F34" w:rsidRPr="003C02B4">
        <w:t xml:space="preserve"> must be </w:t>
      </w:r>
      <w:r w:rsidR="00CD213D">
        <w:t>clearly</w:t>
      </w:r>
      <w:r w:rsidR="003C02B4">
        <w:t xml:space="preserve"> displayed</w:t>
      </w:r>
      <w:r w:rsidR="00CF7F34">
        <w:t xml:space="preserve">. </w:t>
      </w:r>
    </w:p>
    <w:p w14:paraId="68467CEB" w14:textId="509F6EC2" w:rsidR="005B42F7" w:rsidRPr="0072540E" w:rsidRDefault="00B50C56" w:rsidP="00547F8D">
      <w:pPr>
        <w:spacing w:before="120" w:after="120"/>
        <w:rPr>
          <w:rFonts w:cs="Times New Roman"/>
          <w:szCs w:val="24"/>
        </w:rPr>
      </w:pPr>
      <w:r>
        <w:t xml:space="preserve">Part 3 of the </w:t>
      </w:r>
      <w:r w:rsidR="005B42F7" w:rsidRPr="009F1D27">
        <w:t>Regulations confer</w:t>
      </w:r>
      <w:r w:rsidR="00414719">
        <w:t>s</w:t>
      </w:r>
      <w:r w:rsidR="005B42F7" w:rsidRPr="009F1D27">
        <w:t xml:space="preserve"> </w:t>
      </w:r>
      <w:r w:rsidR="00414719">
        <w:t xml:space="preserve">associated </w:t>
      </w:r>
      <w:r>
        <w:t xml:space="preserve">price-setting </w:t>
      </w:r>
      <w:r w:rsidR="005B42F7" w:rsidRPr="009F1D27">
        <w:t xml:space="preserve">functions on the </w:t>
      </w:r>
      <w:r w:rsidR="00915E89">
        <w:t>AER</w:t>
      </w:r>
      <w:r w:rsidR="005B42F7" w:rsidRPr="009F1D27">
        <w:t>.</w:t>
      </w:r>
    </w:p>
    <w:p w14:paraId="4F93D76D" w14:textId="77777777" w:rsidR="000D0E22" w:rsidRDefault="000D0E22" w:rsidP="005F09F7">
      <w:pPr>
        <w:pStyle w:val="Heading1"/>
      </w:pPr>
      <w:r>
        <w:t>Background</w:t>
      </w:r>
    </w:p>
    <w:p w14:paraId="2971740A" w14:textId="29DC6D9E" w:rsidR="005B42F7" w:rsidRDefault="005B42F7" w:rsidP="0098386A">
      <w:pPr>
        <w:spacing w:before="120"/>
      </w:pPr>
      <w:r>
        <w:t>In</w:t>
      </w:r>
      <w:r w:rsidRPr="00EB638E">
        <w:t xml:space="preserve"> 2017, the</w:t>
      </w:r>
      <w:r w:rsidR="00B50C56">
        <w:t xml:space="preserve"> </w:t>
      </w:r>
      <w:r w:rsidRPr="00EB638E">
        <w:t>Treasurer directed the ACCC t</w:t>
      </w:r>
      <w:bookmarkStart w:id="0" w:name="_GoBack"/>
      <w:bookmarkEnd w:id="0"/>
      <w:r w:rsidRPr="00EB638E">
        <w:t xml:space="preserve">o hold an inquiry into the retail electricity </w:t>
      </w:r>
      <w:r>
        <w:t xml:space="preserve">market. </w:t>
      </w:r>
      <w:r w:rsidRPr="00EB638E">
        <w:t>The ACCC found the market was not working in the interests of</w:t>
      </w:r>
      <w:r w:rsidR="00FF6A1E">
        <w:t xml:space="preserve"> retail</w:t>
      </w:r>
      <w:r w:rsidRPr="00EB638E">
        <w:t xml:space="preserve"> consumers.</w:t>
      </w:r>
      <w:r>
        <w:t xml:space="preserve"> It </w:t>
      </w:r>
      <w:r w:rsidRPr="00EB638E">
        <w:t>identified two key problems</w:t>
      </w:r>
      <w:r>
        <w:t>:</w:t>
      </w:r>
      <w:r w:rsidRPr="00EB638E">
        <w:t xml:space="preserve"> price dispersion</w:t>
      </w:r>
      <w:r>
        <w:t xml:space="preserve"> between the best and worst offers,</w:t>
      </w:r>
      <w:r w:rsidRPr="00EB638E">
        <w:t xml:space="preserve"> and confusing discounting practices</w:t>
      </w:r>
      <w:r>
        <w:t>.</w:t>
      </w:r>
    </w:p>
    <w:p w14:paraId="6E4693F7" w14:textId="502A6028" w:rsidR="00AA6E59" w:rsidRDefault="00AA6E59" w:rsidP="00AA6E59">
      <w:pPr>
        <w:rPr>
          <w:sz w:val="22"/>
        </w:rPr>
      </w:pPr>
      <w:r>
        <w:t xml:space="preserve">The ACCC found the gap between the best and worst offers in the market has been widening, effectively acting as a loyalty tax on those customers who are </w:t>
      </w:r>
      <w:r w:rsidR="00DF633C">
        <w:t xml:space="preserve">not engaged </w:t>
      </w:r>
      <w:r>
        <w:t xml:space="preserve">and remain on standing offers — whether through choice, or due to the complexity involved in choosing an appropriate market offer. </w:t>
      </w:r>
    </w:p>
    <w:p w14:paraId="24A74F70" w14:textId="04B7C39D" w:rsidR="00AA6E59" w:rsidRDefault="00AA6E59" w:rsidP="0098386A">
      <w:pPr>
        <w:spacing w:before="120"/>
      </w:pPr>
      <w:r>
        <w:t xml:space="preserve">While standing offers were originally intended as a default protection for consumers who were not engaged in the market, they are instead being used by some retailers as a high-priced benchmark from which to advertise discounts. And as a result, disengaged consumers, particularly those facing hardship or other socioeconomic barriers to engagement, are not benefitting from competition but are instead subject to unreasonably high prices.     </w:t>
      </w:r>
    </w:p>
    <w:p w14:paraId="419F33F5" w14:textId="77777777" w:rsidR="00AA6E59" w:rsidRDefault="00AA6E59" w:rsidP="00AA6E59">
      <w:r>
        <w:t xml:space="preserve">The ACCC also found the dominant form of competition used by retailers, that is the use of headline ‘discounts’ applied to market offers, was problematic. This is because each retailer sets its discounts according to their own independently set tariff prices (usually their standing offer rate) rather than a common benchmark, meaning consumers have no easy way to compare offers across retailers. </w:t>
      </w:r>
    </w:p>
    <w:p w14:paraId="5E50BCF8" w14:textId="567A30E6" w:rsidR="00AA6E59" w:rsidRDefault="00AA6E59" w:rsidP="00AA6E59">
      <w:r>
        <w:lastRenderedPageBreak/>
        <w:t>For instance, under the current arrangements, a consumer could be better off on a no discount offer compared to an offer with a 20 per cent ‘discount’, because the former has a lower underlying tariff rate.</w:t>
      </w:r>
    </w:p>
    <w:p w14:paraId="39A5D59D" w14:textId="77777777" w:rsidR="00A947AE" w:rsidRDefault="00A947AE" w:rsidP="00A947AE">
      <w:pPr>
        <w:pStyle w:val="Heading1"/>
      </w:pPr>
      <w:r>
        <w:t>Incorporation</w:t>
      </w:r>
      <w:r>
        <w:rPr>
          <w:rStyle w:val="DraftingnotesChar"/>
        </w:rPr>
        <w:t xml:space="preserve"> </w:t>
      </w:r>
    </w:p>
    <w:p w14:paraId="2A00AFBE" w14:textId="114C9B5D" w:rsidR="00A947AE" w:rsidRDefault="00A947AE" w:rsidP="00A947AE">
      <w:pPr>
        <w:spacing w:before="120" w:after="120"/>
        <w:rPr>
          <w:rFonts w:cs="Times New Roman"/>
          <w:szCs w:val="24"/>
        </w:rPr>
      </w:pPr>
      <w:r>
        <w:rPr>
          <w:rFonts w:cs="Times New Roman"/>
          <w:szCs w:val="24"/>
        </w:rPr>
        <w:t xml:space="preserve">The code incorporates determinations made by the AER under Part 3 of the Regulations. These determinations </w:t>
      </w:r>
      <w:r w:rsidR="001877A9">
        <w:rPr>
          <w:rFonts w:cs="Times New Roman"/>
          <w:szCs w:val="24"/>
        </w:rPr>
        <w:t>are</w:t>
      </w:r>
      <w:r>
        <w:rPr>
          <w:rFonts w:cs="Times New Roman"/>
          <w:szCs w:val="24"/>
        </w:rPr>
        <w:t xml:space="preserve"> </w:t>
      </w:r>
      <w:r w:rsidRPr="008F4E25">
        <w:rPr>
          <w:rFonts w:cs="Times New Roman"/>
          <w:szCs w:val="24"/>
        </w:rPr>
        <w:t>disallowable</w:t>
      </w:r>
      <w:r>
        <w:rPr>
          <w:rFonts w:cs="Times New Roman"/>
          <w:szCs w:val="24"/>
        </w:rPr>
        <w:t xml:space="preserve"> legislative instruments, and will be registered on the Federal Register of Legislation. The determinations </w:t>
      </w:r>
      <w:r w:rsidR="0044404D">
        <w:rPr>
          <w:rFonts w:cs="Times New Roman"/>
          <w:szCs w:val="24"/>
        </w:rPr>
        <w:t>are</w:t>
      </w:r>
      <w:r>
        <w:rPr>
          <w:rFonts w:cs="Times New Roman"/>
          <w:szCs w:val="24"/>
        </w:rPr>
        <w:t xml:space="preserve"> incorporated as in force from time to time.</w:t>
      </w:r>
    </w:p>
    <w:p w14:paraId="1FA9201C" w14:textId="0FFEB657" w:rsidR="00A37C64" w:rsidRDefault="00A37C64" w:rsidP="005F09F7">
      <w:pPr>
        <w:pStyle w:val="Heading1"/>
      </w:pPr>
      <w:r>
        <w:t>Authority</w:t>
      </w:r>
    </w:p>
    <w:p w14:paraId="0D350564" w14:textId="2BA17400" w:rsidR="00A37C64" w:rsidRPr="00A37C64" w:rsidRDefault="00B2305F" w:rsidP="00A37C64">
      <w:r>
        <w:t>Paragraph</w:t>
      </w:r>
      <w:r w:rsidR="00A37C64">
        <w:t xml:space="preserve"> 44AH(b)</w:t>
      </w:r>
      <w:r>
        <w:t xml:space="preserve"> and sections</w:t>
      </w:r>
      <w:r w:rsidR="00A37C64">
        <w:t xml:space="preserve"> 51AE and 172 of </w:t>
      </w:r>
      <w:r w:rsidR="00A37C64" w:rsidRPr="006745C3">
        <w:rPr>
          <w:rFonts w:cs="Times New Roman"/>
          <w:szCs w:val="24"/>
        </w:rPr>
        <w:t xml:space="preserve">the </w:t>
      </w:r>
      <w:r w:rsidR="00A37C64" w:rsidRPr="005D7828">
        <w:rPr>
          <w:i/>
        </w:rPr>
        <w:t>Competition and Consumer Act 2010</w:t>
      </w:r>
      <w:r w:rsidR="00A37C64">
        <w:rPr>
          <w:i/>
        </w:rPr>
        <w:t xml:space="preserve"> </w:t>
      </w:r>
      <w:r w:rsidR="00A37C64">
        <w:rPr>
          <w:rFonts w:cs="Times New Roman"/>
          <w:szCs w:val="24"/>
        </w:rPr>
        <w:t>provide authority for the Regulations.</w:t>
      </w:r>
    </w:p>
    <w:p w14:paraId="4F93D770" w14:textId="77777777" w:rsidR="000D0E22" w:rsidRDefault="000D0E22" w:rsidP="005F09F7">
      <w:pPr>
        <w:pStyle w:val="Heading1"/>
      </w:pPr>
      <w:r>
        <w:t>Consultation</w:t>
      </w:r>
    </w:p>
    <w:p w14:paraId="548A0B33" w14:textId="6F9ECCFC" w:rsidR="00867711" w:rsidRPr="0098386A" w:rsidRDefault="0046573E" w:rsidP="0098386A">
      <w:pPr>
        <w:spacing w:before="120"/>
        <w:rPr>
          <w:rFonts w:cs="Times New Roman"/>
          <w:szCs w:val="24"/>
        </w:rPr>
      </w:pPr>
      <w:r w:rsidRPr="0098386A">
        <w:rPr>
          <w:rFonts w:cs="Times New Roman"/>
          <w:szCs w:val="24"/>
        </w:rPr>
        <w:t xml:space="preserve">The </w:t>
      </w:r>
      <w:r w:rsidR="00414719" w:rsidRPr="0098386A">
        <w:rPr>
          <w:rFonts w:cs="Times New Roman"/>
          <w:szCs w:val="24"/>
        </w:rPr>
        <w:t>Regulations</w:t>
      </w:r>
      <w:r w:rsidRPr="0098386A">
        <w:rPr>
          <w:rFonts w:cs="Times New Roman"/>
          <w:szCs w:val="24"/>
        </w:rPr>
        <w:t xml:space="preserve"> implement recommendations from the ACCC Retail Electricity Pricing Inquiry Final Report. </w:t>
      </w:r>
      <w:r w:rsidR="00867711" w:rsidRPr="0098386A">
        <w:rPr>
          <w:rFonts w:cs="Times New Roman"/>
          <w:szCs w:val="24"/>
        </w:rPr>
        <w:t>The ACCC’s r</w:t>
      </w:r>
      <w:r w:rsidRPr="0098386A">
        <w:rPr>
          <w:rFonts w:cs="Times New Roman"/>
          <w:szCs w:val="24"/>
        </w:rPr>
        <w:t xml:space="preserve">eport was informed by extensive consultation. </w:t>
      </w:r>
    </w:p>
    <w:p w14:paraId="4D635CF9" w14:textId="3A2AC8BF" w:rsidR="00867711" w:rsidRPr="0098386A" w:rsidRDefault="00867711" w:rsidP="0098386A">
      <w:pPr>
        <w:spacing w:before="120"/>
        <w:rPr>
          <w:rFonts w:cs="Times New Roman"/>
          <w:szCs w:val="24"/>
        </w:rPr>
      </w:pPr>
      <w:r w:rsidRPr="0098386A">
        <w:rPr>
          <w:rFonts w:cs="Times New Roman"/>
          <w:szCs w:val="24"/>
        </w:rPr>
        <w:t xml:space="preserve">An exposure draft of the Regulations was open for public consultation between 23 February 2019 and 12 March 2019. To ensure full consultation the Government specifically notified the peak body for energy retailers and the peak body for energy consumer groups of the release of the Regulations for consultation. There were 16 submissions to the Regulations consultation process. Most were from retailers, with only four submissions from consumer groups. Consumer groups broadly supported the policy basis of the Regulations, while all retailer submissions opposed </w:t>
      </w:r>
      <w:r w:rsidR="000D246D" w:rsidRPr="0098386A">
        <w:rPr>
          <w:rFonts w:cs="Times New Roman"/>
          <w:szCs w:val="24"/>
        </w:rPr>
        <w:t>it</w:t>
      </w:r>
      <w:r w:rsidRPr="0098386A">
        <w:rPr>
          <w:rFonts w:cs="Times New Roman"/>
          <w:szCs w:val="24"/>
        </w:rPr>
        <w:t>.</w:t>
      </w:r>
    </w:p>
    <w:p w14:paraId="77F29744" w14:textId="16642221" w:rsidR="00867711" w:rsidRPr="0098386A" w:rsidRDefault="00867711" w:rsidP="0098386A">
      <w:pPr>
        <w:spacing w:before="120"/>
        <w:rPr>
          <w:rFonts w:cs="Times New Roman"/>
          <w:szCs w:val="24"/>
        </w:rPr>
      </w:pPr>
      <w:r w:rsidRPr="0098386A">
        <w:rPr>
          <w:rFonts w:cs="Times New Roman"/>
          <w:szCs w:val="24"/>
        </w:rPr>
        <w:t xml:space="preserve">Consultation on the </w:t>
      </w:r>
      <w:r w:rsidR="00661676" w:rsidRPr="0098386A">
        <w:rPr>
          <w:rFonts w:cs="Times New Roman"/>
          <w:szCs w:val="24"/>
        </w:rPr>
        <w:t>Regulations</w:t>
      </w:r>
      <w:r w:rsidRPr="0098386A">
        <w:rPr>
          <w:rFonts w:cs="Times New Roman"/>
          <w:szCs w:val="24"/>
        </w:rPr>
        <w:t xml:space="preserve"> was the fourth time stakeholders were invited to present their views on the </w:t>
      </w:r>
      <w:r w:rsidR="000D246D" w:rsidRPr="0098386A">
        <w:rPr>
          <w:rFonts w:cs="Times New Roman"/>
          <w:szCs w:val="24"/>
        </w:rPr>
        <w:t>policy</w:t>
      </w:r>
      <w:r w:rsidRPr="0098386A">
        <w:rPr>
          <w:rFonts w:cs="Times New Roman"/>
          <w:szCs w:val="24"/>
        </w:rPr>
        <w:t xml:space="preserve">. </w:t>
      </w:r>
    </w:p>
    <w:p w14:paraId="4F93D772" w14:textId="6C279197" w:rsidR="000558F3" w:rsidRPr="0098386A" w:rsidRDefault="00867711" w:rsidP="0098386A">
      <w:pPr>
        <w:spacing w:before="120" w:after="120"/>
        <w:rPr>
          <w:rFonts w:cs="Times New Roman"/>
          <w:szCs w:val="24"/>
        </w:rPr>
      </w:pPr>
      <w:r w:rsidRPr="0098386A">
        <w:rPr>
          <w:rFonts w:cs="Times New Roman"/>
          <w:szCs w:val="24"/>
        </w:rPr>
        <w:t xml:space="preserve">Issues raised under this process were generally consistent with previous consultation on the </w:t>
      </w:r>
      <w:r w:rsidR="000D246D" w:rsidRPr="0098386A">
        <w:rPr>
          <w:rFonts w:cs="Times New Roman"/>
          <w:szCs w:val="24"/>
        </w:rPr>
        <w:t>policy</w:t>
      </w:r>
      <w:r w:rsidRPr="0098386A">
        <w:rPr>
          <w:rFonts w:cs="Times New Roman"/>
          <w:szCs w:val="24"/>
        </w:rPr>
        <w:t xml:space="preserve">, both through the AER consultation process for the </w:t>
      </w:r>
      <w:r w:rsidR="000D246D" w:rsidRPr="0098386A">
        <w:rPr>
          <w:rFonts w:cs="Times New Roman"/>
          <w:szCs w:val="24"/>
        </w:rPr>
        <w:t>price setting</w:t>
      </w:r>
      <w:r w:rsidRPr="0098386A">
        <w:rPr>
          <w:rFonts w:cs="Times New Roman"/>
          <w:szCs w:val="24"/>
        </w:rPr>
        <w:t xml:space="preserve"> methodology, and the ACCC retail electricity inquiry consultation processes.</w:t>
      </w:r>
    </w:p>
    <w:p w14:paraId="60BF8DC8" w14:textId="70CF19DA" w:rsidR="00CD6754" w:rsidRPr="00CD6754" w:rsidRDefault="00CD6754" w:rsidP="00CD6754">
      <w:pPr>
        <w:pStyle w:val="Heading1"/>
      </w:pPr>
      <w:r w:rsidRPr="00CD6754">
        <w:t>Review of the Regulations</w:t>
      </w:r>
    </w:p>
    <w:p w14:paraId="061F10AB" w14:textId="34557E10" w:rsidR="00CD6754" w:rsidRDefault="00CD6754" w:rsidP="0046573E">
      <w:r w:rsidRPr="00CD6754">
        <w:t xml:space="preserve">It is intended that the </w:t>
      </w:r>
      <w:r w:rsidR="00ED67DF">
        <w:t xml:space="preserve">Department of the Environment and Energy, in consultation with other government agencies, including the </w:t>
      </w:r>
      <w:r w:rsidR="002A0818">
        <w:t>ACCC</w:t>
      </w:r>
      <w:r w:rsidR="00ED67DF">
        <w:t>, will undertake a post-implementation review of the Regulations after two years. Among other matters, the objective of the review is to consider the operation of the Regulations, including in light of any changes, innovations or developments in the retail electricity market.</w:t>
      </w:r>
    </w:p>
    <w:p w14:paraId="4C2DD889" w14:textId="5E2C5392" w:rsidR="000D246D" w:rsidRDefault="000D246D" w:rsidP="00B23688">
      <w:pPr>
        <w:pStyle w:val="Heading1"/>
      </w:pPr>
      <w:r>
        <w:t>Human rights implications</w:t>
      </w:r>
    </w:p>
    <w:p w14:paraId="51986375" w14:textId="2DEF0EAF" w:rsidR="000D246D" w:rsidRDefault="000D246D" w:rsidP="0046573E">
      <w:pPr>
        <w:rPr>
          <w:rFonts w:cs="Times New Roman"/>
          <w:szCs w:val="24"/>
        </w:rPr>
      </w:pPr>
      <w:r>
        <w:t xml:space="preserve">The Regulations </w:t>
      </w:r>
      <w:r w:rsidRPr="00CA7BFE">
        <w:rPr>
          <w:rFonts w:cs="Times New Roman"/>
          <w:szCs w:val="24"/>
        </w:rPr>
        <w:t xml:space="preserve">are compatible with the human rights and freedoms recognised or declared in the international instruments listed in section 3 of the </w:t>
      </w:r>
      <w:r w:rsidRPr="00CA7BFE">
        <w:rPr>
          <w:rFonts w:cs="Times New Roman"/>
          <w:i/>
          <w:szCs w:val="24"/>
        </w:rPr>
        <w:t>Human Rights (Parliamentary Scrutiny) Act 2011</w:t>
      </w:r>
      <w:r>
        <w:rPr>
          <w:rFonts w:cs="Times New Roman"/>
          <w:szCs w:val="24"/>
        </w:rPr>
        <w:t>: see Attachment A.</w:t>
      </w:r>
    </w:p>
    <w:p w14:paraId="19034808" w14:textId="6181B707" w:rsidR="000D246D" w:rsidRPr="000E37FB" w:rsidRDefault="000D246D" w:rsidP="00B23688">
      <w:pPr>
        <w:pStyle w:val="Heading1"/>
      </w:pPr>
      <w:r w:rsidRPr="000E37FB">
        <w:lastRenderedPageBreak/>
        <w:t>Regulatory impact</w:t>
      </w:r>
    </w:p>
    <w:p w14:paraId="611AF04D" w14:textId="6320FF29" w:rsidR="000D246D" w:rsidRPr="00CD6754" w:rsidRDefault="000D246D" w:rsidP="0046573E">
      <w:r>
        <w:t>A copy of the Regulation Impact Statement approved by the Office of Best Practice Regulation in relation to the Regulations is at Attachment B.</w:t>
      </w:r>
    </w:p>
    <w:p w14:paraId="033FB2C5" w14:textId="77777777" w:rsidR="00A37C64" w:rsidRDefault="00A37C64">
      <w:pPr>
        <w:rPr>
          <w:rFonts w:eastAsiaTheme="majorEastAsia" w:cstheme="majorBidi"/>
          <w:b/>
          <w:szCs w:val="32"/>
        </w:rPr>
      </w:pPr>
      <w:r>
        <w:br w:type="page"/>
      </w:r>
    </w:p>
    <w:p w14:paraId="4F93D77C" w14:textId="78878D2B" w:rsidR="000D0E22" w:rsidRDefault="000D0E22" w:rsidP="00A947AE">
      <w:pPr>
        <w:pStyle w:val="Heading1"/>
        <w:jc w:val="center"/>
      </w:pPr>
      <w:r>
        <w:t xml:space="preserve">Details of the </w:t>
      </w:r>
      <w:r w:rsidR="001D2EB8" w:rsidRPr="00E255FA">
        <w:rPr>
          <w:i/>
          <w:szCs w:val="24"/>
        </w:rPr>
        <w:t xml:space="preserve">Competition and Consumer (Industry Code - </w:t>
      </w:r>
      <w:r w:rsidR="001D2EB8" w:rsidRPr="00E255FA">
        <w:rPr>
          <w:i/>
        </w:rPr>
        <w:t>Electricity Retail) Regulations</w:t>
      </w:r>
      <w:r w:rsidR="00E255FA" w:rsidRPr="00E255FA">
        <w:rPr>
          <w:i/>
        </w:rPr>
        <w:t xml:space="preserve"> </w:t>
      </w:r>
      <w:r w:rsidR="00346AEC" w:rsidRPr="00C808D9">
        <w:rPr>
          <w:i/>
        </w:rPr>
        <w:t>2019</w:t>
      </w:r>
    </w:p>
    <w:p w14:paraId="3A357C0E" w14:textId="0F1329AF" w:rsidR="00A44607" w:rsidRPr="00B5341C" w:rsidRDefault="00A44607" w:rsidP="009109F9">
      <w:pPr>
        <w:pStyle w:val="Heading2"/>
        <w:rPr>
          <w:b/>
          <w:u w:val="none"/>
        </w:rPr>
      </w:pPr>
      <w:r w:rsidRPr="00B5341C">
        <w:rPr>
          <w:b/>
          <w:u w:val="none"/>
        </w:rPr>
        <w:t>Part 1- Preliminary</w:t>
      </w:r>
    </w:p>
    <w:p w14:paraId="4F93D77E" w14:textId="41F17B6A" w:rsidR="006745C3" w:rsidRPr="006745C3" w:rsidRDefault="006745C3" w:rsidP="00A44607">
      <w:pPr>
        <w:pStyle w:val="Heading2"/>
      </w:pPr>
      <w:r>
        <w:t>Section</w:t>
      </w:r>
      <w:r w:rsidRPr="006745C3">
        <w:t xml:space="preserve"> 1 – Name </w:t>
      </w:r>
    </w:p>
    <w:p w14:paraId="4F93D77F" w14:textId="174250AC" w:rsidR="007A0926" w:rsidRPr="004356C7" w:rsidRDefault="006745C3" w:rsidP="006745C3">
      <w:pPr>
        <w:spacing w:before="240"/>
        <w:rPr>
          <w:rFonts w:cs="Times New Roman"/>
          <w:szCs w:val="24"/>
        </w:rPr>
      </w:pPr>
      <w:r w:rsidRPr="006745C3">
        <w:rPr>
          <w:rFonts w:cs="Times New Roman"/>
          <w:szCs w:val="24"/>
        </w:rPr>
        <w:t xml:space="preserve">This </w:t>
      </w:r>
      <w:r>
        <w:rPr>
          <w:rFonts w:cs="Times New Roman"/>
          <w:szCs w:val="24"/>
        </w:rPr>
        <w:t xml:space="preserve">section </w:t>
      </w:r>
      <w:r w:rsidR="00397799">
        <w:rPr>
          <w:rFonts w:cs="Times New Roman"/>
          <w:szCs w:val="24"/>
        </w:rPr>
        <w:t>provides</w:t>
      </w:r>
      <w:r w:rsidR="00397799" w:rsidRPr="006745C3">
        <w:rPr>
          <w:rFonts w:cs="Times New Roman"/>
          <w:szCs w:val="24"/>
        </w:rPr>
        <w:t xml:space="preserve"> </w:t>
      </w:r>
      <w:r w:rsidR="00A44607">
        <w:rPr>
          <w:rFonts w:cs="Times New Roman"/>
          <w:szCs w:val="24"/>
        </w:rPr>
        <w:t xml:space="preserve">that </w:t>
      </w:r>
      <w:r w:rsidRPr="006745C3">
        <w:rPr>
          <w:rFonts w:cs="Times New Roman"/>
          <w:szCs w:val="24"/>
        </w:rPr>
        <w:t xml:space="preserve">the name of the </w:t>
      </w:r>
      <w:r w:rsidR="00A44607">
        <w:rPr>
          <w:rFonts w:cs="Times New Roman"/>
          <w:szCs w:val="24"/>
        </w:rPr>
        <w:t>Regulations</w:t>
      </w:r>
      <w:r>
        <w:rPr>
          <w:rFonts w:cs="Times New Roman"/>
          <w:szCs w:val="24"/>
        </w:rPr>
        <w:t xml:space="preserve"> </w:t>
      </w:r>
      <w:r w:rsidR="004356C7">
        <w:rPr>
          <w:rFonts w:cs="Times New Roman"/>
          <w:szCs w:val="24"/>
        </w:rPr>
        <w:t xml:space="preserve">is </w:t>
      </w:r>
      <w:r w:rsidRPr="006745C3">
        <w:rPr>
          <w:rFonts w:cs="Times New Roman"/>
          <w:szCs w:val="24"/>
        </w:rPr>
        <w:t xml:space="preserve">the </w:t>
      </w:r>
      <w:r w:rsidR="005D7828" w:rsidRPr="005D7828">
        <w:rPr>
          <w:i/>
        </w:rPr>
        <w:t xml:space="preserve">Competition and Consumer (Industry Code - Electricity Retail) Regulations </w:t>
      </w:r>
      <w:r w:rsidR="00346AEC" w:rsidRPr="00C808D9">
        <w:rPr>
          <w:i/>
        </w:rPr>
        <w:t>2019</w:t>
      </w:r>
      <w:r w:rsidRPr="004356C7">
        <w:rPr>
          <w:rFonts w:cs="Times New Roman"/>
          <w:szCs w:val="24"/>
        </w:rPr>
        <w:t>.</w:t>
      </w:r>
    </w:p>
    <w:p w14:paraId="4F93D780" w14:textId="77777777" w:rsidR="006745C3" w:rsidRPr="006745C3" w:rsidRDefault="006745C3" w:rsidP="009109F9">
      <w:pPr>
        <w:pStyle w:val="Heading2"/>
      </w:pPr>
      <w:r>
        <w:t>Section</w:t>
      </w:r>
      <w:r w:rsidRPr="006745C3">
        <w:t xml:space="preserve"> </w:t>
      </w:r>
      <w:r>
        <w:t>2</w:t>
      </w:r>
      <w:r w:rsidRPr="006745C3">
        <w:t xml:space="preserve"> – Commencement</w:t>
      </w:r>
    </w:p>
    <w:p w14:paraId="4F93D781" w14:textId="68E150F5" w:rsidR="006745C3" w:rsidRPr="006745C3" w:rsidRDefault="0046573E" w:rsidP="006745C3">
      <w:pPr>
        <w:spacing w:before="240" w:after="100" w:afterAutospacing="1"/>
        <w:rPr>
          <w:rFonts w:cs="Times New Roman"/>
          <w:szCs w:val="24"/>
        </w:rPr>
      </w:pPr>
      <w:r w:rsidRPr="00E36A84">
        <w:rPr>
          <w:rFonts w:cs="Times New Roman"/>
          <w:szCs w:val="24"/>
        </w:rPr>
        <w:t xml:space="preserve">This section </w:t>
      </w:r>
      <w:r w:rsidR="00397799">
        <w:rPr>
          <w:rFonts w:cs="Times New Roman"/>
          <w:szCs w:val="24"/>
        </w:rPr>
        <w:t xml:space="preserve">provides </w:t>
      </w:r>
      <w:r w:rsidR="00A44607">
        <w:rPr>
          <w:rFonts w:cs="Times New Roman"/>
          <w:szCs w:val="24"/>
        </w:rPr>
        <w:t>that the Regulations</w:t>
      </w:r>
      <w:r w:rsidR="001877A9">
        <w:rPr>
          <w:rFonts w:cs="Times New Roman"/>
          <w:szCs w:val="24"/>
        </w:rPr>
        <w:t xml:space="preserve">, other than </w:t>
      </w:r>
      <w:r w:rsidR="008F7FA6">
        <w:rPr>
          <w:rFonts w:cs="Times New Roman"/>
          <w:szCs w:val="24"/>
        </w:rPr>
        <w:t>section 11,</w:t>
      </w:r>
      <w:r w:rsidR="00A44607">
        <w:rPr>
          <w:rFonts w:cs="Times New Roman"/>
          <w:szCs w:val="24"/>
        </w:rPr>
        <w:t xml:space="preserve"> </w:t>
      </w:r>
      <w:r w:rsidRPr="00E36A84">
        <w:rPr>
          <w:rFonts w:cs="Times New Roman"/>
          <w:szCs w:val="24"/>
        </w:rPr>
        <w:t>commence on</w:t>
      </w:r>
      <w:r>
        <w:rPr>
          <w:rFonts w:cs="Times New Roman"/>
          <w:szCs w:val="24"/>
        </w:rPr>
        <w:t xml:space="preserve"> </w:t>
      </w:r>
      <w:r w:rsidRPr="00DD64B1">
        <w:rPr>
          <w:rFonts w:eastAsia="Times New Roman" w:cs="Times New Roman"/>
          <w:szCs w:val="24"/>
          <w:lang w:eastAsia="en-AU"/>
        </w:rPr>
        <w:t>the day after registration</w:t>
      </w:r>
      <w:r w:rsidR="006745C3" w:rsidRPr="006745C3">
        <w:rPr>
          <w:rFonts w:cs="Times New Roman"/>
          <w:szCs w:val="24"/>
        </w:rPr>
        <w:t>.</w:t>
      </w:r>
      <w:r w:rsidR="00397799">
        <w:rPr>
          <w:rFonts w:cs="Times New Roman"/>
          <w:szCs w:val="24"/>
        </w:rPr>
        <w:t xml:space="preserve"> </w:t>
      </w:r>
      <w:r w:rsidR="008F7FA6">
        <w:rPr>
          <w:rFonts w:cs="Times New Roman"/>
          <w:szCs w:val="24"/>
        </w:rPr>
        <w:t>Section 11</w:t>
      </w:r>
      <w:r w:rsidR="001877A9">
        <w:rPr>
          <w:rFonts w:cs="Times New Roman"/>
          <w:szCs w:val="24"/>
        </w:rPr>
        <w:t xml:space="preserve"> commences on a day to be fixed by the Minister by notifiable instrument.</w:t>
      </w:r>
      <w:r w:rsidR="00290B85">
        <w:rPr>
          <w:rFonts w:cs="Times New Roman"/>
          <w:szCs w:val="24"/>
        </w:rPr>
        <w:t xml:space="preserve"> </w:t>
      </w:r>
      <w:r w:rsidR="00290B85" w:rsidRPr="00EB5FAE">
        <w:rPr>
          <w:rFonts w:cs="Times New Roman"/>
          <w:szCs w:val="24"/>
        </w:rPr>
        <w:t>That day must be within two years of the commencement of the Regulations.</w:t>
      </w:r>
      <w:r w:rsidR="00290B85">
        <w:rPr>
          <w:rFonts w:cs="Times New Roman"/>
          <w:szCs w:val="24"/>
        </w:rPr>
        <w:t xml:space="preserve"> </w:t>
      </w:r>
      <w:r w:rsidR="007E7311">
        <w:rPr>
          <w:rFonts w:cs="Times New Roman"/>
          <w:szCs w:val="24"/>
        </w:rPr>
        <w:t>This will provide the AER with sufficient time to identify and collect relevant data to enable it to make a robust determination</w:t>
      </w:r>
      <w:r w:rsidR="006C509C">
        <w:rPr>
          <w:rFonts w:cs="Times New Roman"/>
          <w:szCs w:val="24"/>
        </w:rPr>
        <w:t xml:space="preserve"> with respects to solar customers</w:t>
      </w:r>
      <w:r w:rsidR="007E7311">
        <w:rPr>
          <w:rFonts w:cs="Times New Roman"/>
          <w:szCs w:val="24"/>
        </w:rPr>
        <w:t>.</w:t>
      </w:r>
    </w:p>
    <w:p w14:paraId="4F93D782" w14:textId="77777777" w:rsidR="006745C3" w:rsidRPr="006745C3" w:rsidRDefault="006745C3" w:rsidP="009109F9">
      <w:pPr>
        <w:pStyle w:val="Heading2"/>
      </w:pPr>
      <w:r>
        <w:t>Section 3</w:t>
      </w:r>
      <w:r w:rsidRPr="006745C3">
        <w:t xml:space="preserve"> – Authority</w:t>
      </w:r>
    </w:p>
    <w:p w14:paraId="4F93D783" w14:textId="2437129D" w:rsidR="006745C3" w:rsidRDefault="006745C3" w:rsidP="006745C3">
      <w:pPr>
        <w:spacing w:before="240"/>
        <w:rPr>
          <w:rFonts w:cs="Times New Roman"/>
          <w:szCs w:val="24"/>
        </w:rPr>
      </w:pPr>
      <w:r w:rsidRPr="006745C3">
        <w:rPr>
          <w:rFonts w:cs="Times New Roman"/>
          <w:szCs w:val="24"/>
        </w:rPr>
        <w:t>This s</w:t>
      </w:r>
      <w:r>
        <w:rPr>
          <w:rFonts w:cs="Times New Roman"/>
          <w:szCs w:val="24"/>
        </w:rPr>
        <w:t xml:space="preserve">ection </w:t>
      </w:r>
      <w:r w:rsidR="00A44607">
        <w:rPr>
          <w:rFonts w:cs="Times New Roman"/>
          <w:szCs w:val="24"/>
        </w:rPr>
        <w:t xml:space="preserve">provides that the Regulations are authorised by </w:t>
      </w:r>
      <w:r w:rsidRPr="006745C3">
        <w:rPr>
          <w:rFonts w:cs="Times New Roman"/>
          <w:szCs w:val="24"/>
        </w:rPr>
        <w:t xml:space="preserve">the </w:t>
      </w:r>
      <w:r w:rsidR="005D7828" w:rsidRPr="005D7828">
        <w:rPr>
          <w:i/>
        </w:rPr>
        <w:t>Competition and Consumer Act 2010</w:t>
      </w:r>
      <w:r w:rsidRPr="006745C3">
        <w:rPr>
          <w:rFonts w:cs="Times New Roman"/>
          <w:szCs w:val="24"/>
        </w:rPr>
        <w:t>.</w:t>
      </w:r>
      <w:r w:rsidR="00A44607">
        <w:rPr>
          <w:rFonts w:cs="Times New Roman"/>
          <w:szCs w:val="24"/>
        </w:rPr>
        <w:t xml:space="preserve"> In particular, </w:t>
      </w:r>
      <w:r w:rsidR="004E1D3C">
        <w:rPr>
          <w:rFonts w:cs="Times New Roman"/>
          <w:szCs w:val="24"/>
        </w:rPr>
        <w:t xml:space="preserve">section </w:t>
      </w:r>
      <w:r w:rsidR="0093783A">
        <w:rPr>
          <w:rFonts w:cs="Times New Roman"/>
          <w:szCs w:val="24"/>
        </w:rPr>
        <w:t>7</w:t>
      </w:r>
      <w:r w:rsidR="006B7845">
        <w:rPr>
          <w:rFonts w:cs="Times New Roman"/>
          <w:szCs w:val="24"/>
        </w:rPr>
        <w:t xml:space="preserve"> </w:t>
      </w:r>
      <w:r w:rsidR="004E1D3C">
        <w:rPr>
          <w:rFonts w:cs="Times New Roman"/>
          <w:szCs w:val="24"/>
        </w:rPr>
        <w:t>is authorised by s</w:t>
      </w:r>
      <w:r w:rsidR="003F5BB8">
        <w:rPr>
          <w:rFonts w:cs="Times New Roman"/>
          <w:szCs w:val="24"/>
        </w:rPr>
        <w:t>ection</w:t>
      </w:r>
      <w:r w:rsidR="004E1D3C">
        <w:rPr>
          <w:rFonts w:cs="Times New Roman"/>
          <w:szCs w:val="24"/>
        </w:rPr>
        <w:t> 172</w:t>
      </w:r>
      <w:r w:rsidR="003F5BB8">
        <w:rPr>
          <w:rFonts w:cs="Times New Roman"/>
          <w:szCs w:val="24"/>
        </w:rPr>
        <w:t xml:space="preserve"> of that Act</w:t>
      </w:r>
      <w:r w:rsidR="004E1D3C">
        <w:rPr>
          <w:rFonts w:cs="Times New Roman"/>
          <w:szCs w:val="24"/>
        </w:rPr>
        <w:t xml:space="preserve">, </w:t>
      </w:r>
      <w:r w:rsidR="00A44607">
        <w:rPr>
          <w:rFonts w:cs="Times New Roman"/>
          <w:szCs w:val="24"/>
        </w:rPr>
        <w:t>Part 2 is authorised by section 51AE</w:t>
      </w:r>
      <w:r w:rsidR="004E1D3C">
        <w:rPr>
          <w:rFonts w:cs="Times New Roman"/>
          <w:szCs w:val="24"/>
        </w:rPr>
        <w:t xml:space="preserve"> and</w:t>
      </w:r>
      <w:r w:rsidR="00A44607">
        <w:rPr>
          <w:rFonts w:cs="Times New Roman"/>
          <w:szCs w:val="24"/>
        </w:rPr>
        <w:t xml:space="preserve"> Part 3 is authorised by </w:t>
      </w:r>
      <w:r w:rsidR="00AD0274">
        <w:rPr>
          <w:rFonts w:cs="Times New Roman"/>
          <w:szCs w:val="24"/>
        </w:rPr>
        <w:t>paragraph</w:t>
      </w:r>
      <w:r w:rsidR="00A44607">
        <w:rPr>
          <w:rFonts w:cs="Times New Roman"/>
          <w:szCs w:val="24"/>
        </w:rPr>
        <w:t xml:space="preserve"> 44AH(b).  </w:t>
      </w:r>
    </w:p>
    <w:p w14:paraId="3AE0BBFE" w14:textId="26BCBFDF" w:rsidR="00581B60" w:rsidRDefault="00581B60" w:rsidP="00581B60">
      <w:pPr>
        <w:pStyle w:val="Heading2"/>
      </w:pPr>
      <w:r>
        <w:t>Section 4 – Simplified outline of this instrument</w:t>
      </w:r>
    </w:p>
    <w:p w14:paraId="5A98D31E" w14:textId="72265A26" w:rsidR="00581B60" w:rsidRDefault="00581B60" w:rsidP="00581B60">
      <w:pPr>
        <w:spacing w:before="240"/>
        <w:rPr>
          <w:rFonts w:cs="Times New Roman"/>
          <w:szCs w:val="24"/>
        </w:rPr>
      </w:pPr>
      <w:r>
        <w:rPr>
          <w:rFonts w:cs="Times New Roman"/>
          <w:szCs w:val="24"/>
        </w:rPr>
        <w:t xml:space="preserve">This </w:t>
      </w:r>
      <w:r w:rsidR="00BD54DF">
        <w:rPr>
          <w:rFonts w:cs="Times New Roman"/>
          <w:szCs w:val="24"/>
        </w:rPr>
        <w:t xml:space="preserve">section </w:t>
      </w:r>
      <w:r w:rsidR="003F5BB8">
        <w:rPr>
          <w:rFonts w:cs="Times New Roman"/>
          <w:szCs w:val="24"/>
        </w:rPr>
        <w:t xml:space="preserve">sets out </w:t>
      </w:r>
      <w:r>
        <w:rPr>
          <w:rFonts w:cs="Times New Roman"/>
          <w:szCs w:val="24"/>
        </w:rPr>
        <w:t>a simpl</w:t>
      </w:r>
      <w:r w:rsidR="00BD54DF">
        <w:rPr>
          <w:rFonts w:cs="Times New Roman"/>
          <w:szCs w:val="24"/>
        </w:rPr>
        <w:t>ified</w:t>
      </w:r>
      <w:r>
        <w:rPr>
          <w:rFonts w:cs="Times New Roman"/>
          <w:szCs w:val="24"/>
        </w:rPr>
        <w:t xml:space="preserve"> outline of the </w:t>
      </w:r>
      <w:r w:rsidR="00BD54DF">
        <w:rPr>
          <w:rFonts w:cs="Times New Roman"/>
          <w:szCs w:val="24"/>
        </w:rPr>
        <w:t>Regulations</w:t>
      </w:r>
      <w:r>
        <w:rPr>
          <w:rFonts w:cs="Times New Roman"/>
          <w:szCs w:val="24"/>
        </w:rPr>
        <w:t xml:space="preserve">. </w:t>
      </w:r>
    </w:p>
    <w:p w14:paraId="736F2644" w14:textId="1A3EBCE9" w:rsidR="00581B60" w:rsidRDefault="00581B60" w:rsidP="00581B60">
      <w:pPr>
        <w:pStyle w:val="Heading2"/>
      </w:pPr>
      <w:r>
        <w:t>Section 5 – Definitions</w:t>
      </w:r>
    </w:p>
    <w:p w14:paraId="02F31CDD" w14:textId="035394E8" w:rsidR="00BD54DF" w:rsidRDefault="00581B60" w:rsidP="00581B60">
      <w:pPr>
        <w:spacing w:before="240"/>
        <w:rPr>
          <w:rFonts w:cs="Times New Roman"/>
          <w:szCs w:val="24"/>
        </w:rPr>
      </w:pPr>
      <w:r w:rsidRPr="006745C3">
        <w:rPr>
          <w:rFonts w:cs="Times New Roman"/>
          <w:szCs w:val="24"/>
        </w:rPr>
        <w:t xml:space="preserve">This </w:t>
      </w:r>
      <w:r w:rsidR="00BD54DF">
        <w:rPr>
          <w:rFonts w:cs="Times New Roman"/>
          <w:szCs w:val="24"/>
        </w:rPr>
        <w:t>section</w:t>
      </w:r>
      <w:r w:rsidR="00BD54DF" w:rsidRPr="006745C3">
        <w:rPr>
          <w:rFonts w:cs="Times New Roman"/>
          <w:szCs w:val="24"/>
        </w:rPr>
        <w:t xml:space="preserve"> </w:t>
      </w:r>
      <w:r w:rsidR="00BD54DF">
        <w:rPr>
          <w:rFonts w:cs="Times New Roman"/>
          <w:szCs w:val="24"/>
        </w:rPr>
        <w:t>defines terms used in the Regulations</w:t>
      </w:r>
      <w:r>
        <w:rPr>
          <w:rFonts w:cs="Times New Roman"/>
          <w:szCs w:val="24"/>
        </w:rPr>
        <w:t>.</w:t>
      </w:r>
      <w:r w:rsidR="009E6A4D">
        <w:rPr>
          <w:rFonts w:cs="Times New Roman"/>
          <w:szCs w:val="24"/>
        </w:rPr>
        <w:t xml:space="preserve"> </w:t>
      </w:r>
      <w:r w:rsidR="00BD54DF">
        <w:rPr>
          <w:rFonts w:cs="Times New Roman"/>
          <w:szCs w:val="24"/>
        </w:rPr>
        <w:t xml:space="preserve">Other relevant </w:t>
      </w:r>
      <w:r w:rsidR="00E8692F">
        <w:rPr>
          <w:rFonts w:cs="Times New Roman"/>
          <w:szCs w:val="24"/>
        </w:rPr>
        <w:t xml:space="preserve">terms </w:t>
      </w:r>
      <w:r w:rsidR="00BD54DF">
        <w:rPr>
          <w:rFonts w:cs="Times New Roman"/>
          <w:szCs w:val="24"/>
        </w:rPr>
        <w:t xml:space="preserve">are </w:t>
      </w:r>
      <w:r w:rsidR="00E8692F">
        <w:rPr>
          <w:rFonts w:cs="Times New Roman"/>
          <w:szCs w:val="24"/>
        </w:rPr>
        <w:t xml:space="preserve">defined </w:t>
      </w:r>
      <w:r w:rsidR="00BD54DF">
        <w:rPr>
          <w:rFonts w:cs="Times New Roman"/>
          <w:szCs w:val="24"/>
        </w:rPr>
        <w:t xml:space="preserve">in section 4 of the </w:t>
      </w:r>
      <w:r w:rsidR="00BD54DF">
        <w:rPr>
          <w:rFonts w:cs="Times New Roman"/>
          <w:i/>
          <w:szCs w:val="24"/>
        </w:rPr>
        <w:t xml:space="preserve">Competition and Consumer Act </w:t>
      </w:r>
      <w:r w:rsidR="00BD54DF" w:rsidRPr="00BD54DF">
        <w:rPr>
          <w:rFonts w:cs="Times New Roman"/>
          <w:i/>
          <w:szCs w:val="24"/>
        </w:rPr>
        <w:t>2010</w:t>
      </w:r>
      <w:r w:rsidR="00BD54DF">
        <w:rPr>
          <w:rFonts w:cs="Times New Roman"/>
          <w:szCs w:val="24"/>
        </w:rPr>
        <w:t xml:space="preserve">. </w:t>
      </w:r>
    </w:p>
    <w:p w14:paraId="36EDC3C4" w14:textId="6F7B5962" w:rsidR="00CD213D" w:rsidRPr="001877A9" w:rsidRDefault="004041B3" w:rsidP="004041B3">
      <w:pPr>
        <w:spacing w:before="240"/>
        <w:rPr>
          <w:rFonts w:cs="Times New Roman"/>
          <w:szCs w:val="24"/>
        </w:rPr>
      </w:pPr>
      <w:r w:rsidRPr="001877A9">
        <w:rPr>
          <w:rFonts w:cs="Times New Roman"/>
          <w:szCs w:val="24"/>
        </w:rPr>
        <w:t>On</w:t>
      </w:r>
      <w:r w:rsidR="001877A9" w:rsidRPr="001877A9">
        <w:rPr>
          <w:rFonts w:cs="Times New Roman"/>
          <w:szCs w:val="24"/>
        </w:rPr>
        <w:t xml:space="preserve">e of the key terms is ‘price’. </w:t>
      </w:r>
      <w:r w:rsidR="001877A9">
        <w:rPr>
          <w:rFonts w:cs="Times New Roman"/>
          <w:szCs w:val="24"/>
        </w:rPr>
        <w:t>For the purposes of the Regulations, t</w:t>
      </w:r>
      <w:r w:rsidR="001877A9" w:rsidRPr="001877A9">
        <w:rPr>
          <w:rFonts w:cs="Times New Roman"/>
          <w:szCs w:val="24"/>
        </w:rPr>
        <w:t>he p</w:t>
      </w:r>
      <w:r w:rsidRPr="001877A9">
        <w:rPr>
          <w:rFonts w:cs="Times New Roman"/>
          <w:szCs w:val="24"/>
        </w:rPr>
        <w:t>rice for supplying electricity include</w:t>
      </w:r>
      <w:r w:rsidR="001877A9" w:rsidRPr="001877A9">
        <w:rPr>
          <w:rFonts w:cs="Times New Roman"/>
          <w:szCs w:val="24"/>
        </w:rPr>
        <w:t>s</w:t>
      </w:r>
      <w:r w:rsidRPr="001877A9">
        <w:rPr>
          <w:rFonts w:cs="Times New Roman"/>
          <w:szCs w:val="24"/>
        </w:rPr>
        <w:t xml:space="preserve"> </w:t>
      </w:r>
      <w:r w:rsidR="0038193B">
        <w:rPr>
          <w:rFonts w:cs="Times New Roman"/>
          <w:szCs w:val="24"/>
        </w:rPr>
        <w:t xml:space="preserve">the retailer’s </w:t>
      </w:r>
      <w:r w:rsidRPr="001877A9">
        <w:rPr>
          <w:rFonts w:cs="Times New Roman"/>
          <w:szCs w:val="24"/>
        </w:rPr>
        <w:t xml:space="preserve">daily supply charge (which </w:t>
      </w:r>
      <w:r w:rsidR="0038193B">
        <w:rPr>
          <w:rFonts w:cs="Times New Roman"/>
          <w:szCs w:val="24"/>
        </w:rPr>
        <w:t>is</w:t>
      </w:r>
      <w:r w:rsidRPr="001877A9">
        <w:rPr>
          <w:rFonts w:cs="Times New Roman"/>
          <w:szCs w:val="24"/>
        </w:rPr>
        <w:t xml:space="preserve"> usually a fixed amount), usage charges (which are usually a number of cents per kWh of electricity consumed) and other on-going fees, such as annual membership fees, but exclude</w:t>
      </w:r>
      <w:r w:rsidR="00FF6A1E">
        <w:rPr>
          <w:rFonts w:cs="Times New Roman"/>
          <w:szCs w:val="24"/>
        </w:rPr>
        <w:t>s</w:t>
      </w:r>
      <w:r w:rsidR="00CD213D" w:rsidRPr="001877A9">
        <w:rPr>
          <w:rFonts w:cs="Times New Roman"/>
          <w:szCs w:val="24"/>
        </w:rPr>
        <w:t>:</w:t>
      </w:r>
    </w:p>
    <w:p w14:paraId="71E031E8" w14:textId="69FF45F2" w:rsidR="00CD213D" w:rsidRPr="001877A9" w:rsidRDefault="004041B3" w:rsidP="00CD213D">
      <w:pPr>
        <w:pStyle w:val="ListParagraph"/>
        <w:numPr>
          <w:ilvl w:val="0"/>
          <w:numId w:val="4"/>
        </w:numPr>
        <w:spacing w:before="120" w:after="120"/>
        <w:ind w:left="714" w:hanging="357"/>
        <w:contextualSpacing w:val="0"/>
        <w:rPr>
          <w:rFonts w:cs="Times New Roman"/>
          <w:szCs w:val="24"/>
        </w:rPr>
      </w:pPr>
      <w:r w:rsidRPr="001877A9">
        <w:rPr>
          <w:rFonts w:cs="Times New Roman"/>
          <w:szCs w:val="24"/>
        </w:rPr>
        <w:t>one-off fees (such as connection or reconnection fees and one-</w:t>
      </w:r>
      <w:r w:rsidR="00CD213D" w:rsidRPr="001877A9">
        <w:rPr>
          <w:rFonts w:cs="Times New Roman"/>
          <w:szCs w:val="24"/>
        </w:rPr>
        <w:t>off account establishment fees)</w:t>
      </w:r>
      <w:r w:rsidRPr="001877A9">
        <w:rPr>
          <w:rFonts w:cs="Times New Roman"/>
          <w:szCs w:val="24"/>
        </w:rPr>
        <w:t xml:space="preserve"> </w:t>
      </w:r>
    </w:p>
    <w:p w14:paraId="65573AD7" w14:textId="348D8EB0" w:rsidR="00CD213D" w:rsidRPr="001877A9" w:rsidRDefault="004041B3" w:rsidP="009026CC">
      <w:pPr>
        <w:pStyle w:val="ListParagraph"/>
        <w:numPr>
          <w:ilvl w:val="0"/>
          <w:numId w:val="4"/>
        </w:numPr>
        <w:spacing w:before="120" w:after="120"/>
        <w:ind w:left="714" w:hanging="357"/>
        <w:contextualSpacing w:val="0"/>
        <w:rPr>
          <w:rFonts w:cs="Times New Roman"/>
          <w:szCs w:val="24"/>
        </w:rPr>
      </w:pPr>
      <w:r w:rsidRPr="001877A9">
        <w:rPr>
          <w:rFonts w:cs="Times New Roman"/>
          <w:szCs w:val="24"/>
        </w:rPr>
        <w:t xml:space="preserve">fees associated with </w:t>
      </w:r>
      <w:r w:rsidR="001877A9" w:rsidRPr="001877A9">
        <w:rPr>
          <w:rFonts w:cs="Times New Roman"/>
          <w:szCs w:val="24"/>
        </w:rPr>
        <w:t>a particular payment method</w:t>
      </w:r>
      <w:r w:rsidRPr="001877A9">
        <w:rPr>
          <w:rFonts w:cs="Times New Roman"/>
          <w:szCs w:val="24"/>
        </w:rPr>
        <w:t xml:space="preserve"> (such as credit card transaction fees and fees associated with paying a bill in person at a post office)</w:t>
      </w:r>
      <w:r w:rsidR="001877A9" w:rsidRPr="001877A9">
        <w:rPr>
          <w:rFonts w:cs="Times New Roman"/>
          <w:szCs w:val="24"/>
        </w:rPr>
        <w:t xml:space="preserve"> </w:t>
      </w:r>
      <w:r w:rsidR="004D4585">
        <w:rPr>
          <w:rFonts w:cs="Times New Roman"/>
          <w:szCs w:val="24"/>
        </w:rPr>
        <w:t>or</w:t>
      </w:r>
      <w:r w:rsidR="001877A9" w:rsidRPr="001877A9">
        <w:rPr>
          <w:rFonts w:cs="Times New Roman"/>
          <w:szCs w:val="24"/>
        </w:rPr>
        <w:t xml:space="preserve"> </w:t>
      </w:r>
      <w:r w:rsidRPr="001877A9">
        <w:rPr>
          <w:rFonts w:cs="Times New Roman"/>
          <w:szCs w:val="24"/>
        </w:rPr>
        <w:t xml:space="preserve">with any failure to make a payment (such as late payment fees and direct debit dishonour fees) and </w:t>
      </w:r>
    </w:p>
    <w:p w14:paraId="6B16BB2F" w14:textId="2F814940" w:rsidR="00CD213D" w:rsidRPr="001877A9" w:rsidRDefault="004041B3" w:rsidP="00CD213D">
      <w:pPr>
        <w:pStyle w:val="ListParagraph"/>
        <w:numPr>
          <w:ilvl w:val="0"/>
          <w:numId w:val="4"/>
        </w:numPr>
        <w:spacing w:before="120" w:after="120"/>
        <w:ind w:left="714" w:hanging="357"/>
        <w:contextualSpacing w:val="0"/>
        <w:rPr>
          <w:rFonts w:cs="Times New Roman"/>
          <w:szCs w:val="24"/>
        </w:rPr>
      </w:pPr>
      <w:r w:rsidRPr="001877A9">
        <w:rPr>
          <w:rFonts w:cs="Times New Roman"/>
          <w:szCs w:val="24"/>
        </w:rPr>
        <w:t xml:space="preserve">fees associated with special requests made by the customer </w:t>
      </w:r>
      <w:r w:rsidR="001877A9" w:rsidRPr="001877A9">
        <w:rPr>
          <w:rFonts w:cs="Times New Roman"/>
          <w:szCs w:val="24"/>
        </w:rPr>
        <w:t>on an ad-hoc basis (</w:t>
      </w:r>
      <w:r w:rsidRPr="001877A9">
        <w:rPr>
          <w:rFonts w:cs="Times New Roman"/>
          <w:szCs w:val="24"/>
        </w:rPr>
        <w:t xml:space="preserve">such as special meter reads). </w:t>
      </w:r>
    </w:p>
    <w:p w14:paraId="79C31DAC" w14:textId="26AF877E" w:rsidR="00BB6FCA" w:rsidRDefault="004041B3" w:rsidP="00581B60">
      <w:pPr>
        <w:spacing w:before="240"/>
        <w:rPr>
          <w:rFonts w:cs="Times New Roman"/>
          <w:szCs w:val="24"/>
        </w:rPr>
      </w:pPr>
      <w:r>
        <w:rPr>
          <w:rFonts w:cs="Times New Roman"/>
          <w:szCs w:val="24"/>
        </w:rPr>
        <w:t>Another</w:t>
      </w:r>
      <w:r w:rsidR="00BD54DF">
        <w:rPr>
          <w:rFonts w:cs="Times New Roman"/>
          <w:szCs w:val="24"/>
        </w:rPr>
        <w:t xml:space="preserve"> key term</w:t>
      </w:r>
      <w:r w:rsidR="00E8692F">
        <w:rPr>
          <w:rFonts w:cs="Times New Roman"/>
          <w:szCs w:val="24"/>
        </w:rPr>
        <w:t xml:space="preserve"> </w:t>
      </w:r>
      <w:r w:rsidR="00BD54DF">
        <w:rPr>
          <w:rFonts w:cs="Times New Roman"/>
          <w:szCs w:val="24"/>
        </w:rPr>
        <w:t xml:space="preserve">is ‘standing offer prices’. This </w:t>
      </w:r>
      <w:r w:rsidR="00CD213D">
        <w:rPr>
          <w:rFonts w:cs="Times New Roman"/>
          <w:szCs w:val="24"/>
        </w:rPr>
        <w:t>is defined to mean</w:t>
      </w:r>
      <w:r w:rsidR="00BD54DF">
        <w:rPr>
          <w:rFonts w:cs="Times New Roman"/>
          <w:szCs w:val="24"/>
        </w:rPr>
        <w:t xml:space="preserve"> the </w:t>
      </w:r>
      <w:r w:rsidR="009E6A4D">
        <w:rPr>
          <w:rFonts w:cs="Times New Roman"/>
          <w:szCs w:val="24"/>
        </w:rPr>
        <w:t xml:space="preserve">prices for </w:t>
      </w:r>
      <w:r w:rsidR="00BD54DF">
        <w:rPr>
          <w:rFonts w:cs="Times New Roman"/>
          <w:szCs w:val="24"/>
        </w:rPr>
        <w:t xml:space="preserve">supplying electricity in a distribution region </w:t>
      </w:r>
      <w:r w:rsidR="000D5266">
        <w:rPr>
          <w:rFonts w:cs="Times New Roman"/>
          <w:szCs w:val="24"/>
        </w:rPr>
        <w:t xml:space="preserve">(a region in which a particular electricity distribution network operates) </w:t>
      </w:r>
      <w:r w:rsidR="00BD54DF">
        <w:rPr>
          <w:rFonts w:cs="Times New Roman"/>
          <w:szCs w:val="24"/>
        </w:rPr>
        <w:t xml:space="preserve">to small customers </w:t>
      </w:r>
      <w:r w:rsidR="000D5266">
        <w:rPr>
          <w:rFonts w:cs="Times New Roman"/>
          <w:szCs w:val="24"/>
        </w:rPr>
        <w:t xml:space="preserve">(residential customers or business customers that use less than 100 MWh of electricity a year) </w:t>
      </w:r>
      <w:r w:rsidR="00BD54DF">
        <w:rPr>
          <w:rFonts w:cs="Times New Roman"/>
          <w:szCs w:val="24"/>
        </w:rPr>
        <w:t>in circumstances where</w:t>
      </w:r>
      <w:r w:rsidR="00BB6FCA">
        <w:rPr>
          <w:rFonts w:cs="Times New Roman"/>
          <w:szCs w:val="24"/>
        </w:rPr>
        <w:t>:</w:t>
      </w:r>
      <w:r w:rsidR="00BD54DF">
        <w:rPr>
          <w:rFonts w:cs="Times New Roman"/>
          <w:szCs w:val="24"/>
        </w:rPr>
        <w:t xml:space="preserve"> </w:t>
      </w:r>
    </w:p>
    <w:p w14:paraId="02411209" w14:textId="445D5459" w:rsidR="00BB6FCA" w:rsidRDefault="009E6A4D" w:rsidP="00CD213D">
      <w:pPr>
        <w:pStyle w:val="ListParagraph"/>
        <w:numPr>
          <w:ilvl w:val="0"/>
          <w:numId w:val="13"/>
        </w:numPr>
        <w:spacing w:before="120" w:after="120"/>
        <w:contextualSpacing w:val="0"/>
        <w:rPr>
          <w:rFonts w:cs="Times New Roman"/>
          <w:szCs w:val="24"/>
        </w:rPr>
      </w:pPr>
      <w:r w:rsidRPr="00BB6FCA">
        <w:rPr>
          <w:rFonts w:cs="Times New Roman"/>
          <w:szCs w:val="24"/>
        </w:rPr>
        <w:t xml:space="preserve">the retailer is required under </w:t>
      </w:r>
      <w:r w:rsidR="00BD54DF" w:rsidRPr="00BB6FCA">
        <w:rPr>
          <w:rFonts w:cs="Times New Roman"/>
          <w:szCs w:val="24"/>
        </w:rPr>
        <w:t xml:space="preserve">State or Territory </w:t>
      </w:r>
      <w:r w:rsidRPr="00BB6FCA">
        <w:rPr>
          <w:rFonts w:cs="Times New Roman"/>
          <w:szCs w:val="24"/>
        </w:rPr>
        <w:t>law to offer to supply</w:t>
      </w:r>
      <w:r w:rsidR="00BD54DF" w:rsidRPr="00BB6FCA">
        <w:rPr>
          <w:rFonts w:cs="Times New Roman"/>
          <w:szCs w:val="24"/>
        </w:rPr>
        <w:t xml:space="preserve"> the electricity</w:t>
      </w:r>
      <w:r w:rsidR="00BB6FCA">
        <w:rPr>
          <w:rFonts w:cs="Times New Roman"/>
          <w:szCs w:val="24"/>
        </w:rPr>
        <w:t xml:space="preserve"> (for example, because the retailer is the ‘designated retailer’ for the customer within the meaning of the National Energy Retail Law)</w:t>
      </w:r>
      <w:r w:rsidRPr="00BB6FCA">
        <w:rPr>
          <w:rFonts w:cs="Times New Roman"/>
          <w:szCs w:val="24"/>
        </w:rPr>
        <w:t xml:space="preserve"> or </w:t>
      </w:r>
    </w:p>
    <w:p w14:paraId="0A1BF013" w14:textId="5C1911F9" w:rsidR="00581B60" w:rsidRPr="00BB6FCA" w:rsidRDefault="009E6A4D" w:rsidP="00CD213D">
      <w:pPr>
        <w:pStyle w:val="ListParagraph"/>
        <w:numPr>
          <w:ilvl w:val="0"/>
          <w:numId w:val="13"/>
        </w:numPr>
        <w:spacing w:before="120" w:after="120"/>
        <w:ind w:left="714" w:hanging="357"/>
        <w:contextualSpacing w:val="0"/>
        <w:rPr>
          <w:rFonts w:cs="Times New Roman"/>
          <w:szCs w:val="24"/>
        </w:rPr>
      </w:pPr>
      <w:r w:rsidRPr="00BB6FCA">
        <w:rPr>
          <w:rFonts w:cs="Times New Roman"/>
          <w:szCs w:val="24"/>
        </w:rPr>
        <w:t>the electricity is not supplied under a contract</w:t>
      </w:r>
      <w:r w:rsidR="00BB6FCA">
        <w:rPr>
          <w:rFonts w:cs="Times New Roman"/>
          <w:szCs w:val="24"/>
        </w:rPr>
        <w:t xml:space="preserve"> (for example, </w:t>
      </w:r>
      <w:r w:rsidR="00E8692F" w:rsidRPr="00BB6FCA">
        <w:rPr>
          <w:rFonts w:cs="Times New Roman"/>
          <w:szCs w:val="24"/>
        </w:rPr>
        <w:t xml:space="preserve">where </w:t>
      </w:r>
      <w:r w:rsidR="00BB6FCA">
        <w:rPr>
          <w:rFonts w:cs="Times New Roman"/>
          <w:szCs w:val="24"/>
        </w:rPr>
        <w:t>a custo</w:t>
      </w:r>
      <w:r w:rsidR="00E8692F" w:rsidRPr="00BB6FCA">
        <w:rPr>
          <w:rFonts w:cs="Times New Roman"/>
          <w:szCs w:val="24"/>
        </w:rPr>
        <w:t xml:space="preserve">mer moves into a house and </w:t>
      </w:r>
      <w:r w:rsidR="000D5266" w:rsidRPr="00BB6FCA">
        <w:rPr>
          <w:rFonts w:cs="Times New Roman"/>
          <w:szCs w:val="24"/>
        </w:rPr>
        <w:t>starts to use</w:t>
      </w:r>
      <w:r w:rsidR="00E8692F" w:rsidRPr="00BB6FCA">
        <w:rPr>
          <w:rFonts w:cs="Times New Roman"/>
          <w:szCs w:val="24"/>
        </w:rPr>
        <w:t xml:space="preserve"> electricity before contacting a retailer, continues to use electricity after </w:t>
      </w:r>
      <w:r w:rsidR="000D5266" w:rsidRPr="00BB6FCA">
        <w:rPr>
          <w:rFonts w:cs="Times New Roman"/>
          <w:szCs w:val="24"/>
        </w:rPr>
        <w:t>an</w:t>
      </w:r>
      <w:r w:rsidR="00E8692F" w:rsidRPr="00BB6FCA">
        <w:rPr>
          <w:rFonts w:cs="Times New Roman"/>
          <w:szCs w:val="24"/>
        </w:rPr>
        <w:t xml:space="preserve"> electricity supply contract terminate</w:t>
      </w:r>
      <w:r w:rsidR="000D5266" w:rsidRPr="00BB6FCA">
        <w:rPr>
          <w:rFonts w:cs="Times New Roman"/>
          <w:szCs w:val="24"/>
        </w:rPr>
        <w:t>s</w:t>
      </w:r>
      <w:r w:rsidR="00BB6FCA">
        <w:rPr>
          <w:rFonts w:cs="Times New Roman"/>
          <w:szCs w:val="24"/>
        </w:rPr>
        <w:t>, or is transferred to another retailer under a retailer of last resort scheme)</w:t>
      </w:r>
      <w:r w:rsidR="00E8692F" w:rsidRPr="00BB6FCA">
        <w:rPr>
          <w:rFonts w:cs="Times New Roman"/>
          <w:szCs w:val="24"/>
        </w:rPr>
        <w:t xml:space="preserve">. </w:t>
      </w:r>
    </w:p>
    <w:p w14:paraId="738ABC07" w14:textId="77777777" w:rsidR="00E8692F" w:rsidRDefault="00E8692F" w:rsidP="004E6246">
      <w:pPr>
        <w:spacing w:before="240"/>
        <w:rPr>
          <w:rFonts w:cs="Times New Roman"/>
          <w:szCs w:val="24"/>
        </w:rPr>
      </w:pPr>
      <w:r>
        <w:rPr>
          <w:rFonts w:cs="Times New Roman"/>
          <w:szCs w:val="24"/>
        </w:rPr>
        <w:t>Other key definitions include:</w:t>
      </w:r>
    </w:p>
    <w:p w14:paraId="6F8695A1" w14:textId="27D9CAF6" w:rsidR="00E8692F" w:rsidRDefault="00E8692F" w:rsidP="004E6246">
      <w:pPr>
        <w:spacing w:before="240"/>
        <w:ind w:left="720"/>
        <w:rPr>
          <w:rFonts w:cs="Times New Roman"/>
          <w:szCs w:val="24"/>
        </w:rPr>
      </w:pPr>
      <w:r>
        <w:rPr>
          <w:rFonts w:cs="Times New Roman"/>
          <w:szCs w:val="24"/>
        </w:rPr>
        <w:t>‘controlled load tariff’, which means a tariff for supplying electricity only for use in specific appliances (</w:t>
      </w:r>
      <w:r w:rsidR="003F5BB8">
        <w:rPr>
          <w:rFonts w:cs="Times New Roman"/>
          <w:szCs w:val="24"/>
        </w:rPr>
        <w:t>for example,</w:t>
      </w:r>
      <w:r>
        <w:rPr>
          <w:rFonts w:cs="Times New Roman"/>
          <w:szCs w:val="24"/>
        </w:rPr>
        <w:t xml:space="preserve"> a hot water unit</w:t>
      </w:r>
      <w:r w:rsidR="000D5266">
        <w:rPr>
          <w:rFonts w:cs="Times New Roman"/>
          <w:szCs w:val="24"/>
        </w:rPr>
        <w:t xml:space="preserve"> a pool pump</w:t>
      </w:r>
      <w:r w:rsidR="00EB5FAE">
        <w:rPr>
          <w:rFonts w:cs="Times New Roman"/>
          <w:szCs w:val="24"/>
        </w:rPr>
        <w:t xml:space="preserve"> </w:t>
      </w:r>
      <w:r w:rsidR="00AE6D72">
        <w:rPr>
          <w:rFonts w:cs="Times New Roman"/>
          <w:szCs w:val="24"/>
        </w:rPr>
        <w:t xml:space="preserve">that is permanently wired to </w:t>
      </w:r>
      <w:r w:rsidR="002D5D09">
        <w:rPr>
          <w:rFonts w:cs="Times New Roman"/>
          <w:szCs w:val="24"/>
        </w:rPr>
        <w:t>an</w:t>
      </w:r>
      <w:r w:rsidR="00AE6D72">
        <w:rPr>
          <w:rFonts w:cs="Times New Roman"/>
          <w:szCs w:val="24"/>
        </w:rPr>
        <w:t xml:space="preserve"> electricity meter </w:t>
      </w:r>
      <w:r w:rsidR="00EB5FAE">
        <w:rPr>
          <w:rFonts w:cs="Times New Roman"/>
          <w:szCs w:val="24"/>
        </w:rPr>
        <w:t>or an air conditioner</w:t>
      </w:r>
      <w:r w:rsidR="00AE6D72">
        <w:rPr>
          <w:rFonts w:cs="Times New Roman"/>
          <w:szCs w:val="24"/>
        </w:rPr>
        <w:t xml:space="preserve"> that may be remotely controlled by the retailer</w:t>
      </w:r>
      <w:r>
        <w:rPr>
          <w:rFonts w:cs="Times New Roman"/>
          <w:szCs w:val="24"/>
        </w:rPr>
        <w:t>)</w:t>
      </w:r>
      <w:r w:rsidR="005142C3">
        <w:rPr>
          <w:rFonts w:cs="Times New Roman"/>
          <w:szCs w:val="24"/>
        </w:rPr>
        <w:t xml:space="preserve"> and</w:t>
      </w:r>
    </w:p>
    <w:p w14:paraId="13A2BDCB" w14:textId="245EA104" w:rsidR="00E8692F" w:rsidRPr="00CA7BFE" w:rsidRDefault="00E8692F" w:rsidP="00B7777E">
      <w:pPr>
        <w:spacing w:before="240"/>
        <w:ind w:left="720"/>
        <w:rPr>
          <w:rFonts w:cs="Times New Roman"/>
          <w:szCs w:val="24"/>
        </w:rPr>
      </w:pPr>
      <w:r>
        <w:rPr>
          <w:rFonts w:cs="Times New Roman"/>
          <w:szCs w:val="24"/>
        </w:rPr>
        <w:t xml:space="preserve">‘flexible tariff’, which means a tariff for supplying electricity that varies according to the </w:t>
      </w:r>
      <w:r w:rsidRPr="00CA7BFE">
        <w:rPr>
          <w:rFonts w:cs="Times New Roman"/>
          <w:szCs w:val="24"/>
        </w:rPr>
        <w:t>time of day when the electricity is supplied (</w:t>
      </w:r>
      <w:r w:rsidR="003F5BB8" w:rsidRPr="00CA7BFE">
        <w:rPr>
          <w:rFonts w:cs="Times New Roman"/>
          <w:szCs w:val="24"/>
        </w:rPr>
        <w:t>for example,</w:t>
      </w:r>
      <w:r w:rsidRPr="00CA7BFE">
        <w:rPr>
          <w:rFonts w:cs="Times New Roman"/>
          <w:szCs w:val="24"/>
        </w:rPr>
        <w:t xml:space="preserve"> tariffs which include different prices for ‘peak’, ‘shoulder’ and ‘off-peak’ use of electricity)</w:t>
      </w:r>
      <w:r w:rsidR="000D5266" w:rsidRPr="00CA7BFE">
        <w:rPr>
          <w:rFonts w:cs="Times New Roman"/>
          <w:szCs w:val="24"/>
        </w:rPr>
        <w:t>.</w:t>
      </w:r>
      <w:r w:rsidR="00FC5D50" w:rsidRPr="00CA7BFE">
        <w:rPr>
          <w:rFonts w:cs="Times New Roman"/>
          <w:szCs w:val="24"/>
        </w:rPr>
        <w:t xml:space="preserve"> Flexible tariffs are also sometimes </w:t>
      </w:r>
      <w:r w:rsidR="00BD7EC1" w:rsidRPr="00CA7BFE">
        <w:rPr>
          <w:rFonts w:cs="Times New Roman"/>
          <w:szCs w:val="24"/>
        </w:rPr>
        <w:t>called</w:t>
      </w:r>
      <w:r w:rsidR="00FC5D50" w:rsidRPr="00CA7BFE">
        <w:rPr>
          <w:rFonts w:cs="Times New Roman"/>
          <w:szCs w:val="24"/>
        </w:rPr>
        <w:t xml:space="preserve"> ‘time of use’ tariffs.</w:t>
      </w:r>
      <w:r w:rsidR="00EB5FAE" w:rsidRPr="00CA7BFE">
        <w:rPr>
          <w:rFonts w:cs="Times New Roman"/>
          <w:szCs w:val="24"/>
        </w:rPr>
        <w:t xml:space="preserve"> </w:t>
      </w:r>
    </w:p>
    <w:p w14:paraId="5FCFEA86" w14:textId="384937C7" w:rsidR="0035080D" w:rsidRPr="00CA7BFE" w:rsidRDefault="00EB5FAE" w:rsidP="00EB5FAE">
      <w:pPr>
        <w:spacing w:before="240"/>
        <w:rPr>
          <w:rFonts w:cs="Times New Roman"/>
          <w:szCs w:val="24"/>
        </w:rPr>
      </w:pPr>
      <w:r w:rsidRPr="00CA7BFE">
        <w:rPr>
          <w:rFonts w:cs="Times New Roman"/>
          <w:szCs w:val="24"/>
        </w:rPr>
        <w:t xml:space="preserve">A customer may have a combination of tariffs, including a flexible tariff and a controlled load tariff. </w:t>
      </w:r>
      <w:r w:rsidR="0035080D" w:rsidRPr="00CA7BFE">
        <w:rPr>
          <w:rFonts w:cs="Times New Roman"/>
          <w:szCs w:val="24"/>
        </w:rPr>
        <w:t>A</w:t>
      </w:r>
      <w:r w:rsidR="00AE6D72" w:rsidRPr="00CA7BFE">
        <w:rPr>
          <w:rFonts w:cs="Times New Roman"/>
          <w:szCs w:val="24"/>
        </w:rPr>
        <w:t xml:space="preserve"> controlled load tariff might </w:t>
      </w:r>
      <w:r w:rsidR="0035080D" w:rsidRPr="00CA7BFE">
        <w:rPr>
          <w:rFonts w:cs="Times New Roman"/>
          <w:szCs w:val="24"/>
        </w:rPr>
        <w:t xml:space="preserve">in some circumstances </w:t>
      </w:r>
      <w:r w:rsidR="00AE6D72" w:rsidRPr="00CA7BFE">
        <w:rPr>
          <w:rFonts w:cs="Times New Roman"/>
          <w:szCs w:val="24"/>
        </w:rPr>
        <w:t>also be considered a tariff that varies according to the time of day when electricity is su</w:t>
      </w:r>
      <w:r w:rsidR="0035080D" w:rsidRPr="00CA7BFE">
        <w:rPr>
          <w:rFonts w:cs="Times New Roman"/>
          <w:szCs w:val="24"/>
        </w:rPr>
        <w:t xml:space="preserve">pplied, but the </w:t>
      </w:r>
      <w:r w:rsidR="00D07E70" w:rsidRPr="00CA7BFE">
        <w:rPr>
          <w:rFonts w:cs="Times New Roman"/>
          <w:szCs w:val="24"/>
        </w:rPr>
        <w:t>definitions are intended to be exclusive. That is, a controlled load tariff is a tariff for supplying electricity only for use in specific appliances (irrespective of whether the tariff varies according to the time of day when the electricity is supplied) and a flexible tariff is essentially a time of use tariff (rather than a controlled load tariff).</w:t>
      </w:r>
    </w:p>
    <w:p w14:paraId="4D5C967F" w14:textId="05BAD35C" w:rsidR="005142C3" w:rsidRPr="00CA7BFE" w:rsidRDefault="005142C3" w:rsidP="005142C3">
      <w:pPr>
        <w:spacing w:before="120" w:after="120"/>
        <w:rPr>
          <w:rFonts w:cs="Times New Roman"/>
          <w:szCs w:val="24"/>
        </w:rPr>
      </w:pPr>
      <w:r w:rsidRPr="00CA7BFE">
        <w:rPr>
          <w:rFonts w:cs="Times New Roman"/>
          <w:szCs w:val="24"/>
        </w:rPr>
        <w:t xml:space="preserve">‘Conditional discount’ is defined to include a conditional rebate or conditional credit. </w:t>
      </w:r>
      <w:r w:rsidR="006A5F47" w:rsidRPr="00CA7BFE">
        <w:rPr>
          <w:rFonts w:cs="Times New Roman"/>
          <w:szCs w:val="24"/>
        </w:rPr>
        <w:t>This would include, for example, a discount, rebate or credit that only applies if the customer pays on time or by direct debit. However, a</w:t>
      </w:r>
      <w:r w:rsidRPr="00CA7BFE">
        <w:rPr>
          <w:rFonts w:cs="Times New Roman"/>
          <w:szCs w:val="24"/>
        </w:rPr>
        <w:t xml:space="preserve"> discount</w:t>
      </w:r>
      <w:r w:rsidR="006A5F47" w:rsidRPr="00CA7BFE">
        <w:rPr>
          <w:rFonts w:cs="Times New Roman"/>
          <w:szCs w:val="24"/>
        </w:rPr>
        <w:t xml:space="preserve">, rebate or credit is not conditional, for the purposes of the Regulations, </w:t>
      </w:r>
      <w:r w:rsidRPr="00CA7BFE">
        <w:rPr>
          <w:rFonts w:cs="Times New Roman"/>
          <w:szCs w:val="24"/>
        </w:rPr>
        <w:t xml:space="preserve">if the conditions relate to the circumstances in which the customer enters the contract (including, for example, because the contract is only formed if the customer accepts the offer, or signs up on-line or through a particular website).  </w:t>
      </w:r>
    </w:p>
    <w:p w14:paraId="225559AB" w14:textId="67B0ECCE" w:rsidR="00573AF7" w:rsidRPr="00CA7BFE" w:rsidRDefault="00573AF7" w:rsidP="00573AF7">
      <w:pPr>
        <w:pStyle w:val="Heading2"/>
      </w:pPr>
      <w:r w:rsidRPr="00CA7BFE">
        <w:t xml:space="preserve">Section </w:t>
      </w:r>
      <w:r w:rsidR="0093783A" w:rsidRPr="00CA7BFE">
        <w:t xml:space="preserve">6 </w:t>
      </w:r>
      <w:r w:rsidRPr="00CA7BFE">
        <w:t xml:space="preserve">– </w:t>
      </w:r>
      <w:r w:rsidR="000D5266" w:rsidRPr="00CA7BFE">
        <w:t>Small customers</w:t>
      </w:r>
    </w:p>
    <w:p w14:paraId="3A4EE241" w14:textId="37AA78EF" w:rsidR="00BB6FCA" w:rsidRPr="00CA7BFE" w:rsidRDefault="00BB6FCA" w:rsidP="00573AF7">
      <w:pPr>
        <w:spacing w:before="240"/>
        <w:rPr>
          <w:rFonts w:cs="Times New Roman"/>
          <w:szCs w:val="24"/>
        </w:rPr>
      </w:pPr>
      <w:r w:rsidRPr="00CA7BFE">
        <w:rPr>
          <w:rFonts w:cs="Times New Roman"/>
          <w:szCs w:val="24"/>
        </w:rPr>
        <w:t>The code requires retailers to ensure their standing offer prices for supplying electricity in a particular distribution region to a particular type of small customer do not exceed the price determined by the AER</w:t>
      </w:r>
      <w:r w:rsidR="00397799" w:rsidRPr="00CA7BFE">
        <w:rPr>
          <w:rFonts w:cs="Times New Roman"/>
          <w:szCs w:val="24"/>
        </w:rPr>
        <w:t xml:space="preserve"> for that region and type of customer</w:t>
      </w:r>
      <w:r w:rsidRPr="00CA7BFE">
        <w:rPr>
          <w:rFonts w:cs="Times New Roman"/>
          <w:szCs w:val="24"/>
        </w:rPr>
        <w:t>. The types of small customers for this purpose are</w:t>
      </w:r>
      <w:r w:rsidR="004E1D3C" w:rsidRPr="00CA7BFE">
        <w:rPr>
          <w:rFonts w:cs="Times New Roman"/>
          <w:szCs w:val="24"/>
        </w:rPr>
        <w:t xml:space="preserve"> identified in section </w:t>
      </w:r>
      <w:r w:rsidR="0093783A" w:rsidRPr="00CA7BFE">
        <w:rPr>
          <w:rFonts w:cs="Times New Roman"/>
          <w:szCs w:val="24"/>
        </w:rPr>
        <w:t xml:space="preserve">6 </w:t>
      </w:r>
      <w:r w:rsidR="004E1D3C" w:rsidRPr="00CA7BFE">
        <w:rPr>
          <w:rFonts w:cs="Times New Roman"/>
          <w:szCs w:val="24"/>
        </w:rPr>
        <w:t>as</w:t>
      </w:r>
      <w:r w:rsidRPr="00CA7BFE">
        <w:rPr>
          <w:rFonts w:cs="Times New Roman"/>
          <w:szCs w:val="24"/>
        </w:rPr>
        <w:t>:</w:t>
      </w:r>
    </w:p>
    <w:p w14:paraId="7BDC805C" w14:textId="4DB4FB7F" w:rsidR="00BB6FCA" w:rsidRPr="00CA7BFE" w:rsidRDefault="00BB6FCA" w:rsidP="00B7777E">
      <w:pPr>
        <w:pStyle w:val="ListParagraph"/>
        <w:numPr>
          <w:ilvl w:val="0"/>
          <w:numId w:val="5"/>
        </w:numPr>
        <w:spacing w:before="240"/>
        <w:rPr>
          <w:rFonts w:cs="Times New Roman"/>
          <w:szCs w:val="24"/>
        </w:rPr>
      </w:pPr>
      <w:r w:rsidRPr="00CA7BFE">
        <w:rPr>
          <w:rFonts w:cs="Times New Roman"/>
          <w:szCs w:val="24"/>
        </w:rPr>
        <w:t>residential customers with a controlled load tariff</w:t>
      </w:r>
      <w:r w:rsidR="00EB5FAE" w:rsidRPr="00CA7BFE">
        <w:rPr>
          <w:rFonts w:cs="Times New Roman"/>
          <w:szCs w:val="24"/>
        </w:rPr>
        <w:t xml:space="preserve">, including residential customers with a controlled load tariff </w:t>
      </w:r>
      <w:r w:rsidR="00542669" w:rsidRPr="00CA7BFE">
        <w:rPr>
          <w:rFonts w:cs="Times New Roman"/>
          <w:szCs w:val="24"/>
        </w:rPr>
        <w:t>who are on</w:t>
      </w:r>
      <w:r w:rsidR="00EB5FAE" w:rsidRPr="00CA7BFE">
        <w:rPr>
          <w:rFonts w:cs="Times New Roman"/>
          <w:szCs w:val="24"/>
        </w:rPr>
        <w:t xml:space="preserve"> a flexible tariff and residential customers with a controlled load tariff </w:t>
      </w:r>
      <w:r w:rsidR="00542669" w:rsidRPr="00CA7BFE">
        <w:rPr>
          <w:rFonts w:cs="Times New Roman"/>
          <w:szCs w:val="24"/>
        </w:rPr>
        <w:t>who are on</w:t>
      </w:r>
      <w:r w:rsidR="00EB5FAE" w:rsidRPr="00CA7BFE">
        <w:rPr>
          <w:rFonts w:cs="Times New Roman"/>
          <w:szCs w:val="24"/>
        </w:rPr>
        <w:t xml:space="preserve"> a flat (or single rate) tariff</w:t>
      </w:r>
    </w:p>
    <w:p w14:paraId="42FFB79C" w14:textId="716BE977" w:rsidR="00BB6FCA" w:rsidRPr="00CA7BFE" w:rsidRDefault="00BB6FCA" w:rsidP="00B7777E">
      <w:pPr>
        <w:pStyle w:val="ListParagraph"/>
        <w:numPr>
          <w:ilvl w:val="0"/>
          <w:numId w:val="5"/>
        </w:numPr>
        <w:spacing w:before="240"/>
        <w:rPr>
          <w:rFonts w:cs="Times New Roman"/>
          <w:szCs w:val="24"/>
        </w:rPr>
      </w:pPr>
      <w:r w:rsidRPr="00CA7BFE">
        <w:rPr>
          <w:rFonts w:cs="Times New Roman"/>
          <w:szCs w:val="24"/>
        </w:rPr>
        <w:t>residential customers without a controlled load tariff</w:t>
      </w:r>
      <w:r w:rsidR="00EB5FAE" w:rsidRPr="00CA7BFE">
        <w:rPr>
          <w:rFonts w:cs="Times New Roman"/>
          <w:szCs w:val="24"/>
        </w:rPr>
        <w:t xml:space="preserve">, including residential customers without a controlled load </w:t>
      </w:r>
      <w:r w:rsidR="003423EF" w:rsidRPr="00CA7BFE">
        <w:rPr>
          <w:rFonts w:cs="Times New Roman"/>
          <w:szCs w:val="24"/>
        </w:rPr>
        <w:t xml:space="preserve">tariff </w:t>
      </w:r>
      <w:r w:rsidR="00EB5FAE" w:rsidRPr="00CA7BFE">
        <w:rPr>
          <w:rFonts w:cs="Times New Roman"/>
          <w:szCs w:val="24"/>
        </w:rPr>
        <w:t xml:space="preserve">who are on a flexible tariff and residential customers </w:t>
      </w:r>
      <w:r w:rsidR="00542669" w:rsidRPr="00CA7BFE">
        <w:rPr>
          <w:rFonts w:cs="Times New Roman"/>
          <w:szCs w:val="24"/>
        </w:rPr>
        <w:t xml:space="preserve">without a controlled load </w:t>
      </w:r>
      <w:r w:rsidR="003423EF" w:rsidRPr="00CA7BFE">
        <w:rPr>
          <w:rFonts w:cs="Times New Roman"/>
          <w:szCs w:val="24"/>
        </w:rPr>
        <w:t xml:space="preserve">tariff </w:t>
      </w:r>
      <w:r w:rsidR="00542669" w:rsidRPr="00CA7BFE">
        <w:rPr>
          <w:rFonts w:cs="Times New Roman"/>
          <w:szCs w:val="24"/>
        </w:rPr>
        <w:t xml:space="preserve">who are on </w:t>
      </w:r>
      <w:r w:rsidR="00EB5FAE" w:rsidRPr="00CA7BFE">
        <w:rPr>
          <w:rFonts w:cs="Times New Roman"/>
          <w:szCs w:val="24"/>
        </w:rPr>
        <w:t>a flat (or single rate) tariff</w:t>
      </w:r>
    </w:p>
    <w:p w14:paraId="54BE3CDD" w14:textId="5B7BD2E8" w:rsidR="00BB6FCA" w:rsidRPr="00CA7BFE" w:rsidRDefault="004E1D3C" w:rsidP="00B7777E">
      <w:pPr>
        <w:pStyle w:val="ListParagraph"/>
        <w:numPr>
          <w:ilvl w:val="0"/>
          <w:numId w:val="5"/>
        </w:numPr>
        <w:spacing w:before="240"/>
        <w:rPr>
          <w:rFonts w:cs="Times New Roman"/>
          <w:szCs w:val="24"/>
        </w:rPr>
      </w:pPr>
      <w:r w:rsidRPr="00CA7BFE">
        <w:rPr>
          <w:rFonts w:cs="Times New Roman"/>
          <w:szCs w:val="24"/>
        </w:rPr>
        <w:t xml:space="preserve">business customers </w:t>
      </w:r>
      <w:r w:rsidR="00542669" w:rsidRPr="00CA7BFE">
        <w:rPr>
          <w:rFonts w:cs="Times New Roman"/>
          <w:szCs w:val="24"/>
        </w:rPr>
        <w:t xml:space="preserve">who consume less than 100 MWh of electricity a year which are on neither a </w:t>
      </w:r>
      <w:r w:rsidR="0026116A" w:rsidRPr="00CA7BFE">
        <w:rPr>
          <w:rFonts w:cs="Times New Roman"/>
          <w:szCs w:val="24"/>
        </w:rPr>
        <w:t xml:space="preserve">controlled load </w:t>
      </w:r>
      <w:r w:rsidR="003423EF" w:rsidRPr="00CA7BFE">
        <w:rPr>
          <w:rFonts w:cs="Times New Roman"/>
          <w:szCs w:val="24"/>
        </w:rPr>
        <w:t>n</w:t>
      </w:r>
      <w:r w:rsidR="0026116A" w:rsidRPr="00CA7BFE">
        <w:rPr>
          <w:rFonts w:cs="Times New Roman"/>
          <w:szCs w:val="24"/>
        </w:rPr>
        <w:t xml:space="preserve">or </w:t>
      </w:r>
      <w:r w:rsidR="00542669" w:rsidRPr="00CA7BFE">
        <w:rPr>
          <w:rFonts w:cs="Times New Roman"/>
          <w:szCs w:val="24"/>
        </w:rPr>
        <w:t xml:space="preserve">a </w:t>
      </w:r>
      <w:r w:rsidR="0026116A" w:rsidRPr="00CA7BFE">
        <w:rPr>
          <w:rFonts w:cs="Times New Roman"/>
          <w:szCs w:val="24"/>
        </w:rPr>
        <w:t xml:space="preserve">flexible tariff </w:t>
      </w:r>
      <w:r w:rsidR="00471F9A" w:rsidRPr="00CA7BFE">
        <w:rPr>
          <w:rFonts w:cs="Times New Roman"/>
          <w:szCs w:val="24"/>
        </w:rPr>
        <w:t>(small business customers)</w:t>
      </w:r>
      <w:r w:rsidRPr="00CA7BFE">
        <w:rPr>
          <w:rFonts w:cs="Times New Roman"/>
          <w:szCs w:val="24"/>
        </w:rPr>
        <w:t xml:space="preserve">. </w:t>
      </w:r>
    </w:p>
    <w:p w14:paraId="49AEEECE" w14:textId="4AF7AD63" w:rsidR="00D25599" w:rsidRPr="00CA7BFE" w:rsidRDefault="00D25599" w:rsidP="008F4E25">
      <w:pPr>
        <w:spacing w:before="240"/>
        <w:rPr>
          <w:rFonts w:cs="Times New Roman"/>
          <w:szCs w:val="24"/>
        </w:rPr>
      </w:pPr>
      <w:r w:rsidRPr="00CA7BFE">
        <w:t xml:space="preserve">Section </w:t>
      </w:r>
      <w:r w:rsidR="0093783A" w:rsidRPr="00CA7BFE">
        <w:t xml:space="preserve">6 </w:t>
      </w:r>
      <w:r w:rsidRPr="00CA7BFE">
        <w:t xml:space="preserve">also </w:t>
      </w:r>
      <w:r w:rsidR="000001C7" w:rsidRPr="00CA7BFE">
        <w:t xml:space="preserve">provides that a consumer is </w:t>
      </w:r>
      <w:r w:rsidRPr="00CA7BFE">
        <w:t xml:space="preserve">not </w:t>
      </w:r>
      <w:r w:rsidR="000001C7" w:rsidRPr="00CA7BFE">
        <w:t xml:space="preserve">a </w:t>
      </w:r>
      <w:r w:rsidRPr="00CA7BFE">
        <w:t>small customer</w:t>
      </w:r>
      <w:r w:rsidR="000001C7" w:rsidRPr="00CA7BFE">
        <w:t>, of any type, if</w:t>
      </w:r>
      <w:r w:rsidRPr="00CA7BFE">
        <w:t>:</w:t>
      </w:r>
    </w:p>
    <w:p w14:paraId="281C6052" w14:textId="2904726B" w:rsidR="00D25599" w:rsidRPr="00CA7BFE" w:rsidRDefault="003F5BB8" w:rsidP="008F4E25">
      <w:pPr>
        <w:pStyle w:val="ListParagraph"/>
        <w:numPr>
          <w:ilvl w:val="0"/>
          <w:numId w:val="10"/>
        </w:numPr>
        <w:spacing w:before="240"/>
        <w:rPr>
          <w:rFonts w:cs="Times New Roman"/>
          <w:szCs w:val="24"/>
        </w:rPr>
      </w:pPr>
      <w:r w:rsidRPr="00CA7BFE">
        <w:rPr>
          <w:rFonts w:cs="Times New Roman"/>
          <w:szCs w:val="24"/>
        </w:rPr>
        <w:t>the</w:t>
      </w:r>
      <w:r w:rsidR="000001C7" w:rsidRPr="00CA7BFE">
        <w:rPr>
          <w:rFonts w:cs="Times New Roman"/>
          <w:szCs w:val="24"/>
        </w:rPr>
        <w:t xml:space="preserve"> price for the supply </w:t>
      </w:r>
      <w:r w:rsidRPr="00CA7BFE">
        <w:rPr>
          <w:rFonts w:cs="Times New Roman"/>
          <w:szCs w:val="24"/>
        </w:rPr>
        <w:t xml:space="preserve">of electricity to the consumer </w:t>
      </w:r>
      <w:r w:rsidR="000001C7" w:rsidRPr="00CA7BFE">
        <w:rPr>
          <w:rFonts w:cs="Times New Roman"/>
          <w:szCs w:val="24"/>
        </w:rPr>
        <w:t xml:space="preserve">varies with network-wide demand for electricity </w:t>
      </w:r>
      <w:r w:rsidR="00542669" w:rsidRPr="00CA7BFE">
        <w:rPr>
          <w:rFonts w:cs="Times New Roman"/>
          <w:szCs w:val="24"/>
        </w:rPr>
        <w:t>(this paragraph is not intended to exclude residential customers on a flexible tariff)</w:t>
      </w:r>
    </w:p>
    <w:p w14:paraId="777613D7" w14:textId="7384B710" w:rsidR="000001C7" w:rsidRPr="00CA7BFE" w:rsidRDefault="000001C7" w:rsidP="008F4E25">
      <w:pPr>
        <w:pStyle w:val="ListParagraph"/>
        <w:numPr>
          <w:ilvl w:val="0"/>
          <w:numId w:val="10"/>
        </w:numPr>
        <w:spacing w:before="240"/>
        <w:rPr>
          <w:rFonts w:cs="Times New Roman"/>
          <w:szCs w:val="24"/>
        </w:rPr>
      </w:pPr>
      <w:r w:rsidRPr="00CA7BFE">
        <w:rPr>
          <w:rFonts w:cs="Times New Roman"/>
          <w:szCs w:val="24"/>
        </w:rPr>
        <w:t>the supply is through a pre-payment meter</w:t>
      </w:r>
    </w:p>
    <w:p w14:paraId="4E5413D8" w14:textId="1250F65B" w:rsidR="000001C7" w:rsidRPr="00CA7BFE" w:rsidRDefault="000001C7" w:rsidP="008F4E25">
      <w:pPr>
        <w:pStyle w:val="ListParagraph"/>
        <w:numPr>
          <w:ilvl w:val="0"/>
          <w:numId w:val="10"/>
        </w:numPr>
        <w:spacing w:before="240"/>
        <w:rPr>
          <w:rFonts w:cs="Times New Roman"/>
          <w:szCs w:val="24"/>
        </w:rPr>
      </w:pPr>
      <w:r w:rsidRPr="00CA7BFE">
        <w:rPr>
          <w:rFonts w:cs="Times New Roman"/>
          <w:szCs w:val="24"/>
        </w:rPr>
        <w:t>the supply is by means of an embedded network (for example, where an apartment block owner sells electricity to individual apartments in the block) or</w:t>
      </w:r>
    </w:p>
    <w:p w14:paraId="3CB65E54" w14:textId="41C462BB" w:rsidR="00D25599" w:rsidRPr="00CA7BFE" w:rsidRDefault="000001C7" w:rsidP="008F4E25">
      <w:pPr>
        <w:pStyle w:val="ListParagraph"/>
        <w:numPr>
          <w:ilvl w:val="0"/>
          <w:numId w:val="10"/>
        </w:numPr>
        <w:spacing w:before="240"/>
        <w:rPr>
          <w:rFonts w:cs="Times New Roman"/>
          <w:szCs w:val="24"/>
        </w:rPr>
      </w:pPr>
      <w:r w:rsidRPr="00CA7BFE">
        <w:rPr>
          <w:rFonts w:cs="Times New Roman"/>
          <w:szCs w:val="24"/>
        </w:rPr>
        <w:t xml:space="preserve">the </w:t>
      </w:r>
      <w:r w:rsidR="00D25599" w:rsidRPr="00CA7BFE">
        <w:rPr>
          <w:rFonts w:cs="Times New Roman"/>
          <w:szCs w:val="24"/>
        </w:rPr>
        <w:t>consumer receive</w:t>
      </w:r>
      <w:r w:rsidRPr="00CA7BFE">
        <w:rPr>
          <w:rFonts w:cs="Times New Roman"/>
          <w:szCs w:val="24"/>
        </w:rPr>
        <w:t>s</w:t>
      </w:r>
      <w:r w:rsidR="00D25599" w:rsidRPr="00CA7BFE">
        <w:rPr>
          <w:rFonts w:cs="Times New Roman"/>
          <w:szCs w:val="24"/>
        </w:rPr>
        <w:t xml:space="preserve"> a </w:t>
      </w:r>
      <w:r w:rsidR="00397799" w:rsidRPr="00CA7BFE">
        <w:rPr>
          <w:rFonts w:cs="Times New Roman"/>
          <w:szCs w:val="24"/>
        </w:rPr>
        <w:t>f</w:t>
      </w:r>
      <w:r w:rsidR="00D25599" w:rsidRPr="00CA7BFE">
        <w:rPr>
          <w:rFonts w:cs="Times New Roman"/>
          <w:szCs w:val="24"/>
        </w:rPr>
        <w:t>eed-in</w:t>
      </w:r>
      <w:r w:rsidR="009A1CEB" w:rsidRPr="00CA7BFE">
        <w:rPr>
          <w:rFonts w:cs="Times New Roman"/>
          <w:szCs w:val="24"/>
        </w:rPr>
        <w:t xml:space="preserve"> </w:t>
      </w:r>
      <w:r w:rsidR="00397799" w:rsidRPr="00CA7BFE">
        <w:rPr>
          <w:rFonts w:cs="Times New Roman"/>
          <w:szCs w:val="24"/>
        </w:rPr>
        <w:t>t</w:t>
      </w:r>
      <w:r w:rsidR="00D25599" w:rsidRPr="00CA7BFE">
        <w:rPr>
          <w:rFonts w:cs="Times New Roman"/>
          <w:szCs w:val="24"/>
        </w:rPr>
        <w:t xml:space="preserve">ariff for </w:t>
      </w:r>
      <w:r w:rsidRPr="00CA7BFE">
        <w:rPr>
          <w:rFonts w:cs="Times New Roman"/>
          <w:szCs w:val="24"/>
        </w:rPr>
        <w:t>a rooftop PV</w:t>
      </w:r>
      <w:r w:rsidR="00D25599" w:rsidRPr="00CA7BFE">
        <w:rPr>
          <w:rFonts w:cs="Times New Roman"/>
          <w:szCs w:val="24"/>
        </w:rPr>
        <w:t xml:space="preserve"> system</w:t>
      </w:r>
      <w:r w:rsidR="00542669" w:rsidRPr="00CA7BFE">
        <w:rPr>
          <w:rFonts w:cs="Times New Roman"/>
          <w:szCs w:val="24"/>
        </w:rPr>
        <w:t xml:space="preserve"> (this exclusion will cease </w:t>
      </w:r>
      <w:r w:rsidR="0052090E">
        <w:rPr>
          <w:rFonts w:cs="Times New Roman"/>
          <w:szCs w:val="24"/>
        </w:rPr>
        <w:t xml:space="preserve">to apply for section 10 purposes </w:t>
      </w:r>
      <w:r w:rsidR="00542669" w:rsidRPr="00CA7BFE">
        <w:rPr>
          <w:rFonts w:cs="Times New Roman"/>
          <w:szCs w:val="24"/>
        </w:rPr>
        <w:t xml:space="preserve">when </w:t>
      </w:r>
      <w:r w:rsidR="008F7FA6" w:rsidRPr="00CA7BFE">
        <w:rPr>
          <w:rFonts w:cs="Times New Roman"/>
          <w:szCs w:val="24"/>
        </w:rPr>
        <w:t>section 11</w:t>
      </w:r>
      <w:r w:rsidR="00542669" w:rsidRPr="00CA7BFE">
        <w:rPr>
          <w:rFonts w:cs="Times New Roman"/>
          <w:szCs w:val="24"/>
        </w:rPr>
        <w:t xml:space="preserve"> commences).</w:t>
      </w:r>
    </w:p>
    <w:p w14:paraId="7EB1B6E1" w14:textId="75F6AACF" w:rsidR="007E67A0" w:rsidRPr="00CA7BFE" w:rsidRDefault="007E67A0" w:rsidP="007E67A0">
      <w:pPr>
        <w:pStyle w:val="Heading2"/>
      </w:pPr>
      <w:r w:rsidRPr="00CA7BFE">
        <w:t xml:space="preserve">Section </w:t>
      </w:r>
      <w:r w:rsidR="0093783A" w:rsidRPr="00CA7BFE">
        <w:t>7</w:t>
      </w:r>
      <w:r w:rsidRPr="00CA7BFE">
        <w:t xml:space="preserve"> – </w:t>
      </w:r>
      <w:r w:rsidR="00657B36" w:rsidRPr="00CA7BFE">
        <w:t>Civil penalty provisions</w:t>
      </w:r>
    </w:p>
    <w:p w14:paraId="02C1D57F" w14:textId="5ECC16C3" w:rsidR="007E67A0" w:rsidRPr="00CA7BFE" w:rsidRDefault="00657B36" w:rsidP="007E67A0">
      <w:pPr>
        <w:spacing w:before="120" w:after="120"/>
        <w:rPr>
          <w:rFonts w:cs="Times New Roman"/>
          <w:szCs w:val="24"/>
        </w:rPr>
      </w:pPr>
      <w:r w:rsidRPr="00CA7BFE">
        <w:rPr>
          <w:rFonts w:cs="Times New Roman"/>
          <w:szCs w:val="24"/>
        </w:rPr>
        <w:t xml:space="preserve">This section clarifies that where </w:t>
      </w:r>
      <w:r w:rsidR="004E1D3C" w:rsidRPr="00CA7BFE">
        <w:rPr>
          <w:rFonts w:cs="Times New Roman"/>
          <w:szCs w:val="24"/>
        </w:rPr>
        <w:t xml:space="preserve">a provision of the code includes a civil penalty of a </w:t>
      </w:r>
      <w:r w:rsidR="00471F9A" w:rsidRPr="00CA7BFE">
        <w:rPr>
          <w:rFonts w:cs="Times New Roman"/>
          <w:szCs w:val="24"/>
        </w:rPr>
        <w:t>specified</w:t>
      </w:r>
      <w:r w:rsidR="004E1D3C" w:rsidRPr="00CA7BFE">
        <w:rPr>
          <w:rFonts w:cs="Times New Roman"/>
          <w:szCs w:val="24"/>
        </w:rPr>
        <w:t xml:space="preserve"> number of penalty units, the provision is a ‘civil penalty provision’</w:t>
      </w:r>
      <w:r w:rsidRPr="00CA7BFE">
        <w:rPr>
          <w:rFonts w:cs="Times New Roman"/>
          <w:szCs w:val="24"/>
        </w:rPr>
        <w:t xml:space="preserve"> for the purposes of Part</w:t>
      </w:r>
      <w:r w:rsidR="004E1D3C" w:rsidRPr="00CA7BFE">
        <w:rPr>
          <w:rFonts w:cs="Times New Roman"/>
          <w:szCs w:val="24"/>
        </w:rPr>
        <w:t> </w:t>
      </w:r>
      <w:r w:rsidR="00627B9A" w:rsidRPr="00CA7BFE">
        <w:rPr>
          <w:rFonts w:cs="Times New Roman"/>
          <w:szCs w:val="24"/>
        </w:rPr>
        <w:t xml:space="preserve">IVB and section 76 of the </w:t>
      </w:r>
      <w:r w:rsidR="004E1D3C" w:rsidRPr="00CA7BFE">
        <w:rPr>
          <w:i/>
        </w:rPr>
        <w:t>Competition and Consumer Act 2010</w:t>
      </w:r>
      <w:r w:rsidR="00627B9A" w:rsidRPr="00CA7BFE">
        <w:rPr>
          <w:rFonts w:cs="Times New Roman"/>
          <w:szCs w:val="24"/>
        </w:rPr>
        <w:t>.</w:t>
      </w:r>
      <w:r w:rsidR="00D50F57" w:rsidRPr="00CA7BFE">
        <w:rPr>
          <w:rFonts w:cs="Times New Roman"/>
          <w:szCs w:val="24"/>
        </w:rPr>
        <w:t xml:space="preserve"> </w:t>
      </w:r>
    </w:p>
    <w:p w14:paraId="0B89EFB9" w14:textId="115ADEA7" w:rsidR="00581B60" w:rsidRPr="00CA7BFE" w:rsidRDefault="00581B60" w:rsidP="00581B60">
      <w:pPr>
        <w:pStyle w:val="Heading2"/>
      </w:pPr>
      <w:r w:rsidRPr="00CA7BFE">
        <w:t xml:space="preserve">Section </w:t>
      </w:r>
      <w:r w:rsidR="0093783A" w:rsidRPr="00CA7BFE">
        <w:t>8</w:t>
      </w:r>
      <w:r w:rsidRPr="00CA7BFE">
        <w:t xml:space="preserve"> – Distribution regions to which this instrument does not apply</w:t>
      </w:r>
    </w:p>
    <w:p w14:paraId="358EFFCC" w14:textId="56921D44" w:rsidR="004E1D3C" w:rsidRPr="00CA7BFE" w:rsidRDefault="00581B60" w:rsidP="00581B60">
      <w:pPr>
        <w:spacing w:before="120" w:after="120"/>
        <w:rPr>
          <w:rFonts w:cs="Times New Roman"/>
          <w:szCs w:val="24"/>
        </w:rPr>
      </w:pPr>
      <w:r w:rsidRPr="00CA7BFE">
        <w:rPr>
          <w:rFonts w:cs="Times New Roman"/>
          <w:szCs w:val="24"/>
        </w:rPr>
        <w:t xml:space="preserve">This section </w:t>
      </w:r>
      <w:r w:rsidR="004E1D3C" w:rsidRPr="00CA7BFE">
        <w:rPr>
          <w:rFonts w:cs="Times New Roman"/>
          <w:szCs w:val="24"/>
        </w:rPr>
        <w:t xml:space="preserve">deals with the scope of the Regulations. The Regulations do </w:t>
      </w:r>
      <w:r w:rsidRPr="00CA7BFE">
        <w:rPr>
          <w:rFonts w:cs="Times New Roman"/>
          <w:szCs w:val="24"/>
        </w:rPr>
        <w:t xml:space="preserve">not apply to </w:t>
      </w:r>
      <w:r w:rsidR="004E1D3C" w:rsidRPr="00CA7BFE">
        <w:rPr>
          <w:rFonts w:cs="Times New Roman"/>
          <w:szCs w:val="24"/>
        </w:rPr>
        <w:t>the supply of electricity in a particular distribution region if:</w:t>
      </w:r>
    </w:p>
    <w:p w14:paraId="521227D1" w14:textId="6D935811" w:rsidR="004E1D3C" w:rsidRPr="00CA7BFE" w:rsidRDefault="009E032F" w:rsidP="00B7777E">
      <w:pPr>
        <w:pStyle w:val="ListParagraph"/>
        <w:numPr>
          <w:ilvl w:val="0"/>
          <w:numId w:val="6"/>
        </w:numPr>
        <w:spacing w:before="120" w:after="120"/>
        <w:rPr>
          <w:rFonts w:cs="Times New Roman"/>
          <w:szCs w:val="24"/>
        </w:rPr>
      </w:pPr>
      <w:r w:rsidRPr="00CA7BFE">
        <w:rPr>
          <w:rFonts w:cs="Times New Roman"/>
          <w:szCs w:val="24"/>
        </w:rPr>
        <w:t xml:space="preserve">any </w:t>
      </w:r>
      <w:r w:rsidR="004E1D3C" w:rsidRPr="00CA7BFE">
        <w:rPr>
          <w:rFonts w:cs="Times New Roman"/>
          <w:szCs w:val="24"/>
        </w:rPr>
        <w:t xml:space="preserve">standing offer prices </w:t>
      </w:r>
      <w:r w:rsidR="007A3D89" w:rsidRPr="00CA7BFE">
        <w:rPr>
          <w:rFonts w:cs="Times New Roman"/>
          <w:szCs w:val="24"/>
        </w:rPr>
        <w:t xml:space="preserve">in the region </w:t>
      </w:r>
      <w:r w:rsidR="004E1D3C" w:rsidRPr="00CA7BFE">
        <w:rPr>
          <w:rFonts w:cs="Times New Roman"/>
          <w:szCs w:val="24"/>
        </w:rPr>
        <w:t xml:space="preserve">are regulated under State or Territory law </w:t>
      </w:r>
      <w:r w:rsidR="007A3D89" w:rsidRPr="00CA7BFE">
        <w:rPr>
          <w:rFonts w:cs="Times New Roman"/>
          <w:szCs w:val="24"/>
        </w:rPr>
        <w:t>or</w:t>
      </w:r>
    </w:p>
    <w:p w14:paraId="5DA2E18D" w14:textId="73730974" w:rsidR="007A3D89" w:rsidRPr="00CA7BFE" w:rsidRDefault="003E6D0C" w:rsidP="00B7777E">
      <w:pPr>
        <w:pStyle w:val="ListParagraph"/>
        <w:numPr>
          <w:ilvl w:val="0"/>
          <w:numId w:val="6"/>
        </w:numPr>
        <w:spacing w:before="120" w:after="120"/>
        <w:rPr>
          <w:rFonts w:cs="Times New Roman"/>
          <w:szCs w:val="24"/>
        </w:rPr>
      </w:pPr>
      <w:r w:rsidRPr="00CA7BFE">
        <w:rPr>
          <w:rFonts w:cs="Times New Roman"/>
          <w:szCs w:val="24"/>
        </w:rPr>
        <w:t>there are less than 10</w:t>
      </w:r>
      <w:r w:rsidR="007A3D89" w:rsidRPr="00CA7BFE">
        <w:rPr>
          <w:rFonts w:cs="Times New Roman"/>
          <w:szCs w:val="24"/>
        </w:rPr>
        <w:t xml:space="preserve">0,000 </w:t>
      </w:r>
      <w:r w:rsidR="0093783A" w:rsidRPr="00CA7BFE">
        <w:rPr>
          <w:rFonts w:cs="Times New Roman"/>
          <w:szCs w:val="24"/>
        </w:rPr>
        <w:t xml:space="preserve">consumers </w:t>
      </w:r>
      <w:r w:rsidR="007A3D89" w:rsidRPr="00CA7BFE">
        <w:rPr>
          <w:rFonts w:cs="Times New Roman"/>
          <w:szCs w:val="24"/>
        </w:rPr>
        <w:t>in the region</w:t>
      </w:r>
      <w:r w:rsidR="0093783A" w:rsidRPr="00CA7BFE">
        <w:rPr>
          <w:rFonts w:cs="Times New Roman"/>
          <w:szCs w:val="24"/>
        </w:rPr>
        <w:t>, and any interconnected region</w:t>
      </w:r>
      <w:r w:rsidR="007A3D89" w:rsidRPr="00CA7BFE">
        <w:rPr>
          <w:rFonts w:cs="Times New Roman"/>
          <w:szCs w:val="24"/>
        </w:rPr>
        <w:t xml:space="preserve">.  </w:t>
      </w:r>
    </w:p>
    <w:p w14:paraId="1CFFB61B" w14:textId="1F3EAE77" w:rsidR="007A3D89" w:rsidRPr="00CA7BFE" w:rsidRDefault="007A3D89" w:rsidP="00581B60">
      <w:pPr>
        <w:spacing w:before="120" w:after="120"/>
        <w:rPr>
          <w:rFonts w:cs="Times New Roman"/>
          <w:szCs w:val="24"/>
        </w:rPr>
      </w:pPr>
      <w:r w:rsidRPr="00CA7BFE">
        <w:rPr>
          <w:rFonts w:cs="Times New Roman"/>
          <w:szCs w:val="24"/>
        </w:rPr>
        <w:t xml:space="preserve">Price-regulated regions generally have a large incumbent retailer, low levels of competition, and no (or significantly less) price disparity between standing offer prices and non-standing offer prices. </w:t>
      </w:r>
      <w:r w:rsidR="00E075D9" w:rsidRPr="00CA7BFE">
        <w:rPr>
          <w:rFonts w:cs="Times New Roman"/>
          <w:szCs w:val="24"/>
        </w:rPr>
        <w:t xml:space="preserve">In </w:t>
      </w:r>
      <w:r w:rsidR="000D5E05" w:rsidRPr="00CA7BFE">
        <w:rPr>
          <w:rFonts w:cs="Times New Roman"/>
          <w:szCs w:val="24"/>
        </w:rPr>
        <w:t xml:space="preserve">some </w:t>
      </w:r>
      <w:r w:rsidR="00E075D9" w:rsidRPr="00CA7BFE">
        <w:rPr>
          <w:rFonts w:cs="Times New Roman"/>
          <w:szCs w:val="24"/>
        </w:rPr>
        <w:t>cases, t</w:t>
      </w:r>
      <w:r w:rsidRPr="00CA7BFE">
        <w:rPr>
          <w:rFonts w:cs="Times New Roman"/>
          <w:szCs w:val="24"/>
        </w:rPr>
        <w:t xml:space="preserve">he regulated prices are </w:t>
      </w:r>
      <w:r w:rsidR="00E075D9" w:rsidRPr="00CA7BFE">
        <w:rPr>
          <w:rFonts w:cs="Times New Roman"/>
          <w:szCs w:val="24"/>
        </w:rPr>
        <w:t xml:space="preserve">also </w:t>
      </w:r>
      <w:r w:rsidRPr="00CA7BFE">
        <w:rPr>
          <w:rFonts w:cs="Times New Roman"/>
          <w:szCs w:val="24"/>
        </w:rPr>
        <w:t>subsidised by the State or Territory</w:t>
      </w:r>
      <w:r w:rsidR="00FC77E9" w:rsidRPr="00CA7BFE">
        <w:rPr>
          <w:rFonts w:cs="Times New Roman"/>
          <w:szCs w:val="24"/>
        </w:rPr>
        <w:t xml:space="preserve"> concerned</w:t>
      </w:r>
      <w:r w:rsidRPr="00CA7BFE">
        <w:rPr>
          <w:rFonts w:cs="Times New Roman"/>
          <w:szCs w:val="24"/>
        </w:rPr>
        <w:t xml:space="preserve">. </w:t>
      </w:r>
      <w:r w:rsidR="00E075D9" w:rsidRPr="00CA7BFE">
        <w:rPr>
          <w:rFonts w:cs="Times New Roman"/>
          <w:szCs w:val="24"/>
        </w:rPr>
        <w:t>The concerns identified by the ACCC do not generally arise in these regions</w:t>
      </w:r>
      <w:r w:rsidR="00040F9B" w:rsidRPr="00CA7BFE">
        <w:rPr>
          <w:rFonts w:cs="Times New Roman"/>
          <w:szCs w:val="24"/>
        </w:rPr>
        <w:t>, or are adequately addressed through the</w:t>
      </w:r>
      <w:r w:rsidR="00FC5D50" w:rsidRPr="00CA7BFE">
        <w:rPr>
          <w:rFonts w:cs="Times New Roman"/>
          <w:szCs w:val="24"/>
        </w:rPr>
        <w:t xml:space="preserve"> relevant </w:t>
      </w:r>
      <w:r w:rsidR="00040F9B" w:rsidRPr="00CA7BFE">
        <w:rPr>
          <w:rFonts w:cs="Times New Roman"/>
          <w:szCs w:val="24"/>
        </w:rPr>
        <w:t>State</w:t>
      </w:r>
      <w:r w:rsidR="00FC5D50" w:rsidRPr="00CA7BFE">
        <w:rPr>
          <w:rFonts w:cs="Times New Roman"/>
          <w:szCs w:val="24"/>
        </w:rPr>
        <w:t>/</w:t>
      </w:r>
      <w:r w:rsidR="00040F9B" w:rsidRPr="00CA7BFE">
        <w:rPr>
          <w:rFonts w:cs="Times New Roman"/>
          <w:szCs w:val="24"/>
        </w:rPr>
        <w:t>Territory price regulation laws</w:t>
      </w:r>
      <w:r w:rsidR="00E075D9" w:rsidRPr="00CA7BFE">
        <w:rPr>
          <w:rFonts w:cs="Times New Roman"/>
          <w:szCs w:val="24"/>
        </w:rPr>
        <w:t>.</w:t>
      </w:r>
    </w:p>
    <w:p w14:paraId="3C14068C" w14:textId="6F20B453" w:rsidR="00581B60" w:rsidRPr="00CA7BFE" w:rsidRDefault="00E075D9" w:rsidP="00E075D9">
      <w:pPr>
        <w:spacing w:before="120" w:after="120"/>
        <w:rPr>
          <w:rFonts w:cs="Times New Roman"/>
          <w:szCs w:val="24"/>
        </w:rPr>
      </w:pPr>
      <w:r w:rsidRPr="00CA7BFE">
        <w:rPr>
          <w:rFonts w:cs="Times New Roman"/>
          <w:szCs w:val="24"/>
        </w:rPr>
        <w:t>The majority of customer</w:t>
      </w:r>
      <w:r w:rsidR="003E6D0C" w:rsidRPr="00CA7BFE">
        <w:rPr>
          <w:rFonts w:cs="Times New Roman"/>
          <w:szCs w:val="24"/>
        </w:rPr>
        <w:t xml:space="preserve">s are on networks </w:t>
      </w:r>
      <w:r w:rsidR="00EE29AD" w:rsidRPr="00CA7BFE">
        <w:rPr>
          <w:rFonts w:cs="Times New Roman"/>
          <w:szCs w:val="24"/>
        </w:rPr>
        <w:t xml:space="preserve">with more </w:t>
      </w:r>
      <w:r w:rsidR="003E6D0C" w:rsidRPr="00CA7BFE">
        <w:rPr>
          <w:rFonts w:cs="Times New Roman"/>
          <w:szCs w:val="24"/>
        </w:rPr>
        <w:t>than 10</w:t>
      </w:r>
      <w:r w:rsidRPr="00CA7BFE">
        <w:rPr>
          <w:rFonts w:cs="Times New Roman"/>
          <w:szCs w:val="24"/>
        </w:rPr>
        <w:t xml:space="preserve">0,000 </w:t>
      </w:r>
      <w:r w:rsidR="00BE183E" w:rsidRPr="00CA7BFE">
        <w:rPr>
          <w:rFonts w:cs="Times New Roman"/>
          <w:szCs w:val="24"/>
        </w:rPr>
        <w:t>consumers (that is, persons to whom a retailer sells electricity)</w:t>
      </w:r>
      <w:r w:rsidRPr="00CA7BFE">
        <w:rPr>
          <w:rFonts w:cs="Times New Roman"/>
          <w:szCs w:val="24"/>
        </w:rPr>
        <w:t xml:space="preserve">. Small regions, with less than </w:t>
      </w:r>
      <w:r w:rsidR="003E6D0C" w:rsidRPr="00CA7BFE">
        <w:rPr>
          <w:rFonts w:cs="Times New Roman"/>
          <w:szCs w:val="24"/>
        </w:rPr>
        <w:t>10</w:t>
      </w:r>
      <w:r w:rsidRPr="00CA7BFE">
        <w:rPr>
          <w:rFonts w:cs="Times New Roman"/>
          <w:szCs w:val="24"/>
        </w:rPr>
        <w:t xml:space="preserve">0,000 </w:t>
      </w:r>
      <w:r w:rsidR="00BE183E" w:rsidRPr="00CA7BFE">
        <w:rPr>
          <w:rFonts w:cs="Times New Roman"/>
          <w:szCs w:val="24"/>
        </w:rPr>
        <w:t>consumers</w:t>
      </w:r>
      <w:r w:rsidRPr="00CA7BFE">
        <w:rPr>
          <w:rFonts w:cs="Times New Roman"/>
          <w:szCs w:val="24"/>
        </w:rPr>
        <w:t xml:space="preserve">, are excluded, so as to reduce regulatory burden. </w:t>
      </w:r>
    </w:p>
    <w:p w14:paraId="7290D8CD" w14:textId="17388C7C" w:rsidR="00E075D9" w:rsidRPr="00CA7BFE" w:rsidRDefault="00E075D9" w:rsidP="005547FA">
      <w:pPr>
        <w:pStyle w:val="Heading2"/>
        <w:rPr>
          <w:b/>
          <w:u w:val="none"/>
        </w:rPr>
      </w:pPr>
      <w:r w:rsidRPr="00CA7BFE">
        <w:rPr>
          <w:b/>
          <w:u w:val="none"/>
        </w:rPr>
        <w:t xml:space="preserve">Part 2 – Electricity Retail Code of Conduct </w:t>
      </w:r>
    </w:p>
    <w:p w14:paraId="1D516A90" w14:textId="54B2BBA1" w:rsidR="005547FA" w:rsidRPr="00CA7BFE" w:rsidRDefault="005547FA" w:rsidP="005547FA">
      <w:pPr>
        <w:pStyle w:val="Heading2"/>
      </w:pPr>
      <w:r w:rsidRPr="00CA7BFE">
        <w:t xml:space="preserve">Section </w:t>
      </w:r>
      <w:r w:rsidR="00BE183E" w:rsidRPr="00CA7BFE">
        <w:t xml:space="preserve">9 </w:t>
      </w:r>
      <w:r w:rsidRPr="00CA7BFE">
        <w:t>– Mandatory industry code in Division 2</w:t>
      </w:r>
    </w:p>
    <w:p w14:paraId="5771C943" w14:textId="00D3E414" w:rsidR="005547FA" w:rsidRPr="00CA7BFE" w:rsidRDefault="005547FA" w:rsidP="005547FA">
      <w:pPr>
        <w:spacing w:before="120" w:after="120"/>
        <w:rPr>
          <w:rFonts w:cs="Times New Roman"/>
          <w:szCs w:val="24"/>
        </w:rPr>
      </w:pPr>
      <w:r w:rsidRPr="00CA7BFE">
        <w:rPr>
          <w:rFonts w:cs="Times New Roman"/>
          <w:szCs w:val="24"/>
        </w:rPr>
        <w:t xml:space="preserve">This section </w:t>
      </w:r>
      <w:r w:rsidR="00E075D9" w:rsidRPr="00CA7BFE">
        <w:rPr>
          <w:rFonts w:cs="Times New Roman"/>
          <w:szCs w:val="24"/>
        </w:rPr>
        <w:t xml:space="preserve">prescribes </w:t>
      </w:r>
      <w:r w:rsidRPr="00CA7BFE">
        <w:rPr>
          <w:rFonts w:cs="Times New Roman"/>
          <w:szCs w:val="24"/>
        </w:rPr>
        <w:t xml:space="preserve">the code </w:t>
      </w:r>
      <w:r w:rsidR="00E075D9" w:rsidRPr="00CA7BFE">
        <w:rPr>
          <w:rFonts w:cs="Times New Roman"/>
          <w:szCs w:val="24"/>
        </w:rPr>
        <w:t xml:space="preserve">set out in Division 2 of Part 2 of the Regulations </w:t>
      </w:r>
      <w:r w:rsidR="0098321C" w:rsidRPr="00CA7BFE">
        <w:rPr>
          <w:rFonts w:cs="Times New Roman"/>
          <w:szCs w:val="24"/>
        </w:rPr>
        <w:t>(sections 10</w:t>
      </w:r>
      <w:r w:rsidR="008F7FA6" w:rsidRPr="00CA7BFE">
        <w:rPr>
          <w:rFonts w:cs="Times New Roman"/>
          <w:szCs w:val="24"/>
        </w:rPr>
        <w:t>- 14</w:t>
      </w:r>
      <w:r w:rsidR="0098321C" w:rsidRPr="00CA7BFE">
        <w:rPr>
          <w:rFonts w:cs="Times New Roman"/>
          <w:szCs w:val="24"/>
        </w:rPr>
        <w:t xml:space="preserve">) </w:t>
      </w:r>
      <w:r w:rsidR="00E075D9" w:rsidRPr="00CA7BFE">
        <w:rPr>
          <w:rFonts w:cs="Times New Roman"/>
          <w:szCs w:val="24"/>
        </w:rPr>
        <w:t xml:space="preserve">as a </w:t>
      </w:r>
      <w:r w:rsidRPr="00CA7BFE">
        <w:rPr>
          <w:rFonts w:cs="Times New Roman"/>
          <w:szCs w:val="24"/>
        </w:rPr>
        <w:t>mandatory</w:t>
      </w:r>
      <w:r w:rsidR="00E075D9" w:rsidRPr="00CA7BFE">
        <w:rPr>
          <w:rFonts w:cs="Times New Roman"/>
          <w:szCs w:val="24"/>
        </w:rPr>
        <w:t xml:space="preserve"> in</w:t>
      </w:r>
      <w:r w:rsidR="00471F9A" w:rsidRPr="00CA7BFE">
        <w:rPr>
          <w:rFonts w:cs="Times New Roman"/>
          <w:szCs w:val="24"/>
        </w:rPr>
        <w:t>dustry code for the purposes of Part I</w:t>
      </w:r>
      <w:r w:rsidR="00E075D9" w:rsidRPr="00CA7BFE">
        <w:rPr>
          <w:rFonts w:cs="Times New Roman"/>
          <w:szCs w:val="24"/>
        </w:rPr>
        <w:t xml:space="preserve">VB of the </w:t>
      </w:r>
      <w:r w:rsidR="00E075D9" w:rsidRPr="00CA7BFE">
        <w:rPr>
          <w:rFonts w:cs="Times New Roman"/>
          <w:i/>
          <w:szCs w:val="24"/>
        </w:rPr>
        <w:t>Competition and Consumer Act 2010</w:t>
      </w:r>
      <w:r w:rsidRPr="00CA7BFE">
        <w:rPr>
          <w:rFonts w:cs="Times New Roman"/>
          <w:szCs w:val="24"/>
        </w:rPr>
        <w:t>.</w:t>
      </w:r>
      <w:r w:rsidR="00E075D9" w:rsidRPr="00CA7BFE">
        <w:rPr>
          <w:rFonts w:cs="Times New Roman"/>
          <w:szCs w:val="24"/>
        </w:rPr>
        <w:t xml:space="preserve"> </w:t>
      </w:r>
    </w:p>
    <w:p w14:paraId="25269AFA" w14:textId="2C7A805B" w:rsidR="005547FA" w:rsidRPr="00CA7BFE" w:rsidRDefault="005547FA" w:rsidP="005547FA">
      <w:pPr>
        <w:pStyle w:val="Heading2"/>
      </w:pPr>
      <w:r w:rsidRPr="00CA7BFE">
        <w:t xml:space="preserve">Section </w:t>
      </w:r>
      <w:r w:rsidR="00BE183E" w:rsidRPr="00CA7BFE">
        <w:t xml:space="preserve">10 </w:t>
      </w:r>
      <w:r w:rsidRPr="00CA7BFE">
        <w:t>–</w:t>
      </w:r>
      <w:r w:rsidR="00FC77E9" w:rsidRPr="00CA7BFE">
        <w:t xml:space="preserve"> C</w:t>
      </w:r>
      <w:r w:rsidR="00224E86" w:rsidRPr="00CA7BFE">
        <w:t xml:space="preserve">aps on </w:t>
      </w:r>
      <w:r w:rsidRPr="00CA7BFE">
        <w:t xml:space="preserve">standing offer </w:t>
      </w:r>
      <w:r w:rsidR="00224E86" w:rsidRPr="00CA7BFE">
        <w:t>prices</w:t>
      </w:r>
    </w:p>
    <w:p w14:paraId="29729B52" w14:textId="28DCC754" w:rsidR="00F55F6F" w:rsidRPr="00CA7BFE" w:rsidRDefault="00FC5D50" w:rsidP="005547FA">
      <w:pPr>
        <w:spacing w:before="120" w:after="120"/>
        <w:rPr>
          <w:rFonts w:cs="Times New Roman"/>
          <w:szCs w:val="24"/>
        </w:rPr>
      </w:pPr>
      <w:r w:rsidRPr="00CA7BFE">
        <w:rPr>
          <w:rFonts w:cs="Times New Roman"/>
          <w:szCs w:val="24"/>
        </w:rPr>
        <w:t xml:space="preserve">This section requires retailers to ensure that their standing offer prices for supplying electricity in a particular distribution region to a particular type of small customer do not exceed the </w:t>
      </w:r>
      <w:r w:rsidR="00AB5C20" w:rsidRPr="00CA7BFE">
        <w:rPr>
          <w:rFonts w:cs="Times New Roman"/>
          <w:szCs w:val="24"/>
        </w:rPr>
        <w:t>reference</w:t>
      </w:r>
      <w:r w:rsidR="00EE29AD" w:rsidRPr="00CA7BFE">
        <w:rPr>
          <w:rFonts w:cs="Times New Roman"/>
          <w:szCs w:val="24"/>
        </w:rPr>
        <w:t xml:space="preserve"> </w:t>
      </w:r>
      <w:r w:rsidRPr="00CA7BFE">
        <w:rPr>
          <w:rFonts w:cs="Times New Roman"/>
          <w:szCs w:val="24"/>
        </w:rPr>
        <w:t xml:space="preserve">price for that region and type of customer. The types of small customers for this purpose are identified in section </w:t>
      </w:r>
      <w:r w:rsidR="0093783A" w:rsidRPr="00CA7BFE">
        <w:rPr>
          <w:rFonts w:cs="Times New Roman"/>
          <w:szCs w:val="24"/>
        </w:rPr>
        <w:t>6</w:t>
      </w:r>
      <w:r w:rsidRPr="00CA7BFE">
        <w:rPr>
          <w:rFonts w:cs="Times New Roman"/>
          <w:szCs w:val="24"/>
        </w:rPr>
        <w:t xml:space="preserve">. </w:t>
      </w:r>
      <w:r w:rsidR="00AB5C20" w:rsidRPr="00CA7BFE">
        <w:rPr>
          <w:rFonts w:cs="Times New Roman"/>
          <w:szCs w:val="24"/>
        </w:rPr>
        <w:t xml:space="preserve">The reference price for a particular region and type of customer is determined by the AER in accordance with paragraph </w:t>
      </w:r>
      <w:r w:rsidR="008F7FA6" w:rsidRPr="00CA7BFE">
        <w:rPr>
          <w:rFonts w:cs="Times New Roman"/>
          <w:szCs w:val="24"/>
        </w:rPr>
        <w:t>16</w:t>
      </w:r>
      <w:r w:rsidR="00AB5C20" w:rsidRPr="00CA7BFE">
        <w:rPr>
          <w:rFonts w:cs="Times New Roman"/>
          <w:szCs w:val="24"/>
        </w:rPr>
        <w:t xml:space="preserve">(1)(b). </w:t>
      </w:r>
    </w:p>
    <w:p w14:paraId="1AD243DD" w14:textId="2666759D" w:rsidR="000406A2" w:rsidRPr="00CA7BFE" w:rsidRDefault="00CF6701" w:rsidP="0037688F">
      <w:pPr>
        <w:spacing w:before="120" w:after="120"/>
        <w:rPr>
          <w:rFonts w:cs="Times New Roman"/>
          <w:szCs w:val="24"/>
        </w:rPr>
      </w:pPr>
      <w:r w:rsidRPr="00CA7BFE">
        <w:rPr>
          <w:rFonts w:cs="Times New Roman"/>
          <w:szCs w:val="24"/>
        </w:rPr>
        <w:t>Compliance</w:t>
      </w:r>
      <w:r w:rsidR="00AE7C2F" w:rsidRPr="00CA7BFE">
        <w:rPr>
          <w:rFonts w:cs="Times New Roman"/>
          <w:szCs w:val="24"/>
        </w:rPr>
        <w:t xml:space="preserve"> is </w:t>
      </w:r>
      <w:r w:rsidR="00F55F6F" w:rsidRPr="00CA7BFE">
        <w:rPr>
          <w:rFonts w:cs="Times New Roman"/>
          <w:szCs w:val="24"/>
        </w:rPr>
        <w:t>determined by comparing the annual price the customer would be charged by the retailer</w:t>
      </w:r>
      <w:r w:rsidR="00866B9F" w:rsidRPr="00CA7BFE">
        <w:rPr>
          <w:rFonts w:cs="Times New Roman"/>
          <w:szCs w:val="24"/>
        </w:rPr>
        <w:t>,</w:t>
      </w:r>
      <w:r w:rsidR="00F55F6F" w:rsidRPr="00CA7BFE">
        <w:rPr>
          <w:rFonts w:cs="Times New Roman"/>
          <w:szCs w:val="24"/>
        </w:rPr>
        <w:t xml:space="preserve"> if </w:t>
      </w:r>
      <w:r w:rsidR="003E6D0C" w:rsidRPr="00CA7BFE">
        <w:rPr>
          <w:rFonts w:cs="Times New Roman"/>
          <w:szCs w:val="24"/>
        </w:rPr>
        <w:t>the</w:t>
      </w:r>
      <w:r w:rsidR="00FC77E9" w:rsidRPr="00CA7BFE">
        <w:rPr>
          <w:rFonts w:cs="Times New Roman"/>
          <w:szCs w:val="24"/>
        </w:rPr>
        <w:t xml:space="preserve"> customer</w:t>
      </w:r>
      <w:r w:rsidR="00F55F6F" w:rsidRPr="00CA7BFE">
        <w:rPr>
          <w:rFonts w:cs="Times New Roman"/>
          <w:szCs w:val="24"/>
        </w:rPr>
        <w:t xml:space="preserve"> consumed electricity in accordance with the model annual usage</w:t>
      </w:r>
      <w:r w:rsidR="00866B9F" w:rsidRPr="00CA7BFE">
        <w:rPr>
          <w:rFonts w:cs="Times New Roman"/>
          <w:szCs w:val="24"/>
        </w:rPr>
        <w:t xml:space="preserve"> </w:t>
      </w:r>
      <w:r w:rsidR="00AB5C20" w:rsidRPr="00CA7BFE">
        <w:rPr>
          <w:rFonts w:cs="Times New Roman"/>
          <w:szCs w:val="24"/>
        </w:rPr>
        <w:t>for that region and type of customer</w:t>
      </w:r>
      <w:r w:rsidR="00F55F6F" w:rsidRPr="00CA7BFE">
        <w:rPr>
          <w:rFonts w:cs="Times New Roman"/>
          <w:szCs w:val="24"/>
        </w:rPr>
        <w:t xml:space="preserve">, with the </w:t>
      </w:r>
      <w:r w:rsidR="00E36194" w:rsidRPr="00CA7BFE">
        <w:rPr>
          <w:rFonts w:cs="Times New Roman"/>
          <w:szCs w:val="24"/>
        </w:rPr>
        <w:t xml:space="preserve">relevant </w:t>
      </w:r>
      <w:r w:rsidR="00AB5C20" w:rsidRPr="00CA7BFE">
        <w:rPr>
          <w:rFonts w:cs="Times New Roman"/>
          <w:szCs w:val="24"/>
        </w:rPr>
        <w:t xml:space="preserve">reference price. The model annual usage for a particular region and type of customer is </w:t>
      </w:r>
      <w:r w:rsidR="00E36194" w:rsidRPr="00CA7BFE">
        <w:rPr>
          <w:rFonts w:cs="Times New Roman"/>
          <w:szCs w:val="24"/>
        </w:rPr>
        <w:t xml:space="preserve">determined </w:t>
      </w:r>
      <w:r w:rsidR="00AB5C20" w:rsidRPr="00CA7BFE">
        <w:rPr>
          <w:rFonts w:cs="Times New Roman"/>
          <w:szCs w:val="24"/>
        </w:rPr>
        <w:t xml:space="preserve">by the AER in accordance with paragraph </w:t>
      </w:r>
      <w:r w:rsidR="008F7FA6" w:rsidRPr="00CA7BFE">
        <w:rPr>
          <w:rFonts w:cs="Times New Roman"/>
          <w:szCs w:val="24"/>
        </w:rPr>
        <w:t>16</w:t>
      </w:r>
      <w:r w:rsidR="00AB5C20" w:rsidRPr="00CA7BFE">
        <w:rPr>
          <w:rFonts w:cs="Times New Roman"/>
          <w:szCs w:val="24"/>
        </w:rPr>
        <w:t>(1)(a))</w:t>
      </w:r>
      <w:r w:rsidR="00F55F6F" w:rsidRPr="00CA7BFE">
        <w:rPr>
          <w:rFonts w:cs="Times New Roman"/>
          <w:szCs w:val="24"/>
        </w:rPr>
        <w:t xml:space="preserve">. </w:t>
      </w:r>
    </w:p>
    <w:p w14:paraId="212CBB4A" w14:textId="0FB34D29" w:rsidR="003B65E6" w:rsidRPr="00CA7BFE" w:rsidRDefault="00F55F6F" w:rsidP="0037688F">
      <w:pPr>
        <w:spacing w:before="120" w:after="120"/>
        <w:rPr>
          <w:rFonts w:cs="Times New Roman"/>
          <w:szCs w:val="24"/>
        </w:rPr>
      </w:pPr>
      <w:r w:rsidRPr="00CA7BFE">
        <w:rPr>
          <w:rFonts w:cs="Times New Roman"/>
          <w:szCs w:val="24"/>
        </w:rPr>
        <w:t>For example,</w:t>
      </w:r>
      <w:r w:rsidR="000406A2" w:rsidRPr="00CA7BFE">
        <w:rPr>
          <w:rFonts w:cs="Times New Roman"/>
          <w:szCs w:val="24"/>
        </w:rPr>
        <w:t xml:space="preserve"> if the model annual usage is 5000 </w:t>
      </w:r>
      <w:r w:rsidR="00B7777E" w:rsidRPr="00CA7BFE">
        <w:rPr>
          <w:rFonts w:cs="Times New Roman"/>
          <w:szCs w:val="24"/>
        </w:rPr>
        <w:t>k</w:t>
      </w:r>
      <w:r w:rsidR="000406A2" w:rsidRPr="00CA7BFE">
        <w:rPr>
          <w:rFonts w:cs="Times New Roman"/>
          <w:szCs w:val="24"/>
        </w:rPr>
        <w:t xml:space="preserve">Wh </w:t>
      </w:r>
      <w:r w:rsidR="00471F9A" w:rsidRPr="00CA7BFE">
        <w:rPr>
          <w:rFonts w:cs="Times New Roman"/>
          <w:szCs w:val="24"/>
        </w:rPr>
        <w:t>a</w:t>
      </w:r>
      <w:r w:rsidR="000406A2" w:rsidRPr="00CA7BFE">
        <w:rPr>
          <w:rFonts w:cs="Times New Roman"/>
          <w:szCs w:val="24"/>
        </w:rPr>
        <w:t xml:space="preserve"> year, then a retailer’s compliance would be assessed by multiplying the retailer’s daily supply charge by 365 (the number of days in the financial year)</w:t>
      </w:r>
      <w:r w:rsidR="003B65E6" w:rsidRPr="00CA7BFE">
        <w:rPr>
          <w:rFonts w:cs="Times New Roman"/>
          <w:szCs w:val="24"/>
        </w:rPr>
        <w:t>,</w:t>
      </w:r>
      <w:r w:rsidR="000406A2" w:rsidRPr="00CA7BFE">
        <w:rPr>
          <w:rFonts w:cs="Times New Roman"/>
          <w:szCs w:val="24"/>
        </w:rPr>
        <w:t xml:space="preserve"> adding to that the retailer’s usage charge (which is generally expressed as a number of cents per </w:t>
      </w:r>
      <w:r w:rsidR="00B7777E" w:rsidRPr="00CA7BFE">
        <w:rPr>
          <w:rFonts w:cs="Times New Roman"/>
          <w:szCs w:val="24"/>
        </w:rPr>
        <w:t>k</w:t>
      </w:r>
      <w:r w:rsidR="000406A2" w:rsidRPr="00CA7BFE">
        <w:rPr>
          <w:rFonts w:cs="Times New Roman"/>
          <w:szCs w:val="24"/>
        </w:rPr>
        <w:t xml:space="preserve">Wh) </w:t>
      </w:r>
      <w:r w:rsidR="003B65E6" w:rsidRPr="00CA7BFE">
        <w:rPr>
          <w:rFonts w:cs="Times New Roman"/>
          <w:szCs w:val="24"/>
        </w:rPr>
        <w:t xml:space="preserve">multiplied </w:t>
      </w:r>
      <w:r w:rsidR="000406A2" w:rsidRPr="00CA7BFE">
        <w:rPr>
          <w:rFonts w:cs="Times New Roman"/>
          <w:szCs w:val="24"/>
        </w:rPr>
        <w:t>by 5000</w:t>
      </w:r>
      <w:r w:rsidR="00B7777E" w:rsidRPr="00CA7BFE">
        <w:rPr>
          <w:rFonts w:cs="Times New Roman"/>
          <w:szCs w:val="24"/>
        </w:rPr>
        <w:t xml:space="preserve"> (the number of k</w:t>
      </w:r>
      <w:r w:rsidR="003B65E6" w:rsidRPr="00CA7BFE">
        <w:rPr>
          <w:rFonts w:cs="Times New Roman"/>
          <w:szCs w:val="24"/>
        </w:rPr>
        <w:t>Wh</w:t>
      </w:r>
      <w:r w:rsidR="00EB320F" w:rsidRPr="00CA7BFE">
        <w:rPr>
          <w:rFonts w:cs="Times New Roman"/>
          <w:szCs w:val="24"/>
        </w:rPr>
        <w:t>s</w:t>
      </w:r>
      <w:r w:rsidR="003B65E6" w:rsidRPr="00CA7BFE">
        <w:rPr>
          <w:rFonts w:cs="Times New Roman"/>
          <w:szCs w:val="24"/>
        </w:rPr>
        <w:t xml:space="preserve"> assumed to have been consumed in the year), and comparing the result with the relevant </w:t>
      </w:r>
      <w:r w:rsidR="00AB5C20" w:rsidRPr="00CA7BFE">
        <w:rPr>
          <w:rFonts w:cs="Times New Roman"/>
          <w:szCs w:val="24"/>
        </w:rPr>
        <w:t>reference</w:t>
      </w:r>
      <w:r w:rsidR="00EE29AD" w:rsidRPr="00CA7BFE">
        <w:rPr>
          <w:rFonts w:cs="Times New Roman"/>
          <w:szCs w:val="24"/>
        </w:rPr>
        <w:t xml:space="preserve"> </w:t>
      </w:r>
      <w:r w:rsidR="003B65E6" w:rsidRPr="00CA7BFE">
        <w:rPr>
          <w:rFonts w:cs="Times New Roman"/>
          <w:szCs w:val="24"/>
        </w:rPr>
        <w:t>price</w:t>
      </w:r>
      <w:r w:rsidR="000406A2" w:rsidRPr="00CA7BFE">
        <w:rPr>
          <w:rFonts w:cs="Times New Roman"/>
          <w:szCs w:val="24"/>
        </w:rPr>
        <w:t>. If the r</w:t>
      </w:r>
      <w:r w:rsidRPr="00CA7BFE">
        <w:rPr>
          <w:rFonts w:cs="Times New Roman"/>
          <w:szCs w:val="24"/>
        </w:rPr>
        <w:t xml:space="preserve">etailer’s </w:t>
      </w:r>
      <w:r w:rsidR="000406A2" w:rsidRPr="00CA7BFE">
        <w:rPr>
          <w:rFonts w:cs="Times New Roman"/>
          <w:szCs w:val="24"/>
        </w:rPr>
        <w:t xml:space="preserve">daily supply charge is one dollar, and its usage charge is 50 cents per </w:t>
      </w:r>
      <w:r w:rsidR="00B7777E" w:rsidRPr="00CA7BFE">
        <w:rPr>
          <w:rFonts w:cs="Times New Roman"/>
          <w:szCs w:val="24"/>
        </w:rPr>
        <w:t>k</w:t>
      </w:r>
      <w:r w:rsidR="000406A2" w:rsidRPr="00CA7BFE">
        <w:rPr>
          <w:rFonts w:cs="Times New Roman"/>
          <w:szCs w:val="24"/>
        </w:rPr>
        <w:t>Wh</w:t>
      </w:r>
      <w:r w:rsidR="003B65E6" w:rsidRPr="00CA7BFE">
        <w:rPr>
          <w:rFonts w:cs="Times New Roman"/>
          <w:szCs w:val="24"/>
        </w:rPr>
        <w:t xml:space="preserve">, and </w:t>
      </w:r>
      <w:r w:rsidR="00AB5C20" w:rsidRPr="00CA7BFE">
        <w:rPr>
          <w:rFonts w:cs="Times New Roman"/>
          <w:szCs w:val="24"/>
        </w:rPr>
        <w:t>reference</w:t>
      </w:r>
      <w:r w:rsidR="003B65E6" w:rsidRPr="00CA7BFE">
        <w:rPr>
          <w:rFonts w:cs="Times New Roman"/>
          <w:szCs w:val="24"/>
        </w:rPr>
        <w:t xml:space="preserve"> price is $3000, the retailer’s prices would be compliant ($2865 is less than $3000</w:t>
      </w:r>
      <w:r w:rsidR="000D5E05" w:rsidRPr="00CA7BFE">
        <w:rPr>
          <w:rFonts w:cs="Times New Roman"/>
          <w:szCs w:val="24"/>
        </w:rPr>
        <w:t>, see below for calculation</w:t>
      </w:r>
      <w:r w:rsidR="003B65E6" w:rsidRPr="00CA7BFE">
        <w:rPr>
          <w:rFonts w:cs="Times New Roman"/>
          <w:szCs w:val="24"/>
        </w:rPr>
        <w:t>)</w:t>
      </w:r>
      <w:r w:rsidR="0093466A" w:rsidRPr="00CA7BFE">
        <w:rPr>
          <w:rFonts w:cs="Times New Roman"/>
          <w:szCs w:val="24"/>
        </w:rPr>
        <w:t>. I</w:t>
      </w:r>
      <w:r w:rsidR="003B65E6" w:rsidRPr="00CA7BFE">
        <w:rPr>
          <w:rFonts w:cs="Times New Roman"/>
          <w:szCs w:val="24"/>
        </w:rPr>
        <w:t xml:space="preserve">f the </w:t>
      </w:r>
      <w:r w:rsidR="00AB5C20" w:rsidRPr="00CA7BFE">
        <w:rPr>
          <w:rFonts w:cs="Times New Roman"/>
          <w:szCs w:val="24"/>
        </w:rPr>
        <w:t>reference</w:t>
      </w:r>
      <w:r w:rsidR="003B65E6" w:rsidRPr="00CA7BFE">
        <w:rPr>
          <w:rFonts w:cs="Times New Roman"/>
          <w:szCs w:val="24"/>
        </w:rPr>
        <w:t xml:space="preserve"> price is $2500, the prices would be non-compliant. </w:t>
      </w:r>
    </w:p>
    <w:p w14:paraId="21D06020" w14:textId="5446C053" w:rsidR="005C67AB" w:rsidRPr="00CA7BFE" w:rsidRDefault="005C67AB" w:rsidP="0037688F">
      <w:pPr>
        <w:spacing w:before="120" w:after="120"/>
        <w:rPr>
          <w:rFonts w:cs="Times New Roman"/>
          <w:szCs w:val="24"/>
        </w:rPr>
      </w:pPr>
      <w:r w:rsidRPr="00CA7BFE">
        <w:rPr>
          <w:rFonts w:cs="Times New Roman"/>
          <w:noProof/>
          <w:szCs w:val="24"/>
          <w:lang w:eastAsia="en-AU"/>
        </w:rPr>
        <mc:AlternateContent>
          <mc:Choice Requires="wps">
            <w:drawing>
              <wp:anchor distT="45720" distB="45720" distL="114300" distR="114300" simplePos="0" relativeHeight="251658240" behindDoc="0" locked="0" layoutInCell="1" allowOverlap="1" wp14:anchorId="78A86254" wp14:editId="765DF530">
                <wp:simplePos x="0" y="0"/>
                <wp:positionH relativeFrom="margin">
                  <wp:align>center</wp:align>
                </wp:positionH>
                <wp:positionV relativeFrom="paragraph">
                  <wp:posOffset>27940</wp:posOffset>
                </wp:positionV>
                <wp:extent cx="23907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52500"/>
                        </a:xfrm>
                        <a:prstGeom prst="rect">
                          <a:avLst/>
                        </a:prstGeom>
                        <a:solidFill>
                          <a:srgbClr val="FFFFFF"/>
                        </a:solidFill>
                        <a:ln w="9525">
                          <a:solidFill>
                            <a:srgbClr val="000000"/>
                          </a:solidFill>
                          <a:miter lim="800000"/>
                          <a:headEnd/>
                          <a:tailEnd/>
                        </a:ln>
                      </wps:spPr>
                      <wps:txbx>
                        <w:txbxContent>
                          <w:p w14:paraId="3FF0DB3F" w14:textId="478ED9AB" w:rsidR="0061748A" w:rsidRDefault="0061748A" w:rsidP="005C67AB">
                            <w:pPr>
                              <w:spacing w:after="120"/>
                              <w:rPr>
                                <w:rFonts w:cs="Times New Roman"/>
                                <w:szCs w:val="24"/>
                                <w:u w:val="single"/>
                              </w:rPr>
                            </w:pPr>
                            <w:r>
                              <w:rPr>
                                <w:rFonts w:cs="Times New Roman"/>
                                <w:szCs w:val="24"/>
                                <w:u w:val="single"/>
                              </w:rPr>
                              <w:t>Calculation</w:t>
                            </w:r>
                          </w:p>
                          <w:p w14:paraId="21DACBCB" w14:textId="1617D156" w:rsidR="0061748A" w:rsidRDefault="0061748A">
                            <w:r>
                              <w:rPr>
                                <w:rFonts w:cs="Times New Roman"/>
                                <w:szCs w:val="24"/>
                              </w:rPr>
                              <w:t>= (5000 kWh * $0.50) + (365 * $1)</w:t>
                            </w:r>
                            <w:r>
                              <w:rPr>
                                <w:rFonts w:cs="Times New Roman"/>
                                <w:szCs w:val="24"/>
                              </w:rPr>
                              <w:br/>
                              <w:t>= $2500 + $365</w:t>
                            </w:r>
                            <w:r>
                              <w:rPr>
                                <w:rFonts w:cs="Times New Roman"/>
                                <w:szCs w:val="24"/>
                              </w:rPr>
                              <w:br/>
                              <w:t>= $2865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86254" id="_x0000_t202" coordsize="21600,21600" o:spt="202" path="m,l,21600r21600,l21600,xe">
                <v:stroke joinstyle="miter"/>
                <v:path gradientshapeok="t" o:connecttype="rect"/>
              </v:shapetype>
              <v:shape id="Text Box 2" o:spid="_x0000_s1026" type="#_x0000_t202" style="position:absolute;margin-left:0;margin-top:2.2pt;width:188.25pt;height: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">
                <v:textbox>
                  <w:txbxContent>
                    <w:p w14:paraId="3FF0DB3F" w14:textId="478ED9AB" w:rsidR="0061748A" w:rsidRDefault="0061748A" w:rsidP="005C67AB">
                      <w:pPr>
                        <w:spacing w:after="120"/>
                        <w:rPr>
                          <w:rFonts w:cs="Times New Roman"/>
                          <w:szCs w:val="24"/>
                          <w:u w:val="single"/>
                        </w:rPr>
                      </w:pPr>
                      <w:r>
                        <w:rPr>
                          <w:rFonts w:cs="Times New Roman"/>
                          <w:szCs w:val="24"/>
                          <w:u w:val="single"/>
                        </w:rPr>
                        <w:t>Calculation</w:t>
                      </w:r>
                    </w:p>
                    <w:p w14:paraId="21DACBCB" w14:textId="1617D156" w:rsidR="0061748A" w:rsidRDefault="0061748A">
                      <w:r>
                        <w:rPr>
                          <w:rFonts w:cs="Times New Roman"/>
                          <w:szCs w:val="24"/>
                        </w:rPr>
                        <w:t>= (5000 kWh * $0.50) + (365 * $1)</w:t>
                      </w:r>
                      <w:r>
                        <w:rPr>
                          <w:rFonts w:cs="Times New Roman"/>
                          <w:szCs w:val="24"/>
                        </w:rPr>
                        <w:br/>
                        <w:t>= $2500 + $365</w:t>
                      </w:r>
                      <w:r>
                        <w:rPr>
                          <w:rFonts w:cs="Times New Roman"/>
                          <w:szCs w:val="24"/>
                        </w:rPr>
                        <w:br/>
                        <w:t>= $2865</w:t>
                      </w:r>
                    </w:p>
                  </w:txbxContent>
                </v:textbox>
                <w10:wrap type="square" anchorx="margin"/>
              </v:shape>
            </w:pict>
          </mc:Fallback>
        </mc:AlternateContent>
      </w:r>
    </w:p>
    <w:p w14:paraId="4FBB8217" w14:textId="6CAE94DA" w:rsidR="000D5E05" w:rsidRPr="00CA7BFE" w:rsidRDefault="000D5E05" w:rsidP="0037688F">
      <w:pPr>
        <w:spacing w:before="120" w:after="120"/>
        <w:rPr>
          <w:rFonts w:cs="Times New Roman"/>
          <w:szCs w:val="24"/>
        </w:rPr>
      </w:pPr>
    </w:p>
    <w:p w14:paraId="56859EF4" w14:textId="77777777" w:rsidR="005C67AB" w:rsidRPr="00CA7BFE" w:rsidRDefault="005C67AB" w:rsidP="0037688F">
      <w:pPr>
        <w:spacing w:before="120" w:after="120"/>
        <w:rPr>
          <w:rFonts w:cs="Times New Roman"/>
          <w:szCs w:val="24"/>
        </w:rPr>
      </w:pPr>
    </w:p>
    <w:p w14:paraId="69785F3B" w14:textId="387169F3" w:rsidR="000D5E05" w:rsidRPr="00CA7BFE" w:rsidRDefault="000D5E05" w:rsidP="0037688F">
      <w:pPr>
        <w:spacing w:before="120" w:after="120"/>
        <w:rPr>
          <w:rFonts w:cs="Times New Roman"/>
          <w:szCs w:val="24"/>
        </w:rPr>
      </w:pPr>
    </w:p>
    <w:p w14:paraId="479A0F62" w14:textId="722F85C6" w:rsidR="00DE3CCA" w:rsidRPr="00CA7BFE" w:rsidRDefault="00DE3CCA" w:rsidP="0037688F">
      <w:pPr>
        <w:spacing w:before="120" w:after="120"/>
        <w:rPr>
          <w:rFonts w:cs="Times New Roman"/>
          <w:szCs w:val="24"/>
        </w:rPr>
      </w:pPr>
      <w:r w:rsidRPr="00CA7BFE">
        <w:rPr>
          <w:rFonts w:cs="Times New Roman"/>
          <w:szCs w:val="24"/>
        </w:rPr>
        <w:t>This section does not apply to standing offer prices for flexible</w:t>
      </w:r>
      <w:r w:rsidR="00FC77E9" w:rsidRPr="00CA7BFE">
        <w:rPr>
          <w:rFonts w:cs="Times New Roman"/>
          <w:szCs w:val="24"/>
        </w:rPr>
        <w:t xml:space="preserve"> </w:t>
      </w:r>
      <w:r w:rsidRPr="00CA7BFE">
        <w:rPr>
          <w:rFonts w:cs="Times New Roman"/>
          <w:szCs w:val="24"/>
        </w:rPr>
        <w:t xml:space="preserve">tariffs. </w:t>
      </w:r>
      <w:r w:rsidR="007626F7" w:rsidRPr="00CA7BFE">
        <w:rPr>
          <w:rFonts w:cs="Times New Roman"/>
          <w:szCs w:val="24"/>
        </w:rPr>
        <w:t xml:space="preserve">Accordingly, </w:t>
      </w:r>
      <w:r w:rsidR="007626F7" w:rsidRPr="00CA7BFE">
        <w:t xml:space="preserve">a retailer’s standing offer prices for flexible tariffs will not be capped by reference to the relevant </w:t>
      </w:r>
      <w:r w:rsidR="00AB5C20" w:rsidRPr="00CA7BFE">
        <w:t>reference</w:t>
      </w:r>
      <w:r w:rsidR="007626F7" w:rsidRPr="00CA7BFE">
        <w:t xml:space="preserve"> price. However, in accordance with section 1</w:t>
      </w:r>
      <w:r w:rsidR="008F7FA6" w:rsidRPr="00CA7BFE">
        <w:t>2</w:t>
      </w:r>
      <w:r w:rsidR="007626F7" w:rsidRPr="00CA7BFE">
        <w:t xml:space="preserve">, the retailer will still need to compare its annualised prices for such tariffs with the </w:t>
      </w:r>
      <w:r w:rsidR="00AB5C20" w:rsidRPr="00CA7BFE">
        <w:t>reference</w:t>
      </w:r>
      <w:r w:rsidR="007626F7" w:rsidRPr="00CA7BFE">
        <w:t xml:space="preserve"> price.</w:t>
      </w:r>
    </w:p>
    <w:p w14:paraId="752FA484" w14:textId="228BAD00" w:rsidR="00227CB5" w:rsidRPr="00CA7BFE" w:rsidRDefault="00E227B3" w:rsidP="0037688F">
      <w:pPr>
        <w:spacing w:before="120" w:after="120"/>
        <w:rPr>
          <w:rFonts w:cs="Times New Roman"/>
          <w:szCs w:val="24"/>
        </w:rPr>
      </w:pPr>
      <w:r w:rsidRPr="00CA7BFE">
        <w:rPr>
          <w:rFonts w:cs="Times New Roman"/>
          <w:szCs w:val="24"/>
        </w:rPr>
        <w:t xml:space="preserve">A civil penalty of 300 penalty units applies for each day </w:t>
      </w:r>
      <w:r w:rsidR="00227CB5" w:rsidRPr="00CA7BFE">
        <w:rPr>
          <w:rFonts w:cs="Times New Roman"/>
          <w:szCs w:val="24"/>
        </w:rPr>
        <w:t>a retailer</w:t>
      </w:r>
      <w:r w:rsidR="004E6246" w:rsidRPr="00CA7BFE">
        <w:rPr>
          <w:rFonts w:cs="Times New Roman"/>
          <w:szCs w:val="24"/>
        </w:rPr>
        <w:t>’s standing offer prices are</w:t>
      </w:r>
      <w:r w:rsidR="00227CB5" w:rsidRPr="00CA7BFE">
        <w:rPr>
          <w:rFonts w:cs="Times New Roman"/>
          <w:szCs w:val="24"/>
        </w:rPr>
        <w:t xml:space="preserve"> non-compliant with section 10</w:t>
      </w:r>
      <w:r w:rsidRPr="00CA7BFE">
        <w:rPr>
          <w:rFonts w:cs="Times New Roman"/>
          <w:szCs w:val="24"/>
        </w:rPr>
        <w:t xml:space="preserve">. </w:t>
      </w:r>
      <w:r w:rsidR="00227CB5" w:rsidRPr="00CA7BFE">
        <w:rPr>
          <w:rFonts w:cs="Times New Roman"/>
          <w:szCs w:val="24"/>
        </w:rPr>
        <w:t>This</w:t>
      </w:r>
      <w:r w:rsidRPr="00CA7BFE">
        <w:rPr>
          <w:rFonts w:cs="Times New Roman"/>
          <w:szCs w:val="24"/>
        </w:rPr>
        <w:t xml:space="preserve"> is the </w:t>
      </w:r>
      <w:r w:rsidR="005B6B21" w:rsidRPr="00CA7BFE">
        <w:rPr>
          <w:rFonts w:cs="Times New Roman"/>
          <w:szCs w:val="24"/>
        </w:rPr>
        <w:t xml:space="preserve">maximum penalty permitted for a civil penalty provision of an industry code (subsection 51AE(2) of the </w:t>
      </w:r>
      <w:r w:rsidR="005B6B21" w:rsidRPr="00CA7BFE">
        <w:rPr>
          <w:rFonts w:cs="Times New Roman"/>
          <w:i/>
          <w:szCs w:val="24"/>
        </w:rPr>
        <w:t>Competition and Consumer Act 2010</w:t>
      </w:r>
      <w:r w:rsidR="005B6B21" w:rsidRPr="00CA7BFE">
        <w:rPr>
          <w:rFonts w:cs="Times New Roman"/>
          <w:szCs w:val="24"/>
        </w:rPr>
        <w:t>).</w:t>
      </w:r>
      <w:r w:rsidRPr="00CA7BFE">
        <w:rPr>
          <w:rFonts w:cs="Times New Roman"/>
          <w:szCs w:val="24"/>
        </w:rPr>
        <w:t xml:space="preserve"> </w:t>
      </w:r>
      <w:r w:rsidR="00227CB5" w:rsidRPr="00CA7BFE">
        <w:rPr>
          <w:rFonts w:cs="Times New Roman"/>
          <w:szCs w:val="24"/>
        </w:rPr>
        <w:t xml:space="preserve">The imposition of the maximum penalty is necessary to ensure compliance with </w:t>
      </w:r>
      <w:r w:rsidR="004E6246" w:rsidRPr="00CA7BFE">
        <w:rPr>
          <w:rFonts w:cs="Times New Roman"/>
          <w:szCs w:val="24"/>
        </w:rPr>
        <w:t>section 10</w:t>
      </w:r>
      <w:r w:rsidR="00227CB5" w:rsidRPr="00CA7BFE">
        <w:rPr>
          <w:rFonts w:cs="Times New Roman"/>
          <w:szCs w:val="24"/>
        </w:rPr>
        <w:t xml:space="preserve">. </w:t>
      </w:r>
    </w:p>
    <w:p w14:paraId="2CD95D0F" w14:textId="3EAB587B" w:rsidR="005B6B21" w:rsidRPr="00CA7BFE" w:rsidRDefault="00396965" w:rsidP="0037688F">
      <w:pPr>
        <w:spacing w:before="120" w:after="120"/>
        <w:rPr>
          <w:rFonts w:cs="Times New Roman"/>
          <w:szCs w:val="24"/>
        </w:rPr>
      </w:pPr>
      <w:r w:rsidRPr="00CA7BFE">
        <w:rPr>
          <w:rFonts w:cs="Times New Roman"/>
          <w:szCs w:val="24"/>
        </w:rPr>
        <w:t>The</w:t>
      </w:r>
      <w:r w:rsidR="00227CB5" w:rsidRPr="00CA7BFE">
        <w:rPr>
          <w:rFonts w:cs="Times New Roman"/>
          <w:szCs w:val="24"/>
        </w:rPr>
        <w:t xml:space="preserve"> </w:t>
      </w:r>
      <w:r w:rsidR="00227CB5" w:rsidRPr="00CA7BFE">
        <w:rPr>
          <w:rFonts w:cs="Times New Roman"/>
          <w:i/>
          <w:szCs w:val="24"/>
        </w:rPr>
        <w:t>Competition and Consumer Act 2010</w:t>
      </w:r>
      <w:r w:rsidR="00227CB5" w:rsidRPr="00CA7BFE">
        <w:rPr>
          <w:rFonts w:cs="Times New Roman"/>
          <w:szCs w:val="24"/>
        </w:rPr>
        <w:t xml:space="preserve"> also permits the ACCC to </w:t>
      </w:r>
      <w:r w:rsidRPr="00CA7BFE">
        <w:rPr>
          <w:rFonts w:cs="Times New Roman"/>
          <w:szCs w:val="24"/>
        </w:rPr>
        <w:t>pursue other remedies</w:t>
      </w:r>
      <w:r w:rsidR="004E6246" w:rsidRPr="00CA7BFE">
        <w:rPr>
          <w:rFonts w:cs="Times New Roman"/>
          <w:szCs w:val="24"/>
        </w:rPr>
        <w:t xml:space="preserve"> against non-compliant retailers</w:t>
      </w:r>
      <w:r w:rsidRPr="00CA7BFE">
        <w:rPr>
          <w:rFonts w:cs="Times New Roman"/>
          <w:szCs w:val="24"/>
        </w:rPr>
        <w:t xml:space="preserve">. For instance, the ACCC could </w:t>
      </w:r>
      <w:r w:rsidR="00227CB5" w:rsidRPr="00CA7BFE">
        <w:rPr>
          <w:rFonts w:cs="Times New Roman"/>
          <w:szCs w:val="24"/>
        </w:rPr>
        <w:t xml:space="preserve">issue </w:t>
      </w:r>
      <w:r w:rsidRPr="00CA7BFE">
        <w:rPr>
          <w:rFonts w:cs="Times New Roman"/>
          <w:szCs w:val="24"/>
        </w:rPr>
        <w:t xml:space="preserve">an </w:t>
      </w:r>
      <w:r w:rsidR="00227CB5" w:rsidRPr="00CA7BFE">
        <w:rPr>
          <w:rFonts w:cs="Times New Roman"/>
          <w:szCs w:val="24"/>
        </w:rPr>
        <w:t>infringement notice (sections 51ACC to 51ACJ),</w:t>
      </w:r>
      <w:r w:rsidRPr="00CA7BFE">
        <w:rPr>
          <w:rFonts w:cs="Times New Roman"/>
          <w:szCs w:val="24"/>
        </w:rPr>
        <w:t xml:space="preserve"> </w:t>
      </w:r>
      <w:r w:rsidR="00B07428" w:rsidRPr="00CA7BFE">
        <w:rPr>
          <w:rFonts w:cs="Times New Roman"/>
          <w:szCs w:val="24"/>
        </w:rPr>
        <w:t>a</w:t>
      </w:r>
      <w:r w:rsidRPr="00CA7BFE">
        <w:rPr>
          <w:rFonts w:cs="Times New Roman"/>
          <w:szCs w:val="24"/>
        </w:rPr>
        <w:t xml:space="preserve"> </w:t>
      </w:r>
      <w:r w:rsidR="004E6246" w:rsidRPr="00CA7BFE">
        <w:rPr>
          <w:rFonts w:cs="Times New Roman"/>
          <w:szCs w:val="24"/>
        </w:rPr>
        <w:t>public warning notice</w:t>
      </w:r>
      <w:r w:rsidR="00582C14" w:rsidRPr="00CA7BFE">
        <w:rPr>
          <w:rFonts w:cs="Times New Roman"/>
          <w:szCs w:val="24"/>
        </w:rPr>
        <w:t xml:space="preserve"> </w:t>
      </w:r>
      <w:r w:rsidR="00227CB5" w:rsidRPr="00CA7BFE">
        <w:rPr>
          <w:rFonts w:cs="Times New Roman"/>
          <w:szCs w:val="24"/>
        </w:rPr>
        <w:t>(section</w:t>
      </w:r>
      <w:r w:rsidR="004E6246" w:rsidRPr="00CA7BFE">
        <w:rPr>
          <w:rFonts w:cs="Times New Roman"/>
          <w:szCs w:val="24"/>
        </w:rPr>
        <w:t> </w:t>
      </w:r>
      <w:r w:rsidR="00227CB5" w:rsidRPr="00CA7BFE">
        <w:rPr>
          <w:rFonts w:cs="Times New Roman"/>
          <w:szCs w:val="24"/>
        </w:rPr>
        <w:t>51ADA)</w:t>
      </w:r>
      <w:r w:rsidR="00582C14" w:rsidRPr="00CA7BFE">
        <w:rPr>
          <w:rFonts w:cs="Times New Roman"/>
          <w:szCs w:val="24"/>
        </w:rPr>
        <w:t xml:space="preserve"> </w:t>
      </w:r>
      <w:r w:rsidRPr="00CA7BFE">
        <w:rPr>
          <w:rFonts w:cs="Times New Roman"/>
          <w:szCs w:val="24"/>
        </w:rPr>
        <w:t xml:space="preserve">or </w:t>
      </w:r>
      <w:r w:rsidR="00582C14" w:rsidRPr="00CA7BFE">
        <w:rPr>
          <w:rFonts w:cs="Times New Roman"/>
          <w:szCs w:val="24"/>
        </w:rPr>
        <w:t xml:space="preserve">seek redress orders to compensate consumers for loss or damage suffered in relation to the contravening conduct (sections 51ADB and 51ADC). This could include a court order requiring a non-compliant retailer to provide refunds to affected customers. </w:t>
      </w:r>
      <w:r w:rsidRPr="00CA7BFE">
        <w:rPr>
          <w:rFonts w:cs="Times New Roman"/>
          <w:szCs w:val="24"/>
        </w:rPr>
        <w:t>Other potential remedies include injunctions to prevent the non-compliant conduct (section 80), non-punitive orders</w:t>
      </w:r>
      <w:r w:rsidR="0098321C" w:rsidRPr="00CA7BFE">
        <w:rPr>
          <w:rFonts w:cs="Times New Roman"/>
          <w:szCs w:val="24"/>
        </w:rPr>
        <w:t>,</w:t>
      </w:r>
      <w:r w:rsidRPr="00CA7BFE">
        <w:rPr>
          <w:rFonts w:cs="Times New Roman"/>
          <w:szCs w:val="24"/>
        </w:rPr>
        <w:t xml:space="preserve"> such as community service orders (section 86C) and other compensatory orders (section 87). The ACCC can also accept administrative undertakings, </w:t>
      </w:r>
      <w:r w:rsidR="004E6246" w:rsidRPr="00CA7BFE">
        <w:rPr>
          <w:rFonts w:cs="Times New Roman"/>
          <w:szCs w:val="24"/>
        </w:rPr>
        <w:t>under which a non-compliant retailer would</w:t>
      </w:r>
      <w:r w:rsidRPr="00CA7BFE">
        <w:rPr>
          <w:rFonts w:cs="Times New Roman"/>
          <w:szCs w:val="24"/>
        </w:rPr>
        <w:t xml:space="preserve"> agree to remedy the harm caused by </w:t>
      </w:r>
      <w:r w:rsidR="004E6246" w:rsidRPr="00CA7BFE">
        <w:rPr>
          <w:rFonts w:cs="Times New Roman"/>
          <w:szCs w:val="24"/>
        </w:rPr>
        <w:t>its</w:t>
      </w:r>
      <w:r w:rsidRPr="00CA7BFE">
        <w:rPr>
          <w:rFonts w:cs="Times New Roman"/>
          <w:szCs w:val="24"/>
        </w:rPr>
        <w:t xml:space="preserve"> conduct, accept responsibility for </w:t>
      </w:r>
      <w:r w:rsidR="004E6246" w:rsidRPr="00CA7BFE">
        <w:rPr>
          <w:rFonts w:cs="Times New Roman"/>
          <w:szCs w:val="24"/>
        </w:rPr>
        <w:t>its</w:t>
      </w:r>
      <w:r w:rsidRPr="00CA7BFE">
        <w:rPr>
          <w:rFonts w:cs="Times New Roman"/>
          <w:szCs w:val="24"/>
        </w:rPr>
        <w:t xml:space="preserve"> actions and establish or review </w:t>
      </w:r>
      <w:r w:rsidR="004E6246" w:rsidRPr="00CA7BFE">
        <w:rPr>
          <w:rFonts w:cs="Times New Roman"/>
          <w:szCs w:val="24"/>
        </w:rPr>
        <w:t>its</w:t>
      </w:r>
      <w:r w:rsidRPr="00CA7BFE">
        <w:rPr>
          <w:rFonts w:cs="Times New Roman"/>
          <w:szCs w:val="24"/>
        </w:rPr>
        <w:t xml:space="preserve"> compliance programs.</w:t>
      </w:r>
    </w:p>
    <w:p w14:paraId="52A47008" w14:textId="1652A95D" w:rsidR="00542669" w:rsidRPr="00CA7BFE" w:rsidRDefault="00542669" w:rsidP="00542669">
      <w:pPr>
        <w:pStyle w:val="Heading2"/>
      </w:pPr>
      <w:r w:rsidRPr="00CA7BFE">
        <w:t xml:space="preserve">Section </w:t>
      </w:r>
      <w:r w:rsidR="008F7FA6" w:rsidRPr="00CA7BFE">
        <w:t xml:space="preserve">11 </w:t>
      </w:r>
      <w:r w:rsidRPr="00CA7BFE">
        <w:t>– Extension of cap to residential solar customers</w:t>
      </w:r>
    </w:p>
    <w:p w14:paraId="6590A656" w14:textId="77777777" w:rsidR="00542669" w:rsidRPr="00CA7BFE" w:rsidRDefault="00542669" w:rsidP="00542669">
      <w:pPr>
        <w:spacing w:before="120" w:after="120"/>
        <w:rPr>
          <w:rFonts w:cs="Times New Roman"/>
          <w:szCs w:val="24"/>
        </w:rPr>
      </w:pPr>
      <w:r w:rsidRPr="00CA7BFE">
        <w:rPr>
          <w:rFonts w:cs="Times New Roman"/>
          <w:szCs w:val="24"/>
        </w:rPr>
        <w:t xml:space="preserve">This section provides for the extension of section 10 to standing offer prices for residential customers who receive a feed-in tariff for a rooftop PV system. </w:t>
      </w:r>
    </w:p>
    <w:p w14:paraId="7620FDF5" w14:textId="6ABB8DD9" w:rsidR="00542669" w:rsidRPr="00CA7BFE" w:rsidRDefault="00542669" w:rsidP="00542669">
      <w:pPr>
        <w:spacing w:before="240" w:after="100" w:afterAutospacing="1"/>
        <w:rPr>
          <w:rFonts w:cs="Times New Roman"/>
          <w:szCs w:val="24"/>
        </w:rPr>
      </w:pPr>
      <w:r w:rsidRPr="00CA7BFE">
        <w:rPr>
          <w:rFonts w:cs="Times New Roman"/>
          <w:szCs w:val="24"/>
        </w:rPr>
        <w:t xml:space="preserve">This section commences on a day to be fixed by the Minister by notifiable instrument. That day must be within two years of the commencement of the Regulations. </w:t>
      </w:r>
    </w:p>
    <w:p w14:paraId="69A61626" w14:textId="4C844866" w:rsidR="008A3987" w:rsidRPr="00CA7BFE" w:rsidRDefault="008A3987" w:rsidP="00F76D1C">
      <w:pPr>
        <w:pStyle w:val="Heading2"/>
      </w:pPr>
      <w:r w:rsidRPr="00CA7BFE">
        <w:t xml:space="preserve">Section </w:t>
      </w:r>
      <w:r w:rsidR="008F7FA6" w:rsidRPr="00CA7BFE">
        <w:t>12</w:t>
      </w:r>
      <w:r w:rsidR="00BE183E" w:rsidRPr="00CA7BFE">
        <w:t xml:space="preserve"> </w:t>
      </w:r>
      <w:r w:rsidRPr="00CA7BFE">
        <w:t>–</w:t>
      </w:r>
      <w:r w:rsidR="00953CD3" w:rsidRPr="00CA7BFE">
        <w:t xml:space="preserve"> </w:t>
      </w:r>
      <w:r w:rsidR="007D63ED" w:rsidRPr="00CA7BFE">
        <w:t>A</w:t>
      </w:r>
      <w:r w:rsidR="00FB0A49" w:rsidRPr="00CA7BFE">
        <w:t>dvertis</w:t>
      </w:r>
      <w:r w:rsidR="00A14AE5" w:rsidRPr="00CA7BFE">
        <w:t>ements</w:t>
      </w:r>
      <w:r w:rsidR="00FB0A49" w:rsidRPr="00CA7BFE">
        <w:t xml:space="preserve"> </w:t>
      </w:r>
      <w:r w:rsidR="007D63ED" w:rsidRPr="00CA7BFE">
        <w:t xml:space="preserve">etc. must compare retailer’s prices with </w:t>
      </w:r>
      <w:r w:rsidR="004A494F" w:rsidRPr="00CA7BFE">
        <w:t>reference price</w:t>
      </w:r>
    </w:p>
    <w:p w14:paraId="2FB74ACD" w14:textId="2855C5FC" w:rsidR="00DE3CCA" w:rsidRPr="00CA7BFE" w:rsidRDefault="00D714AD" w:rsidP="008A3987">
      <w:pPr>
        <w:spacing w:before="120" w:after="120"/>
        <w:rPr>
          <w:rFonts w:cs="Times New Roman"/>
          <w:szCs w:val="24"/>
        </w:rPr>
      </w:pPr>
      <w:r w:rsidRPr="00CA7BFE">
        <w:rPr>
          <w:rFonts w:cs="Times New Roman"/>
          <w:szCs w:val="24"/>
        </w:rPr>
        <w:t xml:space="preserve">This section requires retailers to </w:t>
      </w:r>
      <w:r w:rsidR="00DE3CCA" w:rsidRPr="00CA7BFE">
        <w:rPr>
          <w:rFonts w:cs="Times New Roman"/>
          <w:szCs w:val="24"/>
        </w:rPr>
        <w:t xml:space="preserve">tell small customers how </w:t>
      </w:r>
      <w:r w:rsidR="00F20E68" w:rsidRPr="00CA7BFE">
        <w:rPr>
          <w:rFonts w:cs="Times New Roman"/>
          <w:szCs w:val="24"/>
        </w:rPr>
        <w:t>their</w:t>
      </w:r>
      <w:r w:rsidR="00DE3CCA" w:rsidRPr="00CA7BFE">
        <w:rPr>
          <w:rFonts w:cs="Times New Roman"/>
          <w:szCs w:val="24"/>
        </w:rPr>
        <w:t xml:space="preserve"> price</w:t>
      </w:r>
      <w:r w:rsidR="00F20E68" w:rsidRPr="00CA7BFE">
        <w:rPr>
          <w:rFonts w:cs="Times New Roman"/>
          <w:szCs w:val="24"/>
        </w:rPr>
        <w:t>s</w:t>
      </w:r>
      <w:r w:rsidR="00DE3CCA" w:rsidRPr="00CA7BFE">
        <w:rPr>
          <w:rFonts w:cs="Times New Roman"/>
          <w:szCs w:val="24"/>
        </w:rPr>
        <w:t xml:space="preserve"> for supplying electricity in a </w:t>
      </w:r>
      <w:r w:rsidR="00F20E68" w:rsidRPr="00CA7BFE">
        <w:rPr>
          <w:rFonts w:cs="Times New Roman"/>
          <w:szCs w:val="24"/>
        </w:rPr>
        <w:t xml:space="preserve">particular </w:t>
      </w:r>
      <w:r w:rsidR="00DE3CCA" w:rsidRPr="00CA7BFE">
        <w:rPr>
          <w:rFonts w:cs="Times New Roman"/>
          <w:szCs w:val="24"/>
        </w:rPr>
        <w:t xml:space="preserve">distribution region </w:t>
      </w:r>
      <w:r w:rsidR="00F20E68" w:rsidRPr="00CA7BFE">
        <w:rPr>
          <w:rFonts w:cs="Times New Roman"/>
          <w:szCs w:val="24"/>
        </w:rPr>
        <w:t xml:space="preserve">to a particular type of small customer </w:t>
      </w:r>
      <w:r w:rsidR="00DE3CCA" w:rsidRPr="00CA7BFE">
        <w:rPr>
          <w:rFonts w:cs="Times New Roman"/>
          <w:szCs w:val="24"/>
        </w:rPr>
        <w:t xml:space="preserve">compare with the </w:t>
      </w:r>
      <w:r w:rsidR="00DA157B" w:rsidRPr="00CA7BFE">
        <w:rPr>
          <w:rFonts w:cs="Times New Roman"/>
          <w:szCs w:val="24"/>
        </w:rPr>
        <w:t>reference</w:t>
      </w:r>
      <w:r w:rsidR="00EE29AD" w:rsidRPr="00CA7BFE">
        <w:rPr>
          <w:rFonts w:cs="Times New Roman"/>
          <w:szCs w:val="24"/>
        </w:rPr>
        <w:t xml:space="preserve"> </w:t>
      </w:r>
      <w:r w:rsidR="00DE3CCA" w:rsidRPr="00CA7BFE">
        <w:rPr>
          <w:rFonts w:cs="Times New Roman"/>
          <w:szCs w:val="24"/>
        </w:rPr>
        <w:t>price</w:t>
      </w:r>
      <w:r w:rsidR="00DA157B" w:rsidRPr="00CA7BFE">
        <w:rPr>
          <w:rFonts w:cs="Times New Roman"/>
          <w:szCs w:val="24"/>
        </w:rPr>
        <w:t xml:space="preserve"> </w:t>
      </w:r>
      <w:r w:rsidR="00852DDC" w:rsidRPr="00CA7BFE">
        <w:rPr>
          <w:rFonts w:cs="Times New Roman"/>
          <w:szCs w:val="24"/>
        </w:rPr>
        <w:t>for that region and type of customer</w:t>
      </w:r>
      <w:r w:rsidR="00DE3CCA" w:rsidRPr="00CA7BFE">
        <w:rPr>
          <w:rFonts w:cs="Times New Roman"/>
          <w:szCs w:val="24"/>
        </w:rPr>
        <w:t xml:space="preserve">. </w:t>
      </w:r>
      <w:r w:rsidR="00177DCF" w:rsidRPr="00CA7BFE">
        <w:rPr>
          <w:rFonts w:cs="Times New Roman"/>
          <w:szCs w:val="24"/>
        </w:rPr>
        <w:t xml:space="preserve">This includes </w:t>
      </w:r>
      <w:r w:rsidR="00F20E68" w:rsidRPr="00CA7BFE">
        <w:rPr>
          <w:rFonts w:cs="Times New Roman"/>
          <w:szCs w:val="24"/>
        </w:rPr>
        <w:t xml:space="preserve">when the retailer advertises or publishes its prices or offers to supply electricity at those prices (including when the offer is made </w:t>
      </w:r>
      <w:r w:rsidR="00926EAE" w:rsidRPr="00CA7BFE">
        <w:rPr>
          <w:rFonts w:cs="Times New Roman"/>
          <w:szCs w:val="24"/>
        </w:rPr>
        <w:t xml:space="preserve">face to face or </w:t>
      </w:r>
      <w:r w:rsidR="00177DCF" w:rsidRPr="00CA7BFE">
        <w:rPr>
          <w:rFonts w:cs="Times New Roman"/>
          <w:szCs w:val="24"/>
        </w:rPr>
        <w:t>over the phone</w:t>
      </w:r>
      <w:r w:rsidR="00F20E68" w:rsidRPr="00CA7BFE">
        <w:rPr>
          <w:rFonts w:cs="Times New Roman"/>
          <w:szCs w:val="24"/>
        </w:rPr>
        <w:t>)</w:t>
      </w:r>
      <w:r w:rsidR="00177DCF" w:rsidRPr="00CA7BFE">
        <w:rPr>
          <w:rFonts w:cs="Times New Roman"/>
          <w:szCs w:val="24"/>
        </w:rPr>
        <w:t>.</w:t>
      </w:r>
      <w:r w:rsidR="005C67AB" w:rsidRPr="00CA7BFE">
        <w:rPr>
          <w:rFonts w:cs="Times New Roman"/>
          <w:szCs w:val="24"/>
        </w:rPr>
        <w:t xml:space="preserve"> </w:t>
      </w:r>
      <w:r w:rsidR="00D07E70" w:rsidRPr="00CA7BFE">
        <w:rPr>
          <w:rFonts w:cs="Times New Roman"/>
          <w:szCs w:val="24"/>
        </w:rPr>
        <w:t>The types of small customers for this purpose are identified in section 6.</w:t>
      </w:r>
      <w:r w:rsidR="00852DDC" w:rsidRPr="00CA7BFE">
        <w:rPr>
          <w:rFonts w:cs="Times New Roman"/>
          <w:szCs w:val="24"/>
        </w:rPr>
        <w:t xml:space="preserve"> The reference price for a particular region and type of customer is determined by the AER in accordance with paragraph </w:t>
      </w:r>
      <w:r w:rsidR="00841621" w:rsidRPr="00CA7BFE">
        <w:rPr>
          <w:rFonts w:cs="Times New Roman"/>
          <w:szCs w:val="24"/>
        </w:rPr>
        <w:t>16</w:t>
      </w:r>
      <w:r w:rsidR="00852DDC" w:rsidRPr="00CA7BFE">
        <w:rPr>
          <w:rFonts w:cs="Times New Roman"/>
          <w:szCs w:val="24"/>
        </w:rPr>
        <w:t>(1)(b).</w:t>
      </w:r>
    </w:p>
    <w:p w14:paraId="70DBEA74" w14:textId="1A66A1EF" w:rsidR="00DE3CCA" w:rsidRPr="00CA7BFE" w:rsidRDefault="00DE3CCA" w:rsidP="008A3987">
      <w:pPr>
        <w:spacing w:before="120" w:after="120"/>
        <w:rPr>
          <w:rFonts w:cs="Times New Roman"/>
          <w:szCs w:val="24"/>
        </w:rPr>
      </w:pPr>
      <w:r w:rsidRPr="00CA7BFE">
        <w:rPr>
          <w:rFonts w:cs="Times New Roman"/>
          <w:szCs w:val="24"/>
        </w:rPr>
        <w:t>The advertisement</w:t>
      </w:r>
      <w:r w:rsidR="00926EAE" w:rsidRPr="00CA7BFE">
        <w:rPr>
          <w:rFonts w:cs="Times New Roman"/>
          <w:szCs w:val="24"/>
        </w:rPr>
        <w:t>,</w:t>
      </w:r>
      <w:r w:rsidRPr="00CA7BFE">
        <w:rPr>
          <w:rFonts w:cs="Times New Roman"/>
          <w:szCs w:val="24"/>
        </w:rPr>
        <w:t xml:space="preserve"> publication</w:t>
      </w:r>
      <w:r w:rsidR="00926EAE" w:rsidRPr="00CA7BFE">
        <w:rPr>
          <w:rFonts w:cs="Times New Roman"/>
          <w:szCs w:val="24"/>
        </w:rPr>
        <w:t xml:space="preserve"> or offer</w:t>
      </w:r>
      <w:r w:rsidRPr="00CA7BFE">
        <w:rPr>
          <w:rFonts w:cs="Times New Roman"/>
          <w:szCs w:val="24"/>
        </w:rPr>
        <w:t xml:space="preserve"> must </w:t>
      </w:r>
      <w:r w:rsidR="00B07428" w:rsidRPr="00CA7BFE">
        <w:rPr>
          <w:rFonts w:cs="Times New Roman"/>
          <w:szCs w:val="24"/>
        </w:rPr>
        <w:t>clearly</w:t>
      </w:r>
      <w:r w:rsidRPr="00CA7BFE">
        <w:rPr>
          <w:rFonts w:cs="Times New Roman"/>
          <w:szCs w:val="24"/>
        </w:rPr>
        <w:t xml:space="preserve"> </w:t>
      </w:r>
      <w:r w:rsidR="0098321C" w:rsidRPr="00CA7BFE">
        <w:rPr>
          <w:rFonts w:cs="Times New Roman"/>
          <w:szCs w:val="24"/>
        </w:rPr>
        <w:t xml:space="preserve">and conspicuously </w:t>
      </w:r>
      <w:r w:rsidRPr="00CA7BFE">
        <w:rPr>
          <w:rFonts w:cs="Times New Roman"/>
          <w:szCs w:val="24"/>
        </w:rPr>
        <w:t>state:</w:t>
      </w:r>
    </w:p>
    <w:p w14:paraId="03804614" w14:textId="15FB69A9" w:rsidR="0098321C" w:rsidRPr="00CA7BFE" w:rsidRDefault="0098321C" w:rsidP="00B7777E">
      <w:pPr>
        <w:pStyle w:val="ListParagraph"/>
        <w:numPr>
          <w:ilvl w:val="0"/>
          <w:numId w:val="7"/>
        </w:numPr>
        <w:spacing w:before="120" w:after="120"/>
        <w:rPr>
          <w:rFonts w:cs="Times New Roman"/>
          <w:szCs w:val="24"/>
        </w:rPr>
      </w:pPr>
      <w:r w:rsidRPr="00CA7BFE">
        <w:rPr>
          <w:rFonts w:cs="Times New Roman"/>
          <w:szCs w:val="24"/>
        </w:rPr>
        <w:t xml:space="preserve">the difference (expressed as a percentage) between the reference </w:t>
      </w:r>
      <w:r w:rsidR="0083526C" w:rsidRPr="00CA7BFE">
        <w:rPr>
          <w:rFonts w:cs="Times New Roman"/>
          <w:szCs w:val="24"/>
        </w:rPr>
        <w:t>price</w:t>
      </w:r>
      <w:r w:rsidRPr="00CA7BFE">
        <w:rPr>
          <w:rFonts w:cs="Times New Roman"/>
          <w:szCs w:val="24"/>
        </w:rPr>
        <w:t xml:space="preserve"> and the total amount the customer would be charged under the offer if it consumed electricity in accordance with the relevant model annual usage</w:t>
      </w:r>
      <w:r w:rsidR="0083526C" w:rsidRPr="00CA7BFE">
        <w:rPr>
          <w:rFonts w:cs="Times New Roman"/>
          <w:szCs w:val="24"/>
        </w:rPr>
        <w:t xml:space="preserve">. For these purposes, </w:t>
      </w:r>
      <w:r w:rsidR="004A494F" w:rsidRPr="00CA7BFE">
        <w:rPr>
          <w:rFonts w:cs="Times New Roman"/>
          <w:szCs w:val="24"/>
        </w:rPr>
        <w:t>only</w:t>
      </w:r>
      <w:r w:rsidR="0083526C" w:rsidRPr="00CA7BFE">
        <w:rPr>
          <w:rFonts w:cs="Times New Roman"/>
          <w:szCs w:val="24"/>
        </w:rPr>
        <w:t xml:space="preserve"> </w:t>
      </w:r>
      <w:r w:rsidR="004A494F" w:rsidRPr="00CA7BFE">
        <w:rPr>
          <w:rFonts w:cs="Times New Roman"/>
          <w:szCs w:val="24"/>
        </w:rPr>
        <w:t>g</w:t>
      </w:r>
      <w:r w:rsidR="0083526C" w:rsidRPr="00CA7BFE">
        <w:rPr>
          <w:rFonts w:cs="Times New Roman"/>
          <w:szCs w:val="24"/>
        </w:rPr>
        <w:t xml:space="preserve">uaranteed discounts, rebates or credits </w:t>
      </w:r>
      <w:r w:rsidR="004A494F" w:rsidRPr="00CA7BFE">
        <w:rPr>
          <w:rFonts w:cs="Times New Roman"/>
          <w:szCs w:val="24"/>
        </w:rPr>
        <w:t>may</w:t>
      </w:r>
      <w:r w:rsidR="0083526C" w:rsidRPr="00CA7BFE">
        <w:rPr>
          <w:rFonts w:cs="Times New Roman"/>
          <w:szCs w:val="24"/>
        </w:rPr>
        <w:t xml:space="preserve"> be </w:t>
      </w:r>
      <w:r w:rsidR="004A494F" w:rsidRPr="00CA7BFE">
        <w:rPr>
          <w:rFonts w:cs="Times New Roman"/>
          <w:szCs w:val="24"/>
        </w:rPr>
        <w:t>factored into the total amount</w:t>
      </w:r>
    </w:p>
    <w:p w14:paraId="427BEB7A" w14:textId="037A61C9" w:rsidR="0083526C" w:rsidRPr="00CA7BFE" w:rsidRDefault="0083526C" w:rsidP="00B7777E">
      <w:pPr>
        <w:pStyle w:val="ListParagraph"/>
        <w:numPr>
          <w:ilvl w:val="0"/>
          <w:numId w:val="7"/>
        </w:numPr>
        <w:spacing w:before="120" w:after="120"/>
        <w:rPr>
          <w:rFonts w:cs="Times New Roman"/>
          <w:szCs w:val="24"/>
        </w:rPr>
      </w:pPr>
      <w:r w:rsidRPr="00CA7BFE">
        <w:rPr>
          <w:rFonts w:cs="Times New Roman"/>
          <w:szCs w:val="24"/>
        </w:rPr>
        <w:t>if the offer includes a conditional discount or percentage-based rebate or credit - the difference</w:t>
      </w:r>
      <w:r w:rsidR="007E7311" w:rsidRPr="00CA7BFE">
        <w:rPr>
          <w:rFonts w:cs="Times New Roman"/>
          <w:szCs w:val="24"/>
        </w:rPr>
        <w:t>, expressed as a percentage of the reference price,</w:t>
      </w:r>
      <w:r w:rsidRPr="00CA7BFE">
        <w:rPr>
          <w:rFonts w:cs="Times New Roman"/>
          <w:szCs w:val="24"/>
        </w:rPr>
        <w:t xml:space="preserve"> between the </w:t>
      </w:r>
      <w:r w:rsidR="007E7311" w:rsidRPr="00CA7BFE">
        <w:rPr>
          <w:rFonts w:cs="Times New Roman"/>
          <w:szCs w:val="24"/>
        </w:rPr>
        <w:t xml:space="preserve">annual guaranteed </w:t>
      </w:r>
      <w:r w:rsidRPr="00CA7BFE">
        <w:rPr>
          <w:rFonts w:cs="Times New Roman"/>
          <w:szCs w:val="24"/>
        </w:rPr>
        <w:t>price</w:t>
      </w:r>
      <w:r w:rsidR="007E7311" w:rsidRPr="00CA7BFE">
        <w:rPr>
          <w:rFonts w:cs="Times New Roman"/>
          <w:szCs w:val="24"/>
        </w:rPr>
        <w:t xml:space="preserve"> (</w:t>
      </w:r>
      <w:r w:rsidR="00FF6A1E">
        <w:rPr>
          <w:rFonts w:cs="Times New Roman"/>
          <w:szCs w:val="24"/>
        </w:rPr>
        <w:t>exclusive</w:t>
      </w:r>
      <w:r w:rsidR="007E7311" w:rsidRPr="00CA7BFE">
        <w:rPr>
          <w:rFonts w:cs="Times New Roman"/>
          <w:szCs w:val="24"/>
        </w:rPr>
        <w:t xml:space="preserve"> of any conditional discounts)</w:t>
      </w:r>
      <w:r w:rsidRPr="00CA7BFE">
        <w:rPr>
          <w:rFonts w:cs="Times New Roman"/>
          <w:szCs w:val="24"/>
        </w:rPr>
        <w:t xml:space="preserve"> and the annual </w:t>
      </w:r>
      <w:r w:rsidR="007E7311" w:rsidRPr="00CA7BFE">
        <w:rPr>
          <w:rFonts w:cs="Times New Roman"/>
          <w:szCs w:val="24"/>
        </w:rPr>
        <w:t>price including the conditional</w:t>
      </w:r>
      <w:r w:rsidRPr="00CA7BFE">
        <w:rPr>
          <w:rFonts w:cs="Times New Roman"/>
          <w:szCs w:val="24"/>
        </w:rPr>
        <w:t xml:space="preserve"> discount </w:t>
      </w:r>
      <w:r w:rsidR="00722D0C" w:rsidRPr="00CA7BFE">
        <w:rPr>
          <w:rFonts w:cs="Times New Roman"/>
          <w:szCs w:val="24"/>
        </w:rPr>
        <w:t xml:space="preserve">etc. </w:t>
      </w:r>
      <w:r w:rsidRPr="00CA7BFE">
        <w:rPr>
          <w:rFonts w:cs="Times New Roman"/>
          <w:szCs w:val="24"/>
        </w:rPr>
        <w:t xml:space="preserve">(assuming </w:t>
      </w:r>
      <w:r w:rsidR="00722D0C" w:rsidRPr="00CA7BFE">
        <w:rPr>
          <w:rFonts w:cs="Times New Roman"/>
          <w:szCs w:val="24"/>
        </w:rPr>
        <w:t xml:space="preserve">the customer consumed electricity in accordance with the relevant model annual usage and satisfied the conditions of the discount). </w:t>
      </w:r>
      <w:r w:rsidR="00C36059">
        <w:rPr>
          <w:rFonts w:cs="Times New Roman"/>
          <w:szCs w:val="24"/>
        </w:rPr>
        <w:t xml:space="preserve">This provides that the annual value of a conditional discount is expressed in relation to the reference price. </w:t>
      </w:r>
      <w:r w:rsidR="00722D0C" w:rsidRPr="00CA7BFE">
        <w:rPr>
          <w:rFonts w:cs="Times New Roman"/>
          <w:szCs w:val="24"/>
        </w:rPr>
        <w:t>If there is more than one conditional discount, then this comparison must be made for each discount. Rebates or credits that are not percentage-based (for example, a fixed rebate of $50 dollars towards the customer’s next bill if the customer pays on time) need not be compared to the reference price</w:t>
      </w:r>
      <w:r w:rsidRPr="00CA7BFE">
        <w:rPr>
          <w:rFonts w:cs="Times New Roman"/>
          <w:szCs w:val="24"/>
        </w:rPr>
        <w:t xml:space="preserve"> </w:t>
      </w:r>
    </w:p>
    <w:p w14:paraId="2E01F773" w14:textId="29A1FC04" w:rsidR="00722D0C" w:rsidRPr="00CA7BFE" w:rsidRDefault="00722D0C" w:rsidP="00B7777E">
      <w:pPr>
        <w:pStyle w:val="ListParagraph"/>
        <w:numPr>
          <w:ilvl w:val="0"/>
          <w:numId w:val="7"/>
        </w:numPr>
        <w:spacing w:before="120" w:after="120"/>
        <w:rPr>
          <w:rFonts w:cs="Times New Roman"/>
          <w:szCs w:val="24"/>
        </w:rPr>
      </w:pPr>
      <w:r w:rsidRPr="00CA7BFE">
        <w:rPr>
          <w:rFonts w:cs="Times New Roman"/>
          <w:szCs w:val="24"/>
        </w:rPr>
        <w:t xml:space="preserve">unless the retailer provides an estimated annual price based on the customer’s </w:t>
      </w:r>
      <w:r w:rsidR="004C573D" w:rsidRPr="00CA7BFE">
        <w:rPr>
          <w:rFonts w:cs="Times New Roman"/>
          <w:szCs w:val="24"/>
        </w:rPr>
        <w:t>individual circumstances</w:t>
      </w:r>
      <w:r w:rsidRPr="00CA7BFE">
        <w:rPr>
          <w:rFonts w:cs="Times New Roman"/>
          <w:szCs w:val="24"/>
        </w:rPr>
        <w:t xml:space="preserve"> – the annual amount (including the value of all discounts, both guaranteed and conditional) the customer would be charged under the offer if it consumed electricity in accordance with the relevant model annual usage.</w:t>
      </w:r>
    </w:p>
    <w:p w14:paraId="48EC7263" w14:textId="127B6E0A" w:rsidR="007E4F8E" w:rsidRPr="00CA7BFE" w:rsidRDefault="00722D0C" w:rsidP="00722D0C">
      <w:pPr>
        <w:rPr>
          <w:rFonts w:cs="Times New Roman"/>
          <w:szCs w:val="24"/>
        </w:rPr>
      </w:pPr>
      <w:r w:rsidRPr="00CA7BFE">
        <w:t xml:space="preserve">The advertisement etc. must also clearly and conspicuously state which </w:t>
      </w:r>
      <w:r w:rsidR="007E4F8E" w:rsidRPr="00CA7BFE">
        <w:rPr>
          <w:rFonts w:cs="Times New Roman"/>
          <w:szCs w:val="24"/>
        </w:rPr>
        <w:t>distribution region</w:t>
      </w:r>
      <w:r w:rsidR="00852DDC" w:rsidRPr="00CA7BFE">
        <w:rPr>
          <w:rFonts w:cs="Times New Roman"/>
          <w:szCs w:val="24"/>
        </w:rPr>
        <w:t>,</w:t>
      </w:r>
      <w:r w:rsidRPr="00CA7BFE">
        <w:rPr>
          <w:rFonts w:cs="Times New Roman"/>
          <w:szCs w:val="24"/>
        </w:rPr>
        <w:t xml:space="preserve"> and </w:t>
      </w:r>
      <w:r w:rsidR="007E4F8E" w:rsidRPr="00CA7BFE">
        <w:rPr>
          <w:rFonts w:cs="Times New Roman"/>
          <w:szCs w:val="24"/>
        </w:rPr>
        <w:t>the type of small customer</w:t>
      </w:r>
      <w:r w:rsidR="00852DDC" w:rsidRPr="00CA7BFE">
        <w:rPr>
          <w:rFonts w:cs="Times New Roman"/>
          <w:szCs w:val="24"/>
        </w:rPr>
        <w:t>,</w:t>
      </w:r>
      <w:r w:rsidR="007E4F8E" w:rsidRPr="00CA7BFE">
        <w:rPr>
          <w:rFonts w:cs="Times New Roman"/>
          <w:szCs w:val="24"/>
        </w:rPr>
        <w:t xml:space="preserve"> the offer relates to</w:t>
      </w:r>
      <w:r w:rsidRPr="00CA7BFE">
        <w:rPr>
          <w:rFonts w:cs="Times New Roman"/>
          <w:szCs w:val="24"/>
        </w:rPr>
        <w:t>.</w:t>
      </w:r>
    </w:p>
    <w:p w14:paraId="12624401" w14:textId="6939CD5A" w:rsidR="00F0434A" w:rsidRPr="00CA7BFE" w:rsidRDefault="00275A5A" w:rsidP="00F0434A">
      <w:pPr>
        <w:spacing w:before="120" w:after="120"/>
      </w:pPr>
      <w:r w:rsidRPr="00CA7BFE">
        <w:t xml:space="preserve">For example, if the model annual usage for </w:t>
      </w:r>
      <w:r w:rsidR="00926EAE" w:rsidRPr="00CA7BFE">
        <w:t xml:space="preserve">a </w:t>
      </w:r>
      <w:r w:rsidR="00495B6D" w:rsidRPr="00CA7BFE">
        <w:t>residential</w:t>
      </w:r>
      <w:r w:rsidR="00926EAE" w:rsidRPr="00CA7BFE">
        <w:t xml:space="preserve"> customer </w:t>
      </w:r>
      <w:r w:rsidR="00495B6D" w:rsidRPr="00CA7BFE">
        <w:t xml:space="preserve">without a controlled load tariff </w:t>
      </w:r>
      <w:r w:rsidR="00926EAE" w:rsidRPr="00CA7BFE">
        <w:t xml:space="preserve">in </w:t>
      </w:r>
      <w:r w:rsidR="00903898" w:rsidRPr="00CA7BFE">
        <w:t>the Ausgrid region i</w:t>
      </w:r>
      <w:r w:rsidRPr="00CA7BFE">
        <w:t xml:space="preserve">s 5000 </w:t>
      </w:r>
      <w:r w:rsidR="00F12BDB" w:rsidRPr="00CA7BFE">
        <w:t>k</w:t>
      </w:r>
      <w:r w:rsidRPr="00CA7BFE">
        <w:t xml:space="preserve">Wh, the retailer’s annualised price for that </w:t>
      </w:r>
      <w:r w:rsidR="00926EAE" w:rsidRPr="00CA7BFE">
        <w:t xml:space="preserve">type of customer and </w:t>
      </w:r>
      <w:r w:rsidRPr="00CA7BFE">
        <w:t xml:space="preserve">region </w:t>
      </w:r>
      <w:r w:rsidR="00DA157B" w:rsidRPr="00CA7BFE">
        <w:t xml:space="preserve">(including any guaranteed discounts) </w:t>
      </w:r>
      <w:r w:rsidR="00903898" w:rsidRPr="00CA7BFE">
        <w:t>i</w:t>
      </w:r>
      <w:r w:rsidRPr="00CA7BFE">
        <w:t>s $</w:t>
      </w:r>
      <w:r w:rsidR="00495B6D" w:rsidRPr="00CA7BFE">
        <w:t>1</w:t>
      </w:r>
      <w:r w:rsidRPr="00CA7BFE">
        <w:t xml:space="preserve">500, and the </w:t>
      </w:r>
      <w:r w:rsidR="00852DDC" w:rsidRPr="00CA7BFE">
        <w:t>reference</w:t>
      </w:r>
      <w:r w:rsidRPr="00CA7BFE">
        <w:t xml:space="preserve"> price for that </w:t>
      </w:r>
      <w:r w:rsidR="00926EAE" w:rsidRPr="00CA7BFE">
        <w:t xml:space="preserve">type of customer </w:t>
      </w:r>
      <w:r w:rsidR="00495B6D" w:rsidRPr="00CA7BFE">
        <w:t xml:space="preserve">and </w:t>
      </w:r>
      <w:r w:rsidR="00903898" w:rsidRPr="00CA7BFE">
        <w:t>region i</w:t>
      </w:r>
      <w:r w:rsidRPr="00CA7BFE">
        <w:t>s $</w:t>
      </w:r>
      <w:r w:rsidR="00495B6D" w:rsidRPr="00CA7BFE">
        <w:t>2</w:t>
      </w:r>
      <w:r w:rsidRPr="00CA7BFE">
        <w:t xml:space="preserve">000, the advertisement would need to </w:t>
      </w:r>
      <w:r w:rsidR="000246B0" w:rsidRPr="00CA7BFE">
        <w:t>convey</w:t>
      </w:r>
      <w:r w:rsidRPr="00CA7BFE">
        <w:t xml:space="preserve"> that the total annual amount </w:t>
      </w:r>
      <w:r w:rsidR="009B2E21" w:rsidRPr="00CA7BFE">
        <w:t>a</w:t>
      </w:r>
      <w:r w:rsidRPr="00CA7BFE">
        <w:t xml:space="preserve"> customer </w:t>
      </w:r>
      <w:r w:rsidR="009B2E21" w:rsidRPr="00CA7BFE">
        <w:t xml:space="preserve">of that type </w:t>
      </w:r>
      <w:r w:rsidRPr="00CA7BFE">
        <w:t xml:space="preserve">in </w:t>
      </w:r>
      <w:r w:rsidR="009B2E21" w:rsidRPr="00CA7BFE">
        <w:t>that</w:t>
      </w:r>
      <w:r w:rsidRPr="00CA7BFE">
        <w:t xml:space="preserve"> region would pay under the offer, assuming </w:t>
      </w:r>
      <w:r w:rsidR="00EE54B3" w:rsidRPr="00CA7BFE">
        <w:t>it</w:t>
      </w:r>
      <w:r w:rsidRPr="00CA7BFE">
        <w:t xml:space="preserve"> consumed 5000 </w:t>
      </w:r>
      <w:r w:rsidR="00F12BDB" w:rsidRPr="00CA7BFE">
        <w:t>k</w:t>
      </w:r>
      <w:r w:rsidRPr="00CA7BFE">
        <w:t>W</w:t>
      </w:r>
      <w:r w:rsidR="00F12BDB" w:rsidRPr="00CA7BFE">
        <w:t>h</w:t>
      </w:r>
      <w:r w:rsidRPr="00CA7BFE">
        <w:t xml:space="preserve"> in the year</w:t>
      </w:r>
      <w:r w:rsidR="009B2E21" w:rsidRPr="00CA7BFE">
        <w:t xml:space="preserve"> (this figure being based on a representative consumer, rather than actual consumption)</w:t>
      </w:r>
      <w:r w:rsidR="00903898" w:rsidRPr="00CA7BFE">
        <w:t>, i</w:t>
      </w:r>
      <w:r w:rsidRPr="00CA7BFE">
        <w:t>s $</w:t>
      </w:r>
      <w:r w:rsidR="00495B6D" w:rsidRPr="00CA7BFE">
        <w:t>1</w:t>
      </w:r>
      <w:r w:rsidRPr="00CA7BFE">
        <w:t xml:space="preserve">500, and that this is </w:t>
      </w:r>
      <w:r w:rsidR="00495B6D" w:rsidRPr="00CA7BFE">
        <w:t>25 </w:t>
      </w:r>
      <w:r w:rsidR="00F12BDB" w:rsidRPr="00CA7BFE">
        <w:t>per cent</w:t>
      </w:r>
      <w:r w:rsidR="00EE54B3" w:rsidRPr="00CA7BFE">
        <w:t xml:space="preserve"> less than the </w:t>
      </w:r>
      <w:r w:rsidR="00DA157B" w:rsidRPr="00CA7BFE">
        <w:t xml:space="preserve">reference </w:t>
      </w:r>
      <w:r w:rsidR="0083526C" w:rsidRPr="00CA7BFE">
        <w:t>price</w:t>
      </w:r>
      <w:r w:rsidR="00EE54B3" w:rsidRPr="00CA7BFE">
        <w:t>.</w:t>
      </w:r>
      <w:r w:rsidR="009B2E21" w:rsidRPr="00CA7BFE">
        <w:t xml:space="preserve"> </w:t>
      </w:r>
      <w:r w:rsidR="00F0434A" w:rsidRPr="00CA7BFE">
        <w:t xml:space="preserve">If the retailer </w:t>
      </w:r>
      <w:r w:rsidR="00903898" w:rsidRPr="00CA7BFE">
        <w:t>provides</w:t>
      </w:r>
      <w:r w:rsidR="00F0434A" w:rsidRPr="00CA7BFE">
        <w:t xml:space="preserve"> an annualised price based on the consumer’s </w:t>
      </w:r>
      <w:r w:rsidR="00852DDC" w:rsidRPr="00CA7BFE">
        <w:t>individual circumstances</w:t>
      </w:r>
      <w:r w:rsidR="00F0434A" w:rsidRPr="00CA7BFE">
        <w:t xml:space="preserve">, then it </w:t>
      </w:r>
      <w:r w:rsidR="00903898" w:rsidRPr="00CA7BFE">
        <w:t>does</w:t>
      </w:r>
      <w:r w:rsidR="00F0434A" w:rsidRPr="00CA7BFE">
        <w:t xml:space="preserve"> not have to provide an annualised price based on the model annual usage, but must still convey that its prices are 25% less than the </w:t>
      </w:r>
      <w:r w:rsidR="00DA157B" w:rsidRPr="00CA7BFE">
        <w:t xml:space="preserve">reference </w:t>
      </w:r>
      <w:r w:rsidR="0083526C" w:rsidRPr="00CA7BFE">
        <w:t>price</w:t>
      </w:r>
      <w:r w:rsidR="00F0434A" w:rsidRPr="00CA7BFE">
        <w:t>.</w:t>
      </w:r>
    </w:p>
    <w:p w14:paraId="4EEA6A35" w14:textId="086EECCF" w:rsidR="00F0434A" w:rsidRPr="00CA7BFE" w:rsidRDefault="00DA157B" w:rsidP="00F76D1C">
      <w:pPr>
        <w:spacing w:before="120" w:after="120"/>
      </w:pPr>
      <w:r w:rsidRPr="00CA7BFE">
        <w:t>Examples of acceptable</w:t>
      </w:r>
      <w:r w:rsidR="00F0434A" w:rsidRPr="00CA7BFE">
        <w:t xml:space="preserve"> advertisement</w:t>
      </w:r>
      <w:r w:rsidRPr="00CA7BFE">
        <w:t>s include</w:t>
      </w:r>
      <w:r w:rsidR="00F0434A" w:rsidRPr="00CA7BFE">
        <w:t>:</w:t>
      </w:r>
    </w:p>
    <w:tbl>
      <w:tblPr>
        <w:tblStyle w:val="TableGrid"/>
        <w:tblW w:w="0" w:type="auto"/>
        <w:tblLook w:val="04A0" w:firstRow="1" w:lastRow="0" w:firstColumn="1" w:lastColumn="0" w:noHBand="0" w:noVBand="1"/>
      </w:tblPr>
      <w:tblGrid>
        <w:gridCol w:w="4508"/>
        <w:gridCol w:w="4508"/>
      </w:tblGrid>
      <w:tr w:rsidR="00CA7BFE" w:rsidRPr="00CA7BFE" w14:paraId="73FE6170" w14:textId="77777777" w:rsidTr="00CA7BFE">
        <w:tc>
          <w:tcPr>
            <w:tcW w:w="4508" w:type="dxa"/>
          </w:tcPr>
          <w:p w14:paraId="209DCAAE" w14:textId="77777777" w:rsidR="00CA7BFE" w:rsidRPr="00B23688" w:rsidRDefault="00CA7BFE" w:rsidP="00CA7BFE">
            <w:pPr>
              <w:jc w:val="center"/>
              <w:rPr>
                <w:b/>
                <w:sz w:val="28"/>
              </w:rPr>
            </w:pPr>
            <w:r w:rsidRPr="00B23688">
              <w:rPr>
                <w:b/>
                <w:sz w:val="28"/>
              </w:rPr>
              <w:t>10 % less than the reference bill</w:t>
            </w:r>
          </w:p>
          <w:p w14:paraId="60754BAD" w14:textId="77777777" w:rsidR="00CA7BFE" w:rsidRPr="00CA7BFE" w:rsidRDefault="00CA7BFE" w:rsidP="00CA7BFE">
            <w:pPr>
              <w:spacing w:before="120" w:after="120"/>
              <w:jc w:val="center"/>
              <w:rPr>
                <w:sz w:val="20"/>
              </w:rPr>
            </w:pPr>
            <w:r w:rsidRPr="00CA7BFE">
              <w:rPr>
                <w:sz w:val="20"/>
              </w:rPr>
              <w:t>Plus a further</w:t>
            </w:r>
          </w:p>
          <w:p w14:paraId="0EE51D38" w14:textId="77777777" w:rsidR="00CA7BFE" w:rsidRPr="00CA7BFE" w:rsidRDefault="00CA7BFE" w:rsidP="00CA7BFE">
            <w:pPr>
              <w:jc w:val="center"/>
            </w:pPr>
            <w:r w:rsidRPr="00CA7BFE">
              <w:t>5 % Pay-On-Time discount</w:t>
            </w:r>
          </w:p>
          <w:p w14:paraId="069E9A01" w14:textId="77777777" w:rsidR="00CA7BFE" w:rsidRPr="00CA7BFE" w:rsidRDefault="00CA7BFE" w:rsidP="00CA7BFE">
            <w:pPr>
              <w:jc w:val="center"/>
            </w:pPr>
          </w:p>
          <w:p w14:paraId="0D86D5BC" w14:textId="77777777" w:rsidR="00CA7BFE" w:rsidRPr="00CA7BFE" w:rsidRDefault="00CA7BFE" w:rsidP="00CA7BFE">
            <w:pPr>
              <w:jc w:val="center"/>
              <w:rPr>
                <w:i/>
              </w:rPr>
            </w:pPr>
            <w:r w:rsidRPr="00CA7BFE">
              <w:rPr>
                <w:i/>
              </w:rPr>
              <w:t>$1500 p.a including all discounts</w:t>
            </w:r>
          </w:p>
          <w:p w14:paraId="7002DF33" w14:textId="332D32BE" w:rsidR="00CA7BFE" w:rsidRPr="00CA7BFE" w:rsidRDefault="00CA7BFE" w:rsidP="00CA7BFE">
            <w:pPr>
              <w:jc w:val="center"/>
              <w:rPr>
                <w:i/>
                <w:sz w:val="20"/>
              </w:rPr>
            </w:pPr>
            <w:r w:rsidRPr="00CA7BFE">
              <w:rPr>
                <w:i/>
                <w:sz w:val="20"/>
              </w:rPr>
              <w:t>for a representative residential customer on the Ausgrid network</w:t>
            </w:r>
          </w:p>
        </w:tc>
        <w:tc>
          <w:tcPr>
            <w:tcW w:w="4508" w:type="dxa"/>
          </w:tcPr>
          <w:p w14:paraId="4CCD1474" w14:textId="77777777" w:rsidR="00CA7BFE" w:rsidRPr="00B23688" w:rsidRDefault="00CA7BFE" w:rsidP="00CA7BFE">
            <w:pPr>
              <w:jc w:val="center"/>
              <w:rPr>
                <w:b/>
                <w:sz w:val="28"/>
              </w:rPr>
            </w:pPr>
            <w:r w:rsidRPr="00B23688">
              <w:rPr>
                <w:b/>
                <w:sz w:val="28"/>
              </w:rPr>
              <w:t>10 % less than the reference bill</w:t>
            </w:r>
          </w:p>
          <w:p w14:paraId="729688BE" w14:textId="77777777" w:rsidR="00CA7BFE" w:rsidRPr="00CA7BFE" w:rsidRDefault="00CA7BFE" w:rsidP="00CA7BFE">
            <w:pPr>
              <w:spacing w:before="120" w:after="120"/>
              <w:jc w:val="center"/>
              <w:rPr>
                <w:sz w:val="20"/>
              </w:rPr>
            </w:pPr>
            <w:r w:rsidRPr="00CA7BFE">
              <w:rPr>
                <w:sz w:val="20"/>
              </w:rPr>
              <w:t>but</w:t>
            </w:r>
          </w:p>
          <w:p w14:paraId="1408E2BA" w14:textId="77777777" w:rsidR="00CA7BFE" w:rsidRPr="00CA7BFE" w:rsidRDefault="00CA7BFE" w:rsidP="00CA7BFE">
            <w:pPr>
              <w:jc w:val="center"/>
            </w:pPr>
            <w:r w:rsidRPr="00CA7BFE">
              <w:t>15 % below the reference price if you pay on time</w:t>
            </w:r>
          </w:p>
          <w:p w14:paraId="33EEBD3B" w14:textId="77777777" w:rsidR="00CA7BFE" w:rsidRPr="00CA7BFE" w:rsidRDefault="00CA7BFE" w:rsidP="00CA7BFE">
            <w:pPr>
              <w:jc w:val="center"/>
            </w:pPr>
          </w:p>
          <w:p w14:paraId="68DE5B18" w14:textId="77777777" w:rsidR="00CA7BFE" w:rsidRPr="00CA7BFE" w:rsidRDefault="00CA7BFE" w:rsidP="00CA7BFE">
            <w:pPr>
              <w:jc w:val="center"/>
              <w:rPr>
                <w:i/>
              </w:rPr>
            </w:pPr>
            <w:r w:rsidRPr="00CA7BFE">
              <w:rPr>
                <w:i/>
              </w:rPr>
              <w:t>$1500 p.a including all discounts</w:t>
            </w:r>
          </w:p>
          <w:p w14:paraId="3939A868" w14:textId="3EDC65DD" w:rsidR="00CA7BFE" w:rsidRPr="00CA7BFE" w:rsidRDefault="00CA7BFE" w:rsidP="00CA7BFE">
            <w:pPr>
              <w:jc w:val="center"/>
              <w:rPr>
                <w:i/>
                <w:sz w:val="20"/>
              </w:rPr>
            </w:pPr>
            <w:r w:rsidRPr="00CA7BFE">
              <w:rPr>
                <w:i/>
                <w:sz w:val="20"/>
              </w:rPr>
              <w:t>for a representative residential customer with a controlled load  on the Ausgrid network</w:t>
            </w:r>
          </w:p>
        </w:tc>
      </w:tr>
      <w:tr w:rsidR="00CA7BFE" w:rsidRPr="00CA7BFE" w14:paraId="236FCD6E" w14:textId="77777777" w:rsidTr="00CA7BFE">
        <w:tc>
          <w:tcPr>
            <w:tcW w:w="4508" w:type="dxa"/>
          </w:tcPr>
          <w:p w14:paraId="5B426464" w14:textId="77777777" w:rsidR="00CA7BFE" w:rsidRPr="00B23688" w:rsidRDefault="00CA7BFE" w:rsidP="00CA7BFE">
            <w:pPr>
              <w:jc w:val="center"/>
              <w:rPr>
                <w:b/>
                <w:sz w:val="28"/>
              </w:rPr>
            </w:pPr>
            <w:r w:rsidRPr="00B23688">
              <w:rPr>
                <w:b/>
                <w:sz w:val="28"/>
              </w:rPr>
              <w:t>5 % more than the reference bill</w:t>
            </w:r>
          </w:p>
          <w:p w14:paraId="1D122AEC" w14:textId="77777777" w:rsidR="00CA7BFE" w:rsidRPr="00CA7BFE" w:rsidRDefault="00CA7BFE" w:rsidP="00CA7BFE">
            <w:pPr>
              <w:spacing w:before="120"/>
              <w:jc w:val="center"/>
            </w:pPr>
            <w:r w:rsidRPr="00CA7BFE">
              <w:t xml:space="preserve">But 10% below the reference bill </w:t>
            </w:r>
          </w:p>
          <w:p w14:paraId="5D054F76" w14:textId="77777777" w:rsidR="00CA7BFE" w:rsidRPr="00CA7BFE" w:rsidRDefault="00CA7BFE" w:rsidP="00CA7BFE">
            <w:pPr>
              <w:jc w:val="center"/>
            </w:pPr>
            <w:r w:rsidRPr="00CA7BFE">
              <w:t>if you pay on time</w:t>
            </w:r>
          </w:p>
          <w:p w14:paraId="66FB11BD" w14:textId="77777777" w:rsidR="00CA7BFE" w:rsidRPr="00CA7BFE" w:rsidRDefault="00CA7BFE" w:rsidP="00CA7BFE">
            <w:pPr>
              <w:spacing w:before="120"/>
              <w:jc w:val="center"/>
              <w:rPr>
                <w:i/>
              </w:rPr>
            </w:pPr>
            <w:r w:rsidRPr="00CA7BFE">
              <w:rPr>
                <w:i/>
              </w:rPr>
              <w:t>$1500 p.a including all discounts</w:t>
            </w:r>
          </w:p>
          <w:p w14:paraId="00ED06B8" w14:textId="11C57EE8" w:rsidR="00CA7BFE" w:rsidRPr="00CA7BFE" w:rsidRDefault="00CA7BFE" w:rsidP="00CA7BFE">
            <w:pPr>
              <w:jc w:val="center"/>
              <w:rPr>
                <w:i/>
                <w:sz w:val="20"/>
              </w:rPr>
            </w:pPr>
            <w:r w:rsidRPr="00CA7BFE">
              <w:rPr>
                <w:i/>
                <w:sz w:val="20"/>
              </w:rPr>
              <w:t>for a representative residential customer in South Australia</w:t>
            </w:r>
          </w:p>
        </w:tc>
        <w:tc>
          <w:tcPr>
            <w:tcW w:w="4508" w:type="dxa"/>
          </w:tcPr>
          <w:p w14:paraId="3D7F1A4B" w14:textId="77777777" w:rsidR="00CA7BFE" w:rsidRPr="00B23688" w:rsidRDefault="00CA7BFE" w:rsidP="00CA7BFE">
            <w:pPr>
              <w:jc w:val="center"/>
              <w:rPr>
                <w:b/>
                <w:sz w:val="28"/>
              </w:rPr>
            </w:pPr>
            <w:r w:rsidRPr="00B23688">
              <w:rPr>
                <w:b/>
                <w:sz w:val="28"/>
              </w:rPr>
              <w:t>10 % less than the reference bill</w:t>
            </w:r>
          </w:p>
          <w:p w14:paraId="50207F32" w14:textId="77777777" w:rsidR="00CA7BFE" w:rsidRPr="00CA7BFE" w:rsidRDefault="00CA7BFE" w:rsidP="00CA7BFE">
            <w:pPr>
              <w:spacing w:before="120"/>
              <w:jc w:val="center"/>
            </w:pPr>
            <w:r w:rsidRPr="00CA7BFE">
              <w:t>Plus</w:t>
            </w:r>
          </w:p>
          <w:p w14:paraId="09BC73BD" w14:textId="77777777" w:rsidR="00CA7BFE" w:rsidRPr="00CA7BFE" w:rsidRDefault="00CA7BFE" w:rsidP="00CA7BFE">
            <w:pPr>
              <w:spacing w:before="120"/>
              <w:jc w:val="center"/>
            </w:pPr>
            <w:r w:rsidRPr="00CA7BFE">
              <w:t>$50 bonus for every bill you pay on time</w:t>
            </w:r>
          </w:p>
          <w:p w14:paraId="23B1BE44" w14:textId="77777777" w:rsidR="00CA7BFE" w:rsidRPr="00CA7BFE" w:rsidRDefault="00CA7BFE" w:rsidP="00CA7BFE">
            <w:pPr>
              <w:spacing w:before="120"/>
              <w:jc w:val="center"/>
              <w:rPr>
                <w:i/>
              </w:rPr>
            </w:pPr>
            <w:r w:rsidRPr="00CA7BFE">
              <w:rPr>
                <w:i/>
              </w:rPr>
              <w:t>$1500 p.a including all discounts</w:t>
            </w:r>
          </w:p>
          <w:p w14:paraId="20276C3B" w14:textId="60A23D61" w:rsidR="00CA7BFE" w:rsidRPr="00CA7BFE" w:rsidRDefault="00CA7BFE" w:rsidP="00CA7BFE">
            <w:pPr>
              <w:jc w:val="center"/>
              <w:rPr>
                <w:i/>
                <w:sz w:val="20"/>
              </w:rPr>
            </w:pPr>
            <w:r w:rsidRPr="00CA7BFE">
              <w:rPr>
                <w:i/>
                <w:sz w:val="20"/>
              </w:rPr>
              <w:t>for a representative residential customer on the Ausgrid network</w:t>
            </w:r>
          </w:p>
        </w:tc>
      </w:tr>
      <w:tr w:rsidR="00CA7BFE" w:rsidRPr="00CA7BFE" w14:paraId="76F4E601" w14:textId="77777777" w:rsidTr="00CA7BFE">
        <w:tc>
          <w:tcPr>
            <w:tcW w:w="4508" w:type="dxa"/>
          </w:tcPr>
          <w:p w14:paraId="39A37D77" w14:textId="77777777" w:rsidR="00CA7BFE" w:rsidRPr="00B23688" w:rsidRDefault="00CA7BFE" w:rsidP="00CA7BFE">
            <w:pPr>
              <w:jc w:val="center"/>
              <w:rPr>
                <w:b/>
                <w:sz w:val="28"/>
              </w:rPr>
            </w:pPr>
            <w:r w:rsidRPr="00B23688">
              <w:rPr>
                <w:b/>
                <w:sz w:val="28"/>
              </w:rPr>
              <w:t>0 % off the reference bill</w:t>
            </w:r>
          </w:p>
          <w:p w14:paraId="50110E07" w14:textId="77777777" w:rsidR="00CA7BFE" w:rsidRPr="00CA7BFE" w:rsidRDefault="00CA7BFE" w:rsidP="00CA7BFE">
            <w:pPr>
              <w:spacing w:before="120"/>
              <w:jc w:val="center"/>
            </w:pPr>
            <w:r w:rsidRPr="00CA7BFE">
              <w:t>With a 10 % discount if you pay on time</w:t>
            </w:r>
          </w:p>
          <w:p w14:paraId="39540D8B" w14:textId="77777777" w:rsidR="00CA7BFE" w:rsidRPr="00CA7BFE" w:rsidRDefault="00CA7BFE" w:rsidP="00CA7BFE">
            <w:pPr>
              <w:jc w:val="center"/>
            </w:pPr>
          </w:p>
          <w:p w14:paraId="68984FA8" w14:textId="77777777" w:rsidR="00CA7BFE" w:rsidRPr="00CA7BFE" w:rsidRDefault="00CA7BFE" w:rsidP="00CA7BFE">
            <w:pPr>
              <w:jc w:val="center"/>
              <w:rPr>
                <w:i/>
              </w:rPr>
            </w:pPr>
            <w:r w:rsidRPr="00CA7BFE">
              <w:rPr>
                <w:i/>
              </w:rPr>
              <w:t>$1500 p.a including all discounts</w:t>
            </w:r>
          </w:p>
          <w:p w14:paraId="1328CA92" w14:textId="114EA967" w:rsidR="00CA7BFE" w:rsidRPr="00CA7BFE" w:rsidRDefault="00CA7BFE" w:rsidP="00CA7BFE">
            <w:pPr>
              <w:jc w:val="center"/>
              <w:rPr>
                <w:i/>
                <w:sz w:val="20"/>
              </w:rPr>
            </w:pPr>
            <w:r w:rsidRPr="00CA7BFE">
              <w:rPr>
                <w:i/>
                <w:sz w:val="20"/>
              </w:rPr>
              <w:t>for a representative residential customer in South Australia</w:t>
            </w:r>
          </w:p>
        </w:tc>
        <w:tc>
          <w:tcPr>
            <w:tcW w:w="4508" w:type="dxa"/>
          </w:tcPr>
          <w:p w14:paraId="52903130" w14:textId="77777777" w:rsidR="00CA7BFE" w:rsidRPr="00B23688" w:rsidRDefault="00CA7BFE" w:rsidP="00CA7BFE">
            <w:pPr>
              <w:jc w:val="center"/>
              <w:rPr>
                <w:sz w:val="28"/>
              </w:rPr>
            </w:pPr>
            <w:r w:rsidRPr="00B23688">
              <w:rPr>
                <w:b/>
                <w:sz w:val="28"/>
              </w:rPr>
              <w:t>15 % below the reference bill</w:t>
            </w:r>
          </w:p>
          <w:p w14:paraId="00BBCED7" w14:textId="77777777" w:rsidR="00CA7BFE" w:rsidRPr="00CA7BFE" w:rsidRDefault="00CA7BFE" w:rsidP="00CA7BFE">
            <w:pPr>
              <w:spacing w:before="120" w:after="120"/>
              <w:jc w:val="center"/>
            </w:pPr>
            <w:r w:rsidRPr="00CA7BFE">
              <w:t xml:space="preserve">$1500 p.a </w:t>
            </w:r>
          </w:p>
          <w:p w14:paraId="3FFABDC3" w14:textId="77777777" w:rsidR="00CA7BFE" w:rsidRPr="00CA7BFE" w:rsidRDefault="00CA7BFE" w:rsidP="00CA7BFE">
            <w:pPr>
              <w:jc w:val="center"/>
              <w:rPr>
                <w:i/>
                <w:sz w:val="20"/>
              </w:rPr>
            </w:pPr>
            <w:r w:rsidRPr="00CA7BFE">
              <w:rPr>
                <w:i/>
                <w:sz w:val="20"/>
              </w:rPr>
              <w:t>for a representative residential customer on the Ausgrid network</w:t>
            </w:r>
          </w:p>
          <w:p w14:paraId="1EEFF774" w14:textId="77777777" w:rsidR="00CA7BFE" w:rsidRPr="00CA7BFE" w:rsidRDefault="00CA7BFE" w:rsidP="00CA7BFE"/>
        </w:tc>
      </w:tr>
    </w:tbl>
    <w:p w14:paraId="32979524" w14:textId="47A2ED44" w:rsidR="00C1112B" w:rsidRPr="00CA7BFE" w:rsidRDefault="00C1112B" w:rsidP="00F76D1C">
      <w:pPr>
        <w:spacing w:before="120" w:after="120"/>
      </w:pPr>
    </w:p>
    <w:p w14:paraId="44B707C7" w14:textId="47467C64" w:rsidR="007E4F8E" w:rsidRPr="00CA7BFE" w:rsidRDefault="00C71596" w:rsidP="00F76D1C">
      <w:pPr>
        <w:spacing w:before="120" w:after="120"/>
      </w:pPr>
      <w:r w:rsidRPr="00CA7BFE">
        <w:t>This section is not intended to prevent retailers from choosing one example distribution region (for example, the Ausgrid region) and customer type (for example, residential customers without a controlled load tariff) for advertising purposes across a jurisdiction (in this case, New South Wales)</w:t>
      </w:r>
      <w:r w:rsidR="00903898" w:rsidRPr="00CA7BFE">
        <w:t>, provided it is clear that the offer relates to the Ausgrid region</w:t>
      </w:r>
      <w:r w:rsidRPr="00CA7BFE">
        <w:t>.</w:t>
      </w:r>
    </w:p>
    <w:p w14:paraId="3F1BA33D" w14:textId="0C60A53B" w:rsidR="00036255" w:rsidRPr="00CA7BFE" w:rsidRDefault="00036255" w:rsidP="00F76D1C">
      <w:pPr>
        <w:spacing w:before="120" w:after="120"/>
      </w:pPr>
      <w:r w:rsidRPr="00CA7BFE">
        <w:t xml:space="preserve">A civil penalty of 300 penalty units applies </w:t>
      </w:r>
      <w:r w:rsidR="00B56C6D" w:rsidRPr="00CA7BFE">
        <w:t xml:space="preserve">in relation </w:t>
      </w:r>
      <w:r w:rsidRPr="00CA7BFE">
        <w:t>to each occurrence of non-compliance with this section.</w:t>
      </w:r>
    </w:p>
    <w:p w14:paraId="47F65F79" w14:textId="1AB60A7F" w:rsidR="004A494F" w:rsidRPr="00CA7BFE" w:rsidRDefault="004A494F" w:rsidP="004A494F">
      <w:pPr>
        <w:pStyle w:val="Heading2"/>
      </w:pPr>
      <w:r w:rsidRPr="00CA7BFE">
        <w:t xml:space="preserve">Section </w:t>
      </w:r>
      <w:r w:rsidR="00841621" w:rsidRPr="00CA7BFE">
        <w:t>13</w:t>
      </w:r>
      <w:r w:rsidRPr="00CA7BFE">
        <w:t xml:space="preserve"> –Alternative requirements for offers</w:t>
      </w:r>
    </w:p>
    <w:p w14:paraId="56CB09FB" w14:textId="54849C7F" w:rsidR="004A494F" w:rsidRPr="00CA7BFE" w:rsidRDefault="004A494F" w:rsidP="00F76D1C">
      <w:pPr>
        <w:spacing w:before="120" w:after="120"/>
      </w:pPr>
      <w:r w:rsidRPr="00CA7BFE">
        <w:t xml:space="preserve">This section provides that a retailer is not required to comply with </w:t>
      </w:r>
      <w:r w:rsidR="00841621" w:rsidRPr="00CA7BFE">
        <w:t>paragraph 12(3)(c)</w:t>
      </w:r>
      <w:r w:rsidRPr="00CA7BFE">
        <w:t xml:space="preserve"> (that is, tell a small customer </w:t>
      </w:r>
      <w:r w:rsidRPr="00CA7BFE">
        <w:rPr>
          <w:rFonts w:cs="Times New Roman"/>
          <w:szCs w:val="24"/>
        </w:rPr>
        <w:t xml:space="preserve">the annual the customer would be charged under an offer if it consumed electricity in accordance with the relevant model annual usage) if the retailer </w:t>
      </w:r>
      <w:r w:rsidR="009A22B1" w:rsidRPr="00CA7BFE">
        <w:rPr>
          <w:rFonts w:cs="Times New Roman"/>
          <w:szCs w:val="24"/>
        </w:rPr>
        <w:t>has given the customer</w:t>
      </w:r>
      <w:r w:rsidRPr="00CA7BFE">
        <w:rPr>
          <w:rFonts w:cs="Times New Roman"/>
          <w:szCs w:val="24"/>
        </w:rPr>
        <w:t xml:space="preserve"> an estimated annual price</w:t>
      </w:r>
      <w:r w:rsidR="009A22B1" w:rsidRPr="00CA7BFE">
        <w:rPr>
          <w:rFonts w:cs="Times New Roman"/>
          <w:szCs w:val="24"/>
        </w:rPr>
        <w:t xml:space="preserve"> based on the customer’s </w:t>
      </w:r>
      <w:r w:rsidR="000E1548" w:rsidRPr="00CA7BFE">
        <w:rPr>
          <w:rFonts w:cs="Times New Roman"/>
          <w:szCs w:val="24"/>
        </w:rPr>
        <w:t xml:space="preserve">individual circumstances, including for example the customer’s </w:t>
      </w:r>
      <w:r w:rsidR="009A22B1" w:rsidRPr="00CA7BFE">
        <w:rPr>
          <w:rFonts w:cs="Times New Roman"/>
          <w:szCs w:val="24"/>
        </w:rPr>
        <w:t xml:space="preserve">actual </w:t>
      </w:r>
      <w:r w:rsidRPr="00CA7BFE">
        <w:rPr>
          <w:rFonts w:cs="Times New Roman"/>
          <w:szCs w:val="24"/>
        </w:rPr>
        <w:t>usage</w:t>
      </w:r>
      <w:r w:rsidR="00E36C2F" w:rsidRPr="00CA7BFE">
        <w:rPr>
          <w:rFonts w:cs="Times New Roman"/>
          <w:szCs w:val="24"/>
        </w:rPr>
        <w:t xml:space="preserve"> in the past</w:t>
      </w:r>
      <w:r w:rsidRPr="00CA7BFE">
        <w:rPr>
          <w:rFonts w:cs="Times New Roman"/>
          <w:szCs w:val="24"/>
        </w:rPr>
        <w:t>.</w:t>
      </w:r>
    </w:p>
    <w:p w14:paraId="4465B899" w14:textId="132FE35E" w:rsidR="00BE183E" w:rsidRPr="00CA7BFE" w:rsidRDefault="00BE183E" w:rsidP="00BE183E">
      <w:pPr>
        <w:pStyle w:val="Heading2"/>
      </w:pPr>
      <w:r w:rsidRPr="00CA7BFE">
        <w:t xml:space="preserve">Section </w:t>
      </w:r>
      <w:r w:rsidR="00841621" w:rsidRPr="00CA7BFE">
        <w:t>14</w:t>
      </w:r>
      <w:r w:rsidRPr="00CA7BFE">
        <w:t xml:space="preserve"> – Advertising conditional discounts</w:t>
      </w:r>
      <w:r w:rsidR="00DD6CF4" w:rsidRPr="00CA7BFE">
        <w:t>.</w:t>
      </w:r>
    </w:p>
    <w:p w14:paraId="1078407C" w14:textId="2D0FE037" w:rsidR="00774970" w:rsidRPr="00CA7BFE" w:rsidRDefault="00BE183E" w:rsidP="00BE183E">
      <w:pPr>
        <w:spacing w:before="120" w:after="120"/>
        <w:rPr>
          <w:rFonts w:cs="Times New Roman"/>
          <w:szCs w:val="24"/>
        </w:rPr>
      </w:pPr>
      <w:r w:rsidRPr="00CA7BFE">
        <w:rPr>
          <w:rFonts w:cs="Times New Roman"/>
          <w:szCs w:val="24"/>
        </w:rPr>
        <w:t xml:space="preserve">This section </w:t>
      </w:r>
      <w:r w:rsidR="00495B6D" w:rsidRPr="00CA7BFE">
        <w:rPr>
          <w:rFonts w:cs="Times New Roman"/>
          <w:szCs w:val="24"/>
        </w:rPr>
        <w:t xml:space="preserve">prohibits </w:t>
      </w:r>
      <w:r w:rsidR="00DB4451" w:rsidRPr="00CA7BFE">
        <w:rPr>
          <w:rFonts w:cs="Times New Roman"/>
          <w:szCs w:val="24"/>
        </w:rPr>
        <w:t xml:space="preserve">the use of </w:t>
      </w:r>
      <w:r w:rsidR="00495B6D" w:rsidRPr="00CA7BFE">
        <w:rPr>
          <w:rFonts w:cs="Times New Roman"/>
          <w:szCs w:val="24"/>
        </w:rPr>
        <w:t xml:space="preserve">headline conditional discounts </w:t>
      </w:r>
      <w:r w:rsidR="00C71596" w:rsidRPr="00CA7BFE">
        <w:rPr>
          <w:rFonts w:cs="Times New Roman"/>
          <w:szCs w:val="24"/>
        </w:rPr>
        <w:t xml:space="preserve">(including credits and rebates) </w:t>
      </w:r>
      <w:r w:rsidR="00495B6D" w:rsidRPr="00CA7BFE">
        <w:rPr>
          <w:rFonts w:cs="Times New Roman"/>
          <w:szCs w:val="24"/>
        </w:rPr>
        <w:t xml:space="preserve">and </w:t>
      </w:r>
      <w:r w:rsidRPr="00CA7BFE">
        <w:rPr>
          <w:rFonts w:cs="Times New Roman"/>
          <w:szCs w:val="24"/>
        </w:rPr>
        <w:t xml:space="preserve">requires retailers to state the terms of any conditional </w:t>
      </w:r>
      <w:r w:rsidR="00495B6D" w:rsidRPr="00CA7BFE">
        <w:rPr>
          <w:rFonts w:cs="Times New Roman"/>
          <w:szCs w:val="24"/>
        </w:rPr>
        <w:t>non-</w:t>
      </w:r>
      <w:r w:rsidRPr="00CA7BFE">
        <w:rPr>
          <w:rFonts w:cs="Times New Roman"/>
          <w:szCs w:val="24"/>
        </w:rPr>
        <w:t>headline discount</w:t>
      </w:r>
      <w:r w:rsidR="00495B6D" w:rsidRPr="00CA7BFE">
        <w:rPr>
          <w:rFonts w:cs="Times New Roman"/>
          <w:szCs w:val="24"/>
        </w:rPr>
        <w:t>s</w:t>
      </w:r>
      <w:r w:rsidRPr="00CA7BFE">
        <w:rPr>
          <w:rFonts w:cs="Times New Roman"/>
          <w:szCs w:val="24"/>
        </w:rPr>
        <w:t xml:space="preserve"> clearly</w:t>
      </w:r>
      <w:r w:rsidR="00CF19D2" w:rsidRPr="00CA7BFE">
        <w:rPr>
          <w:rFonts w:cs="Times New Roman"/>
          <w:szCs w:val="24"/>
        </w:rPr>
        <w:t xml:space="preserve"> and conspicuously</w:t>
      </w:r>
      <w:r w:rsidRPr="00CA7BFE">
        <w:rPr>
          <w:rFonts w:cs="Times New Roman"/>
          <w:szCs w:val="24"/>
        </w:rPr>
        <w:t xml:space="preserve"> in any advertising material. </w:t>
      </w:r>
    </w:p>
    <w:p w14:paraId="40C16F8A" w14:textId="59E1ED95" w:rsidR="006875D5" w:rsidRPr="00CA7BFE" w:rsidRDefault="00CF19D2" w:rsidP="00BE183E">
      <w:pPr>
        <w:spacing w:before="120" w:after="120"/>
        <w:rPr>
          <w:rFonts w:cs="Times New Roman"/>
          <w:szCs w:val="24"/>
        </w:rPr>
      </w:pPr>
      <w:r w:rsidRPr="00CA7BFE">
        <w:rPr>
          <w:rFonts w:cs="Times New Roman"/>
          <w:szCs w:val="24"/>
        </w:rPr>
        <w:t>This means that</w:t>
      </w:r>
      <w:r w:rsidR="00DB4451" w:rsidRPr="00CA7BFE">
        <w:rPr>
          <w:rFonts w:cs="Times New Roman"/>
          <w:szCs w:val="24"/>
        </w:rPr>
        <w:t xml:space="preserve"> </w:t>
      </w:r>
      <w:r w:rsidRPr="00CA7BFE">
        <w:rPr>
          <w:rFonts w:cs="Times New Roman"/>
          <w:szCs w:val="24"/>
        </w:rPr>
        <w:t xml:space="preserve">the most </w:t>
      </w:r>
      <w:r w:rsidR="00E36C2F" w:rsidRPr="00CA7BFE">
        <w:rPr>
          <w:rFonts w:cs="Times New Roman"/>
          <w:szCs w:val="24"/>
        </w:rPr>
        <w:t>conspicuous</w:t>
      </w:r>
      <w:r w:rsidRPr="00CA7BFE">
        <w:rPr>
          <w:rFonts w:cs="Times New Roman"/>
          <w:szCs w:val="24"/>
        </w:rPr>
        <w:t xml:space="preserve"> price-related feature of an </w:t>
      </w:r>
      <w:r w:rsidR="00DB4451" w:rsidRPr="00CA7BFE">
        <w:rPr>
          <w:rFonts w:cs="Times New Roman"/>
          <w:szCs w:val="24"/>
        </w:rPr>
        <w:t xml:space="preserve">advertisement </w:t>
      </w:r>
      <w:r w:rsidRPr="00CA7BFE">
        <w:rPr>
          <w:rFonts w:cs="Times New Roman"/>
          <w:szCs w:val="24"/>
        </w:rPr>
        <w:t>must not be a conditional discount</w:t>
      </w:r>
      <w:r w:rsidR="007626F7" w:rsidRPr="00CA7BFE">
        <w:rPr>
          <w:rFonts w:cs="Times New Roman"/>
          <w:szCs w:val="24"/>
        </w:rPr>
        <w:t xml:space="preserve"> (such as a pay on time discount)</w:t>
      </w:r>
      <w:r w:rsidRPr="00CA7BFE">
        <w:rPr>
          <w:rFonts w:cs="Times New Roman"/>
          <w:szCs w:val="24"/>
        </w:rPr>
        <w:t>. If the advertisement mentions any</w:t>
      </w:r>
      <w:r w:rsidR="00774970" w:rsidRPr="00CA7BFE">
        <w:rPr>
          <w:rFonts w:cs="Times New Roman"/>
          <w:szCs w:val="24"/>
        </w:rPr>
        <w:t xml:space="preserve"> </w:t>
      </w:r>
      <w:r w:rsidRPr="00CA7BFE">
        <w:rPr>
          <w:rFonts w:cs="Times New Roman"/>
          <w:szCs w:val="24"/>
        </w:rPr>
        <w:t>conditional discounts</w:t>
      </w:r>
      <w:r w:rsidR="00774970" w:rsidRPr="00CA7BFE">
        <w:rPr>
          <w:rFonts w:cs="Times New Roman"/>
          <w:szCs w:val="24"/>
        </w:rPr>
        <w:t>, the terms of the discount must be clearly stated in the advertising material, and n</w:t>
      </w:r>
      <w:r w:rsidR="001A255A" w:rsidRPr="00CA7BFE">
        <w:rPr>
          <w:rFonts w:cs="Times New Roman"/>
          <w:szCs w:val="24"/>
        </w:rPr>
        <w:t>ot hidden in fine print or in a separate terms and conditions document.</w:t>
      </w:r>
    </w:p>
    <w:p w14:paraId="0D679D07" w14:textId="57E0E144" w:rsidR="00BE183E" w:rsidRPr="00CA7BFE" w:rsidRDefault="00BE183E" w:rsidP="00BE183E">
      <w:pPr>
        <w:spacing w:before="120" w:after="120"/>
        <w:rPr>
          <w:rFonts w:cs="Times New Roman"/>
          <w:szCs w:val="24"/>
        </w:rPr>
      </w:pPr>
      <w:r w:rsidRPr="00CA7BFE">
        <w:rPr>
          <w:rFonts w:cs="Times New Roman"/>
          <w:szCs w:val="24"/>
        </w:rPr>
        <w:t>A civil penalty of 300 penalty units applies for each day the advertisement is non-compliant.</w:t>
      </w:r>
    </w:p>
    <w:p w14:paraId="23971862" w14:textId="5FF6F354" w:rsidR="00A67141" w:rsidRPr="00CA7BFE" w:rsidRDefault="00A67141" w:rsidP="00D714AD">
      <w:pPr>
        <w:pStyle w:val="Heading2"/>
        <w:rPr>
          <w:b/>
          <w:u w:val="none"/>
        </w:rPr>
      </w:pPr>
      <w:r w:rsidRPr="00CA7BFE">
        <w:rPr>
          <w:b/>
          <w:u w:val="none"/>
        </w:rPr>
        <w:t>Part 3</w:t>
      </w:r>
      <w:r w:rsidR="007D26BD" w:rsidRPr="00CA7BFE">
        <w:rPr>
          <w:b/>
          <w:u w:val="none"/>
        </w:rPr>
        <w:t xml:space="preserve"> </w:t>
      </w:r>
      <w:r w:rsidRPr="00CA7BFE">
        <w:rPr>
          <w:b/>
          <w:u w:val="none"/>
        </w:rPr>
        <w:t>- Functions of the AER</w:t>
      </w:r>
    </w:p>
    <w:p w14:paraId="41E7ADD8" w14:textId="3224919C" w:rsidR="00D714AD" w:rsidRPr="00CA7BFE" w:rsidRDefault="00D714AD" w:rsidP="00D714AD">
      <w:pPr>
        <w:pStyle w:val="Heading2"/>
      </w:pPr>
      <w:r w:rsidRPr="00CA7BFE">
        <w:t xml:space="preserve">Section </w:t>
      </w:r>
      <w:r w:rsidR="00841621" w:rsidRPr="00CA7BFE">
        <w:t>15</w:t>
      </w:r>
      <w:r w:rsidR="00495B6D" w:rsidRPr="00CA7BFE">
        <w:t xml:space="preserve"> </w:t>
      </w:r>
      <w:r w:rsidRPr="00CA7BFE">
        <w:t>– Functions of the AER</w:t>
      </w:r>
    </w:p>
    <w:p w14:paraId="700520AA" w14:textId="31DAA018" w:rsidR="00D714AD" w:rsidRPr="00CA7BFE" w:rsidRDefault="00A67141" w:rsidP="00D714AD">
      <w:pPr>
        <w:spacing w:before="120" w:after="120"/>
        <w:rPr>
          <w:rFonts w:cs="Times New Roman"/>
          <w:szCs w:val="24"/>
        </w:rPr>
      </w:pPr>
      <w:r w:rsidRPr="00CA7BFE">
        <w:rPr>
          <w:rFonts w:cs="Times New Roman"/>
          <w:szCs w:val="24"/>
        </w:rPr>
        <w:t xml:space="preserve">This section provides that, for the purposes of </w:t>
      </w:r>
      <w:r w:rsidR="00AD0274" w:rsidRPr="00CA7BFE">
        <w:rPr>
          <w:rFonts w:cs="Times New Roman"/>
          <w:szCs w:val="24"/>
        </w:rPr>
        <w:t>paragraph</w:t>
      </w:r>
      <w:r w:rsidR="00915E89" w:rsidRPr="00CA7BFE">
        <w:rPr>
          <w:rFonts w:cs="Times New Roman"/>
          <w:szCs w:val="24"/>
        </w:rPr>
        <w:t xml:space="preserve"> 44AH(b) of the </w:t>
      </w:r>
      <w:r w:rsidRPr="00CA7BFE">
        <w:rPr>
          <w:rFonts w:cs="Times New Roman"/>
          <w:i/>
          <w:szCs w:val="24"/>
        </w:rPr>
        <w:t>Competition and Consumer Act 2010</w:t>
      </w:r>
      <w:r w:rsidRPr="00CA7BFE">
        <w:rPr>
          <w:rFonts w:cs="Times New Roman"/>
          <w:szCs w:val="24"/>
        </w:rPr>
        <w:t xml:space="preserve">, the AER has the function of making the determinations referred to in Part 3 of the Regulations. </w:t>
      </w:r>
      <w:r w:rsidR="00AD0274" w:rsidRPr="00CA7BFE">
        <w:rPr>
          <w:rFonts w:cs="Times New Roman"/>
          <w:szCs w:val="24"/>
        </w:rPr>
        <w:t>Paragraph</w:t>
      </w:r>
      <w:r w:rsidR="00A248E6" w:rsidRPr="00CA7BFE">
        <w:rPr>
          <w:rFonts w:cs="Times New Roman"/>
          <w:szCs w:val="24"/>
        </w:rPr>
        <w:t xml:space="preserve"> 44AH(b) provides that the AER has any functions prescribed by regulations.</w:t>
      </w:r>
    </w:p>
    <w:p w14:paraId="4F93D78A" w14:textId="5D4ACB4C" w:rsidR="00366EF0" w:rsidRPr="00CA7BFE" w:rsidRDefault="00366EF0" w:rsidP="009D3E43">
      <w:pPr>
        <w:pStyle w:val="Heading2"/>
      </w:pPr>
      <w:r w:rsidRPr="00CA7BFE">
        <w:t xml:space="preserve">Section </w:t>
      </w:r>
      <w:r w:rsidR="00841621" w:rsidRPr="00CA7BFE">
        <w:t>16</w:t>
      </w:r>
      <w:r w:rsidR="00495B6D" w:rsidRPr="00CA7BFE">
        <w:t xml:space="preserve"> </w:t>
      </w:r>
      <w:r w:rsidRPr="00CA7BFE">
        <w:t>–</w:t>
      </w:r>
      <w:r w:rsidR="00333C0F" w:rsidRPr="00CA7BFE">
        <w:t xml:space="preserve"> </w:t>
      </w:r>
      <w:r w:rsidR="00717A6E" w:rsidRPr="00CA7BFE">
        <w:t>Determining m</w:t>
      </w:r>
      <w:r w:rsidR="00333C0F" w:rsidRPr="00CA7BFE">
        <w:t xml:space="preserve">odel annual usage and </w:t>
      </w:r>
      <w:r w:rsidR="00EE29AD" w:rsidRPr="00CA7BFE">
        <w:t xml:space="preserve">annual </w:t>
      </w:r>
      <w:r w:rsidR="00333C0F" w:rsidRPr="00CA7BFE">
        <w:t>price</w:t>
      </w:r>
      <w:r w:rsidR="00717A6E" w:rsidRPr="00CA7BFE">
        <w:t>s</w:t>
      </w:r>
    </w:p>
    <w:p w14:paraId="3AB3E202" w14:textId="77777777" w:rsidR="00CE1143" w:rsidRPr="00CA7BFE" w:rsidRDefault="00374739" w:rsidP="000103CE">
      <w:pPr>
        <w:spacing w:before="120" w:after="120"/>
        <w:rPr>
          <w:rFonts w:cs="Times New Roman"/>
          <w:szCs w:val="24"/>
        </w:rPr>
      </w:pPr>
      <w:r w:rsidRPr="00CA7BFE">
        <w:rPr>
          <w:rFonts w:cs="Times New Roman"/>
          <w:szCs w:val="24"/>
        </w:rPr>
        <w:t xml:space="preserve">This section </w:t>
      </w:r>
      <w:r w:rsidR="00CD22F8" w:rsidRPr="00CA7BFE">
        <w:rPr>
          <w:rFonts w:cs="Times New Roman"/>
          <w:szCs w:val="24"/>
        </w:rPr>
        <w:t xml:space="preserve">requires </w:t>
      </w:r>
      <w:r w:rsidR="0097377F" w:rsidRPr="00CA7BFE">
        <w:rPr>
          <w:rFonts w:cs="Times New Roman"/>
          <w:szCs w:val="24"/>
        </w:rPr>
        <w:t xml:space="preserve">the AER </w:t>
      </w:r>
      <w:r w:rsidRPr="00CA7BFE">
        <w:rPr>
          <w:rFonts w:cs="Times New Roman"/>
          <w:szCs w:val="24"/>
        </w:rPr>
        <w:t xml:space="preserve">to </w:t>
      </w:r>
      <w:r w:rsidR="00CE1143" w:rsidRPr="00CA7BFE">
        <w:rPr>
          <w:rFonts w:cs="Times New Roman"/>
          <w:szCs w:val="24"/>
        </w:rPr>
        <w:t>determine:</w:t>
      </w:r>
    </w:p>
    <w:p w14:paraId="1C7FE8E8" w14:textId="334B35C2" w:rsidR="00CE1143" w:rsidRPr="00CA7BFE" w:rsidRDefault="00CE1143" w:rsidP="009026CC">
      <w:pPr>
        <w:pStyle w:val="ListParagraph"/>
        <w:numPr>
          <w:ilvl w:val="0"/>
          <w:numId w:val="9"/>
        </w:numPr>
        <w:spacing w:before="120" w:after="120"/>
        <w:rPr>
          <w:rFonts w:cs="Times New Roman"/>
          <w:szCs w:val="24"/>
        </w:rPr>
      </w:pPr>
      <w:r w:rsidRPr="00CA7BFE">
        <w:rPr>
          <w:rFonts w:cs="Times New Roman"/>
          <w:szCs w:val="24"/>
        </w:rPr>
        <w:t>how much electricity a broadly-representative small customer of a particular type in a particular distribution region would consume in a year (for example, 5000 kWh) and</w:t>
      </w:r>
      <w:r w:rsidR="00490003" w:rsidRPr="00CA7BFE">
        <w:rPr>
          <w:rFonts w:cs="Times New Roman"/>
          <w:szCs w:val="24"/>
        </w:rPr>
        <w:t>,</w:t>
      </w:r>
      <w:r w:rsidRPr="00CA7BFE">
        <w:rPr>
          <w:rFonts w:cs="Times New Roman"/>
          <w:szCs w:val="24"/>
        </w:rPr>
        <w:t xml:space="preserve"> except in the case of small business customers, the pattern of that consumption (for example, with a certain percentage of the total amount consumed between particular hours of each day or during particular times of the year) </w:t>
      </w:r>
      <w:r w:rsidR="00490003" w:rsidRPr="00CA7BFE">
        <w:rPr>
          <w:rFonts w:cs="Times New Roman"/>
          <w:szCs w:val="24"/>
        </w:rPr>
        <w:t xml:space="preserve">(the model annual usage) </w:t>
      </w:r>
      <w:r w:rsidRPr="00CA7BFE">
        <w:rPr>
          <w:rFonts w:cs="Times New Roman"/>
          <w:szCs w:val="24"/>
        </w:rPr>
        <w:t>and</w:t>
      </w:r>
    </w:p>
    <w:p w14:paraId="785B5115" w14:textId="00939468" w:rsidR="00490003" w:rsidRPr="00CA7BFE" w:rsidRDefault="00490003" w:rsidP="009026CC">
      <w:pPr>
        <w:pStyle w:val="ListParagraph"/>
        <w:numPr>
          <w:ilvl w:val="0"/>
          <w:numId w:val="9"/>
        </w:numPr>
        <w:spacing w:before="120" w:after="120"/>
        <w:rPr>
          <w:rFonts w:cs="Times New Roman"/>
          <w:szCs w:val="24"/>
        </w:rPr>
      </w:pPr>
      <w:r w:rsidRPr="00CA7BFE">
        <w:rPr>
          <w:rFonts w:cs="Times New Roman"/>
          <w:szCs w:val="24"/>
        </w:rPr>
        <w:t xml:space="preserve">a reasonable total annual price for supplying electricity (in accordance with the model annual usage) to small customers of that type in that region (the </w:t>
      </w:r>
      <w:r w:rsidR="00841621" w:rsidRPr="00CA7BFE">
        <w:rPr>
          <w:rFonts w:cs="Times New Roman"/>
          <w:szCs w:val="24"/>
        </w:rPr>
        <w:t>reference</w:t>
      </w:r>
      <w:r w:rsidRPr="00CA7BFE">
        <w:rPr>
          <w:rFonts w:cs="Times New Roman"/>
          <w:szCs w:val="24"/>
        </w:rPr>
        <w:t xml:space="preserve"> price).</w:t>
      </w:r>
    </w:p>
    <w:p w14:paraId="371EB1B0" w14:textId="1F849D44" w:rsidR="0097377F" w:rsidRPr="00CA7BFE" w:rsidRDefault="00490003" w:rsidP="00490003">
      <w:r w:rsidRPr="00CA7BFE">
        <w:t xml:space="preserve">It is necessary to determine different usage amounts for different regions because of differences in climatic zones </w:t>
      </w:r>
      <w:r w:rsidR="007626F7" w:rsidRPr="00CA7BFE">
        <w:t xml:space="preserve">between regions </w:t>
      </w:r>
      <w:r w:rsidR="00CF0D49" w:rsidRPr="00CA7BFE">
        <w:t>(</w:t>
      </w:r>
      <w:r w:rsidRPr="00CA7BFE">
        <w:t>which affect electricity usage</w:t>
      </w:r>
      <w:r w:rsidR="00CF0D49" w:rsidRPr="00CA7BFE">
        <w:t xml:space="preserve"> in each region)</w:t>
      </w:r>
      <w:r w:rsidRPr="00CA7BFE">
        <w:t xml:space="preserve">. It is necessary to determine different prices for different regions because </w:t>
      </w:r>
      <w:r w:rsidR="001D1D8C" w:rsidRPr="00CA7BFE">
        <w:t xml:space="preserve">wholesale electricity prices and network costs </w:t>
      </w:r>
      <w:r w:rsidR="00CD22F8" w:rsidRPr="00CA7BFE">
        <w:t>differ between</w:t>
      </w:r>
      <w:r w:rsidR="001D1D8C" w:rsidRPr="00CA7BFE">
        <w:t xml:space="preserve"> regions, and these differences have a significant impact on retail prices</w:t>
      </w:r>
      <w:r w:rsidR="00CF0D49" w:rsidRPr="00CA7BFE">
        <w:t xml:space="preserve"> (with network prices alone accounting for around half of a customer’s bill)</w:t>
      </w:r>
      <w:r w:rsidR="001D1D8C" w:rsidRPr="00CA7BFE">
        <w:t xml:space="preserve">.  </w:t>
      </w:r>
    </w:p>
    <w:p w14:paraId="42A3D28D" w14:textId="397C52B6" w:rsidR="00CD22F8" w:rsidRPr="00CA7BFE" w:rsidRDefault="0097377F" w:rsidP="00CC6206">
      <w:pPr>
        <w:spacing w:before="120" w:after="120"/>
      </w:pPr>
      <w:r w:rsidRPr="00CA7BFE">
        <w:rPr>
          <w:rFonts w:cs="Times New Roman"/>
          <w:szCs w:val="24"/>
        </w:rPr>
        <w:t xml:space="preserve">Different </w:t>
      </w:r>
      <w:r w:rsidR="00CF0D49" w:rsidRPr="00CA7BFE">
        <w:rPr>
          <w:rFonts w:cs="Times New Roman"/>
          <w:szCs w:val="24"/>
        </w:rPr>
        <w:t>amounts</w:t>
      </w:r>
      <w:r w:rsidRPr="00CA7BFE">
        <w:rPr>
          <w:rFonts w:cs="Times New Roman"/>
          <w:szCs w:val="24"/>
        </w:rPr>
        <w:t xml:space="preserve"> will be </w:t>
      </w:r>
      <w:r w:rsidR="00CF0D49" w:rsidRPr="00CA7BFE">
        <w:rPr>
          <w:rFonts w:cs="Times New Roman"/>
          <w:szCs w:val="24"/>
        </w:rPr>
        <w:t>determined</w:t>
      </w:r>
      <w:r w:rsidRPr="00CA7BFE">
        <w:rPr>
          <w:rFonts w:cs="Times New Roman"/>
          <w:szCs w:val="24"/>
        </w:rPr>
        <w:t xml:space="preserve"> for different types of small customers. </w:t>
      </w:r>
      <w:r w:rsidR="00CD22F8" w:rsidRPr="00CA7BFE">
        <w:rPr>
          <w:rFonts w:cs="Times New Roman"/>
          <w:szCs w:val="24"/>
        </w:rPr>
        <w:t>Accordingly, there</w:t>
      </w:r>
      <w:r w:rsidRPr="00CA7BFE">
        <w:rPr>
          <w:rFonts w:cs="Times New Roman"/>
          <w:szCs w:val="24"/>
        </w:rPr>
        <w:t xml:space="preserve"> will be</w:t>
      </w:r>
      <w:r w:rsidR="00CC6206" w:rsidRPr="00CA7BFE">
        <w:rPr>
          <w:rFonts w:cs="Times New Roman"/>
          <w:szCs w:val="24"/>
        </w:rPr>
        <w:t xml:space="preserve"> </w:t>
      </w:r>
      <w:r w:rsidR="006B2415" w:rsidRPr="00CA7BFE">
        <w:t>one</w:t>
      </w:r>
      <w:r w:rsidR="00EB320F" w:rsidRPr="00CA7BFE">
        <w:t xml:space="preserve"> </w:t>
      </w:r>
      <w:r w:rsidRPr="00CA7BFE">
        <w:t xml:space="preserve">region-specific </w:t>
      </w:r>
      <w:r w:rsidR="00841621" w:rsidRPr="00CA7BFE">
        <w:t xml:space="preserve">model </w:t>
      </w:r>
      <w:r w:rsidRPr="00CA7BFE">
        <w:t xml:space="preserve">annual usage </w:t>
      </w:r>
      <w:r w:rsidR="00CF0D49" w:rsidRPr="00CA7BFE">
        <w:t xml:space="preserve">and </w:t>
      </w:r>
      <w:r w:rsidR="00841621" w:rsidRPr="00CA7BFE">
        <w:t>reference</w:t>
      </w:r>
      <w:r w:rsidR="00CF0D49" w:rsidRPr="00CA7BFE">
        <w:t xml:space="preserve"> price </w:t>
      </w:r>
      <w:r w:rsidRPr="00CA7BFE">
        <w:t>for residential customers with a controlled load tariff</w:t>
      </w:r>
      <w:r w:rsidR="00CC6206" w:rsidRPr="00CA7BFE">
        <w:t>,</w:t>
      </w:r>
      <w:r w:rsidRPr="00CA7BFE">
        <w:t xml:space="preserve"> </w:t>
      </w:r>
      <w:r w:rsidR="006B2415" w:rsidRPr="00CA7BFE">
        <w:t xml:space="preserve">one region-specific </w:t>
      </w:r>
      <w:r w:rsidR="00841621" w:rsidRPr="00CA7BFE">
        <w:t xml:space="preserve">model </w:t>
      </w:r>
      <w:r w:rsidR="006B2415" w:rsidRPr="00CA7BFE">
        <w:t xml:space="preserve">annual usage </w:t>
      </w:r>
      <w:r w:rsidR="00CF0D49" w:rsidRPr="00CA7BFE">
        <w:t>and</w:t>
      </w:r>
      <w:r w:rsidR="006B2415" w:rsidRPr="00CA7BFE">
        <w:t xml:space="preserve"> </w:t>
      </w:r>
      <w:r w:rsidR="00841621" w:rsidRPr="00CA7BFE">
        <w:t>reference</w:t>
      </w:r>
      <w:r w:rsidR="006B2415" w:rsidRPr="00CA7BFE">
        <w:t xml:space="preserve"> price for </w:t>
      </w:r>
      <w:r w:rsidRPr="00CA7BFE">
        <w:t xml:space="preserve">residential customers without a controlled load tariff and </w:t>
      </w:r>
      <w:r w:rsidR="006B2415" w:rsidRPr="00CA7BFE">
        <w:t xml:space="preserve">one region-specific </w:t>
      </w:r>
      <w:r w:rsidR="00841621" w:rsidRPr="00CA7BFE">
        <w:t xml:space="preserve">model </w:t>
      </w:r>
      <w:r w:rsidR="006B2415" w:rsidRPr="00CA7BFE">
        <w:t xml:space="preserve">annual usage </w:t>
      </w:r>
      <w:r w:rsidR="00CF0D49" w:rsidRPr="00CA7BFE">
        <w:t>and</w:t>
      </w:r>
      <w:r w:rsidR="00841621" w:rsidRPr="00CA7BFE">
        <w:t xml:space="preserve"> reference</w:t>
      </w:r>
      <w:r w:rsidR="00CF0D49" w:rsidRPr="00CA7BFE">
        <w:t xml:space="preserve"> </w:t>
      </w:r>
      <w:r w:rsidR="006B2415" w:rsidRPr="00CA7BFE">
        <w:t xml:space="preserve">price for </w:t>
      </w:r>
      <w:r w:rsidRPr="00CA7BFE">
        <w:t>small business customers</w:t>
      </w:r>
      <w:r w:rsidR="00CD22F8" w:rsidRPr="00CA7BFE">
        <w:t xml:space="preserve"> without a controlled load or a flexible tariff</w:t>
      </w:r>
      <w:r w:rsidR="008E3240" w:rsidRPr="00CA7BFE">
        <w:t>.</w:t>
      </w:r>
      <w:r w:rsidR="00004021" w:rsidRPr="00CA7BFE">
        <w:t xml:space="preserve"> </w:t>
      </w:r>
    </w:p>
    <w:p w14:paraId="52B7547A" w14:textId="77777777" w:rsidR="00F34A3A" w:rsidRPr="00CA7BFE" w:rsidRDefault="00A248E6" w:rsidP="00B83091">
      <w:r w:rsidRPr="00CA7BFE">
        <w:t>Each determination will relate to a particular financial year.</w:t>
      </w:r>
      <w:r w:rsidR="00CD22F8" w:rsidRPr="00CA7BFE">
        <w:t xml:space="preserve"> </w:t>
      </w:r>
    </w:p>
    <w:p w14:paraId="758A958E" w14:textId="3150C40B" w:rsidR="00004021" w:rsidRPr="00CA7BFE" w:rsidRDefault="00CF0D49" w:rsidP="00B83091">
      <w:r w:rsidRPr="00CA7BFE">
        <w:t xml:space="preserve">No specific amount will be determined </w:t>
      </w:r>
      <w:r w:rsidR="00CD22F8" w:rsidRPr="00CA7BFE">
        <w:t xml:space="preserve">for residential customers with a flexible tariff. </w:t>
      </w:r>
      <w:r w:rsidR="001A255A" w:rsidRPr="00CA7BFE">
        <w:t xml:space="preserve">Rather, </w:t>
      </w:r>
      <w:r w:rsidR="00CD22F8" w:rsidRPr="00CA7BFE">
        <w:t xml:space="preserve">the </w:t>
      </w:r>
      <w:r w:rsidR="00CC6206" w:rsidRPr="00CA7BFE">
        <w:t>amounts applying to</w:t>
      </w:r>
      <w:r w:rsidR="00CD22F8" w:rsidRPr="00CA7BFE">
        <w:t xml:space="preserve"> residential customers with a controlled load </w:t>
      </w:r>
      <w:r w:rsidR="002D25C2" w:rsidRPr="00CA7BFE">
        <w:t xml:space="preserve">will cover </w:t>
      </w:r>
      <w:r w:rsidR="00CC7A47" w:rsidRPr="00CA7BFE">
        <w:t xml:space="preserve">both flat and flexible controlled load tariffs (and similarly for </w:t>
      </w:r>
      <w:r w:rsidR="00CC6206" w:rsidRPr="00CA7BFE">
        <w:t>the amounts applying to</w:t>
      </w:r>
      <w:r w:rsidR="00CC7A47" w:rsidRPr="00CA7BFE">
        <w:t xml:space="preserve"> residential customers without a controlled load).</w:t>
      </w:r>
      <w:r w:rsidR="00F34A3A" w:rsidRPr="00CA7BFE">
        <w:t xml:space="preserve"> </w:t>
      </w:r>
      <w:r w:rsidR="007626F7" w:rsidRPr="00CA7BFE">
        <w:t xml:space="preserve">Similarly, upon the commencement of </w:t>
      </w:r>
      <w:r w:rsidR="00841621" w:rsidRPr="00CA7BFE">
        <w:t>section 11</w:t>
      </w:r>
      <w:r w:rsidR="007626F7" w:rsidRPr="00CA7BFE">
        <w:t xml:space="preserve">, no specific amount will be determined for residential customers who receive a feed-in tariff for </w:t>
      </w:r>
      <w:r w:rsidR="003F56FD" w:rsidRPr="00CA7BFE">
        <w:t xml:space="preserve">a rooftop PV system. Instead, the amounts applying to residential customers with a controlled load will cover both solar and non-solar tariffs (and similarly for the amounts applying to residential customers without a controlled load). </w:t>
      </w:r>
    </w:p>
    <w:p w14:paraId="59365E74" w14:textId="73AED0AE" w:rsidR="003F56FD" w:rsidRPr="00CA7BFE" w:rsidRDefault="003F56FD" w:rsidP="003F56FD">
      <w:pPr>
        <w:spacing w:before="120" w:after="120"/>
        <w:rPr>
          <w:rFonts w:cs="Times New Roman"/>
          <w:szCs w:val="24"/>
        </w:rPr>
      </w:pPr>
      <w:r w:rsidRPr="00CA7BFE">
        <w:rPr>
          <w:rFonts w:cs="Times New Roman"/>
          <w:szCs w:val="24"/>
        </w:rPr>
        <w:t>When assessing what is a reasonable total annual price for supplying electricity to small customers of each type in a region, the AER must have regard to the matters referred to in s</w:t>
      </w:r>
      <w:r w:rsidR="008F2286" w:rsidRPr="00CA7BFE">
        <w:rPr>
          <w:rFonts w:cs="Times New Roman"/>
          <w:szCs w:val="24"/>
        </w:rPr>
        <w:t>ubs</w:t>
      </w:r>
      <w:r w:rsidRPr="00CA7BFE">
        <w:rPr>
          <w:rFonts w:cs="Times New Roman"/>
          <w:szCs w:val="24"/>
        </w:rPr>
        <w:t>ection </w:t>
      </w:r>
      <w:r w:rsidR="00841621" w:rsidRPr="00CA7BFE">
        <w:rPr>
          <w:rFonts w:cs="Times New Roman"/>
          <w:szCs w:val="24"/>
        </w:rPr>
        <w:t>16</w:t>
      </w:r>
      <w:r w:rsidRPr="00CA7BFE">
        <w:rPr>
          <w:rFonts w:cs="Times New Roman"/>
          <w:szCs w:val="24"/>
        </w:rPr>
        <w:t xml:space="preserve">(4), including: retail prices in the region, the principle that retailers should be able to make a reasonable profit in relation to supplying electricity in the region, wholesale and network costs in the region, the costs of complying with relevant laws, the costs of acquiring and retaining small customers, the costs of serving those customers, and any other matter the AER considers relevant. As stated in the ACCC’s Report: </w:t>
      </w:r>
    </w:p>
    <w:p w14:paraId="0E737C7F" w14:textId="69182A09" w:rsidR="00F250CD" w:rsidRPr="00CA7BFE" w:rsidRDefault="00F250CD" w:rsidP="003F56FD">
      <w:pPr>
        <w:spacing w:before="120" w:after="120"/>
        <w:ind w:left="720"/>
        <w:rPr>
          <w:rFonts w:cs="Times New Roman"/>
          <w:i/>
          <w:szCs w:val="24"/>
        </w:rPr>
      </w:pPr>
      <w:r w:rsidRPr="00CA7BFE">
        <w:rPr>
          <w:rFonts w:cs="Times New Roman"/>
          <w:szCs w:val="24"/>
        </w:rPr>
        <w:t>“</w:t>
      </w:r>
      <w:r w:rsidR="00CC7A47" w:rsidRPr="00CA7BFE">
        <w:rPr>
          <w:rFonts w:cs="Times New Roman"/>
          <w:i/>
          <w:szCs w:val="24"/>
        </w:rPr>
        <w:t>[t]</w:t>
      </w:r>
      <w:r w:rsidRPr="00CA7BFE">
        <w:rPr>
          <w:rFonts w:cs="Times New Roman"/>
          <w:i/>
          <w:szCs w:val="24"/>
        </w:rPr>
        <w:t>he default offer should not exist to be the lowest price, or close to the lowest price in the market. Its purpose is to act as a fallback position for the disengaged or for those that require its additional protections. Ideally, it should only be utilised by a small number of consumers. It must be set above the price for competitive market offers to avoid incentivising consumer disengagement.</w:t>
      </w:r>
      <w:r w:rsidRPr="00CA7BFE">
        <w:rPr>
          <w:rFonts w:cs="Times New Roman"/>
          <w:szCs w:val="24"/>
        </w:rPr>
        <w:t>”</w:t>
      </w:r>
    </w:p>
    <w:p w14:paraId="54457263" w14:textId="09E2D5C4" w:rsidR="00CC7A47" w:rsidRPr="00CA7BFE" w:rsidRDefault="00CC7A47" w:rsidP="00CC7A47">
      <w:pPr>
        <w:spacing w:before="120" w:after="120"/>
        <w:rPr>
          <w:rFonts w:cs="Times New Roman"/>
          <w:szCs w:val="24"/>
        </w:rPr>
      </w:pPr>
      <w:r w:rsidRPr="00CA7BFE">
        <w:rPr>
          <w:rFonts w:cs="Times New Roman"/>
          <w:szCs w:val="24"/>
        </w:rPr>
        <w:t xml:space="preserve">Determinations are </w:t>
      </w:r>
      <w:r w:rsidR="002D43C6" w:rsidRPr="00CA7BFE">
        <w:rPr>
          <w:rFonts w:cs="Times New Roman"/>
          <w:szCs w:val="24"/>
        </w:rPr>
        <w:t xml:space="preserve">specifically expressed to be </w:t>
      </w:r>
      <w:r w:rsidRPr="00CA7BFE">
        <w:rPr>
          <w:rFonts w:cs="Times New Roman"/>
          <w:szCs w:val="24"/>
        </w:rPr>
        <w:t>disallowable legislative instruments</w:t>
      </w:r>
      <w:r w:rsidR="002D43C6" w:rsidRPr="00CA7BFE">
        <w:rPr>
          <w:rFonts w:cs="Times New Roman"/>
          <w:szCs w:val="24"/>
        </w:rPr>
        <w:t xml:space="preserve">. This is to ensure that they are not rendered non-disallowable by the operation of subsection 44(1) of the </w:t>
      </w:r>
      <w:r w:rsidR="002D43C6" w:rsidRPr="00CA7BFE">
        <w:rPr>
          <w:rFonts w:cs="Times New Roman"/>
          <w:i/>
          <w:szCs w:val="24"/>
        </w:rPr>
        <w:t>Legislation Act 2003</w:t>
      </w:r>
      <w:r w:rsidR="002D43C6" w:rsidRPr="00CA7BFE">
        <w:rPr>
          <w:rFonts w:cs="Times New Roman"/>
          <w:szCs w:val="24"/>
        </w:rPr>
        <w:t>. This</w:t>
      </w:r>
      <w:r w:rsidR="003061EB" w:rsidRPr="00CA7BFE">
        <w:rPr>
          <w:rFonts w:cs="Times New Roman"/>
          <w:szCs w:val="24"/>
        </w:rPr>
        <w:t xml:space="preserve"> subsection provides that a legislative instrument is not disallowable if the enabling legislation for the instrument (in this case, the Regulations): (a) facilitates the establishment or operation of an intergovernmental body or scheme involving the Commonwealth and one or more States and (b) authorises the instrument to be made by the body or for the purposes of the body or scheme, unless the instrument is a regulation or the enabling legislation </w:t>
      </w:r>
      <w:r w:rsidR="00DC2499" w:rsidRPr="00CA7BFE">
        <w:rPr>
          <w:rFonts w:cs="Times New Roman"/>
          <w:szCs w:val="24"/>
        </w:rPr>
        <w:t xml:space="preserve">(here, the Regulations) </w:t>
      </w:r>
      <w:r w:rsidR="003061EB" w:rsidRPr="00CA7BFE">
        <w:rPr>
          <w:rFonts w:cs="Times New Roman"/>
          <w:szCs w:val="24"/>
        </w:rPr>
        <w:t>or some other Act has the effect that the instrument is disallowable</w:t>
      </w:r>
      <w:r w:rsidRPr="00CA7BFE">
        <w:rPr>
          <w:rFonts w:cs="Times New Roman"/>
          <w:szCs w:val="24"/>
        </w:rPr>
        <w:t>.</w:t>
      </w:r>
      <w:r w:rsidR="002D43C6" w:rsidRPr="00CA7BFE">
        <w:rPr>
          <w:rFonts w:cs="Times New Roman"/>
          <w:szCs w:val="24"/>
        </w:rPr>
        <w:t xml:space="preserve"> </w:t>
      </w:r>
      <w:r w:rsidR="003061EB" w:rsidRPr="00CA7BFE">
        <w:rPr>
          <w:rFonts w:cs="Times New Roman"/>
          <w:szCs w:val="24"/>
        </w:rPr>
        <w:t>The AER consists of Commonwealth and State/Territory members and was established in accordance with an intergovernmental agreement (the Australian Energy Market Agreement) for the purposes of furthering an intergovernmental scheme (the national energy laws)</w:t>
      </w:r>
      <w:r w:rsidR="00DC2499" w:rsidRPr="00CA7BFE">
        <w:rPr>
          <w:rFonts w:cs="Times New Roman"/>
          <w:szCs w:val="24"/>
        </w:rPr>
        <w:t xml:space="preserve">. </w:t>
      </w:r>
      <w:r w:rsidR="00762669" w:rsidRPr="00CA7BFE">
        <w:rPr>
          <w:rFonts w:cs="Times New Roman"/>
          <w:szCs w:val="24"/>
        </w:rPr>
        <w:t xml:space="preserve">A legislative instrument made by the AER would, to the extent that the AER is an intergovernmental body, be non-disallowable if the Regulations did not specially state that they are disallowable. </w:t>
      </w:r>
    </w:p>
    <w:p w14:paraId="35E3B7DA" w14:textId="1C444190" w:rsidR="00CC7A47" w:rsidRPr="00CA7BFE" w:rsidRDefault="00CC7A47" w:rsidP="00920177">
      <w:pPr>
        <w:pStyle w:val="Heading2"/>
      </w:pPr>
      <w:r w:rsidRPr="00CA7BFE">
        <w:t xml:space="preserve">Section </w:t>
      </w:r>
      <w:r w:rsidR="00841621" w:rsidRPr="00CA7BFE">
        <w:t>17</w:t>
      </w:r>
      <w:r w:rsidRPr="00CA7BFE">
        <w:t xml:space="preserve"> – Requirements relating to making determinations</w:t>
      </w:r>
    </w:p>
    <w:p w14:paraId="0F6747E2" w14:textId="77777777" w:rsidR="008F2286" w:rsidRPr="00CA7BFE" w:rsidRDefault="0075467E" w:rsidP="00F76D1C">
      <w:pPr>
        <w:spacing w:before="120" w:after="120"/>
        <w:rPr>
          <w:rFonts w:cs="Times New Roman"/>
          <w:szCs w:val="24"/>
        </w:rPr>
      </w:pPr>
      <w:r w:rsidRPr="00CA7BFE">
        <w:rPr>
          <w:rFonts w:cs="Times New Roman"/>
          <w:szCs w:val="24"/>
        </w:rPr>
        <w:t xml:space="preserve">This section provides that the AER must publish </w:t>
      </w:r>
      <w:r w:rsidR="00DC2499" w:rsidRPr="00CA7BFE">
        <w:rPr>
          <w:rFonts w:cs="Times New Roman"/>
          <w:szCs w:val="24"/>
        </w:rPr>
        <w:t xml:space="preserve">a </w:t>
      </w:r>
      <w:r w:rsidRPr="00CA7BFE">
        <w:rPr>
          <w:rFonts w:cs="Times New Roman"/>
          <w:szCs w:val="24"/>
        </w:rPr>
        <w:t xml:space="preserve">draft </w:t>
      </w:r>
      <w:r w:rsidR="00DC2499" w:rsidRPr="00CA7BFE">
        <w:rPr>
          <w:rFonts w:cs="Times New Roman"/>
          <w:szCs w:val="24"/>
        </w:rPr>
        <w:t>determination</w:t>
      </w:r>
      <w:r w:rsidRPr="00CA7BFE">
        <w:rPr>
          <w:rFonts w:cs="Times New Roman"/>
          <w:szCs w:val="24"/>
        </w:rPr>
        <w:t xml:space="preserve"> at least six weeks before publishing </w:t>
      </w:r>
      <w:r w:rsidR="00DC2499" w:rsidRPr="00CA7BFE">
        <w:rPr>
          <w:rFonts w:cs="Times New Roman"/>
          <w:szCs w:val="24"/>
        </w:rPr>
        <w:t xml:space="preserve">a </w:t>
      </w:r>
      <w:r w:rsidRPr="00CA7BFE">
        <w:rPr>
          <w:rFonts w:cs="Times New Roman"/>
          <w:szCs w:val="24"/>
        </w:rPr>
        <w:t>final determination</w:t>
      </w:r>
      <w:r w:rsidR="00762669" w:rsidRPr="00CA7BFE">
        <w:rPr>
          <w:rFonts w:cs="Times New Roman"/>
          <w:szCs w:val="24"/>
        </w:rPr>
        <w:t xml:space="preserve">. </w:t>
      </w:r>
      <w:r w:rsidR="006C5986" w:rsidRPr="00CA7BFE">
        <w:rPr>
          <w:rFonts w:cs="Times New Roman"/>
          <w:szCs w:val="24"/>
        </w:rPr>
        <w:t xml:space="preserve">It must give stakeholders at least three weeks to make written submissions on the draft determination, and </w:t>
      </w:r>
      <w:r w:rsidR="008F2286" w:rsidRPr="00CA7BFE">
        <w:rPr>
          <w:rFonts w:cs="Times New Roman"/>
          <w:szCs w:val="24"/>
        </w:rPr>
        <w:t xml:space="preserve">must </w:t>
      </w:r>
      <w:r w:rsidR="006C5986" w:rsidRPr="00CA7BFE">
        <w:rPr>
          <w:rFonts w:cs="Times New Roman"/>
          <w:szCs w:val="24"/>
        </w:rPr>
        <w:t>consider any submissions made within that period before finalising the draft</w:t>
      </w:r>
      <w:r w:rsidRPr="00CA7BFE">
        <w:rPr>
          <w:rFonts w:cs="Times New Roman"/>
          <w:szCs w:val="24"/>
        </w:rPr>
        <w:t xml:space="preserve">. </w:t>
      </w:r>
      <w:r w:rsidR="00DC2499" w:rsidRPr="00CA7BFE">
        <w:rPr>
          <w:rFonts w:cs="Times New Roman"/>
          <w:szCs w:val="24"/>
        </w:rPr>
        <w:t>The f</w:t>
      </w:r>
      <w:r w:rsidRPr="00CA7BFE">
        <w:rPr>
          <w:rFonts w:cs="Times New Roman"/>
          <w:szCs w:val="24"/>
        </w:rPr>
        <w:t>inal determination</w:t>
      </w:r>
      <w:r w:rsidR="00991C45" w:rsidRPr="00CA7BFE">
        <w:rPr>
          <w:rFonts w:cs="Times New Roman"/>
          <w:szCs w:val="24"/>
        </w:rPr>
        <w:t xml:space="preserve"> </w:t>
      </w:r>
      <w:r w:rsidR="007170F0" w:rsidRPr="00CA7BFE">
        <w:rPr>
          <w:rFonts w:cs="Times New Roman"/>
          <w:szCs w:val="24"/>
        </w:rPr>
        <w:t xml:space="preserve">for a particular </w:t>
      </w:r>
      <w:r w:rsidR="00991C45" w:rsidRPr="00CA7BFE">
        <w:rPr>
          <w:rFonts w:cs="Times New Roman"/>
          <w:szCs w:val="24"/>
        </w:rPr>
        <w:t xml:space="preserve">financial </w:t>
      </w:r>
      <w:r w:rsidR="007170F0" w:rsidRPr="00CA7BFE">
        <w:rPr>
          <w:rFonts w:cs="Times New Roman"/>
          <w:szCs w:val="24"/>
        </w:rPr>
        <w:t>year mu</w:t>
      </w:r>
      <w:r w:rsidR="00C6637D" w:rsidRPr="00CA7BFE">
        <w:rPr>
          <w:rFonts w:cs="Times New Roman"/>
          <w:szCs w:val="24"/>
        </w:rPr>
        <w:t>st be made between 1 July and 1</w:t>
      </w:r>
      <w:r w:rsidR="007170F0" w:rsidRPr="00CA7BFE">
        <w:rPr>
          <w:rFonts w:cs="Times New Roman"/>
          <w:szCs w:val="24"/>
        </w:rPr>
        <w:t xml:space="preserve"> May of the previous year.</w:t>
      </w:r>
      <w:r w:rsidR="00991C45" w:rsidRPr="00CA7BFE">
        <w:rPr>
          <w:rFonts w:cs="Times New Roman"/>
          <w:szCs w:val="24"/>
        </w:rPr>
        <w:t xml:space="preserve"> </w:t>
      </w:r>
    </w:p>
    <w:p w14:paraId="010B929B" w14:textId="6CB4E235" w:rsidR="00A248E6" w:rsidRPr="00CA7BFE" w:rsidRDefault="008F2286" w:rsidP="00F76D1C">
      <w:pPr>
        <w:spacing w:before="120" w:after="120"/>
        <w:rPr>
          <w:rFonts w:cs="Times New Roman"/>
          <w:szCs w:val="24"/>
        </w:rPr>
      </w:pPr>
      <w:r w:rsidRPr="00CA7BFE">
        <w:rPr>
          <w:rFonts w:cs="Times New Roman"/>
          <w:szCs w:val="24"/>
        </w:rPr>
        <w:t>A</w:t>
      </w:r>
      <w:r w:rsidR="00DC2499" w:rsidRPr="00CA7BFE">
        <w:rPr>
          <w:rFonts w:cs="Times New Roman"/>
          <w:szCs w:val="24"/>
        </w:rPr>
        <w:t xml:space="preserve"> </w:t>
      </w:r>
      <w:r w:rsidR="00991C45" w:rsidRPr="00CA7BFE">
        <w:rPr>
          <w:rFonts w:cs="Times New Roman"/>
          <w:szCs w:val="24"/>
        </w:rPr>
        <w:t>determination can be remade after 1 May in certain limited circumstances, including to correct minor or technical errors</w:t>
      </w:r>
      <w:r w:rsidR="0018737A" w:rsidRPr="00CA7BFE">
        <w:rPr>
          <w:rFonts w:cs="Times New Roman"/>
          <w:szCs w:val="24"/>
        </w:rPr>
        <w:t xml:space="preserve"> (in which case, the requirement to consult on a new draft determination does not apply)</w:t>
      </w:r>
      <w:r w:rsidR="00DC2499" w:rsidRPr="00CA7BFE">
        <w:rPr>
          <w:rFonts w:cs="Times New Roman"/>
          <w:szCs w:val="24"/>
        </w:rPr>
        <w:t xml:space="preserve"> or if </w:t>
      </w:r>
      <w:r w:rsidRPr="00CA7BFE">
        <w:rPr>
          <w:rFonts w:cs="Times New Roman"/>
          <w:szCs w:val="24"/>
        </w:rPr>
        <w:t xml:space="preserve">the determination is found to be invalid or is disallowed </w:t>
      </w:r>
      <w:r w:rsidR="0018737A" w:rsidRPr="00CA7BFE">
        <w:rPr>
          <w:rFonts w:cs="Times New Roman"/>
          <w:szCs w:val="24"/>
        </w:rPr>
        <w:t>(in which case, the requirement to consult on a new draft determination does apply)</w:t>
      </w:r>
      <w:r w:rsidR="00991C45" w:rsidRPr="00CA7BFE">
        <w:rPr>
          <w:rFonts w:cs="Times New Roman"/>
          <w:szCs w:val="24"/>
        </w:rPr>
        <w:t xml:space="preserve">. </w:t>
      </w:r>
    </w:p>
    <w:p w14:paraId="646F2577" w14:textId="3BDA5B14" w:rsidR="00C40AC5" w:rsidRPr="00CA7BFE" w:rsidRDefault="00991C45" w:rsidP="00F76D1C">
      <w:pPr>
        <w:spacing w:before="120" w:after="120"/>
        <w:rPr>
          <w:rFonts w:cs="Times New Roman"/>
          <w:szCs w:val="24"/>
        </w:rPr>
      </w:pPr>
      <w:r w:rsidRPr="00CA7BFE">
        <w:rPr>
          <w:rFonts w:cs="Times New Roman"/>
          <w:szCs w:val="24"/>
        </w:rPr>
        <w:t xml:space="preserve">Determinations must not take effect within </w:t>
      </w:r>
      <w:r w:rsidR="00762669" w:rsidRPr="00CA7BFE">
        <w:rPr>
          <w:rFonts w:cs="Times New Roman"/>
          <w:szCs w:val="24"/>
        </w:rPr>
        <w:t>eight</w:t>
      </w:r>
      <w:r w:rsidRPr="00CA7BFE">
        <w:rPr>
          <w:rFonts w:cs="Times New Roman"/>
          <w:szCs w:val="24"/>
        </w:rPr>
        <w:t xml:space="preserve"> weeks of being registered. </w:t>
      </w:r>
      <w:r w:rsidR="00DE18B1" w:rsidRPr="00CA7BFE">
        <w:rPr>
          <w:rFonts w:cs="Times New Roman"/>
          <w:szCs w:val="24"/>
        </w:rPr>
        <w:t xml:space="preserve">This is to give retailers time to </w:t>
      </w:r>
      <w:r w:rsidR="00FA2E72" w:rsidRPr="00CA7BFE">
        <w:rPr>
          <w:rFonts w:cs="Times New Roman"/>
          <w:szCs w:val="24"/>
        </w:rPr>
        <w:t>prepare for</w:t>
      </w:r>
      <w:r w:rsidR="00DE18B1" w:rsidRPr="00CA7BFE">
        <w:rPr>
          <w:rFonts w:cs="Times New Roman"/>
          <w:szCs w:val="24"/>
        </w:rPr>
        <w:t xml:space="preserve"> the </w:t>
      </w:r>
      <w:r w:rsidR="00A248E6" w:rsidRPr="00CA7BFE">
        <w:rPr>
          <w:rFonts w:cs="Times New Roman"/>
          <w:szCs w:val="24"/>
        </w:rPr>
        <w:t xml:space="preserve">effect of the </w:t>
      </w:r>
      <w:r w:rsidR="00DE18B1" w:rsidRPr="00CA7BFE">
        <w:rPr>
          <w:rFonts w:cs="Times New Roman"/>
          <w:szCs w:val="24"/>
        </w:rPr>
        <w:t>new determination.</w:t>
      </w:r>
      <w:r w:rsidR="00C40AC5" w:rsidRPr="00CA7BFE">
        <w:rPr>
          <w:rFonts w:cs="Times New Roman"/>
          <w:szCs w:val="24"/>
        </w:rPr>
        <w:t xml:space="preserve"> </w:t>
      </w:r>
    </w:p>
    <w:p w14:paraId="6D80FB0D" w14:textId="07E37813" w:rsidR="00C83FB5" w:rsidRPr="00CA7BFE" w:rsidRDefault="0075467E" w:rsidP="00F76D1C">
      <w:pPr>
        <w:spacing w:before="120" w:after="120"/>
        <w:rPr>
          <w:rFonts w:cs="Times New Roman"/>
          <w:szCs w:val="24"/>
        </w:rPr>
      </w:pPr>
      <w:r w:rsidRPr="00CA7BFE">
        <w:rPr>
          <w:rFonts w:cs="Times New Roman"/>
          <w:szCs w:val="24"/>
        </w:rPr>
        <w:t xml:space="preserve">In order to meet these requirements, </w:t>
      </w:r>
      <w:r w:rsidR="00BC0CD7" w:rsidRPr="00CA7BFE">
        <w:rPr>
          <w:rFonts w:cs="Times New Roman"/>
          <w:szCs w:val="24"/>
        </w:rPr>
        <w:t>it</w:t>
      </w:r>
      <w:r w:rsidR="00C40AC5" w:rsidRPr="00CA7BFE">
        <w:rPr>
          <w:rFonts w:cs="Times New Roman"/>
          <w:szCs w:val="24"/>
        </w:rPr>
        <w:t xml:space="preserve"> is expected that the AER would publish </w:t>
      </w:r>
      <w:r w:rsidR="00DC2499" w:rsidRPr="00CA7BFE">
        <w:rPr>
          <w:rFonts w:cs="Times New Roman"/>
          <w:szCs w:val="24"/>
        </w:rPr>
        <w:t xml:space="preserve">a </w:t>
      </w:r>
      <w:r w:rsidR="00C40AC5" w:rsidRPr="00CA7BFE">
        <w:rPr>
          <w:rFonts w:cs="Times New Roman"/>
          <w:szCs w:val="24"/>
        </w:rPr>
        <w:t>draft determination by 1 April each year and (after considering any submissions received in respect of the draft) make the final determination</w:t>
      </w:r>
      <w:r w:rsidR="00C6637D" w:rsidRPr="00CA7BFE">
        <w:rPr>
          <w:rFonts w:cs="Times New Roman"/>
          <w:szCs w:val="24"/>
        </w:rPr>
        <w:t xml:space="preserve"> by 1</w:t>
      </w:r>
      <w:r w:rsidR="00C40AC5" w:rsidRPr="00CA7BFE">
        <w:rPr>
          <w:rFonts w:cs="Times New Roman"/>
          <w:szCs w:val="24"/>
        </w:rPr>
        <w:t xml:space="preserve"> May, with the determination taking effect on 1 July. </w:t>
      </w:r>
    </w:p>
    <w:p w14:paraId="2EDBA1AE" w14:textId="3AB39F9B" w:rsidR="0075467E" w:rsidRPr="00CA7BFE" w:rsidRDefault="0075467E" w:rsidP="00920177">
      <w:pPr>
        <w:pStyle w:val="Heading2"/>
      </w:pPr>
      <w:r w:rsidRPr="00CA7BFE">
        <w:t xml:space="preserve">Section </w:t>
      </w:r>
      <w:r w:rsidR="00971607" w:rsidRPr="00CA7BFE">
        <w:t>18</w:t>
      </w:r>
      <w:r w:rsidRPr="00CA7BFE">
        <w:t xml:space="preserve"> – Previous model annual usage or price applies if determination disallowed</w:t>
      </w:r>
    </w:p>
    <w:p w14:paraId="406F5B83" w14:textId="25E7BF65" w:rsidR="0075467E" w:rsidRPr="00CA7BFE" w:rsidRDefault="0075467E">
      <w:pPr>
        <w:spacing w:before="120" w:after="120"/>
        <w:rPr>
          <w:rFonts w:cs="Times New Roman"/>
          <w:szCs w:val="24"/>
        </w:rPr>
      </w:pPr>
      <w:r w:rsidRPr="00CA7BFE">
        <w:rPr>
          <w:rFonts w:cs="Times New Roman"/>
          <w:szCs w:val="24"/>
        </w:rPr>
        <w:t xml:space="preserve">This section provides that if an AER determination for a particular financial year is disallowed, the model annual usage or the </w:t>
      </w:r>
      <w:r w:rsidR="00971607" w:rsidRPr="00CA7BFE">
        <w:rPr>
          <w:rFonts w:cs="Times New Roman"/>
          <w:szCs w:val="24"/>
        </w:rPr>
        <w:t>reference</w:t>
      </w:r>
      <w:r w:rsidRPr="00CA7BFE">
        <w:rPr>
          <w:rFonts w:cs="Times New Roman"/>
          <w:szCs w:val="24"/>
        </w:rPr>
        <w:t xml:space="preserve"> price (as the case may be) for that year is taken to be the model annual usage/</w:t>
      </w:r>
      <w:r w:rsidR="00971607" w:rsidRPr="00CA7BFE">
        <w:rPr>
          <w:rFonts w:cs="Times New Roman"/>
          <w:szCs w:val="24"/>
        </w:rPr>
        <w:t>reference</w:t>
      </w:r>
      <w:r w:rsidRPr="00CA7BFE">
        <w:rPr>
          <w:rFonts w:cs="Times New Roman"/>
          <w:szCs w:val="24"/>
        </w:rPr>
        <w:t xml:space="preserve"> price that was determined for the previous year. </w:t>
      </w:r>
      <w:r w:rsidR="001B12F5" w:rsidRPr="00CA7BFE">
        <w:rPr>
          <w:rFonts w:cs="Times New Roman"/>
          <w:szCs w:val="24"/>
        </w:rPr>
        <w:t>This arrangement applies until the AER replaces the disallowed determination.</w:t>
      </w:r>
    </w:p>
    <w:p w14:paraId="16AE05AD" w14:textId="5EA64DCD" w:rsidR="00FA2E72" w:rsidRPr="00CA7BFE" w:rsidRDefault="00FA2E72" w:rsidP="00333C0F">
      <w:pPr>
        <w:pStyle w:val="Heading2"/>
        <w:rPr>
          <w:b/>
          <w:u w:val="none"/>
        </w:rPr>
      </w:pPr>
      <w:r w:rsidRPr="00CA7BFE">
        <w:rPr>
          <w:b/>
          <w:u w:val="none"/>
        </w:rPr>
        <w:t xml:space="preserve">Part 4 – Application </w:t>
      </w:r>
    </w:p>
    <w:p w14:paraId="024C180E" w14:textId="082E21B0" w:rsidR="00333C0F" w:rsidRPr="00CA7BFE" w:rsidRDefault="00333C0F" w:rsidP="00333C0F">
      <w:pPr>
        <w:pStyle w:val="Heading2"/>
      </w:pPr>
      <w:r w:rsidRPr="00CA7BFE">
        <w:t xml:space="preserve">Section </w:t>
      </w:r>
      <w:r w:rsidR="00971607" w:rsidRPr="00CA7BFE">
        <w:t>19</w:t>
      </w:r>
      <w:r w:rsidR="001B12F5" w:rsidRPr="00CA7BFE">
        <w:t xml:space="preserve"> </w:t>
      </w:r>
      <w:r w:rsidRPr="00CA7BFE">
        <w:t>– Application of this instrument</w:t>
      </w:r>
    </w:p>
    <w:p w14:paraId="7236334F" w14:textId="77777777" w:rsidR="00DE52BD" w:rsidRPr="00CA7BFE" w:rsidRDefault="00F27381" w:rsidP="00333C0F">
      <w:pPr>
        <w:spacing w:before="120" w:after="120"/>
        <w:rPr>
          <w:rFonts w:cs="Times New Roman"/>
          <w:szCs w:val="24"/>
        </w:rPr>
      </w:pPr>
      <w:r w:rsidRPr="00CA7BFE">
        <w:rPr>
          <w:rFonts w:cs="Times New Roman"/>
          <w:szCs w:val="24"/>
        </w:rPr>
        <w:t xml:space="preserve">This section </w:t>
      </w:r>
      <w:r w:rsidR="003025C9" w:rsidRPr="00CA7BFE">
        <w:rPr>
          <w:rFonts w:cs="Times New Roman"/>
          <w:szCs w:val="24"/>
        </w:rPr>
        <w:t xml:space="preserve">deals with the application of the Regulations. </w:t>
      </w:r>
    </w:p>
    <w:p w14:paraId="24D26943" w14:textId="245B4A6C" w:rsidR="00333C0F" w:rsidRPr="00CA7BFE" w:rsidRDefault="003025C9" w:rsidP="00333C0F">
      <w:pPr>
        <w:spacing w:before="120" w:after="120"/>
        <w:rPr>
          <w:rFonts w:cs="Times New Roman"/>
          <w:szCs w:val="24"/>
        </w:rPr>
      </w:pPr>
      <w:r w:rsidRPr="00CA7BFE">
        <w:rPr>
          <w:rFonts w:cs="Times New Roman"/>
          <w:szCs w:val="24"/>
        </w:rPr>
        <w:t>T</w:t>
      </w:r>
      <w:r w:rsidR="002B37F3" w:rsidRPr="00CA7BFE">
        <w:rPr>
          <w:rFonts w:cs="Times New Roman"/>
          <w:szCs w:val="24"/>
        </w:rPr>
        <w:t>he Regulations</w:t>
      </w:r>
      <w:r w:rsidR="00F27381" w:rsidRPr="00CA7BFE">
        <w:rPr>
          <w:rFonts w:cs="Times New Roman"/>
          <w:szCs w:val="24"/>
        </w:rPr>
        <w:t xml:space="preserve"> </w:t>
      </w:r>
      <w:r w:rsidR="00573702" w:rsidRPr="00CA7BFE">
        <w:rPr>
          <w:rFonts w:cs="Times New Roman"/>
          <w:szCs w:val="24"/>
        </w:rPr>
        <w:t>apply to financial years starting on or after 1</w:t>
      </w:r>
      <w:r w:rsidR="00F27381" w:rsidRPr="00CA7BFE">
        <w:rPr>
          <w:rFonts w:cs="Times New Roman"/>
          <w:szCs w:val="24"/>
        </w:rPr>
        <w:t xml:space="preserve"> July 2019.</w:t>
      </w:r>
      <w:r w:rsidRPr="00CA7BFE">
        <w:rPr>
          <w:rFonts w:cs="Times New Roman"/>
          <w:szCs w:val="24"/>
        </w:rPr>
        <w:t xml:space="preserve"> </w:t>
      </w:r>
    </w:p>
    <w:p w14:paraId="2D8A0614" w14:textId="7811E907" w:rsidR="00573702" w:rsidRPr="00CA7BFE" w:rsidRDefault="00971607" w:rsidP="00333C0F">
      <w:pPr>
        <w:spacing w:before="120" w:after="120"/>
        <w:rPr>
          <w:rFonts w:cs="Times New Roman"/>
          <w:szCs w:val="24"/>
        </w:rPr>
      </w:pPr>
      <w:r w:rsidRPr="00CA7BFE">
        <w:rPr>
          <w:rFonts w:cs="Times New Roman"/>
          <w:szCs w:val="24"/>
        </w:rPr>
        <w:t>Section 11</w:t>
      </w:r>
      <w:r w:rsidR="00573702" w:rsidRPr="00CA7BFE">
        <w:rPr>
          <w:rFonts w:cs="Times New Roman"/>
          <w:szCs w:val="24"/>
        </w:rPr>
        <w:t xml:space="preserve"> applies to financial years starting on or after the commencement of that subsection.</w:t>
      </w:r>
    </w:p>
    <w:p w14:paraId="424E2E16" w14:textId="36446010" w:rsidR="00573702" w:rsidRPr="00CA7BFE" w:rsidRDefault="00573702" w:rsidP="00333C0F">
      <w:pPr>
        <w:spacing w:before="120" w:after="120"/>
        <w:rPr>
          <w:rFonts w:cs="Times New Roman"/>
          <w:szCs w:val="24"/>
        </w:rPr>
      </w:pPr>
      <w:r w:rsidRPr="00CA7BFE">
        <w:rPr>
          <w:rFonts w:cs="Times New Roman"/>
          <w:szCs w:val="24"/>
        </w:rPr>
        <w:t xml:space="preserve">Section </w:t>
      </w:r>
      <w:r w:rsidR="00971607" w:rsidRPr="00CA7BFE">
        <w:rPr>
          <w:rFonts w:cs="Times New Roman"/>
          <w:szCs w:val="24"/>
        </w:rPr>
        <w:t>14</w:t>
      </w:r>
      <w:r w:rsidRPr="00CA7BFE">
        <w:rPr>
          <w:rFonts w:cs="Times New Roman"/>
          <w:szCs w:val="24"/>
        </w:rPr>
        <w:t xml:space="preserve"> applies to advertising that occurs on or after 1 July 2019.</w:t>
      </w:r>
    </w:p>
    <w:p w14:paraId="6AD72273" w14:textId="6303E297" w:rsidR="00DE52BD" w:rsidRPr="00CA7BFE" w:rsidRDefault="00DE52BD" w:rsidP="00333C0F">
      <w:pPr>
        <w:spacing w:before="120" w:after="120"/>
        <w:rPr>
          <w:rFonts w:cs="Times New Roman"/>
          <w:szCs w:val="24"/>
        </w:rPr>
      </w:pPr>
      <w:r w:rsidRPr="00CA7BFE">
        <w:rPr>
          <w:rFonts w:cs="Times New Roman"/>
          <w:szCs w:val="24"/>
        </w:rPr>
        <w:t xml:space="preserve">Subsection </w:t>
      </w:r>
      <w:r w:rsidR="00971607" w:rsidRPr="00CA7BFE">
        <w:rPr>
          <w:rFonts w:cs="Times New Roman"/>
          <w:szCs w:val="24"/>
        </w:rPr>
        <w:t>17</w:t>
      </w:r>
      <w:r w:rsidRPr="00CA7BFE">
        <w:rPr>
          <w:rFonts w:cs="Times New Roman"/>
          <w:szCs w:val="24"/>
        </w:rPr>
        <w:t xml:space="preserve">(1) and paragraph </w:t>
      </w:r>
      <w:r w:rsidR="00971607" w:rsidRPr="00CA7BFE">
        <w:rPr>
          <w:rFonts w:cs="Times New Roman"/>
          <w:szCs w:val="24"/>
        </w:rPr>
        <w:t>17</w:t>
      </w:r>
      <w:r w:rsidRPr="00CA7BFE">
        <w:rPr>
          <w:rFonts w:cs="Times New Roman"/>
          <w:szCs w:val="24"/>
        </w:rPr>
        <w:t>(2)(b)</w:t>
      </w:r>
      <w:r w:rsidR="006C5986" w:rsidRPr="00CA7BFE">
        <w:rPr>
          <w:rFonts w:cs="Times New Roman"/>
          <w:szCs w:val="24"/>
        </w:rPr>
        <w:t xml:space="preserve"> </w:t>
      </w:r>
      <w:r w:rsidRPr="00CA7BFE">
        <w:rPr>
          <w:rFonts w:cs="Times New Roman"/>
          <w:szCs w:val="24"/>
        </w:rPr>
        <w:t xml:space="preserve">do not apply in relation to a determination made on or before </w:t>
      </w:r>
      <w:r w:rsidR="006C5986" w:rsidRPr="00CA7BFE">
        <w:rPr>
          <w:rFonts w:cs="Times New Roman"/>
          <w:szCs w:val="24"/>
        </w:rPr>
        <w:t>30 June</w:t>
      </w:r>
      <w:r w:rsidRPr="00CA7BFE">
        <w:rPr>
          <w:rFonts w:cs="Times New Roman"/>
          <w:szCs w:val="24"/>
        </w:rPr>
        <w:t xml:space="preserve"> 2019</w:t>
      </w:r>
      <w:r w:rsidR="004B2628" w:rsidRPr="00CA7BFE">
        <w:rPr>
          <w:rFonts w:cs="Times New Roman"/>
          <w:szCs w:val="24"/>
        </w:rPr>
        <w:t xml:space="preserve"> (that is, to the AER’s first determination)</w:t>
      </w:r>
      <w:r w:rsidR="00E36C2F" w:rsidRPr="00CA7BFE">
        <w:rPr>
          <w:rFonts w:cs="Times New Roman"/>
          <w:szCs w:val="24"/>
        </w:rPr>
        <w:t xml:space="preserve">, and paragraph </w:t>
      </w:r>
      <w:r w:rsidR="00971607" w:rsidRPr="00CA7BFE">
        <w:rPr>
          <w:rFonts w:cs="Times New Roman"/>
          <w:szCs w:val="24"/>
        </w:rPr>
        <w:t>17</w:t>
      </w:r>
      <w:r w:rsidR="00E36C2F" w:rsidRPr="00CA7BFE">
        <w:rPr>
          <w:rFonts w:cs="Times New Roman"/>
          <w:szCs w:val="24"/>
        </w:rPr>
        <w:t>(2)(c) applies to that determination as if the reference in that paragraph to 1 May were a reference to 30 June 2019</w:t>
      </w:r>
      <w:r w:rsidRPr="00CA7BFE">
        <w:rPr>
          <w:rFonts w:cs="Times New Roman"/>
          <w:szCs w:val="24"/>
        </w:rPr>
        <w:t>.</w:t>
      </w:r>
      <w:r w:rsidR="004B2628" w:rsidRPr="00CA7BFE">
        <w:rPr>
          <w:rFonts w:cs="Times New Roman"/>
          <w:szCs w:val="24"/>
        </w:rPr>
        <w:t xml:space="preserve"> This is </w:t>
      </w:r>
      <w:r w:rsidR="00E36C2F" w:rsidRPr="00CA7BFE">
        <w:rPr>
          <w:rFonts w:cs="Times New Roman"/>
          <w:szCs w:val="24"/>
        </w:rPr>
        <w:t xml:space="preserve">to address </w:t>
      </w:r>
      <w:r w:rsidR="004B2628" w:rsidRPr="00CA7BFE">
        <w:rPr>
          <w:rFonts w:cs="Times New Roman"/>
          <w:szCs w:val="24"/>
        </w:rPr>
        <w:t xml:space="preserve">the </w:t>
      </w:r>
      <w:r w:rsidR="00563BA8" w:rsidRPr="00CA7BFE">
        <w:rPr>
          <w:rFonts w:cs="Times New Roman"/>
          <w:szCs w:val="24"/>
        </w:rPr>
        <w:t>fact that the AER</w:t>
      </w:r>
      <w:r w:rsidR="004C573D" w:rsidRPr="00CA7BFE">
        <w:rPr>
          <w:rFonts w:cs="Times New Roman"/>
          <w:szCs w:val="24"/>
        </w:rPr>
        <w:t xml:space="preserve"> issued a draft of its first determination </w:t>
      </w:r>
      <w:r w:rsidR="00563BA8" w:rsidRPr="00CA7BFE">
        <w:rPr>
          <w:rFonts w:cs="Times New Roman"/>
          <w:szCs w:val="24"/>
        </w:rPr>
        <w:t xml:space="preserve">on 15 March 2018, </w:t>
      </w:r>
      <w:r w:rsidR="004B2628" w:rsidRPr="00CA7BFE">
        <w:rPr>
          <w:rFonts w:cs="Times New Roman"/>
          <w:szCs w:val="24"/>
        </w:rPr>
        <w:t>before the Regulations were made</w:t>
      </w:r>
      <w:r w:rsidR="004C573D" w:rsidRPr="00CA7BFE">
        <w:rPr>
          <w:rFonts w:cs="Times New Roman"/>
          <w:szCs w:val="24"/>
        </w:rPr>
        <w:t>, and invited stakeholders to submit written responses by 25 March 2019 (that is, within a two week, rather than a three week period)</w:t>
      </w:r>
      <w:r w:rsidR="004B2628" w:rsidRPr="00CA7BFE">
        <w:rPr>
          <w:rFonts w:cs="Times New Roman"/>
          <w:szCs w:val="24"/>
        </w:rPr>
        <w:t xml:space="preserve">. </w:t>
      </w:r>
      <w:r w:rsidR="004C573D" w:rsidRPr="00CA7BFE">
        <w:rPr>
          <w:rFonts w:cs="Times New Roman"/>
          <w:szCs w:val="24"/>
        </w:rPr>
        <w:t>Despite this, t</w:t>
      </w:r>
      <w:r w:rsidR="00563BA8" w:rsidRPr="00CA7BFE">
        <w:rPr>
          <w:rFonts w:cs="Times New Roman"/>
          <w:szCs w:val="24"/>
        </w:rPr>
        <w:t>he</w:t>
      </w:r>
      <w:r w:rsidR="004B2628" w:rsidRPr="00CA7BFE">
        <w:rPr>
          <w:rFonts w:cs="Times New Roman"/>
          <w:szCs w:val="24"/>
        </w:rPr>
        <w:t xml:space="preserve"> AER undertook extensive consultation about its first determination. </w:t>
      </w:r>
      <w:r w:rsidR="004C573D" w:rsidRPr="00CA7BFE">
        <w:rPr>
          <w:rFonts w:cs="Times New Roman"/>
          <w:szCs w:val="24"/>
        </w:rPr>
        <w:t>In addition to the formal period of consultation on the draft determination, i</w:t>
      </w:r>
      <w:r w:rsidR="004B2628" w:rsidRPr="00CA7BFE">
        <w:rPr>
          <w:rFonts w:cs="Times New Roman"/>
          <w:szCs w:val="24"/>
        </w:rPr>
        <w:t>t released a position paper on 9</w:t>
      </w:r>
      <w:r w:rsidR="00563BA8" w:rsidRPr="00CA7BFE">
        <w:rPr>
          <w:rFonts w:cs="Times New Roman"/>
          <w:szCs w:val="24"/>
        </w:rPr>
        <w:t> </w:t>
      </w:r>
      <w:r w:rsidR="004B2628" w:rsidRPr="00CA7BFE">
        <w:rPr>
          <w:rFonts w:cs="Times New Roman"/>
          <w:szCs w:val="24"/>
        </w:rPr>
        <w:t>November 2018, invited stakeholders to submit written responses by 7</w:t>
      </w:r>
      <w:r w:rsidR="004C573D" w:rsidRPr="00CA7BFE">
        <w:rPr>
          <w:rFonts w:cs="Times New Roman"/>
          <w:szCs w:val="24"/>
        </w:rPr>
        <w:t> </w:t>
      </w:r>
      <w:r w:rsidR="004B2628" w:rsidRPr="00CA7BFE">
        <w:rPr>
          <w:rFonts w:cs="Times New Roman"/>
          <w:szCs w:val="24"/>
        </w:rPr>
        <w:t>December 2018</w:t>
      </w:r>
      <w:r w:rsidR="006B1F9C" w:rsidRPr="00CA7BFE">
        <w:rPr>
          <w:rFonts w:cs="Times New Roman"/>
          <w:szCs w:val="24"/>
        </w:rPr>
        <w:t xml:space="preserve"> and </w:t>
      </w:r>
      <w:r w:rsidR="004B2628" w:rsidRPr="00CA7BFE">
        <w:rPr>
          <w:rFonts w:cs="Times New Roman"/>
          <w:szCs w:val="24"/>
        </w:rPr>
        <w:t>held a public forum in Sydney on 5 December 2018</w:t>
      </w:r>
      <w:r w:rsidR="004C573D" w:rsidRPr="00CA7BFE">
        <w:rPr>
          <w:rFonts w:cs="Times New Roman"/>
          <w:szCs w:val="24"/>
        </w:rPr>
        <w:t>.</w:t>
      </w:r>
    </w:p>
    <w:p w14:paraId="4FB1C455" w14:textId="2407F70F" w:rsidR="000915E6" w:rsidRPr="00CA7BFE" w:rsidRDefault="000915E6" w:rsidP="000915E6">
      <w:pPr>
        <w:pStyle w:val="Heading2"/>
      </w:pPr>
      <w:r w:rsidRPr="00CA7BFE">
        <w:t xml:space="preserve">Section </w:t>
      </w:r>
      <w:r w:rsidR="00971607" w:rsidRPr="00CA7BFE">
        <w:t>20</w:t>
      </w:r>
      <w:r w:rsidR="001B12F5" w:rsidRPr="00CA7BFE">
        <w:t xml:space="preserve"> </w:t>
      </w:r>
      <w:r w:rsidRPr="00CA7BFE">
        <w:t>– No acquisition of property otherwise than on just terms</w:t>
      </w:r>
    </w:p>
    <w:p w14:paraId="71C5DD4C" w14:textId="05024DF2" w:rsidR="000915E6" w:rsidRPr="00CA7BFE" w:rsidRDefault="000915E6" w:rsidP="000915E6">
      <w:pPr>
        <w:spacing w:before="120" w:after="120"/>
      </w:pPr>
      <w:r w:rsidRPr="00CA7BFE">
        <w:t xml:space="preserve">This section </w:t>
      </w:r>
      <w:r w:rsidR="00F76D1C" w:rsidRPr="00CA7BFE">
        <w:t xml:space="preserve">provides that </w:t>
      </w:r>
      <w:r w:rsidR="001B12F5" w:rsidRPr="00CA7BFE">
        <w:t xml:space="preserve">section 10 (caps on standing offer prices) </w:t>
      </w:r>
      <w:r w:rsidR="00780C57" w:rsidRPr="00CA7BFE">
        <w:t>does</w:t>
      </w:r>
      <w:r w:rsidR="00F76D1C" w:rsidRPr="00CA7BFE">
        <w:t xml:space="preserve"> not apply if </w:t>
      </w:r>
      <w:r w:rsidR="00780C57" w:rsidRPr="00CA7BFE">
        <w:t xml:space="preserve">its </w:t>
      </w:r>
      <w:r w:rsidR="00F76D1C" w:rsidRPr="00CA7BFE">
        <w:t>application would result in an acquisition of property otherwise than on just terms (within the meaning of section </w:t>
      </w:r>
      <w:r w:rsidRPr="00CA7BFE">
        <w:t>51(xxxi) of the Constitution</w:t>
      </w:r>
      <w:r w:rsidR="00F76D1C" w:rsidRPr="00CA7BFE">
        <w:t>)</w:t>
      </w:r>
      <w:r w:rsidRPr="00CA7BFE">
        <w:t>.</w:t>
      </w:r>
    </w:p>
    <w:p w14:paraId="4F93D78F" w14:textId="61A75B2B" w:rsidR="00167B38" w:rsidRPr="00CA7BFE" w:rsidRDefault="00167B38" w:rsidP="000103CE">
      <w:pPr>
        <w:spacing w:before="120" w:after="120"/>
        <w:rPr>
          <w:rFonts w:cs="Times New Roman"/>
          <w:b/>
          <w:sz w:val="28"/>
          <w:szCs w:val="28"/>
        </w:rPr>
      </w:pPr>
      <w:r w:rsidRPr="00CA7BFE">
        <w:rPr>
          <w:rFonts w:cs="Times New Roman"/>
          <w:b/>
          <w:sz w:val="28"/>
          <w:szCs w:val="28"/>
        </w:rPr>
        <w:br w:type="page"/>
      </w:r>
    </w:p>
    <w:p w14:paraId="3C42EF68" w14:textId="4EB635E5" w:rsidR="000D246D" w:rsidRDefault="000E37FB" w:rsidP="00B23688">
      <w:pPr>
        <w:pStyle w:val="Heading1"/>
        <w:jc w:val="right"/>
      </w:pPr>
      <w:r>
        <w:t>Attachment A</w:t>
      </w:r>
    </w:p>
    <w:p w14:paraId="4651E475" w14:textId="77777777" w:rsidR="000E37FB" w:rsidRPr="000E37FB" w:rsidRDefault="000E37FB" w:rsidP="00B23688"/>
    <w:p w14:paraId="4F93D791" w14:textId="77777777" w:rsidR="00547F8D" w:rsidRPr="00CA7BFE" w:rsidRDefault="00547F8D" w:rsidP="00503E08">
      <w:pPr>
        <w:pStyle w:val="Title"/>
      </w:pPr>
      <w:r w:rsidRPr="00CA7BFE">
        <w:t>Statement of Compatibility with Human Rights</w:t>
      </w:r>
    </w:p>
    <w:p w14:paraId="4F93D792" w14:textId="77777777" w:rsidR="00547F8D" w:rsidRPr="00CA7BFE" w:rsidRDefault="00547F8D" w:rsidP="00503E08">
      <w:pPr>
        <w:pStyle w:val="Subtitle"/>
      </w:pPr>
      <w:r w:rsidRPr="00CA7BFE">
        <w:t>Prepared in accordance with Part 3 of the Human Rights (Parliamentary Scrutiny) Act 2011</w:t>
      </w:r>
    </w:p>
    <w:p w14:paraId="4F93D793" w14:textId="2267E5FD" w:rsidR="00547F8D" w:rsidRPr="00CA7BFE" w:rsidRDefault="001D2EB8" w:rsidP="001D2EB8">
      <w:pPr>
        <w:pStyle w:val="Subtitle"/>
      </w:pPr>
      <w:r w:rsidRPr="00CA7BFE">
        <w:t>Competition and Consumer (Industry Code - Electricity Retail) Regulations</w:t>
      </w:r>
      <w:r w:rsidR="00E255FA" w:rsidRPr="00CA7BFE">
        <w:t xml:space="preserve"> </w:t>
      </w:r>
      <w:r w:rsidR="00346AEC" w:rsidRPr="00CA7BFE">
        <w:t>2019</w:t>
      </w:r>
    </w:p>
    <w:p w14:paraId="4F93D794" w14:textId="5A73AEAC" w:rsidR="00547F8D" w:rsidRPr="00CA7BFE" w:rsidRDefault="00780C57" w:rsidP="00516CB1">
      <w:pPr>
        <w:spacing w:before="240" w:after="240"/>
        <w:jc w:val="center"/>
        <w:rPr>
          <w:rFonts w:cs="Times New Roman"/>
          <w:szCs w:val="24"/>
        </w:rPr>
      </w:pPr>
      <w:r w:rsidRPr="00CA7BFE">
        <w:rPr>
          <w:rFonts w:cs="Times New Roman"/>
          <w:szCs w:val="24"/>
        </w:rPr>
        <w:t>The Regulations are</w:t>
      </w:r>
      <w:r w:rsidR="00547F8D" w:rsidRPr="00CA7BFE">
        <w:rPr>
          <w:rFonts w:cs="Times New Roman"/>
          <w:szCs w:val="24"/>
        </w:rPr>
        <w:t xml:space="preserve"> compatible with the human rights and freedoms recognised or declared in the international instruments listed in section 3 of the </w:t>
      </w:r>
      <w:r w:rsidR="00547F8D" w:rsidRPr="00CA7BFE">
        <w:rPr>
          <w:rFonts w:cs="Times New Roman"/>
          <w:i/>
          <w:szCs w:val="24"/>
        </w:rPr>
        <w:t>Human Rights (Parliamentary Scrutiny) Act 2011</w:t>
      </w:r>
      <w:r w:rsidR="00547F8D" w:rsidRPr="00CA7BFE">
        <w:rPr>
          <w:rFonts w:cs="Times New Roman"/>
          <w:szCs w:val="24"/>
        </w:rPr>
        <w:t>.</w:t>
      </w:r>
    </w:p>
    <w:p w14:paraId="4F93D795" w14:textId="77777777" w:rsidR="00547F8D" w:rsidRPr="00CA7BFE" w:rsidRDefault="00547F8D" w:rsidP="00E55B44">
      <w:pPr>
        <w:pStyle w:val="Heading1"/>
      </w:pPr>
      <w:r w:rsidRPr="00CA7BFE">
        <w:t xml:space="preserve">Overview of the </w:t>
      </w:r>
      <w:r w:rsidR="00503E08" w:rsidRPr="00CA7BFE">
        <w:t>l</w:t>
      </w:r>
      <w:r w:rsidRPr="00CA7BFE">
        <w:t xml:space="preserve">egislative </w:t>
      </w:r>
      <w:r w:rsidR="00503E08" w:rsidRPr="00CA7BFE">
        <w:t>i</w:t>
      </w:r>
      <w:r w:rsidRPr="00CA7BFE">
        <w:t>nstrument</w:t>
      </w:r>
    </w:p>
    <w:p w14:paraId="7DD1DDE7" w14:textId="463A2F5E" w:rsidR="00365C50" w:rsidRDefault="00365C50" w:rsidP="00365C50">
      <w:pPr>
        <w:autoSpaceDE w:val="0"/>
        <w:autoSpaceDN w:val="0"/>
      </w:pPr>
      <w:r w:rsidRPr="00CA7BFE">
        <w:t xml:space="preserve">The </w:t>
      </w:r>
      <w:r w:rsidRPr="00CA7BFE">
        <w:rPr>
          <w:i/>
          <w:szCs w:val="24"/>
        </w:rPr>
        <w:t xml:space="preserve">Competition and Consumer (Industry Code - </w:t>
      </w:r>
      <w:r w:rsidRPr="00CA7BFE">
        <w:rPr>
          <w:i/>
        </w:rPr>
        <w:t xml:space="preserve">Electricity Retail) Regulations </w:t>
      </w:r>
      <w:r w:rsidR="00346AEC" w:rsidRPr="00CA7BFE">
        <w:rPr>
          <w:i/>
        </w:rPr>
        <w:t>2019</w:t>
      </w:r>
      <w:r w:rsidR="00346AEC" w:rsidRPr="00CA7BFE">
        <w:t xml:space="preserve"> </w:t>
      </w:r>
      <w:r w:rsidRPr="00CA7BFE">
        <w:t>(the Regulations) prescribe a mandatory indu</w:t>
      </w:r>
      <w:r>
        <w:t xml:space="preserve">stry code for the purposes of Part IVB of the </w:t>
      </w:r>
      <w:r w:rsidR="00516CB1">
        <w:rPr>
          <w:i/>
        </w:rPr>
        <w:t>Competition and Consumer Act 2010</w:t>
      </w:r>
      <w:r>
        <w:t xml:space="preserve">. </w:t>
      </w:r>
      <w:r w:rsidR="00780C57">
        <w:t>Under the code, standing offer prices for electricity supplied to small customers (residential customers and small business customers) must not exceed a price determined by the Australian Energy Regulator (AER), small customers must be told how a retailer’s prices compare with the AER-determined price</w:t>
      </w:r>
      <w:r w:rsidR="00516CB1">
        <w:t>,</w:t>
      </w:r>
      <w:r w:rsidR="00780C57">
        <w:t xml:space="preserve"> </w:t>
      </w:r>
      <w:r w:rsidR="00516CB1">
        <w:t>headline discounts in advertising material must not be conditional and any conditions that are attached to any non-</w:t>
      </w:r>
      <w:r w:rsidR="00516CB1" w:rsidRPr="003C02B4">
        <w:t>headline discount</w:t>
      </w:r>
      <w:r w:rsidR="00516CB1">
        <w:t>s</w:t>
      </w:r>
      <w:r w:rsidR="00516CB1" w:rsidRPr="003C02B4">
        <w:t xml:space="preserve"> must be </w:t>
      </w:r>
      <w:r w:rsidR="00516CB1">
        <w:t>prominently displayed.</w:t>
      </w:r>
    </w:p>
    <w:p w14:paraId="4F93D797" w14:textId="4203CD0B" w:rsidR="007A0926" w:rsidRPr="00547F8D" w:rsidRDefault="00365C50" w:rsidP="00365C50">
      <w:pPr>
        <w:spacing w:before="120" w:after="120"/>
        <w:rPr>
          <w:rFonts w:cs="Times New Roman"/>
          <w:szCs w:val="24"/>
        </w:rPr>
      </w:pPr>
      <w:r w:rsidRPr="009F1D27">
        <w:t xml:space="preserve">The Regulations also confer </w:t>
      </w:r>
      <w:r w:rsidR="00780C57">
        <w:t xml:space="preserve">associated price setting </w:t>
      </w:r>
      <w:r w:rsidRPr="009F1D27">
        <w:t xml:space="preserve">functions on the </w:t>
      </w:r>
      <w:r w:rsidR="00780C57">
        <w:t>AER</w:t>
      </w:r>
      <w:r w:rsidRPr="009F1D27">
        <w:t xml:space="preserve">. </w:t>
      </w:r>
    </w:p>
    <w:p w14:paraId="4F93D798" w14:textId="77777777" w:rsidR="00547F8D" w:rsidRPr="00547F8D" w:rsidRDefault="00547F8D" w:rsidP="00E55B44">
      <w:pPr>
        <w:pStyle w:val="Heading1"/>
      </w:pPr>
      <w:r w:rsidRPr="00547F8D">
        <w:t>Human rights implications</w:t>
      </w:r>
    </w:p>
    <w:p w14:paraId="4F93D79A" w14:textId="6F1295DD" w:rsidR="00B569AC" w:rsidRDefault="00780C57" w:rsidP="00547F8D">
      <w:pPr>
        <w:spacing w:before="120" w:after="120"/>
        <w:rPr>
          <w:rFonts w:cs="Times New Roman"/>
          <w:szCs w:val="24"/>
        </w:rPr>
      </w:pPr>
      <w:r>
        <w:rPr>
          <w:rFonts w:cs="Times New Roman"/>
          <w:szCs w:val="24"/>
        </w:rPr>
        <w:t>The Regulations</w:t>
      </w:r>
      <w:r w:rsidR="00882263" w:rsidRPr="00547F8D">
        <w:rPr>
          <w:rFonts w:cs="Times New Roman"/>
          <w:szCs w:val="24"/>
        </w:rPr>
        <w:t xml:space="preserve"> </w:t>
      </w:r>
      <w:r w:rsidR="00A17758">
        <w:rPr>
          <w:rFonts w:cs="Times New Roman"/>
          <w:szCs w:val="24"/>
        </w:rPr>
        <w:t xml:space="preserve">regulate business conduct, and </w:t>
      </w:r>
      <w:r w:rsidR="00547F8D" w:rsidRPr="00547F8D">
        <w:rPr>
          <w:rFonts w:cs="Times New Roman"/>
          <w:szCs w:val="24"/>
        </w:rPr>
        <w:t xml:space="preserve">do </w:t>
      </w:r>
      <w:r w:rsidR="00A65FC0">
        <w:rPr>
          <w:rFonts w:cs="Times New Roman"/>
          <w:szCs w:val="24"/>
        </w:rPr>
        <w:t xml:space="preserve">not </w:t>
      </w:r>
      <w:r w:rsidR="00547F8D" w:rsidRPr="00547F8D">
        <w:rPr>
          <w:rFonts w:cs="Times New Roman"/>
          <w:szCs w:val="24"/>
        </w:rPr>
        <w:t>engage any of the applicable rights or freedoms.</w:t>
      </w:r>
      <w:r w:rsidR="00B569AC">
        <w:rPr>
          <w:rFonts w:cs="Times New Roman"/>
          <w:szCs w:val="24"/>
        </w:rPr>
        <w:t xml:space="preserve"> </w:t>
      </w:r>
    </w:p>
    <w:p w14:paraId="4F93D7A0" w14:textId="77777777" w:rsidR="00547F8D" w:rsidRPr="00547F8D" w:rsidRDefault="00547F8D" w:rsidP="00E55B44">
      <w:pPr>
        <w:pStyle w:val="Heading1"/>
      </w:pPr>
      <w:r w:rsidRPr="00547F8D">
        <w:t>Conclusion</w:t>
      </w:r>
    </w:p>
    <w:p w14:paraId="4F93D7A2" w14:textId="53BE861F" w:rsidR="00547F8D" w:rsidRDefault="00780C57" w:rsidP="00547F8D">
      <w:pPr>
        <w:spacing w:before="120" w:after="120"/>
        <w:rPr>
          <w:rFonts w:cs="Times New Roman"/>
          <w:szCs w:val="24"/>
        </w:rPr>
      </w:pPr>
      <w:r>
        <w:rPr>
          <w:rFonts w:cs="Times New Roman"/>
          <w:szCs w:val="24"/>
        </w:rPr>
        <w:t>The Regulations are</w:t>
      </w:r>
      <w:r w:rsidR="00547F8D" w:rsidRPr="00547F8D">
        <w:rPr>
          <w:rFonts w:cs="Times New Roman"/>
          <w:szCs w:val="24"/>
        </w:rPr>
        <w:t xml:space="preserve"> compatible with human rights as </w:t>
      </w:r>
      <w:r>
        <w:rPr>
          <w:rFonts w:cs="Times New Roman"/>
          <w:szCs w:val="24"/>
        </w:rPr>
        <w:t>they</w:t>
      </w:r>
      <w:r w:rsidRPr="00547F8D">
        <w:rPr>
          <w:rFonts w:cs="Times New Roman"/>
          <w:szCs w:val="24"/>
        </w:rPr>
        <w:t xml:space="preserve"> </w:t>
      </w:r>
      <w:r w:rsidR="00547F8D" w:rsidRPr="00547F8D">
        <w:rPr>
          <w:rFonts w:cs="Times New Roman"/>
          <w:szCs w:val="24"/>
        </w:rPr>
        <w:t>do not raise any human rights issues.</w:t>
      </w:r>
    </w:p>
    <w:p w14:paraId="55918505" w14:textId="77777777" w:rsidR="00EA4BEE" w:rsidRDefault="00EA4BEE" w:rsidP="00547F8D">
      <w:pPr>
        <w:spacing w:before="120" w:after="120"/>
        <w:rPr>
          <w:rFonts w:cs="Times New Roman"/>
          <w:szCs w:val="24"/>
        </w:rPr>
      </w:pPr>
    </w:p>
    <w:p w14:paraId="215F5309" w14:textId="77777777" w:rsidR="000E37FB" w:rsidRDefault="000E37FB" w:rsidP="00547F8D">
      <w:pPr>
        <w:spacing w:before="120" w:after="120"/>
        <w:rPr>
          <w:rFonts w:cs="Times New Roman"/>
          <w:szCs w:val="24"/>
        </w:rPr>
      </w:pPr>
    </w:p>
    <w:p w14:paraId="0B49BD17" w14:textId="77777777" w:rsidR="000E37FB" w:rsidRDefault="000E37FB">
      <w:pPr>
        <w:rPr>
          <w:rFonts w:cs="Times New Roman"/>
          <w:szCs w:val="24"/>
        </w:rPr>
      </w:pPr>
      <w:r>
        <w:rPr>
          <w:rFonts w:cs="Times New Roman"/>
          <w:szCs w:val="24"/>
        </w:rPr>
        <w:br w:type="page"/>
      </w:r>
    </w:p>
    <w:p w14:paraId="3F3E606B" w14:textId="601E5C20" w:rsidR="000E37FB" w:rsidRDefault="000E37FB" w:rsidP="00B23688">
      <w:pPr>
        <w:pStyle w:val="Heading1"/>
        <w:jc w:val="right"/>
      </w:pPr>
      <w:r>
        <w:t>Attachment B</w:t>
      </w:r>
    </w:p>
    <w:p w14:paraId="316739BA" w14:textId="543377FC" w:rsidR="000E37FB" w:rsidRPr="000E37FB" w:rsidRDefault="000E37FB" w:rsidP="00B23688">
      <w:pPr>
        <w:pStyle w:val="Title"/>
      </w:pPr>
      <w:r>
        <w:t>Regulation Impact Statement</w:t>
      </w:r>
    </w:p>
    <w:sectPr w:rsidR="000E37FB" w:rsidRPr="000E37F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98B0" w14:textId="77777777" w:rsidR="0061748A" w:rsidRDefault="0061748A" w:rsidP="007456A2">
      <w:pPr>
        <w:spacing w:after="0" w:line="240" w:lineRule="auto"/>
      </w:pPr>
      <w:r>
        <w:separator/>
      </w:r>
    </w:p>
  </w:endnote>
  <w:endnote w:type="continuationSeparator" w:id="0">
    <w:p w14:paraId="157AADDD" w14:textId="77777777" w:rsidR="0061748A" w:rsidRDefault="0061748A" w:rsidP="007456A2">
      <w:pPr>
        <w:spacing w:after="0" w:line="240" w:lineRule="auto"/>
      </w:pPr>
      <w:r>
        <w:continuationSeparator/>
      </w:r>
    </w:p>
  </w:endnote>
  <w:endnote w:type="continuationNotice" w:id="1">
    <w:p w14:paraId="4C3B715A" w14:textId="77777777" w:rsidR="0061748A" w:rsidRDefault="00617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91240"/>
      <w:docPartObj>
        <w:docPartGallery w:val="Page Numbers (Bottom of Page)"/>
        <w:docPartUnique/>
      </w:docPartObj>
    </w:sdtPr>
    <w:sdtEndPr>
      <w:rPr>
        <w:noProof/>
      </w:rPr>
    </w:sdtEndPr>
    <w:sdtContent>
      <w:p w14:paraId="21BBB8D9" w14:textId="0EF9F6E1" w:rsidR="0061748A" w:rsidRDefault="0061748A">
        <w:pPr>
          <w:pStyle w:val="Footer"/>
          <w:jc w:val="right"/>
        </w:pPr>
        <w:r>
          <w:fldChar w:fldCharType="begin"/>
        </w:r>
        <w:r>
          <w:instrText xml:space="preserve"> PAGE   \* MERGEFORMAT </w:instrText>
        </w:r>
        <w:r>
          <w:fldChar w:fldCharType="separate"/>
        </w:r>
        <w:r w:rsidR="00A753DB">
          <w:rPr>
            <w:noProof/>
          </w:rPr>
          <w:t>15</w:t>
        </w:r>
        <w:r>
          <w:rPr>
            <w:noProof/>
          </w:rPr>
          <w:fldChar w:fldCharType="end"/>
        </w:r>
      </w:p>
    </w:sdtContent>
  </w:sdt>
  <w:p w14:paraId="3B4CA6D9" w14:textId="77777777" w:rsidR="0061748A" w:rsidRDefault="0061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62B2E" w14:textId="77777777" w:rsidR="0061748A" w:rsidRDefault="0061748A" w:rsidP="007456A2">
      <w:pPr>
        <w:spacing w:after="0" w:line="240" w:lineRule="auto"/>
      </w:pPr>
      <w:r>
        <w:separator/>
      </w:r>
    </w:p>
  </w:footnote>
  <w:footnote w:type="continuationSeparator" w:id="0">
    <w:p w14:paraId="7D94A2F3" w14:textId="77777777" w:rsidR="0061748A" w:rsidRDefault="0061748A" w:rsidP="007456A2">
      <w:pPr>
        <w:spacing w:after="0" w:line="240" w:lineRule="auto"/>
      </w:pPr>
      <w:r>
        <w:continuationSeparator/>
      </w:r>
    </w:p>
  </w:footnote>
  <w:footnote w:type="continuationNotice" w:id="1">
    <w:p w14:paraId="01D49A33" w14:textId="77777777" w:rsidR="0061748A" w:rsidRDefault="0061748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4B0C12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DCAA9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076D4C"/>
    <w:multiLevelType w:val="hybridMultilevel"/>
    <w:tmpl w:val="084C87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11724"/>
    <w:multiLevelType w:val="hybridMultilevel"/>
    <w:tmpl w:val="CF4AEC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071F29"/>
    <w:multiLevelType w:val="hybridMultilevel"/>
    <w:tmpl w:val="CF4AEC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283DA6"/>
    <w:multiLevelType w:val="hybridMultilevel"/>
    <w:tmpl w:val="D8FE0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7" w15:restartNumberingAfterBreak="0">
    <w:nsid w:val="43A83F0C"/>
    <w:multiLevelType w:val="hybridMultilevel"/>
    <w:tmpl w:val="4A868D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460542"/>
    <w:multiLevelType w:val="hybridMultilevel"/>
    <w:tmpl w:val="E8EA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877B3D"/>
    <w:multiLevelType w:val="hybridMultilevel"/>
    <w:tmpl w:val="5C6ACB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2A455B"/>
    <w:multiLevelType w:val="hybridMultilevel"/>
    <w:tmpl w:val="D8FE0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030604"/>
    <w:multiLevelType w:val="hybridMultilevel"/>
    <w:tmpl w:val="084C87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5B7A7A"/>
    <w:multiLevelType w:val="hybridMultilevel"/>
    <w:tmpl w:val="DD244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611B77"/>
    <w:multiLevelType w:val="hybridMultilevel"/>
    <w:tmpl w:val="BF70C722"/>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num w:numId="1">
    <w:abstractNumId w:val="1"/>
  </w:num>
  <w:num w:numId="2">
    <w:abstractNumId w:val="12"/>
  </w:num>
  <w:num w:numId="3">
    <w:abstractNumId w:val="8"/>
  </w:num>
  <w:num w:numId="4">
    <w:abstractNumId w:val="11"/>
  </w:num>
  <w:num w:numId="5">
    <w:abstractNumId w:val="10"/>
  </w:num>
  <w:num w:numId="6">
    <w:abstractNumId w:val="9"/>
  </w:num>
  <w:num w:numId="7">
    <w:abstractNumId w:val="3"/>
  </w:num>
  <w:num w:numId="8">
    <w:abstractNumId w:val="0"/>
  </w:num>
  <w:num w:numId="9">
    <w:abstractNumId w:val="13"/>
  </w:num>
  <w:num w:numId="10">
    <w:abstractNumId w:val="5"/>
  </w:num>
  <w:num w:numId="11">
    <w:abstractNumId w:val="6"/>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BD"/>
    <w:rsid w:val="000001C7"/>
    <w:rsid w:val="00003F2D"/>
    <w:rsid w:val="00004021"/>
    <w:rsid w:val="000103CE"/>
    <w:rsid w:val="000177DE"/>
    <w:rsid w:val="000246B0"/>
    <w:rsid w:val="00030169"/>
    <w:rsid w:val="00036255"/>
    <w:rsid w:val="000406A2"/>
    <w:rsid w:val="00040F9B"/>
    <w:rsid w:val="00043548"/>
    <w:rsid w:val="000515A4"/>
    <w:rsid w:val="000523B7"/>
    <w:rsid w:val="0005260B"/>
    <w:rsid w:val="000558F3"/>
    <w:rsid w:val="00067DAC"/>
    <w:rsid w:val="000702C6"/>
    <w:rsid w:val="000915E6"/>
    <w:rsid w:val="000961A0"/>
    <w:rsid w:val="000C0650"/>
    <w:rsid w:val="000D0E22"/>
    <w:rsid w:val="000D246D"/>
    <w:rsid w:val="000D5266"/>
    <w:rsid w:val="000D5E05"/>
    <w:rsid w:val="000E1548"/>
    <w:rsid w:val="000E37FB"/>
    <w:rsid w:val="0010333D"/>
    <w:rsid w:val="00125545"/>
    <w:rsid w:val="00132D39"/>
    <w:rsid w:val="0013767C"/>
    <w:rsid w:val="0014547D"/>
    <w:rsid w:val="00150D50"/>
    <w:rsid w:val="00167B38"/>
    <w:rsid w:val="00176597"/>
    <w:rsid w:val="00177DCF"/>
    <w:rsid w:val="00186707"/>
    <w:rsid w:val="0018737A"/>
    <w:rsid w:val="001877A9"/>
    <w:rsid w:val="001A255A"/>
    <w:rsid w:val="001A4116"/>
    <w:rsid w:val="001B06F6"/>
    <w:rsid w:val="001B12F5"/>
    <w:rsid w:val="001B67BD"/>
    <w:rsid w:val="001C7199"/>
    <w:rsid w:val="001D1D8C"/>
    <w:rsid w:val="001D2EB8"/>
    <w:rsid w:val="001D55EB"/>
    <w:rsid w:val="00217D74"/>
    <w:rsid w:val="00224E86"/>
    <w:rsid w:val="00227CB5"/>
    <w:rsid w:val="002510F5"/>
    <w:rsid w:val="0026116A"/>
    <w:rsid w:val="00275A5A"/>
    <w:rsid w:val="0027693B"/>
    <w:rsid w:val="002843B9"/>
    <w:rsid w:val="00290B85"/>
    <w:rsid w:val="002936CB"/>
    <w:rsid w:val="00294210"/>
    <w:rsid w:val="00294503"/>
    <w:rsid w:val="002A0818"/>
    <w:rsid w:val="002A36F6"/>
    <w:rsid w:val="002B37F3"/>
    <w:rsid w:val="002D25C2"/>
    <w:rsid w:val="002D43C6"/>
    <w:rsid w:val="002D5D09"/>
    <w:rsid w:val="002E3895"/>
    <w:rsid w:val="003025C9"/>
    <w:rsid w:val="003061EB"/>
    <w:rsid w:val="003139CD"/>
    <w:rsid w:val="0031585C"/>
    <w:rsid w:val="00327D76"/>
    <w:rsid w:val="00330F85"/>
    <w:rsid w:val="00333C0F"/>
    <w:rsid w:val="003423EF"/>
    <w:rsid w:val="00346AEC"/>
    <w:rsid w:val="0035080D"/>
    <w:rsid w:val="00365682"/>
    <w:rsid w:val="00365C50"/>
    <w:rsid w:val="00366EF0"/>
    <w:rsid w:val="00367CCD"/>
    <w:rsid w:val="00374739"/>
    <w:rsid w:val="0037688F"/>
    <w:rsid w:val="0038193B"/>
    <w:rsid w:val="00390FFF"/>
    <w:rsid w:val="00394940"/>
    <w:rsid w:val="00396965"/>
    <w:rsid w:val="00397799"/>
    <w:rsid w:val="003B65E6"/>
    <w:rsid w:val="003C02B4"/>
    <w:rsid w:val="003E6D0C"/>
    <w:rsid w:val="003F42A1"/>
    <w:rsid w:val="003F56FD"/>
    <w:rsid w:val="003F5BB8"/>
    <w:rsid w:val="003F750A"/>
    <w:rsid w:val="004041B3"/>
    <w:rsid w:val="00405B01"/>
    <w:rsid w:val="00414719"/>
    <w:rsid w:val="004353C5"/>
    <w:rsid w:val="004356C7"/>
    <w:rsid w:val="0044404D"/>
    <w:rsid w:val="00453042"/>
    <w:rsid w:val="004550E8"/>
    <w:rsid w:val="004648CC"/>
    <w:rsid w:val="0046573E"/>
    <w:rsid w:val="00471F9A"/>
    <w:rsid w:val="00490003"/>
    <w:rsid w:val="004914FE"/>
    <w:rsid w:val="00495B6D"/>
    <w:rsid w:val="004A494F"/>
    <w:rsid w:val="004B14D4"/>
    <w:rsid w:val="004B2628"/>
    <w:rsid w:val="004C2ACB"/>
    <w:rsid w:val="004C573D"/>
    <w:rsid w:val="004D4585"/>
    <w:rsid w:val="004E0E3B"/>
    <w:rsid w:val="004E1D3C"/>
    <w:rsid w:val="004E41B1"/>
    <w:rsid w:val="004E4216"/>
    <w:rsid w:val="004E6246"/>
    <w:rsid w:val="004E68C7"/>
    <w:rsid w:val="004F1203"/>
    <w:rsid w:val="004F1884"/>
    <w:rsid w:val="004F2C85"/>
    <w:rsid w:val="00503E08"/>
    <w:rsid w:val="00504687"/>
    <w:rsid w:val="005142C3"/>
    <w:rsid w:val="0051617D"/>
    <w:rsid w:val="00516CB1"/>
    <w:rsid w:val="0052090E"/>
    <w:rsid w:val="0052265E"/>
    <w:rsid w:val="00532A3F"/>
    <w:rsid w:val="00540757"/>
    <w:rsid w:val="00542669"/>
    <w:rsid w:val="005430B8"/>
    <w:rsid w:val="00547F8D"/>
    <w:rsid w:val="005547FA"/>
    <w:rsid w:val="00563BA8"/>
    <w:rsid w:val="00573702"/>
    <w:rsid w:val="00573AF7"/>
    <w:rsid w:val="00581B60"/>
    <w:rsid w:val="00582B8E"/>
    <w:rsid w:val="00582C14"/>
    <w:rsid w:val="005836CC"/>
    <w:rsid w:val="00593F42"/>
    <w:rsid w:val="005A77DF"/>
    <w:rsid w:val="005B42F7"/>
    <w:rsid w:val="005B6B21"/>
    <w:rsid w:val="005C67AB"/>
    <w:rsid w:val="005D7828"/>
    <w:rsid w:val="005E6C90"/>
    <w:rsid w:val="005F09F7"/>
    <w:rsid w:val="006107B2"/>
    <w:rsid w:val="00611317"/>
    <w:rsid w:val="0061748A"/>
    <w:rsid w:val="00627B9A"/>
    <w:rsid w:val="00635CEA"/>
    <w:rsid w:val="00642391"/>
    <w:rsid w:val="006472E0"/>
    <w:rsid w:val="00650CFD"/>
    <w:rsid w:val="00657B36"/>
    <w:rsid w:val="00661676"/>
    <w:rsid w:val="006745C3"/>
    <w:rsid w:val="00674FC1"/>
    <w:rsid w:val="0067773A"/>
    <w:rsid w:val="00677F99"/>
    <w:rsid w:val="006875D5"/>
    <w:rsid w:val="006A5F47"/>
    <w:rsid w:val="006B1F9C"/>
    <w:rsid w:val="006B2415"/>
    <w:rsid w:val="006B7845"/>
    <w:rsid w:val="006C509C"/>
    <w:rsid w:val="006C5986"/>
    <w:rsid w:val="006D0CB2"/>
    <w:rsid w:val="006E0B76"/>
    <w:rsid w:val="006F7D52"/>
    <w:rsid w:val="00703B8C"/>
    <w:rsid w:val="007151DB"/>
    <w:rsid w:val="007170F0"/>
    <w:rsid w:val="00717A6E"/>
    <w:rsid w:val="00722D0C"/>
    <w:rsid w:val="0072540E"/>
    <w:rsid w:val="00727908"/>
    <w:rsid w:val="007456A2"/>
    <w:rsid w:val="0075467E"/>
    <w:rsid w:val="00762669"/>
    <w:rsid w:val="007626F7"/>
    <w:rsid w:val="00774970"/>
    <w:rsid w:val="00776FDA"/>
    <w:rsid w:val="00780C57"/>
    <w:rsid w:val="00784D28"/>
    <w:rsid w:val="0078688A"/>
    <w:rsid w:val="007A0926"/>
    <w:rsid w:val="007A3D89"/>
    <w:rsid w:val="007B34C2"/>
    <w:rsid w:val="007B3C4B"/>
    <w:rsid w:val="007D26BD"/>
    <w:rsid w:val="007D63ED"/>
    <w:rsid w:val="007E4F8E"/>
    <w:rsid w:val="007E67A0"/>
    <w:rsid w:val="007E7311"/>
    <w:rsid w:val="00810F00"/>
    <w:rsid w:val="0083526C"/>
    <w:rsid w:val="008377EA"/>
    <w:rsid w:val="00841621"/>
    <w:rsid w:val="008448DA"/>
    <w:rsid w:val="00852DDC"/>
    <w:rsid w:val="00857F2D"/>
    <w:rsid w:val="0086430F"/>
    <w:rsid w:val="00866B9F"/>
    <w:rsid w:val="00867711"/>
    <w:rsid w:val="00867EAA"/>
    <w:rsid w:val="008728C6"/>
    <w:rsid w:val="00873C32"/>
    <w:rsid w:val="008760A0"/>
    <w:rsid w:val="0087628B"/>
    <w:rsid w:val="00882263"/>
    <w:rsid w:val="00884BB4"/>
    <w:rsid w:val="00894125"/>
    <w:rsid w:val="00895745"/>
    <w:rsid w:val="008A2BA5"/>
    <w:rsid w:val="008A3987"/>
    <w:rsid w:val="008B7DCB"/>
    <w:rsid w:val="008E3240"/>
    <w:rsid w:val="008E70E9"/>
    <w:rsid w:val="008F2286"/>
    <w:rsid w:val="008F4E25"/>
    <w:rsid w:val="008F6091"/>
    <w:rsid w:val="008F7FA6"/>
    <w:rsid w:val="009026CC"/>
    <w:rsid w:val="00903065"/>
    <w:rsid w:val="00903470"/>
    <w:rsid w:val="00903898"/>
    <w:rsid w:val="00904CC9"/>
    <w:rsid w:val="009109F9"/>
    <w:rsid w:val="00915E89"/>
    <w:rsid w:val="00920177"/>
    <w:rsid w:val="00920347"/>
    <w:rsid w:val="00926EAE"/>
    <w:rsid w:val="00933A53"/>
    <w:rsid w:val="0093466A"/>
    <w:rsid w:val="0093783A"/>
    <w:rsid w:val="00953CD3"/>
    <w:rsid w:val="00971607"/>
    <w:rsid w:val="0097377F"/>
    <w:rsid w:val="0098321C"/>
    <w:rsid w:val="0098386A"/>
    <w:rsid w:val="00990A5B"/>
    <w:rsid w:val="00991C45"/>
    <w:rsid w:val="009A1CEB"/>
    <w:rsid w:val="009A22B1"/>
    <w:rsid w:val="009A511E"/>
    <w:rsid w:val="009A7B67"/>
    <w:rsid w:val="009B0224"/>
    <w:rsid w:val="009B2B14"/>
    <w:rsid w:val="009B2E21"/>
    <w:rsid w:val="009D2CD8"/>
    <w:rsid w:val="009D3E43"/>
    <w:rsid w:val="009E032F"/>
    <w:rsid w:val="009E5F70"/>
    <w:rsid w:val="009E6A4D"/>
    <w:rsid w:val="009E6B2A"/>
    <w:rsid w:val="009E7BE3"/>
    <w:rsid w:val="00A13E84"/>
    <w:rsid w:val="00A14AE5"/>
    <w:rsid w:val="00A1594F"/>
    <w:rsid w:val="00A17758"/>
    <w:rsid w:val="00A248E6"/>
    <w:rsid w:val="00A26ABB"/>
    <w:rsid w:val="00A27411"/>
    <w:rsid w:val="00A37C64"/>
    <w:rsid w:val="00A42E9A"/>
    <w:rsid w:val="00A4344C"/>
    <w:rsid w:val="00A43D5B"/>
    <w:rsid w:val="00A44607"/>
    <w:rsid w:val="00A5301F"/>
    <w:rsid w:val="00A5465A"/>
    <w:rsid w:val="00A55400"/>
    <w:rsid w:val="00A65FC0"/>
    <w:rsid w:val="00A67141"/>
    <w:rsid w:val="00A72230"/>
    <w:rsid w:val="00A753DB"/>
    <w:rsid w:val="00A947AE"/>
    <w:rsid w:val="00AA6E59"/>
    <w:rsid w:val="00AB0DCE"/>
    <w:rsid w:val="00AB5C20"/>
    <w:rsid w:val="00AC619F"/>
    <w:rsid w:val="00AD0274"/>
    <w:rsid w:val="00AE6D72"/>
    <w:rsid w:val="00AE7C2F"/>
    <w:rsid w:val="00B07428"/>
    <w:rsid w:val="00B2305F"/>
    <w:rsid w:val="00B23688"/>
    <w:rsid w:val="00B3612B"/>
    <w:rsid w:val="00B443B9"/>
    <w:rsid w:val="00B50C56"/>
    <w:rsid w:val="00B5341C"/>
    <w:rsid w:val="00B55455"/>
    <w:rsid w:val="00B569AC"/>
    <w:rsid w:val="00B56C6D"/>
    <w:rsid w:val="00B65328"/>
    <w:rsid w:val="00B7777E"/>
    <w:rsid w:val="00B83091"/>
    <w:rsid w:val="00BA3CB1"/>
    <w:rsid w:val="00BA4BBB"/>
    <w:rsid w:val="00BB6FCA"/>
    <w:rsid w:val="00BB7AEC"/>
    <w:rsid w:val="00BC0CD7"/>
    <w:rsid w:val="00BD54DF"/>
    <w:rsid w:val="00BD67FC"/>
    <w:rsid w:val="00BD7EC1"/>
    <w:rsid w:val="00BE183E"/>
    <w:rsid w:val="00BE658A"/>
    <w:rsid w:val="00BF1E0F"/>
    <w:rsid w:val="00BF3B76"/>
    <w:rsid w:val="00C03498"/>
    <w:rsid w:val="00C079C3"/>
    <w:rsid w:val="00C1112B"/>
    <w:rsid w:val="00C1473F"/>
    <w:rsid w:val="00C27C94"/>
    <w:rsid w:val="00C34816"/>
    <w:rsid w:val="00C36059"/>
    <w:rsid w:val="00C40AC5"/>
    <w:rsid w:val="00C55C00"/>
    <w:rsid w:val="00C6637D"/>
    <w:rsid w:val="00C71596"/>
    <w:rsid w:val="00C75846"/>
    <w:rsid w:val="00C83FB5"/>
    <w:rsid w:val="00CA6873"/>
    <w:rsid w:val="00CA7BFE"/>
    <w:rsid w:val="00CC3B78"/>
    <w:rsid w:val="00CC6206"/>
    <w:rsid w:val="00CC7A47"/>
    <w:rsid w:val="00CD213D"/>
    <w:rsid w:val="00CD22F8"/>
    <w:rsid w:val="00CD6754"/>
    <w:rsid w:val="00CE0905"/>
    <w:rsid w:val="00CE1143"/>
    <w:rsid w:val="00CF0D49"/>
    <w:rsid w:val="00CF19D2"/>
    <w:rsid w:val="00CF314F"/>
    <w:rsid w:val="00CF6701"/>
    <w:rsid w:val="00CF7F34"/>
    <w:rsid w:val="00D07E70"/>
    <w:rsid w:val="00D11014"/>
    <w:rsid w:val="00D2025A"/>
    <w:rsid w:val="00D221BC"/>
    <w:rsid w:val="00D25599"/>
    <w:rsid w:val="00D33E55"/>
    <w:rsid w:val="00D45DFF"/>
    <w:rsid w:val="00D50F57"/>
    <w:rsid w:val="00D60CA6"/>
    <w:rsid w:val="00D714AD"/>
    <w:rsid w:val="00DA157B"/>
    <w:rsid w:val="00DB048E"/>
    <w:rsid w:val="00DB4451"/>
    <w:rsid w:val="00DC2499"/>
    <w:rsid w:val="00DD6CF4"/>
    <w:rsid w:val="00DE18B1"/>
    <w:rsid w:val="00DE3CCA"/>
    <w:rsid w:val="00DE52BD"/>
    <w:rsid w:val="00DF633C"/>
    <w:rsid w:val="00DF78AE"/>
    <w:rsid w:val="00E075D9"/>
    <w:rsid w:val="00E14DF0"/>
    <w:rsid w:val="00E175D4"/>
    <w:rsid w:val="00E227B3"/>
    <w:rsid w:val="00E255FA"/>
    <w:rsid w:val="00E33A74"/>
    <w:rsid w:val="00E36194"/>
    <w:rsid w:val="00E36C2F"/>
    <w:rsid w:val="00E37029"/>
    <w:rsid w:val="00E55B44"/>
    <w:rsid w:val="00E74996"/>
    <w:rsid w:val="00E86579"/>
    <w:rsid w:val="00E8692F"/>
    <w:rsid w:val="00EA4BEE"/>
    <w:rsid w:val="00EB320F"/>
    <w:rsid w:val="00EB5FAE"/>
    <w:rsid w:val="00ED67DF"/>
    <w:rsid w:val="00EE29AD"/>
    <w:rsid w:val="00EE3E7D"/>
    <w:rsid w:val="00EE4B9A"/>
    <w:rsid w:val="00EE54B3"/>
    <w:rsid w:val="00F0434A"/>
    <w:rsid w:val="00F05F4B"/>
    <w:rsid w:val="00F12BDB"/>
    <w:rsid w:val="00F1448C"/>
    <w:rsid w:val="00F20E68"/>
    <w:rsid w:val="00F21E60"/>
    <w:rsid w:val="00F250CD"/>
    <w:rsid w:val="00F27381"/>
    <w:rsid w:val="00F27DA4"/>
    <w:rsid w:val="00F34A3A"/>
    <w:rsid w:val="00F53846"/>
    <w:rsid w:val="00F55F6F"/>
    <w:rsid w:val="00F67592"/>
    <w:rsid w:val="00F7405A"/>
    <w:rsid w:val="00F76D1C"/>
    <w:rsid w:val="00F829C5"/>
    <w:rsid w:val="00F831A4"/>
    <w:rsid w:val="00F852CC"/>
    <w:rsid w:val="00F92A4C"/>
    <w:rsid w:val="00FA2E72"/>
    <w:rsid w:val="00FB0A49"/>
    <w:rsid w:val="00FC5D50"/>
    <w:rsid w:val="00FC77E9"/>
    <w:rsid w:val="00FC7A3E"/>
    <w:rsid w:val="00FD44F7"/>
    <w:rsid w:val="00FF6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D760"/>
  <w15:docId w15:val="{A67DCEC1-9A43-4AF4-8AD9-D5996119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C6"/>
    <w:rPr>
      <w:rFonts w:ascii="Times New Roman" w:hAnsi="Times New Roman"/>
      <w:sz w:val="24"/>
    </w:rPr>
  </w:style>
  <w:style w:type="paragraph" w:styleId="Heading1">
    <w:name w:val="heading 1"/>
    <w:basedOn w:val="Normal"/>
    <w:next w:val="Normal"/>
    <w:link w:val="Heading1Char"/>
    <w:uiPriority w:val="9"/>
    <w:qFormat/>
    <w:rsid w:val="005F09F7"/>
    <w:pPr>
      <w:keepNext/>
      <w:keepLines/>
      <w:spacing w:before="240" w:after="6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F09F7"/>
    <w:pPr>
      <w:keepNext/>
      <w:keepLines/>
      <w:spacing w:before="4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9109F9"/>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9F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F09F7"/>
    <w:rPr>
      <w:rFonts w:ascii="Times New Roman" w:eastAsiaTheme="majorEastAsia" w:hAnsi="Times New Roman" w:cstheme="majorBidi"/>
      <w:sz w:val="24"/>
      <w:szCs w:val="26"/>
      <w:u w:val="single"/>
    </w:rPr>
  </w:style>
  <w:style w:type="paragraph" w:customStyle="1" w:styleId="Draftingnotes">
    <w:name w:val="Drafting notes"/>
    <w:basedOn w:val="Normal"/>
    <w:next w:val="Normal"/>
    <w:link w:val="DraftingnotesChar"/>
    <w:qFormat/>
    <w:rsid w:val="007A0926"/>
    <w:pPr>
      <w:spacing w:after="120" w:line="240" w:lineRule="auto"/>
    </w:pPr>
    <w:rPr>
      <w:rFonts w:cs="Times New Roman"/>
      <w:i/>
      <w:color w:val="1F497D" w:themeColor="text2"/>
      <w:sz w:val="22"/>
      <w:szCs w:val="24"/>
    </w:rPr>
  </w:style>
  <w:style w:type="character" w:customStyle="1" w:styleId="DraftingnotesChar">
    <w:name w:val="Drafting notes Char"/>
    <w:basedOn w:val="DefaultParagraphFont"/>
    <w:link w:val="Draftingnotes"/>
    <w:rsid w:val="007A0926"/>
    <w:rPr>
      <w:rFonts w:ascii="Times New Roman" w:hAnsi="Times New Roman" w:cs="Times New Roman"/>
      <w:i/>
      <w:color w:val="1F497D" w:themeColor="text2"/>
      <w:szCs w:val="24"/>
    </w:rPr>
  </w:style>
  <w:style w:type="character" w:styleId="Hyperlink">
    <w:name w:val="Hyperlink"/>
    <w:basedOn w:val="DefaultParagraphFont"/>
    <w:uiPriority w:val="99"/>
    <w:unhideWhenUsed/>
    <w:qFormat/>
    <w:rsid w:val="009109F9"/>
    <w:rPr>
      <w:rFonts w:ascii="Times New Roman" w:hAnsi="Times New Roman"/>
      <w:color w:val="0000FF" w:themeColor="hyperlink"/>
      <w:u w:val="single"/>
    </w:rPr>
  </w:style>
  <w:style w:type="paragraph" w:styleId="ListBullet">
    <w:name w:val="List Bullet"/>
    <w:basedOn w:val="Normal"/>
    <w:uiPriority w:val="99"/>
    <w:unhideWhenUsed/>
    <w:qFormat/>
    <w:rsid w:val="00B569AC"/>
    <w:pPr>
      <w:numPr>
        <w:numId w:val="1"/>
      </w:numPr>
      <w:contextualSpacing/>
    </w:pPr>
  </w:style>
  <w:style w:type="character" w:customStyle="1" w:styleId="Heading3Char">
    <w:name w:val="Heading 3 Char"/>
    <w:basedOn w:val="DefaultParagraphFont"/>
    <w:link w:val="Heading3"/>
    <w:uiPriority w:val="9"/>
    <w:rsid w:val="009109F9"/>
    <w:rPr>
      <w:rFonts w:ascii="Times New Roman" w:eastAsiaTheme="majorEastAsia" w:hAnsi="Times New Roman" w:cstheme="majorBidi"/>
      <w:i/>
      <w:sz w:val="24"/>
      <w:szCs w:val="24"/>
    </w:rPr>
  </w:style>
  <w:style w:type="paragraph" w:styleId="Quote">
    <w:name w:val="Quote"/>
    <w:basedOn w:val="Normal"/>
    <w:next w:val="Normal"/>
    <w:link w:val="QuoteChar"/>
    <w:uiPriority w:val="29"/>
    <w:rsid w:val="009109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09F9"/>
    <w:rPr>
      <w:rFonts w:ascii="Times New Roman" w:hAnsi="Times New Roman"/>
      <w:i/>
      <w:iCs/>
      <w:color w:val="404040" w:themeColor="text1" w:themeTint="BF"/>
      <w:sz w:val="24"/>
    </w:rPr>
  </w:style>
  <w:style w:type="character" w:styleId="SubtleReference">
    <w:name w:val="Subtle Reference"/>
    <w:basedOn w:val="DefaultParagraphFont"/>
    <w:uiPriority w:val="31"/>
    <w:rsid w:val="009109F9"/>
    <w:rPr>
      <w:smallCaps/>
      <w:color w:val="5A5A5A" w:themeColor="text1" w:themeTint="A5"/>
    </w:rPr>
  </w:style>
  <w:style w:type="paragraph" w:styleId="Title">
    <w:name w:val="Title"/>
    <w:basedOn w:val="Normal"/>
    <w:next w:val="Normal"/>
    <w:link w:val="TitleChar"/>
    <w:uiPriority w:val="10"/>
    <w:qFormat/>
    <w:rsid w:val="00503E08"/>
    <w:pPr>
      <w:spacing w:after="24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503E08"/>
    <w:rPr>
      <w:rFonts w:ascii="Times New Roman" w:eastAsiaTheme="majorEastAsia" w:hAnsi="Times New Roman" w:cstheme="majorBidi"/>
      <w:b/>
      <w:caps/>
      <w:spacing w:val="-10"/>
      <w:kern w:val="28"/>
      <w:sz w:val="24"/>
      <w:szCs w:val="56"/>
    </w:rPr>
  </w:style>
  <w:style w:type="paragraph" w:styleId="Subtitle">
    <w:name w:val="Subtitle"/>
    <w:basedOn w:val="Normal"/>
    <w:next w:val="Normal"/>
    <w:link w:val="SubtitleChar"/>
    <w:uiPriority w:val="11"/>
    <w:qFormat/>
    <w:rsid w:val="00503E08"/>
    <w:pPr>
      <w:spacing w:after="240" w:line="240" w:lineRule="auto"/>
      <w:jc w:val="center"/>
    </w:pPr>
    <w:rPr>
      <w:rFonts w:cs="Times New Roman"/>
      <w:i/>
      <w:szCs w:val="24"/>
    </w:rPr>
  </w:style>
  <w:style w:type="character" w:customStyle="1" w:styleId="SubtitleChar">
    <w:name w:val="Subtitle Char"/>
    <w:basedOn w:val="DefaultParagraphFont"/>
    <w:link w:val="Subtitle"/>
    <w:uiPriority w:val="11"/>
    <w:rsid w:val="00503E08"/>
    <w:rPr>
      <w:rFonts w:ascii="Times New Roman" w:hAnsi="Times New Roman" w:cs="Times New Roman"/>
      <w:i/>
      <w:sz w:val="24"/>
      <w:szCs w:val="24"/>
    </w:rPr>
  </w:style>
  <w:style w:type="paragraph" w:customStyle="1" w:styleId="Sub-subtitle">
    <w:name w:val="Sub-subtitle"/>
    <w:basedOn w:val="Normal"/>
    <w:link w:val="Sub-subtitleChar"/>
    <w:rsid w:val="005836CC"/>
    <w:pPr>
      <w:spacing w:before="240" w:after="240"/>
      <w:jc w:val="center"/>
    </w:pPr>
    <w:rPr>
      <w:rFonts w:cs="Times New Roman"/>
      <w:sz w:val="22"/>
      <w:szCs w:val="24"/>
    </w:rPr>
  </w:style>
  <w:style w:type="character" w:customStyle="1" w:styleId="Sub-subtitleChar">
    <w:name w:val="Sub-subtitle Char"/>
    <w:basedOn w:val="DefaultParagraphFont"/>
    <w:link w:val="Sub-subtitle"/>
    <w:rsid w:val="005836CC"/>
    <w:rPr>
      <w:rFonts w:ascii="Times New Roman" w:hAnsi="Times New Roman" w:cs="Times New Roman"/>
      <w:szCs w:val="24"/>
    </w:rPr>
  </w:style>
  <w:style w:type="paragraph" w:styleId="ListParagraph">
    <w:name w:val="List Paragraph"/>
    <w:basedOn w:val="Normal"/>
    <w:uiPriority w:val="34"/>
    <w:qFormat/>
    <w:rsid w:val="00884BB4"/>
    <w:pPr>
      <w:ind w:left="720"/>
      <w:contextualSpacing/>
    </w:pPr>
  </w:style>
  <w:style w:type="character" w:styleId="CommentReference">
    <w:name w:val="annotation reference"/>
    <w:basedOn w:val="DefaultParagraphFont"/>
    <w:uiPriority w:val="99"/>
    <w:semiHidden/>
    <w:unhideWhenUsed/>
    <w:rsid w:val="00D33E55"/>
    <w:rPr>
      <w:sz w:val="16"/>
      <w:szCs w:val="16"/>
    </w:rPr>
  </w:style>
  <w:style w:type="paragraph" w:styleId="CommentText">
    <w:name w:val="annotation text"/>
    <w:basedOn w:val="Normal"/>
    <w:link w:val="CommentTextChar"/>
    <w:uiPriority w:val="99"/>
    <w:semiHidden/>
    <w:unhideWhenUsed/>
    <w:rsid w:val="00D33E55"/>
    <w:pPr>
      <w:spacing w:line="240" w:lineRule="auto"/>
    </w:pPr>
    <w:rPr>
      <w:sz w:val="20"/>
      <w:szCs w:val="20"/>
    </w:rPr>
  </w:style>
  <w:style w:type="character" w:customStyle="1" w:styleId="CommentTextChar">
    <w:name w:val="Comment Text Char"/>
    <w:basedOn w:val="DefaultParagraphFont"/>
    <w:link w:val="CommentText"/>
    <w:uiPriority w:val="99"/>
    <w:semiHidden/>
    <w:rsid w:val="00D33E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3E55"/>
    <w:rPr>
      <w:b/>
      <w:bCs/>
    </w:rPr>
  </w:style>
  <w:style w:type="character" w:customStyle="1" w:styleId="CommentSubjectChar">
    <w:name w:val="Comment Subject Char"/>
    <w:basedOn w:val="CommentTextChar"/>
    <w:link w:val="CommentSubject"/>
    <w:uiPriority w:val="99"/>
    <w:semiHidden/>
    <w:rsid w:val="00D33E55"/>
    <w:rPr>
      <w:rFonts w:ascii="Times New Roman" w:hAnsi="Times New Roman"/>
      <w:b/>
      <w:bCs/>
      <w:sz w:val="20"/>
      <w:szCs w:val="20"/>
    </w:rPr>
  </w:style>
  <w:style w:type="paragraph" w:styleId="BalloonText">
    <w:name w:val="Balloon Text"/>
    <w:basedOn w:val="Normal"/>
    <w:link w:val="BalloonTextChar"/>
    <w:uiPriority w:val="99"/>
    <w:semiHidden/>
    <w:unhideWhenUsed/>
    <w:rsid w:val="00D33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55"/>
    <w:rPr>
      <w:rFonts w:ascii="Segoe UI" w:hAnsi="Segoe UI" w:cs="Segoe UI"/>
      <w:sz w:val="18"/>
      <w:szCs w:val="18"/>
    </w:rPr>
  </w:style>
  <w:style w:type="paragraph" w:styleId="Revision">
    <w:name w:val="Revision"/>
    <w:hidden/>
    <w:uiPriority w:val="99"/>
    <w:semiHidden/>
    <w:rsid w:val="00B50C56"/>
    <w:pPr>
      <w:spacing w:after="0" w:line="240" w:lineRule="auto"/>
    </w:pPr>
    <w:rPr>
      <w:rFonts w:ascii="Times New Roman" w:hAnsi="Times New Roman"/>
      <w:sz w:val="24"/>
    </w:rPr>
  </w:style>
  <w:style w:type="paragraph" w:styleId="ListNumber">
    <w:name w:val="List Number"/>
    <w:basedOn w:val="Normal"/>
    <w:uiPriority w:val="99"/>
    <w:unhideWhenUsed/>
    <w:rsid w:val="00275A5A"/>
    <w:pPr>
      <w:numPr>
        <w:numId w:val="8"/>
      </w:numPr>
      <w:contextualSpacing/>
    </w:pPr>
  </w:style>
  <w:style w:type="paragraph" w:customStyle="1" w:styleId="HB-dotpoint">
    <w:name w:val="HB - dotpoint"/>
    <w:basedOn w:val="Normal"/>
    <w:rsid w:val="00A5465A"/>
    <w:pPr>
      <w:numPr>
        <w:numId w:val="11"/>
      </w:numPr>
      <w:spacing w:before="180" w:after="240" w:line="240" w:lineRule="auto"/>
    </w:pPr>
    <w:rPr>
      <w:rFonts w:eastAsia="Times New Roman" w:cs="Times New Roman"/>
      <w:szCs w:val="20"/>
      <w:lang w:eastAsia="en-AU"/>
    </w:rPr>
  </w:style>
  <w:style w:type="paragraph" w:styleId="Header">
    <w:name w:val="header"/>
    <w:basedOn w:val="Normal"/>
    <w:link w:val="HeaderChar"/>
    <w:uiPriority w:val="99"/>
    <w:unhideWhenUsed/>
    <w:rsid w:val="0074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A2"/>
    <w:rPr>
      <w:rFonts w:ascii="Times New Roman" w:hAnsi="Times New Roman"/>
      <w:sz w:val="24"/>
    </w:rPr>
  </w:style>
  <w:style w:type="paragraph" w:styleId="Footer">
    <w:name w:val="footer"/>
    <w:basedOn w:val="Normal"/>
    <w:link w:val="FooterChar"/>
    <w:uiPriority w:val="99"/>
    <w:unhideWhenUsed/>
    <w:rsid w:val="0074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A2"/>
    <w:rPr>
      <w:rFonts w:ascii="Times New Roman" w:hAnsi="Times New Roman"/>
      <w:sz w:val="24"/>
    </w:rPr>
  </w:style>
  <w:style w:type="table" w:styleId="TableGrid">
    <w:name w:val="Table Grid"/>
    <w:basedOn w:val="TableNormal"/>
    <w:uiPriority w:val="59"/>
    <w:rsid w:val="00CA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3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5359">
      <w:bodyDiv w:val="1"/>
      <w:marLeft w:val="0"/>
      <w:marRight w:val="0"/>
      <w:marTop w:val="0"/>
      <w:marBottom w:val="0"/>
      <w:divBdr>
        <w:top w:val="none" w:sz="0" w:space="0" w:color="auto"/>
        <w:left w:val="none" w:sz="0" w:space="0" w:color="auto"/>
        <w:bottom w:val="none" w:sz="0" w:space="0" w:color="auto"/>
        <w:right w:val="none" w:sz="0" w:space="0" w:color="auto"/>
      </w:divBdr>
    </w:div>
    <w:div w:id="338696107">
      <w:bodyDiv w:val="1"/>
      <w:marLeft w:val="0"/>
      <w:marRight w:val="0"/>
      <w:marTop w:val="0"/>
      <w:marBottom w:val="0"/>
      <w:divBdr>
        <w:top w:val="none" w:sz="0" w:space="0" w:color="auto"/>
        <w:left w:val="none" w:sz="0" w:space="0" w:color="auto"/>
        <w:bottom w:val="none" w:sz="0" w:space="0" w:color="auto"/>
        <w:right w:val="none" w:sz="0" w:space="0" w:color="auto"/>
      </w:divBdr>
    </w:div>
    <w:div w:id="736366041">
      <w:bodyDiv w:val="1"/>
      <w:marLeft w:val="0"/>
      <w:marRight w:val="0"/>
      <w:marTop w:val="0"/>
      <w:marBottom w:val="0"/>
      <w:divBdr>
        <w:top w:val="none" w:sz="0" w:space="0" w:color="auto"/>
        <w:left w:val="none" w:sz="0" w:space="0" w:color="auto"/>
        <w:bottom w:val="none" w:sz="0" w:space="0" w:color="auto"/>
        <w:right w:val="none" w:sz="0" w:space="0" w:color="auto"/>
      </w:divBdr>
    </w:div>
    <w:div w:id="9702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nction xmlns="36127203-811d-40c2-967a-21d271d60dbf">Administration</Function>
    <DocumentDescription xmlns="36127203-811d-40c2-967a-21d271d60dbf" xsi:nil="true"/>
    <RecordNumber xmlns="36127203-811d-40c2-967a-21d271d60dbf">002524931</RecordNumber>
    <Approval xmlns="36127203-811d-40c2-967a-21d271d60dbf" xsi:nil="true"/>
    <Section xmlns="36127203-811d-40c2-967a-21d271d60dbf">
      <UserInfo>
        <DisplayName/>
        <AccountId xsi:nil="true"/>
        <AccountType/>
      </UserInfo>
    </Section>
    <Division xmlns="36127203-811d-40c2-967a-21d271d60dbf">
      <UserInfo>
        <DisplayName/>
        <AccountId xsi:nil="true"/>
        <AccountType/>
      </UserInfo>
    </Division>
    <Branch xmlns="36127203-811d-40c2-967a-21d271d60dbf">
      <UserInfo>
        <DisplayName/>
        <AccountId xsi:nil="true"/>
        <AccountType/>
      </UserInfo>
    </Branch>
  </documentManagement>
</p:properti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ED5A3DE3490EAB4795B458FCEB4AE691010032C028B8CE1F0C4EB8694FC9FE038E0D" ma:contentTypeVersion="6" ma:contentTypeDescription="Create a new Word Document" ma:contentTypeScope="" ma:versionID="5f182bba970186d94fa5c16b1eba58ce">
  <xsd:schema xmlns:xsd="http://www.w3.org/2001/XMLSchema" xmlns:xs="http://www.w3.org/2001/XMLSchema" xmlns:p="http://schemas.microsoft.com/office/2006/metadata/properties" xmlns:ns2="36127203-811d-40c2-967a-21d271d60dbf" targetNamespace="http://schemas.microsoft.com/office/2006/metadata/properties" ma:root="true" ma:fieldsID="a882ccd3dc8a4cfaf1055770ea2f7a90" ns2:_="">
    <xsd:import namespace="36127203-811d-40c2-967a-21d271d60dbf"/>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27203-811d-40c2-967a-21d271d60dbf"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8C9A-CE19-4DB9-AFDD-DE1B592ADC6A}">
  <ds:schemaRefs>
    <ds:schemaRef ds:uri="http://schemas.microsoft.com/sharepoint/events"/>
  </ds:schemaRefs>
</ds:datastoreItem>
</file>

<file path=customXml/itemProps2.xml><?xml version="1.0" encoding="utf-8"?>
<ds:datastoreItem xmlns:ds="http://schemas.openxmlformats.org/officeDocument/2006/customXml" ds:itemID="{EB0DDA6B-BA99-4641-8CE4-AE39941024C7}">
  <ds:schemaRefs>
    <ds:schemaRef ds:uri="http://schemas.microsoft.com/office/2006/metadata/customXsn"/>
  </ds:schemaRefs>
</ds:datastoreItem>
</file>

<file path=customXml/itemProps3.xml><?xml version="1.0" encoding="utf-8"?>
<ds:datastoreItem xmlns:ds="http://schemas.openxmlformats.org/officeDocument/2006/customXml" ds:itemID="{054430AB-F790-4F69-9CC3-B848FB82AE26}">
  <ds:schemaRefs>
    <ds:schemaRef ds:uri="http://schemas.microsoft.com/sharepoint/v3/contenttype/forms"/>
  </ds:schemaRefs>
</ds:datastoreItem>
</file>

<file path=customXml/itemProps4.xml><?xml version="1.0" encoding="utf-8"?>
<ds:datastoreItem xmlns:ds="http://schemas.openxmlformats.org/officeDocument/2006/customXml" ds:itemID="{50B8F6E8-8D31-46B9-91F7-B436202A5717}">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36127203-811d-40c2-967a-21d271d60dbf"/>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0EB27E04-4205-4CCF-A222-92D3BA50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27203-811d-40c2-967a-21d271d6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8FD126-D861-4A15-AD5A-4ACC2A5E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4916</Words>
  <Characters>28023</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Competition and Consumer (Industry Code - Electricity Retail) Regs - Explanatory Statement</vt:lpstr>
    </vt:vector>
  </TitlesOfParts>
  <Company>INDUSTRY</Company>
  <LinksUpToDate>false</LinksUpToDate>
  <CharactersWithSpaces>32874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(Industry Code - Electricity Retail) Regs - Explanatory Statement</dc:title>
  <dc:creator>Robinson, Lisa</dc:creator>
  <cp:lastModifiedBy>Diana Zeleny</cp:lastModifiedBy>
  <cp:revision>2</cp:revision>
  <cp:lastPrinted>2019-03-14T02:52:00Z</cp:lastPrinted>
  <dcterms:created xsi:type="dcterms:W3CDTF">2019-04-02T00:35:00Z</dcterms:created>
  <dcterms:modified xsi:type="dcterms:W3CDTF">2019-04-02T00:35:00Z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0x010100ED5A3DE3490EAB4795B458FCEB4AE691010032C028B8CE1F0C4EB8694FC9FE038E0D</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136;#2017|5f6de30b-6e1e-4c09-9e51-982258231536</vt:lpwstr>
  </property>
  <property fmtid="{D5CDD505-2E9C-101B-9397-08002B2CF9AE}" pid="5" name="DocHub_LegalToolPurpose">
    <vt:lpwstr/>
  </property>
  <property fmtid="{D5CDD505-2E9C-101B-9397-08002B2CF9AE}" pid="6" name="DocHub_WorkActivity">
    <vt:lpwstr>513;#Legislation and Regulation|6cbc66f5-f4a2-4565-a58b-d5f2d2ac9bd0</vt:lpwstr>
  </property>
  <property fmtid="{D5CDD505-2E9C-101B-9397-08002B2CF9AE}" pid="7" name="DocHub_Keywords">
    <vt:lpwstr>178;#legislative|5e869634-89cb-4ffc-9135-3cf69ffe805a</vt:lpwstr>
  </property>
  <property fmtid="{D5CDD505-2E9C-101B-9397-08002B2CF9AE}" pid="8" name="DocHub_DocumentType">
    <vt:lpwstr>22;#Template|9b48ba34-650a-488d-9fe8-e5181e10b797</vt:lpwstr>
  </property>
  <property fmtid="{D5CDD505-2E9C-101B-9397-08002B2CF9AE}" pid="9" name="DocHub_SecurityClassification">
    <vt:lpwstr>463;#Sensitive: Legal|803d03d9-f24d-497a-bb88-13a7511ff07a</vt:lpwstr>
  </property>
  <property fmtid="{D5CDD505-2E9C-101B-9397-08002B2CF9AE}" pid="10" name="_dlc_DocIdItemGuid">
    <vt:lpwstr>52736cf9-9c50-45e5-8fc4-4b02fff03d5b</vt:lpwstr>
  </property>
  <property fmtid="{D5CDD505-2E9C-101B-9397-08002B2CF9AE}" pid="11" name="RecordPoint_WorkflowType">
    <vt:lpwstr>ActiveSubmitStub</vt:lpwstr>
  </property>
  <property fmtid="{D5CDD505-2E9C-101B-9397-08002B2CF9AE}" pid="12" name="RecordPoint_ActiveItemListId">
    <vt:lpwstr>{d0228ed2-90a6-4b3b-9741-bdcd579034a6}</vt:lpwstr>
  </property>
  <property fmtid="{D5CDD505-2E9C-101B-9397-08002B2CF9AE}" pid="13" name="RecordPoint_ActiveItemUniqueId">
    <vt:lpwstr>{e1eec980-7971-4e1c-b769-15fb14c108b1}</vt:lpwstr>
  </property>
  <property fmtid="{D5CDD505-2E9C-101B-9397-08002B2CF9AE}" pid="14" name="RecordPoint_ActiveItemWebId">
    <vt:lpwstr>{fea42d60-6fd5-4621-9e55-d26a2cfcb783}</vt:lpwstr>
  </property>
  <property fmtid="{D5CDD505-2E9C-101B-9397-08002B2CF9AE}" pid="15" name="RecordPoint_ActiveItemSiteId">
    <vt:lpwstr>{0042eda0-3729-4814-97c9-9936b3e1efdb}</vt:lpwstr>
  </property>
  <property fmtid="{D5CDD505-2E9C-101B-9397-08002B2CF9AE}" pid="16" name="RecordPoint_SubmissionDate">
    <vt:lpwstr/>
  </property>
  <property fmtid="{D5CDD505-2E9C-101B-9397-08002B2CF9AE}" pid="17" name="RecordPoint_RecordNumberSubmitted">
    <vt:lpwstr/>
  </property>
  <property fmtid="{D5CDD505-2E9C-101B-9397-08002B2CF9AE}" pid="18" name="RecordPoint_ActiveItemMoved">
    <vt:lpwstr/>
  </property>
  <property fmtid="{D5CDD505-2E9C-101B-9397-08002B2CF9AE}" pid="19" name="RecordPoint_SubmissionCompleted">
    <vt:lpwstr/>
  </property>
  <property fmtid="{D5CDD505-2E9C-101B-9397-08002B2CF9AE}" pid="20" name="RecordPoint_RecordFormat">
    <vt:lpwstr/>
  </property>
</Properties>
</file>