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4971A" w14:textId="209E2AE3" w:rsidR="00F109D4" w:rsidRPr="004935DA" w:rsidRDefault="00F109D4" w:rsidP="00647BB7">
      <w:pPr>
        <w:pStyle w:val="Heading1"/>
        <w:spacing w:after="360"/>
        <w:rPr>
          <w:rFonts w:ascii="Times New Roman" w:hAnsi="Times New Roman"/>
          <w:sz w:val="24"/>
          <w:szCs w:val="24"/>
        </w:rPr>
      </w:pPr>
      <w:r w:rsidRPr="004935DA">
        <w:rPr>
          <w:rFonts w:ascii="Times New Roman" w:hAnsi="Times New Roman"/>
          <w:sz w:val="24"/>
          <w:szCs w:val="24"/>
        </w:rPr>
        <w:t>EXPLANATORY STATEMENT</w:t>
      </w:r>
    </w:p>
    <w:p w14:paraId="6145A05A" w14:textId="4CA5B840" w:rsidR="007662C7" w:rsidRDefault="00F109D4" w:rsidP="003E1CE3">
      <w:pPr>
        <w:pStyle w:val="Heading2"/>
        <w:jc w:val="center"/>
        <w:rPr>
          <w:sz w:val="24"/>
        </w:rPr>
      </w:pPr>
      <w:r w:rsidRPr="00B43350">
        <w:rPr>
          <w:sz w:val="24"/>
        </w:rPr>
        <w:t xml:space="preserve">Issued by authority of the </w:t>
      </w:r>
      <w:r w:rsidR="005D41FF">
        <w:rPr>
          <w:sz w:val="24"/>
        </w:rPr>
        <w:t>Treasurer</w:t>
      </w:r>
    </w:p>
    <w:p w14:paraId="06211656" w14:textId="2025A943" w:rsidR="00243F91" w:rsidRPr="00B43350" w:rsidRDefault="004015F2" w:rsidP="002B3E83">
      <w:pPr>
        <w:tabs>
          <w:tab w:val="left" w:pos="1418"/>
        </w:tabs>
        <w:spacing w:before="0" w:after="240"/>
        <w:jc w:val="center"/>
        <w:rPr>
          <w:i/>
        </w:rPr>
      </w:pPr>
      <w:r w:rsidRPr="00B43350">
        <w:rPr>
          <w:i/>
        </w:rPr>
        <w:br/>
      </w:r>
      <w:r w:rsidR="005D41FF">
        <w:rPr>
          <w:i/>
        </w:rPr>
        <w:t>Corporations Regulations 2001</w:t>
      </w:r>
    </w:p>
    <w:p w14:paraId="758D9ADD" w14:textId="2CC2B2E9" w:rsidR="002B3E83" w:rsidRPr="00503E44" w:rsidRDefault="005D41FF" w:rsidP="002B3E83">
      <w:pPr>
        <w:tabs>
          <w:tab w:val="left" w:pos="1418"/>
        </w:tabs>
        <w:spacing w:before="0" w:after="0"/>
        <w:jc w:val="center"/>
        <w:rPr>
          <w:i/>
        </w:rPr>
      </w:pPr>
      <w:r>
        <w:rPr>
          <w:i/>
        </w:rPr>
        <w:t xml:space="preserve">Corporations Amendment (Proprietary Company Thresholds) Regulations </w:t>
      </w:r>
      <w:r w:rsidR="00B3753D">
        <w:rPr>
          <w:i/>
        </w:rPr>
        <w:t>2019</w:t>
      </w:r>
    </w:p>
    <w:p w14:paraId="72108C4D" w14:textId="28654D6F" w:rsidR="00F35210" w:rsidRPr="007F75DD" w:rsidRDefault="00F35210" w:rsidP="00F35210">
      <w:pPr>
        <w:spacing w:before="240"/>
      </w:pPr>
      <w:r>
        <w:t xml:space="preserve">The </w:t>
      </w:r>
      <w:r>
        <w:rPr>
          <w:i/>
        </w:rPr>
        <w:t>Corporations</w:t>
      </w:r>
      <w:r w:rsidRPr="00580D9A">
        <w:rPr>
          <w:i/>
        </w:rPr>
        <w:t xml:space="preserve"> Act </w:t>
      </w:r>
      <w:r>
        <w:rPr>
          <w:i/>
        </w:rPr>
        <w:t>2001</w:t>
      </w:r>
      <w:r>
        <w:t xml:space="preserve"> (the Act) </w:t>
      </w:r>
      <w:r w:rsidRPr="00F35210">
        <w:t>provides for the regulation of corporations and financial services.</w:t>
      </w:r>
    </w:p>
    <w:p w14:paraId="7CCFBDC9" w14:textId="01A8FD78" w:rsidR="00F35210" w:rsidRDefault="00F35210" w:rsidP="00F35210">
      <w:pPr>
        <w:spacing w:before="240"/>
      </w:pPr>
      <w:r w:rsidRPr="00F35210">
        <w:t>Section 1364 of the Act provides that the Governor</w:t>
      </w:r>
      <w:r w:rsidRPr="00F35210">
        <w:noBreakHyphen/>
        <w:t>General may make regulations prescribing matters required or permitted by the Act to be prescribed, or necessary or convenient to be prescribed for carrying out or giving effect to the Act.</w:t>
      </w:r>
    </w:p>
    <w:p w14:paraId="2AAF74C4" w14:textId="35AA0746" w:rsidR="00F37990" w:rsidRPr="00F35210" w:rsidRDefault="00F37990" w:rsidP="00F35210">
      <w:pPr>
        <w:spacing w:before="240"/>
      </w:pPr>
      <w:r>
        <w:t xml:space="preserve">The purpose of the </w:t>
      </w:r>
      <w:r w:rsidR="00C802F7" w:rsidRPr="00C802F7">
        <w:rPr>
          <w:i/>
        </w:rPr>
        <w:t xml:space="preserve">Corporations Amendment (Proprietary Company Thresholds) Regulations 2019 </w:t>
      </w:r>
      <w:r w:rsidR="00C802F7" w:rsidRPr="00C802F7">
        <w:t xml:space="preserve">(the Regulations) </w:t>
      </w:r>
      <w:r w:rsidR="00520ACF">
        <w:t>is to increase the</w:t>
      </w:r>
      <w:r w:rsidR="00520ACF" w:rsidRPr="00520ACF">
        <w:t xml:space="preserve"> thresholds for determining whether a company is a large or small proprietary company for a financial year.</w:t>
      </w:r>
    </w:p>
    <w:p w14:paraId="3224BF4F" w14:textId="7638259F" w:rsidR="00F35210" w:rsidRDefault="00F35210" w:rsidP="005D41FF">
      <w:pPr>
        <w:spacing w:before="240"/>
      </w:pPr>
      <w:r>
        <w:t>Under the Act, large proprietary companies are required to lodge an annual financial report, a director’s report and an auditor’s report with the Australian Securities and Investments Commission (ASIC)</w:t>
      </w:r>
      <w:r w:rsidR="00C72956">
        <w:t xml:space="preserve"> </w:t>
      </w:r>
      <w:r w:rsidR="00C72956" w:rsidRPr="00B52E7A">
        <w:t>and are required to have</w:t>
      </w:r>
      <w:r w:rsidR="00E720CA" w:rsidRPr="00B52E7A">
        <w:t xml:space="preserve"> a </w:t>
      </w:r>
      <w:proofErr w:type="spellStart"/>
      <w:r w:rsidR="00E720CA" w:rsidRPr="00B52E7A">
        <w:t>whistleblower</w:t>
      </w:r>
      <w:proofErr w:type="spellEnd"/>
      <w:r w:rsidR="00E720CA" w:rsidRPr="00B52E7A">
        <w:t xml:space="preserve"> policy in place</w:t>
      </w:r>
      <w:r w:rsidR="00E720CA">
        <w:t xml:space="preserve">. </w:t>
      </w:r>
      <w:r w:rsidR="00C72956">
        <w:t>S</w:t>
      </w:r>
      <w:r>
        <w:t>mall proprietary companies are generally required to keep sufficient financial records</w:t>
      </w:r>
      <w:r w:rsidR="004935DA">
        <w:t xml:space="preserve"> and</w:t>
      </w:r>
      <w:r>
        <w:t xml:space="preserve"> are only required to </w:t>
      </w:r>
      <w:r w:rsidR="00495B28">
        <w:t xml:space="preserve">lodge </w:t>
      </w:r>
      <w:r>
        <w:t xml:space="preserve">or audit financial reports if directed by </w:t>
      </w:r>
      <w:r w:rsidR="00B662FE">
        <w:t>ASIC</w:t>
      </w:r>
      <w:r>
        <w:t xml:space="preserve"> or 5</w:t>
      </w:r>
      <w:r w:rsidR="00F04409">
        <w:t xml:space="preserve"> per cent</w:t>
      </w:r>
      <w:r>
        <w:t xml:space="preserve"> or more of their shareholders.</w:t>
      </w:r>
    </w:p>
    <w:p w14:paraId="48756D7B" w14:textId="200B9D94" w:rsidR="00F35210" w:rsidRDefault="00F35210" w:rsidP="005D41FF">
      <w:pPr>
        <w:spacing w:before="240"/>
      </w:pPr>
      <w:r>
        <w:t xml:space="preserve">The Act currently provides that </w:t>
      </w:r>
      <w:r w:rsidR="004C6FE7">
        <w:t xml:space="preserve">a proprietary company is </w:t>
      </w:r>
      <w:r w:rsidR="00495B28">
        <w:t>‘</w:t>
      </w:r>
      <w:r w:rsidR="00F04409">
        <w:t>large</w:t>
      </w:r>
      <w:r w:rsidR="00495B28">
        <w:t>’</w:t>
      </w:r>
      <w:r w:rsidR="004C6FE7">
        <w:t xml:space="preserve"> for a given financial year if it </w:t>
      </w:r>
      <w:r w:rsidR="007D77D1">
        <w:t xml:space="preserve">satisfies </w:t>
      </w:r>
      <w:r w:rsidR="004C6FE7">
        <w:t xml:space="preserve">at least two of the following: </w:t>
      </w:r>
    </w:p>
    <w:p w14:paraId="684A5ED3" w14:textId="4DF339E6" w:rsidR="004C6FE7" w:rsidRDefault="004C6FE7" w:rsidP="004C6FE7">
      <w:pPr>
        <w:pStyle w:val="Bullet"/>
      </w:pPr>
      <w:r>
        <w:t>the consolidated revenue for the financial year of the company and any entities it controls is</w:t>
      </w:r>
      <w:r w:rsidR="00F04409">
        <w:t xml:space="preserve"> </w:t>
      </w:r>
      <w:r>
        <w:t>$25 million</w:t>
      </w:r>
      <w:r w:rsidR="00F04409">
        <w:t xml:space="preserve"> or more</w:t>
      </w:r>
      <w:r>
        <w:t xml:space="preserve">; </w:t>
      </w:r>
    </w:p>
    <w:p w14:paraId="78BA514B" w14:textId="4B653920" w:rsidR="004C6FE7" w:rsidRDefault="004C6FE7" w:rsidP="004C6FE7">
      <w:pPr>
        <w:pStyle w:val="Bullet"/>
      </w:pPr>
      <w:r>
        <w:t>the value of the consolidated gross assets at the end of the financ</w:t>
      </w:r>
      <w:r w:rsidR="00F04409">
        <w:t>ial year of the company and the entities it controls is $12.5 million or more; and</w:t>
      </w:r>
    </w:p>
    <w:p w14:paraId="7A496622" w14:textId="51590CFA" w:rsidR="00F04409" w:rsidRDefault="00F04409" w:rsidP="004C6FE7">
      <w:pPr>
        <w:pStyle w:val="Bullet"/>
      </w:pPr>
      <w:proofErr w:type="gramStart"/>
      <w:r>
        <w:t>the</w:t>
      </w:r>
      <w:proofErr w:type="gramEnd"/>
      <w:r>
        <w:t xml:space="preserve"> company and any entities it controls have 50 or more employees at the end of the financial year. </w:t>
      </w:r>
    </w:p>
    <w:p w14:paraId="2A0EE400" w14:textId="1459B731" w:rsidR="009608AB" w:rsidRDefault="009608AB" w:rsidP="005D41FF">
      <w:pPr>
        <w:spacing w:before="240"/>
      </w:pPr>
      <w:r>
        <w:t>These thresh</w:t>
      </w:r>
      <w:r w:rsidR="003A38F4">
        <w:t>ol</w:t>
      </w:r>
      <w:r>
        <w:t xml:space="preserve">ds have not </w:t>
      </w:r>
      <w:r w:rsidRPr="00B52E7A">
        <w:t xml:space="preserve">been </w:t>
      </w:r>
      <w:r w:rsidR="00B36033" w:rsidRPr="00B52E7A">
        <w:t xml:space="preserve">reviewed or </w:t>
      </w:r>
      <w:r w:rsidRPr="00B52E7A">
        <w:t>adjusted</w:t>
      </w:r>
      <w:r>
        <w:t xml:space="preserve"> since 2007.</w:t>
      </w:r>
    </w:p>
    <w:p w14:paraId="69EB840F" w14:textId="37DC1F9E" w:rsidR="007D77D1" w:rsidRDefault="007D77D1" w:rsidP="005D41FF">
      <w:pPr>
        <w:spacing w:before="240"/>
      </w:pPr>
      <w:r>
        <w:t>The</w:t>
      </w:r>
      <w:r w:rsidRPr="005C1120">
        <w:t xml:space="preserve"> </w:t>
      </w:r>
      <w:r w:rsidR="005C1120" w:rsidRPr="00462A85">
        <w:t>Act</w:t>
      </w:r>
      <w:r w:rsidR="005C1120">
        <w:t xml:space="preserve"> provides that the </w:t>
      </w:r>
      <w:r w:rsidR="005C1120">
        <w:rPr>
          <w:i/>
        </w:rPr>
        <w:t>Corporations Regulations 2001</w:t>
      </w:r>
      <w:r w:rsidR="005C1120">
        <w:t xml:space="preserve"> may prescribe other amounts or numbers for the three thresholds for determining a large proprietary company. This is to allow the thresholds to be </w:t>
      </w:r>
      <w:r w:rsidR="003E096E">
        <w:t xml:space="preserve">regularly reviewed and </w:t>
      </w:r>
      <w:r w:rsidR="005C1120">
        <w:t xml:space="preserve">adjusted </w:t>
      </w:r>
      <w:r w:rsidR="00F91EFC">
        <w:t xml:space="preserve">over time </w:t>
      </w:r>
      <w:r w:rsidR="005C1120">
        <w:t xml:space="preserve">to </w:t>
      </w:r>
      <w:r w:rsidR="003E096E">
        <w:t>ensure the thresholds accurately reflect genuine economic significance during periods of long and sustained economic growth</w:t>
      </w:r>
      <w:r w:rsidR="00E42C12">
        <w:t>.</w:t>
      </w:r>
    </w:p>
    <w:p w14:paraId="7F1B8D02" w14:textId="5FC81983" w:rsidR="004C6FE7" w:rsidRDefault="00F04409" w:rsidP="005D41FF">
      <w:pPr>
        <w:spacing w:before="240"/>
      </w:pPr>
      <w:r>
        <w:t xml:space="preserve">The </w:t>
      </w:r>
      <w:r w:rsidR="00C802F7">
        <w:t>Regulations</w:t>
      </w:r>
      <w:r>
        <w:t xml:space="preserve"> </w:t>
      </w:r>
      <w:r w:rsidR="00807B4D">
        <w:t xml:space="preserve">adjust </w:t>
      </w:r>
      <w:r>
        <w:t>these thresholds by doubling them as follows:</w:t>
      </w:r>
    </w:p>
    <w:p w14:paraId="6053B3ED" w14:textId="51510D64" w:rsidR="00F04409" w:rsidRDefault="00F04409" w:rsidP="00F04409">
      <w:pPr>
        <w:pStyle w:val="Bullet"/>
      </w:pPr>
      <w:r>
        <w:t xml:space="preserve">increasing the annual consolidated revenue threshold to $50 million or more; </w:t>
      </w:r>
    </w:p>
    <w:p w14:paraId="6D6185A5" w14:textId="798EE683" w:rsidR="00F04409" w:rsidRDefault="00F04409" w:rsidP="00F04409">
      <w:pPr>
        <w:pStyle w:val="Bullet"/>
      </w:pPr>
      <w:r>
        <w:t>increasing the value of gross assets to $25 million or more; and</w:t>
      </w:r>
    </w:p>
    <w:p w14:paraId="2D7B984F" w14:textId="33C9782F" w:rsidR="00F04409" w:rsidRDefault="00F04409" w:rsidP="00F04409">
      <w:pPr>
        <w:pStyle w:val="Bullet"/>
      </w:pPr>
      <w:proofErr w:type="gramStart"/>
      <w:r>
        <w:lastRenderedPageBreak/>
        <w:t>increasing</w:t>
      </w:r>
      <w:proofErr w:type="gramEnd"/>
      <w:r>
        <w:t xml:space="preserve"> the employee size to 100 employees or more. </w:t>
      </w:r>
    </w:p>
    <w:p w14:paraId="33EED621" w14:textId="71A83A05" w:rsidR="00C61AB5" w:rsidRDefault="00E35644" w:rsidP="00E35644">
      <w:pPr>
        <w:pStyle w:val="Bullet"/>
        <w:numPr>
          <w:ilvl w:val="0"/>
          <w:numId w:val="0"/>
        </w:numPr>
      </w:pPr>
      <w:r>
        <w:t>The requirement for lar</w:t>
      </w:r>
      <w:bookmarkStart w:id="0" w:name="_GoBack"/>
      <w:bookmarkEnd w:id="0"/>
      <w:r>
        <w:t xml:space="preserve">ge proprietary companies to lodge </w:t>
      </w:r>
      <w:r w:rsidR="00F00C05">
        <w:t xml:space="preserve">and audit </w:t>
      </w:r>
      <w:r>
        <w:t xml:space="preserve">their financial reports was introduced in </w:t>
      </w:r>
      <w:r w:rsidRPr="00950722">
        <w:rPr>
          <w:iCs/>
        </w:rPr>
        <w:t>1995</w:t>
      </w:r>
      <w:r>
        <w:rPr>
          <w:i/>
          <w:iCs/>
        </w:rPr>
        <w:t xml:space="preserve"> </w:t>
      </w:r>
      <w:r>
        <w:t xml:space="preserve">to focus regulation </w:t>
      </w:r>
      <w:r w:rsidR="005E6A22">
        <w:t xml:space="preserve">of reporting </w:t>
      </w:r>
      <w:r>
        <w:t>on the financial affairs of proprietary companies which have a significant economic influence.</w:t>
      </w:r>
      <w:r w:rsidR="005E6A22">
        <w:t xml:space="preserve"> </w:t>
      </w:r>
    </w:p>
    <w:p w14:paraId="2DF43064" w14:textId="482C0CA4" w:rsidR="00C61AB5" w:rsidRPr="00B52E7A" w:rsidRDefault="00F00C05" w:rsidP="00C61AB5">
      <w:pPr>
        <w:autoSpaceDE w:val="0"/>
        <w:autoSpaceDN w:val="0"/>
        <w:adjustRightInd w:val="0"/>
        <w:spacing w:after="0"/>
        <w:rPr>
          <w:szCs w:val="24"/>
        </w:rPr>
      </w:pPr>
      <w:r w:rsidRPr="00B52E7A">
        <w:rPr>
          <w:szCs w:val="24"/>
        </w:rPr>
        <w:t>The financial reports of c</w:t>
      </w:r>
      <w:r w:rsidR="005E6A22" w:rsidRPr="00B52E7A">
        <w:rPr>
          <w:szCs w:val="24"/>
        </w:rPr>
        <w:t xml:space="preserve">ompanies that </w:t>
      </w:r>
      <w:r w:rsidR="001E41A7" w:rsidRPr="00B52E7A">
        <w:rPr>
          <w:szCs w:val="24"/>
        </w:rPr>
        <w:t>have economic sign</w:t>
      </w:r>
      <w:r w:rsidR="00A70A81" w:rsidRPr="00B52E7A">
        <w:rPr>
          <w:szCs w:val="24"/>
        </w:rPr>
        <w:t>i</w:t>
      </w:r>
      <w:r w:rsidR="001E41A7" w:rsidRPr="00B52E7A">
        <w:rPr>
          <w:szCs w:val="24"/>
        </w:rPr>
        <w:t>ficance</w:t>
      </w:r>
      <w:r w:rsidRPr="00B52E7A">
        <w:rPr>
          <w:szCs w:val="24"/>
        </w:rPr>
        <w:t xml:space="preserve"> should be publicly a</w:t>
      </w:r>
      <w:r w:rsidR="0037237E" w:rsidRPr="00B52E7A">
        <w:rPr>
          <w:szCs w:val="24"/>
        </w:rPr>
        <w:t>vailable</w:t>
      </w:r>
      <w:r w:rsidR="00E35644" w:rsidRPr="00B52E7A">
        <w:rPr>
          <w:szCs w:val="24"/>
        </w:rPr>
        <w:t xml:space="preserve"> because of their size and potential to affect the community and the economy. </w:t>
      </w:r>
      <w:r w:rsidR="00C61AB5" w:rsidRPr="00B52E7A">
        <w:rPr>
          <w:szCs w:val="24"/>
        </w:rPr>
        <w:t xml:space="preserve">The larger the size, the more likely it is that there will exist users dependent on general purpose financial reports as a basis for making </w:t>
      </w:r>
      <w:r w:rsidR="00EC5344" w:rsidRPr="00B52E7A">
        <w:rPr>
          <w:szCs w:val="24"/>
        </w:rPr>
        <w:t>e</w:t>
      </w:r>
      <w:r w:rsidR="00D71ACE" w:rsidRPr="00B52E7A">
        <w:rPr>
          <w:szCs w:val="24"/>
        </w:rPr>
        <w:t>conomic</w:t>
      </w:r>
      <w:r w:rsidR="00C61AB5" w:rsidRPr="00B52E7A">
        <w:rPr>
          <w:szCs w:val="24"/>
        </w:rPr>
        <w:t xml:space="preserve"> decisions.</w:t>
      </w:r>
    </w:p>
    <w:p w14:paraId="6F5E996A" w14:textId="3C16247B" w:rsidR="00C90069" w:rsidRDefault="005E6A22" w:rsidP="00C90069">
      <w:pPr>
        <w:pStyle w:val="Bullet"/>
        <w:numPr>
          <w:ilvl w:val="0"/>
          <w:numId w:val="0"/>
        </w:numPr>
      </w:pPr>
      <w:r w:rsidRPr="00B52E7A">
        <w:rPr>
          <w:szCs w:val="24"/>
        </w:rPr>
        <w:t>The</w:t>
      </w:r>
      <w:r w:rsidR="00262AFC" w:rsidRPr="00B52E7A">
        <w:rPr>
          <w:szCs w:val="24"/>
        </w:rPr>
        <w:t xml:space="preserve"> </w:t>
      </w:r>
      <w:r w:rsidR="00E1751A" w:rsidRPr="00B52E7A">
        <w:rPr>
          <w:szCs w:val="24"/>
        </w:rPr>
        <w:t>revenue and assets</w:t>
      </w:r>
      <w:r w:rsidRPr="00B52E7A">
        <w:rPr>
          <w:szCs w:val="24"/>
        </w:rPr>
        <w:t xml:space="preserve"> thresholds are being </w:t>
      </w:r>
      <w:r w:rsidR="00E07ADD" w:rsidRPr="00B52E7A">
        <w:t>increased</w:t>
      </w:r>
      <w:r w:rsidRPr="00B52E7A">
        <w:t xml:space="preserve"> to account for nominal economic growth (as measured by changes in nominal gr</w:t>
      </w:r>
      <w:r w:rsidR="00E07ADD" w:rsidRPr="00B52E7A">
        <w:t>oss domestic product</w:t>
      </w:r>
      <w:r w:rsidR="004935DA">
        <w:t xml:space="preserve"> (GDP)</w:t>
      </w:r>
      <w:r w:rsidR="00E07ADD" w:rsidRPr="00B52E7A">
        <w:t>) since the thresholds</w:t>
      </w:r>
      <w:r w:rsidRPr="00B52E7A">
        <w:t xml:space="preserve"> were last adjusted in 2007</w:t>
      </w:r>
      <w:r w:rsidR="00E07ADD" w:rsidRPr="00B52E7A">
        <w:t>.</w:t>
      </w:r>
      <w:r w:rsidR="00E07ADD" w:rsidRPr="00B52E7A">
        <w:rPr>
          <w:szCs w:val="24"/>
        </w:rPr>
        <w:t xml:space="preserve"> </w:t>
      </w:r>
      <w:r w:rsidR="00C90069" w:rsidRPr="00B52E7A">
        <w:rPr>
          <w:szCs w:val="24"/>
        </w:rPr>
        <w:t xml:space="preserve">Adjusting the thresholds for nominal economic growth means that the increase in the thresholds will include a component for inflation as well as economic growth. </w:t>
      </w:r>
    </w:p>
    <w:p w14:paraId="6E356955" w14:textId="6AC439D3" w:rsidR="000163D7" w:rsidRDefault="00E07ADD" w:rsidP="00EC5344">
      <w:pPr>
        <w:pStyle w:val="Bullet"/>
        <w:numPr>
          <w:ilvl w:val="0"/>
          <w:numId w:val="0"/>
        </w:numPr>
        <w:rPr>
          <w:color w:val="FF0000"/>
          <w:szCs w:val="24"/>
        </w:rPr>
      </w:pPr>
      <w:r w:rsidRPr="00AA3166">
        <w:rPr>
          <w:szCs w:val="24"/>
        </w:rPr>
        <w:t>Growth in nominal GDP from 2006-07 to 2017-18 was 70 per cent</w:t>
      </w:r>
      <w:r w:rsidR="00C90069" w:rsidRPr="00AA3166">
        <w:rPr>
          <w:szCs w:val="24"/>
        </w:rPr>
        <w:t xml:space="preserve">, reflecting an increase of </w:t>
      </w:r>
      <w:r w:rsidR="00C90069" w:rsidRPr="00AA3166">
        <w:t>$17.5 million and $8.75 million to the revenue and asset thresholds, respectively</w:t>
      </w:r>
      <w:r w:rsidRPr="00AA3166">
        <w:rPr>
          <w:szCs w:val="24"/>
        </w:rPr>
        <w:t xml:space="preserve">. </w:t>
      </w:r>
      <w:r w:rsidR="00C90069" w:rsidRPr="00632E2C">
        <w:rPr>
          <w:szCs w:val="24"/>
        </w:rPr>
        <w:t>An</w:t>
      </w:r>
      <w:r w:rsidR="00C90069" w:rsidRPr="00632E2C">
        <w:t xml:space="preserve"> additional increase of $7.5 million and $3.75 million to the revenue </w:t>
      </w:r>
      <w:r w:rsidR="00D3684D" w:rsidRPr="00632E2C">
        <w:t>and asset</w:t>
      </w:r>
      <w:r w:rsidR="00C90069" w:rsidRPr="00632E2C">
        <w:t xml:space="preserve"> thresholds, respectively</w:t>
      </w:r>
      <w:r w:rsidR="00D3684D" w:rsidRPr="00632E2C">
        <w:t>, has been included to double the thresholds</w:t>
      </w:r>
      <w:r w:rsidR="00C90069" w:rsidRPr="00AA3166">
        <w:t>.</w:t>
      </w:r>
      <w:r w:rsidR="00D3684D" w:rsidRPr="00AA3166">
        <w:t xml:space="preserve"> </w:t>
      </w:r>
      <w:r w:rsidR="00C61AB5" w:rsidRPr="00AA3166">
        <w:t xml:space="preserve">Similarly, the employee threshold, as a relevant indicator of the size </w:t>
      </w:r>
      <w:r w:rsidR="00F20790" w:rsidRPr="00AA3166">
        <w:t xml:space="preserve">and significance </w:t>
      </w:r>
      <w:r w:rsidR="00C61AB5" w:rsidRPr="00AA3166">
        <w:t>of a company</w:t>
      </w:r>
      <w:r w:rsidR="00F20790" w:rsidRPr="00AA3166">
        <w:t>, is also being doubled.</w:t>
      </w:r>
      <w:r w:rsidR="005D412D" w:rsidRPr="00AA3166">
        <w:t xml:space="preserve"> </w:t>
      </w:r>
    </w:p>
    <w:p w14:paraId="493396CE" w14:textId="00F9A26D" w:rsidR="005D412D" w:rsidRDefault="00F04409" w:rsidP="00F04409">
      <w:pPr>
        <w:pStyle w:val="Bullet"/>
        <w:numPr>
          <w:ilvl w:val="0"/>
          <w:numId w:val="0"/>
        </w:numPr>
      </w:pPr>
      <w:r>
        <w:t xml:space="preserve">The increased thresholds provided in the Regulations will ensure financial reporting obligations are targeted at economically </w:t>
      </w:r>
      <w:r w:rsidR="005B3B06">
        <w:t xml:space="preserve">significant </w:t>
      </w:r>
      <w:r>
        <w:t xml:space="preserve">companies, while reducing costs for </w:t>
      </w:r>
      <w:r w:rsidR="005B3B06">
        <w:t>smaller</w:t>
      </w:r>
      <w:r>
        <w:t xml:space="preserve"> sized companies that</w:t>
      </w:r>
      <w:r w:rsidR="00B9761A">
        <w:t xml:space="preserve"> will </w:t>
      </w:r>
      <w:r>
        <w:t xml:space="preserve">no longer be required to </w:t>
      </w:r>
      <w:r w:rsidR="00B662FE">
        <w:t>lodge</w:t>
      </w:r>
      <w:r w:rsidR="005B3B06">
        <w:t xml:space="preserve"> audited </w:t>
      </w:r>
      <w:r>
        <w:t xml:space="preserve">financial reports </w:t>
      </w:r>
      <w:r w:rsidR="005B3B06">
        <w:t xml:space="preserve">with </w:t>
      </w:r>
      <w:r>
        <w:t xml:space="preserve">ASIC. </w:t>
      </w:r>
    </w:p>
    <w:p w14:paraId="4176C4C5" w14:textId="540D6953" w:rsidR="00F04409" w:rsidRDefault="00CA7CF9" w:rsidP="003B0562">
      <w:pPr>
        <w:pStyle w:val="Bullet"/>
        <w:numPr>
          <w:ilvl w:val="0"/>
          <w:numId w:val="0"/>
        </w:numPr>
      </w:pPr>
      <w:r>
        <w:t xml:space="preserve">Approximately one third of proprietary companies that lodged audited financial </w:t>
      </w:r>
      <w:proofErr w:type="gramStart"/>
      <w:r>
        <w:t>reports</w:t>
      </w:r>
      <w:proofErr w:type="gramEnd"/>
      <w:r>
        <w:t xml:space="preserve"> </w:t>
      </w:r>
      <w:r w:rsidR="00AF4A36">
        <w:t>with ASIC for the 2017-18 financial year will no longer be required to lodge financial reports</w:t>
      </w:r>
      <w:r w:rsidR="003446DF">
        <w:t xml:space="preserve"> under the increased thresholds</w:t>
      </w:r>
      <w:r w:rsidR="00AF4A36">
        <w:t>.</w:t>
      </w:r>
      <w:r w:rsidR="003B0562">
        <w:t xml:space="preserve"> Average access rates for the financial reports of these proprietary companies through ASIC is significantly lower than the average access rates for the </w:t>
      </w:r>
      <w:r w:rsidR="005D412D">
        <w:t>remaining large proprietary company reporting population.</w:t>
      </w:r>
    </w:p>
    <w:p w14:paraId="40310808" w14:textId="4C5512ED" w:rsidR="00F04409" w:rsidRPr="007F5B67" w:rsidRDefault="00F04409" w:rsidP="00F04409">
      <w:pPr>
        <w:spacing w:before="240"/>
      </w:pPr>
      <w:r w:rsidRPr="004109D3">
        <w:rPr>
          <w:szCs w:val="24"/>
        </w:rPr>
        <w:t>Details of the Regulation</w:t>
      </w:r>
      <w:r>
        <w:rPr>
          <w:szCs w:val="24"/>
        </w:rPr>
        <w:t>s</w:t>
      </w:r>
      <w:r w:rsidRPr="004109D3">
        <w:rPr>
          <w:szCs w:val="24"/>
        </w:rPr>
        <w:t xml:space="preserve"> are </w:t>
      </w:r>
      <w:r w:rsidR="004935DA">
        <w:rPr>
          <w:szCs w:val="24"/>
        </w:rPr>
        <w:t>set out</w:t>
      </w:r>
      <w:r w:rsidRPr="004109D3">
        <w:rPr>
          <w:szCs w:val="24"/>
        </w:rPr>
        <w:t xml:space="preserve"> in</w:t>
      </w:r>
      <w:r>
        <w:rPr>
          <w:szCs w:val="24"/>
        </w:rPr>
        <w:t xml:space="preserve"> the </w:t>
      </w:r>
      <w:r>
        <w:rPr>
          <w:szCs w:val="24"/>
          <w:u w:val="single"/>
        </w:rPr>
        <w:t>Attachment.</w:t>
      </w:r>
    </w:p>
    <w:p w14:paraId="340E00BC" w14:textId="5557EBD7" w:rsidR="00F04409" w:rsidRDefault="00F04409" w:rsidP="00F04409">
      <w:pPr>
        <w:pStyle w:val="base-text-paragraph"/>
        <w:spacing w:before="240"/>
        <w:ind w:left="0"/>
      </w:pPr>
      <w:r w:rsidRPr="00692BC2">
        <w:t>The</w:t>
      </w:r>
      <w:r w:rsidRPr="007F75DD">
        <w:t xml:space="preserve"> Act</w:t>
      </w:r>
      <w:r>
        <w:rPr>
          <w:i/>
        </w:rPr>
        <w:t xml:space="preserve"> </w:t>
      </w:r>
      <w:r w:rsidRPr="00692BC2">
        <w:t>does not specify any conditions that need to be</w:t>
      </w:r>
      <w:r w:rsidR="00632E2C">
        <w:t xml:space="preserve"> </w:t>
      </w:r>
      <w:r w:rsidR="004935DA">
        <w:t>met</w:t>
      </w:r>
      <w:r w:rsidRPr="00692BC2">
        <w:t xml:space="preserve"> before the power to make the Regulation</w:t>
      </w:r>
      <w:r>
        <w:t>s</w:t>
      </w:r>
      <w:r w:rsidRPr="00692BC2">
        <w:t xml:space="preserve"> </w:t>
      </w:r>
      <w:r>
        <w:t>is exercised</w:t>
      </w:r>
      <w:r w:rsidRPr="00692BC2">
        <w:t>.</w:t>
      </w:r>
    </w:p>
    <w:p w14:paraId="06E09992" w14:textId="011158C7" w:rsidR="00B9761A" w:rsidRDefault="00632E2C" w:rsidP="00F04409">
      <w:pPr>
        <w:pStyle w:val="base-text-paragraph"/>
        <w:spacing w:before="240"/>
        <w:ind w:left="0"/>
      </w:pPr>
      <w:r>
        <w:t xml:space="preserve">Public consultation on the Regulations occurred between 16 November 2018 and 14 December 2018. There were 35 submissions </w:t>
      </w:r>
      <w:r w:rsidR="00B24873">
        <w:t xml:space="preserve">to </w:t>
      </w:r>
      <w:r>
        <w:t xml:space="preserve">the consultation. The submissions </w:t>
      </w:r>
      <w:r w:rsidR="00B24873">
        <w:t xml:space="preserve">provided a wide </w:t>
      </w:r>
      <w:r>
        <w:t>range</w:t>
      </w:r>
      <w:r w:rsidR="00B24873">
        <w:t xml:space="preserve"> of views on wh</w:t>
      </w:r>
      <w:r w:rsidR="009A6D4B">
        <w:t xml:space="preserve">at </w:t>
      </w:r>
      <w:r w:rsidR="00B24873">
        <w:t>the</w:t>
      </w:r>
      <w:r w:rsidR="009A6D4B">
        <w:t xml:space="preserve"> thresholds </w:t>
      </w:r>
      <w:r w:rsidR="00B835F3">
        <w:t xml:space="preserve">for determining a large proprietary company </w:t>
      </w:r>
      <w:r w:rsidR="009A6D4B">
        <w:t>should be</w:t>
      </w:r>
      <w:r>
        <w:t xml:space="preserve">. No changes have been made to the Regulations following the consultation process.  </w:t>
      </w:r>
    </w:p>
    <w:p w14:paraId="768C9FEE" w14:textId="77777777" w:rsidR="00F37990" w:rsidRDefault="00F37990" w:rsidP="00F37990">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35AFD96B" w14:textId="70B0C81B" w:rsidR="00F37990" w:rsidRDefault="00632E2C" w:rsidP="00F37990">
      <w:pPr>
        <w:spacing w:before="240"/>
      </w:pPr>
      <w:r>
        <w:t>The L</w:t>
      </w:r>
      <w:r w:rsidR="00520ACF">
        <w:t xml:space="preserve">egislative and </w:t>
      </w:r>
      <w:r>
        <w:t>G</w:t>
      </w:r>
      <w:r w:rsidR="00520ACF">
        <w:t xml:space="preserve">overnance </w:t>
      </w:r>
      <w:r>
        <w:t>F</w:t>
      </w:r>
      <w:r w:rsidR="00520ACF">
        <w:t xml:space="preserve">orum for </w:t>
      </w:r>
      <w:r>
        <w:t>C</w:t>
      </w:r>
      <w:r w:rsidR="00520ACF">
        <w:t>o</w:t>
      </w:r>
      <w:r>
        <w:t xml:space="preserve">rporations has given approval for the Regulations. </w:t>
      </w:r>
    </w:p>
    <w:p w14:paraId="183F005F" w14:textId="11B173B2" w:rsidR="00F04409" w:rsidRDefault="00F04409" w:rsidP="00F04409">
      <w:pPr>
        <w:spacing w:before="240"/>
      </w:pPr>
      <w:r>
        <w:lastRenderedPageBreak/>
        <w:t xml:space="preserve">The Regulations commence on 1 July 2019 and </w:t>
      </w:r>
      <w:r w:rsidR="00AA3166">
        <w:t xml:space="preserve">apply </w:t>
      </w:r>
      <w:r>
        <w:t>in relation to the financial year</w:t>
      </w:r>
      <w:r w:rsidR="005B3B06">
        <w:t xml:space="preserve">s </w:t>
      </w:r>
      <w:r w:rsidR="00462A85">
        <w:t>beginning</w:t>
      </w:r>
      <w:r w:rsidR="005B3B06">
        <w:t xml:space="preserve"> on or after 1 July 2019</w:t>
      </w:r>
      <w:r>
        <w:t xml:space="preserve">. </w:t>
      </w:r>
    </w:p>
    <w:p w14:paraId="62F2FDAB" w14:textId="20154A9E" w:rsidR="00F37990" w:rsidRPr="00013390" w:rsidRDefault="00F37990" w:rsidP="00F37990">
      <w:pPr>
        <w:spacing w:before="240"/>
      </w:pPr>
      <w:r>
        <w:t xml:space="preserve">A statement of Compatibility with Human Rights is included in the </w:t>
      </w:r>
      <w:r w:rsidRPr="000B39A1">
        <w:rPr>
          <w:u w:val="single"/>
        </w:rPr>
        <w:t>Attachment</w:t>
      </w:r>
      <w:r>
        <w:rPr>
          <w:u w:val="single"/>
        </w:rPr>
        <w:t>.</w:t>
      </w:r>
      <w:r w:rsidRPr="000B39A1">
        <w:rPr>
          <w:u w:val="single"/>
        </w:rPr>
        <w:t xml:space="preserve"> </w:t>
      </w:r>
    </w:p>
    <w:p w14:paraId="16303FA2" w14:textId="77777777" w:rsidR="00F37990" w:rsidRDefault="00F37990" w:rsidP="00F04409">
      <w:pPr>
        <w:spacing w:before="240"/>
      </w:pPr>
    </w:p>
    <w:p w14:paraId="0F752912" w14:textId="77777777" w:rsidR="00F04409" w:rsidRPr="00E72DD5" w:rsidRDefault="00F04409">
      <w:pPr>
        <w:spacing w:before="0" w:after="0"/>
        <w:rPr>
          <w:sz w:val="28"/>
        </w:rPr>
      </w:pPr>
      <w:r w:rsidRPr="00E72DD5">
        <w:rPr>
          <w:sz w:val="28"/>
        </w:rPr>
        <w:br w:type="page"/>
      </w:r>
    </w:p>
    <w:p w14:paraId="4F93F88E" w14:textId="3264C544" w:rsidR="00632E2C" w:rsidRDefault="004935DA" w:rsidP="00312311">
      <w:pPr>
        <w:tabs>
          <w:tab w:val="left" w:pos="1418"/>
        </w:tabs>
        <w:spacing w:before="0" w:after="0"/>
        <w:rPr>
          <w:b/>
          <w:szCs w:val="24"/>
          <w:u w:val="single"/>
        </w:rPr>
      </w:pPr>
      <w:r w:rsidRPr="00632E2C">
        <w:rPr>
          <w:b/>
          <w:szCs w:val="24"/>
          <w:u w:val="single"/>
        </w:rPr>
        <w:lastRenderedPageBreak/>
        <w:t>ATTACHMENT</w:t>
      </w:r>
    </w:p>
    <w:p w14:paraId="4E0CDB55" w14:textId="75CFC626" w:rsidR="00312311" w:rsidRPr="00717407" w:rsidRDefault="00312311" w:rsidP="00312311">
      <w:pPr>
        <w:tabs>
          <w:tab w:val="left" w:pos="1418"/>
        </w:tabs>
        <w:spacing w:before="0" w:after="0"/>
        <w:rPr>
          <w:b/>
          <w:i/>
          <w:u w:val="single"/>
        </w:rPr>
      </w:pPr>
      <w:r w:rsidRPr="00717407">
        <w:rPr>
          <w:b/>
          <w:szCs w:val="24"/>
          <w:u w:val="single"/>
        </w:rPr>
        <w:t>Details of the</w:t>
      </w:r>
      <w:r w:rsidRPr="00717407">
        <w:rPr>
          <w:b/>
          <w:i/>
          <w:u w:val="single"/>
        </w:rPr>
        <w:t xml:space="preserve"> </w:t>
      </w:r>
      <w:r w:rsidR="00F04409" w:rsidRPr="00F04409">
        <w:rPr>
          <w:b/>
          <w:i/>
          <w:u w:val="single"/>
        </w:rPr>
        <w:t xml:space="preserve">Corporations Amendment (Proprietary Company Thresholds) Regulations </w:t>
      </w:r>
      <w:r w:rsidR="00B3753D" w:rsidRPr="00F04409">
        <w:rPr>
          <w:b/>
          <w:i/>
          <w:u w:val="single"/>
        </w:rPr>
        <w:t>201</w:t>
      </w:r>
      <w:r w:rsidR="00B3753D">
        <w:rPr>
          <w:b/>
          <w:i/>
          <w:u w:val="single"/>
        </w:rPr>
        <w:t>9</w:t>
      </w:r>
    </w:p>
    <w:p w14:paraId="5E473740" w14:textId="77777777" w:rsidR="00312311" w:rsidRPr="00717407" w:rsidRDefault="00312311" w:rsidP="00312311">
      <w:pPr>
        <w:autoSpaceDE w:val="0"/>
        <w:autoSpaceDN w:val="0"/>
        <w:adjustRightInd w:val="0"/>
        <w:spacing w:after="240"/>
        <w:rPr>
          <w:szCs w:val="24"/>
          <w:u w:val="single"/>
        </w:rPr>
      </w:pPr>
      <w:r w:rsidRPr="00717407">
        <w:rPr>
          <w:szCs w:val="24"/>
          <w:u w:val="single"/>
        </w:rPr>
        <w:t>Section 1 — Name of Regulation</w:t>
      </w:r>
      <w:r>
        <w:rPr>
          <w:szCs w:val="24"/>
          <w:u w:val="single"/>
        </w:rPr>
        <w:t>s</w:t>
      </w:r>
    </w:p>
    <w:p w14:paraId="6D1F7740" w14:textId="32A5AD05" w:rsidR="00312311" w:rsidRPr="00717407" w:rsidRDefault="00312311" w:rsidP="00312311">
      <w:pPr>
        <w:autoSpaceDE w:val="0"/>
        <w:autoSpaceDN w:val="0"/>
        <w:adjustRightInd w:val="0"/>
        <w:rPr>
          <w:iCs/>
          <w:szCs w:val="24"/>
        </w:rPr>
      </w:pPr>
      <w:r w:rsidRPr="00717407">
        <w:rPr>
          <w:szCs w:val="24"/>
        </w:rPr>
        <w:t>This section specifies that the name of the Regulation</w:t>
      </w:r>
      <w:r>
        <w:rPr>
          <w:szCs w:val="24"/>
        </w:rPr>
        <w:t>s</w:t>
      </w:r>
      <w:r w:rsidRPr="00717407">
        <w:rPr>
          <w:szCs w:val="24"/>
        </w:rPr>
        <w:t xml:space="preserve"> is the </w:t>
      </w:r>
      <w:r w:rsidR="00F04409" w:rsidRPr="00F04409">
        <w:rPr>
          <w:i/>
          <w:szCs w:val="24"/>
        </w:rPr>
        <w:t xml:space="preserve">Corporations Amendment (Proprietary Company Thresholds) Regulations </w:t>
      </w:r>
      <w:r w:rsidR="00B3753D" w:rsidRPr="00F04409">
        <w:rPr>
          <w:i/>
          <w:szCs w:val="24"/>
        </w:rPr>
        <w:t>201</w:t>
      </w:r>
      <w:r w:rsidR="00B3753D">
        <w:rPr>
          <w:i/>
          <w:szCs w:val="24"/>
        </w:rPr>
        <w:t xml:space="preserve">9 </w:t>
      </w:r>
      <w:r w:rsidRPr="00717407">
        <w:rPr>
          <w:iCs/>
          <w:szCs w:val="24"/>
        </w:rPr>
        <w:t>(the Regulation</w:t>
      </w:r>
      <w:r>
        <w:rPr>
          <w:iCs/>
          <w:szCs w:val="24"/>
        </w:rPr>
        <w:t>s</w:t>
      </w:r>
      <w:r w:rsidRPr="00717407">
        <w:rPr>
          <w:iCs/>
          <w:szCs w:val="24"/>
        </w:rPr>
        <w:t>).</w:t>
      </w:r>
    </w:p>
    <w:p w14:paraId="6B2ECCC1" w14:textId="77777777" w:rsidR="00312311" w:rsidRPr="00717407" w:rsidRDefault="00312311" w:rsidP="00312311">
      <w:pPr>
        <w:autoSpaceDE w:val="0"/>
        <w:autoSpaceDN w:val="0"/>
        <w:adjustRightInd w:val="0"/>
        <w:spacing w:before="240" w:after="240"/>
        <w:rPr>
          <w:szCs w:val="24"/>
          <w:u w:val="single"/>
        </w:rPr>
      </w:pPr>
      <w:r w:rsidRPr="00717407">
        <w:rPr>
          <w:szCs w:val="24"/>
          <w:u w:val="single"/>
        </w:rPr>
        <w:t>Section 2 — Commencement</w:t>
      </w:r>
    </w:p>
    <w:p w14:paraId="7D7207B6" w14:textId="74387B16" w:rsidR="00312311" w:rsidRPr="00717407" w:rsidRDefault="00312311" w:rsidP="00312311">
      <w:pPr>
        <w:keepNext/>
        <w:tabs>
          <w:tab w:val="left" w:pos="1987"/>
        </w:tabs>
        <w:outlineLvl w:val="2"/>
        <w:rPr>
          <w:szCs w:val="24"/>
        </w:rPr>
      </w:pPr>
      <w:r w:rsidRPr="00717407">
        <w:rPr>
          <w:szCs w:val="24"/>
        </w:rPr>
        <w:t>This section provides for the Regulation</w:t>
      </w:r>
      <w:r>
        <w:rPr>
          <w:szCs w:val="24"/>
        </w:rPr>
        <w:t>s</w:t>
      </w:r>
      <w:r w:rsidRPr="00717407">
        <w:rPr>
          <w:szCs w:val="24"/>
        </w:rPr>
        <w:t xml:space="preserve"> to commence </w:t>
      </w:r>
      <w:r w:rsidR="00E72DD5">
        <w:rPr>
          <w:szCs w:val="24"/>
        </w:rPr>
        <w:t>on 1 July 2019</w:t>
      </w:r>
      <w:r w:rsidRPr="00717407">
        <w:rPr>
          <w:szCs w:val="24"/>
        </w:rPr>
        <w:t>.</w:t>
      </w:r>
    </w:p>
    <w:p w14:paraId="1A9EDE36" w14:textId="77777777" w:rsidR="00312311" w:rsidRPr="00717407" w:rsidRDefault="00312311" w:rsidP="00312311">
      <w:pPr>
        <w:tabs>
          <w:tab w:val="left" w:pos="1987"/>
        </w:tabs>
        <w:spacing w:before="240" w:after="240"/>
        <w:rPr>
          <w:u w:val="single"/>
        </w:rPr>
      </w:pPr>
      <w:r w:rsidRPr="00717407">
        <w:rPr>
          <w:u w:val="single"/>
        </w:rPr>
        <w:t>Section 3 — Authority</w:t>
      </w:r>
    </w:p>
    <w:p w14:paraId="5BBF724A" w14:textId="4674D0B9" w:rsidR="00312311" w:rsidRPr="00717407" w:rsidRDefault="00312311" w:rsidP="00312311">
      <w:pPr>
        <w:tabs>
          <w:tab w:val="left" w:pos="1987"/>
        </w:tabs>
        <w:rPr>
          <w:i/>
        </w:rPr>
      </w:pPr>
      <w:r w:rsidRPr="00717407">
        <w:t>This section states that the Regulation</w:t>
      </w:r>
      <w:r>
        <w:t>s are</w:t>
      </w:r>
      <w:r w:rsidRPr="00717407">
        <w:t xml:space="preserve"> made under the </w:t>
      </w:r>
      <w:r w:rsidR="00E72DD5">
        <w:rPr>
          <w:i/>
        </w:rPr>
        <w:t>Corporations Act 2001</w:t>
      </w:r>
      <w:r w:rsidRPr="00717407">
        <w:rPr>
          <w:i/>
        </w:rPr>
        <w:t xml:space="preserve">. </w:t>
      </w:r>
    </w:p>
    <w:p w14:paraId="5A907552" w14:textId="77777777" w:rsidR="00312311" w:rsidRPr="00717407" w:rsidRDefault="00312311" w:rsidP="00312311">
      <w:pPr>
        <w:keepNext/>
        <w:spacing w:before="240"/>
        <w:rPr>
          <w:u w:val="single"/>
        </w:rPr>
      </w:pPr>
      <w:r w:rsidRPr="00717407">
        <w:rPr>
          <w:u w:val="single"/>
        </w:rPr>
        <w:t>Section 4 – Schedules</w:t>
      </w:r>
    </w:p>
    <w:p w14:paraId="72F1AEF7" w14:textId="6499B152" w:rsidR="00312311" w:rsidRPr="00717407" w:rsidRDefault="00312311" w:rsidP="00312311">
      <w:pPr>
        <w:spacing w:before="240"/>
      </w:pPr>
      <w:r w:rsidRPr="00717407">
        <w:t>This section provides that each instrument that is specified in a Schedule to the</w:t>
      </w:r>
      <w:r w:rsidR="00E3401E">
        <w:t> </w:t>
      </w:r>
      <w:r w:rsidRPr="00717407">
        <w:t>Regulation</w:t>
      </w:r>
      <w:r>
        <w:t>s</w:t>
      </w:r>
      <w:r w:rsidRPr="00717407">
        <w:t xml:space="preserve"> </w:t>
      </w:r>
      <w:r w:rsidR="00AA3166">
        <w:t>is</w:t>
      </w:r>
      <w:r w:rsidR="00AA3166" w:rsidRPr="00717407">
        <w:t xml:space="preserve"> </w:t>
      </w:r>
      <w:r w:rsidRPr="00717407">
        <w:t>amended or repealed as set out in the applicable items in the Schedule concerned, and any other item in a Schedule to this instrument has effect according to its terms.</w:t>
      </w:r>
    </w:p>
    <w:p w14:paraId="672DC132" w14:textId="16E9433E" w:rsidR="00312311" w:rsidRDefault="00312311" w:rsidP="00312311">
      <w:pPr>
        <w:tabs>
          <w:tab w:val="left" w:pos="1987"/>
        </w:tabs>
        <w:spacing w:before="240" w:after="240"/>
        <w:rPr>
          <w:u w:val="single"/>
        </w:rPr>
      </w:pPr>
      <w:r w:rsidRPr="00717407">
        <w:rPr>
          <w:u w:val="single"/>
        </w:rPr>
        <w:t xml:space="preserve">Schedule 1 </w:t>
      </w:r>
      <w:r w:rsidR="00E72DD5">
        <w:rPr>
          <w:u w:val="single"/>
        </w:rPr>
        <w:t xml:space="preserve">– Amendments </w:t>
      </w:r>
    </w:p>
    <w:p w14:paraId="7026ADDF" w14:textId="236C30CE" w:rsidR="00E72DD5" w:rsidRPr="00717407" w:rsidRDefault="00E72DD5" w:rsidP="00312311">
      <w:pPr>
        <w:tabs>
          <w:tab w:val="left" w:pos="1987"/>
        </w:tabs>
        <w:spacing w:before="240" w:after="240"/>
        <w:rPr>
          <w:u w:val="single"/>
        </w:rPr>
      </w:pPr>
      <w:r>
        <w:rPr>
          <w:u w:val="single"/>
        </w:rPr>
        <w:t>Item 1</w:t>
      </w:r>
    </w:p>
    <w:p w14:paraId="7C609E97" w14:textId="5B77FE87" w:rsidR="00822102" w:rsidRDefault="00E72DD5" w:rsidP="00312311">
      <w:pPr>
        <w:tabs>
          <w:tab w:val="left" w:pos="1987"/>
        </w:tabs>
        <w:spacing w:after="240"/>
      </w:pPr>
      <w:r>
        <w:t xml:space="preserve">Item 1 of Schedule 1 provides for a new regulation to </w:t>
      </w:r>
      <w:r w:rsidR="00822102">
        <w:t xml:space="preserve">double the existing thresholds for determining whether a company is a large or small proprietary company for a financial year. </w:t>
      </w:r>
    </w:p>
    <w:p w14:paraId="48060359" w14:textId="3C5904E6" w:rsidR="00822102" w:rsidRDefault="00822102" w:rsidP="00822102">
      <w:pPr>
        <w:spacing w:before="240"/>
      </w:pPr>
      <w:r>
        <w:t xml:space="preserve">Under the new threshold, a company will be a large proprietary company for a financial year if it satisfies at least two of the following: </w:t>
      </w:r>
    </w:p>
    <w:p w14:paraId="1521B3E3" w14:textId="2C425EDF" w:rsidR="00822102" w:rsidRDefault="00822102" w:rsidP="00822102">
      <w:pPr>
        <w:pStyle w:val="Bullet"/>
      </w:pPr>
      <w:r>
        <w:t xml:space="preserve">the consolidated revenue for the financial year of the company and any entities it controls is $50 million or more; </w:t>
      </w:r>
    </w:p>
    <w:p w14:paraId="48FEC024" w14:textId="2F392E82" w:rsidR="00822102" w:rsidRDefault="00822102" w:rsidP="00822102">
      <w:pPr>
        <w:pStyle w:val="Bullet"/>
      </w:pPr>
      <w:r>
        <w:t>the value of the consolidated gross assets at the end of the financial year of the company and the entities it controls is $25 million or more; and</w:t>
      </w:r>
    </w:p>
    <w:p w14:paraId="701DF327" w14:textId="3260A184" w:rsidR="00822102" w:rsidRDefault="00822102" w:rsidP="00822102">
      <w:pPr>
        <w:pStyle w:val="Bullet"/>
      </w:pPr>
      <w:proofErr w:type="gramStart"/>
      <w:r>
        <w:t>the</w:t>
      </w:r>
      <w:proofErr w:type="gramEnd"/>
      <w:r>
        <w:t xml:space="preserve"> company and any entities it controls have 100 or more employees at the end of the financial year. </w:t>
      </w:r>
    </w:p>
    <w:p w14:paraId="5DA5DE9C" w14:textId="5F8AD566" w:rsidR="00822102" w:rsidRDefault="00992BB7" w:rsidP="00312311">
      <w:pPr>
        <w:tabs>
          <w:tab w:val="left" w:pos="1987"/>
        </w:tabs>
        <w:spacing w:after="240"/>
      </w:pPr>
      <w:r>
        <w:t xml:space="preserve">Similarly, a company will be a small proprietary company for a financial year if it satisfies at least two of the following: </w:t>
      </w:r>
    </w:p>
    <w:p w14:paraId="2AC74C2A" w14:textId="37135E7C" w:rsidR="00992BB7" w:rsidRDefault="00992BB7" w:rsidP="00992BB7">
      <w:pPr>
        <w:pStyle w:val="Bullet"/>
      </w:pPr>
      <w:r>
        <w:t xml:space="preserve">the consolidated revenue for the financial year of the company and any entities it controls is less than $50 million; </w:t>
      </w:r>
    </w:p>
    <w:p w14:paraId="3AC19E08" w14:textId="4991BC47" w:rsidR="00992BB7" w:rsidRDefault="00992BB7" w:rsidP="00992BB7">
      <w:pPr>
        <w:pStyle w:val="Bullet"/>
      </w:pPr>
      <w:r>
        <w:t>the value of the consolidated gross assets at the end of the financial year of the company and the entities it controls is less than $25 million; and</w:t>
      </w:r>
    </w:p>
    <w:p w14:paraId="30D86A48" w14:textId="1073C682" w:rsidR="00992BB7" w:rsidRDefault="00992BB7" w:rsidP="00992BB7">
      <w:pPr>
        <w:pStyle w:val="Bullet"/>
      </w:pPr>
      <w:proofErr w:type="gramStart"/>
      <w:r>
        <w:lastRenderedPageBreak/>
        <w:t>the</w:t>
      </w:r>
      <w:proofErr w:type="gramEnd"/>
      <w:r>
        <w:t xml:space="preserve"> company and any entities it controls have less than 100 employees at the end of the financial year. </w:t>
      </w:r>
    </w:p>
    <w:p w14:paraId="522B1FFC" w14:textId="7D335391" w:rsidR="00E72DD5" w:rsidRPr="00717407" w:rsidRDefault="00E72DD5" w:rsidP="00E72DD5">
      <w:pPr>
        <w:tabs>
          <w:tab w:val="left" w:pos="1987"/>
        </w:tabs>
        <w:spacing w:before="240" w:after="240"/>
        <w:rPr>
          <w:u w:val="single"/>
        </w:rPr>
      </w:pPr>
      <w:r>
        <w:rPr>
          <w:u w:val="single"/>
        </w:rPr>
        <w:t>Item 2</w:t>
      </w:r>
    </w:p>
    <w:p w14:paraId="08991A25" w14:textId="77348707" w:rsidR="00E72DD5" w:rsidRDefault="00992BB7" w:rsidP="00312311">
      <w:pPr>
        <w:tabs>
          <w:tab w:val="left" w:pos="1987"/>
        </w:tabs>
        <w:spacing w:after="240"/>
      </w:pPr>
      <w:r>
        <w:t xml:space="preserve">Item 2 of Schedule 1 inserts a new transitional provision into </w:t>
      </w:r>
      <w:r w:rsidRPr="00CA7E05">
        <w:t xml:space="preserve">the </w:t>
      </w:r>
      <w:r w:rsidRPr="00992BB7">
        <w:rPr>
          <w:i/>
        </w:rPr>
        <w:t>Corporations</w:t>
      </w:r>
      <w:r w:rsidR="00B9761A">
        <w:rPr>
          <w:i/>
        </w:rPr>
        <w:t> </w:t>
      </w:r>
      <w:r w:rsidRPr="00992BB7">
        <w:rPr>
          <w:i/>
        </w:rPr>
        <w:t>Regulations 2001</w:t>
      </w:r>
      <w:r>
        <w:t xml:space="preserve"> to provide that the increases to the proprietary company thresholds apply in relation to </w:t>
      </w:r>
      <w:r w:rsidR="00462A85" w:rsidRPr="00462A85">
        <w:t>financial years beginning on or after 1</w:t>
      </w:r>
      <w:r w:rsidR="00B9761A">
        <w:t> </w:t>
      </w:r>
      <w:r w:rsidR="00462A85" w:rsidRPr="00462A85">
        <w:t>July</w:t>
      </w:r>
      <w:r w:rsidR="00B9761A">
        <w:t> </w:t>
      </w:r>
      <w:r w:rsidR="00462A85">
        <w:t>2019</w:t>
      </w:r>
      <w:r>
        <w:t xml:space="preserve">. This transitional provision ensures that companies can benefit from the </w:t>
      </w:r>
      <w:r w:rsidR="009F28FC">
        <w:t xml:space="preserve">revised </w:t>
      </w:r>
      <w:r>
        <w:t xml:space="preserve">thresholds from the 2019-20 financial year onwards, including if they have substituted accounting periods. </w:t>
      </w:r>
    </w:p>
    <w:p w14:paraId="139E6564" w14:textId="77777777" w:rsidR="00AA3166" w:rsidRDefault="00AA3166" w:rsidP="00312311">
      <w:pPr>
        <w:keepNext/>
        <w:tabs>
          <w:tab w:val="left" w:pos="1987"/>
        </w:tabs>
        <w:spacing w:before="240"/>
        <w:jc w:val="center"/>
        <w:outlineLvl w:val="2"/>
        <w:rPr>
          <w:rFonts w:ascii="Helvetica" w:hAnsi="Helvetica"/>
          <w:b/>
          <w:kern w:val="28"/>
        </w:rPr>
      </w:pPr>
    </w:p>
    <w:p w14:paraId="402C9610" w14:textId="77777777" w:rsidR="00312311" w:rsidRPr="00717407" w:rsidRDefault="00312311" w:rsidP="00312311">
      <w:pPr>
        <w:keepNext/>
        <w:tabs>
          <w:tab w:val="left" w:pos="1987"/>
        </w:tabs>
        <w:spacing w:before="240"/>
        <w:jc w:val="center"/>
        <w:outlineLvl w:val="2"/>
        <w:rPr>
          <w:rFonts w:ascii="Helvetica" w:hAnsi="Helvetica"/>
          <w:b/>
          <w:kern w:val="28"/>
        </w:rPr>
      </w:pPr>
      <w:r w:rsidRPr="00717407">
        <w:rPr>
          <w:rFonts w:ascii="Helvetica" w:hAnsi="Helvetica"/>
          <w:b/>
          <w:kern w:val="28"/>
        </w:rPr>
        <w:t>Statement of Compatibility with Human Rights</w:t>
      </w:r>
    </w:p>
    <w:p w14:paraId="0985AB26" w14:textId="77777777" w:rsidR="00312311" w:rsidRPr="00717407" w:rsidRDefault="00312311" w:rsidP="00312311">
      <w:pPr>
        <w:jc w:val="center"/>
        <w:rPr>
          <w:i/>
        </w:rPr>
      </w:pPr>
      <w:r w:rsidRPr="00717407">
        <w:rPr>
          <w:i/>
        </w:rPr>
        <w:t>Prepared in accordance with Part 3 of the Human Rights (Parliamentary Scrutiny) Act 2011</w:t>
      </w:r>
    </w:p>
    <w:p w14:paraId="68038148" w14:textId="77777777" w:rsidR="00312311" w:rsidRPr="00717407" w:rsidRDefault="00312311" w:rsidP="00312311">
      <w:r w:rsidRPr="00717407">
        <w:t xml:space="preserve">This Legislative Instrument is compatible with the human rights and freedoms recognised or declared in the international instruments listed in section 3 of the </w:t>
      </w:r>
      <w:r w:rsidRPr="00717407">
        <w:rPr>
          <w:i/>
        </w:rPr>
        <w:t>Human Rights (Parliamentary Scrutiny) Act 2011</w:t>
      </w:r>
      <w:r w:rsidRPr="00717407">
        <w:t>.</w:t>
      </w:r>
    </w:p>
    <w:p w14:paraId="69839500" w14:textId="77777777" w:rsidR="00312311" w:rsidRPr="00717407" w:rsidRDefault="00312311" w:rsidP="00312311">
      <w:pPr>
        <w:keepNext/>
        <w:tabs>
          <w:tab w:val="left" w:pos="1987"/>
        </w:tabs>
        <w:outlineLvl w:val="3"/>
        <w:rPr>
          <w:b/>
          <w:kern w:val="28"/>
        </w:rPr>
      </w:pPr>
      <w:r w:rsidRPr="00717407">
        <w:rPr>
          <w:b/>
          <w:kern w:val="28"/>
        </w:rPr>
        <w:t>Overview of the Legislative Instrument</w:t>
      </w:r>
    </w:p>
    <w:p w14:paraId="77F805C7" w14:textId="5A76BAA3" w:rsidR="00312311" w:rsidRPr="00717407" w:rsidRDefault="00312311" w:rsidP="00312311">
      <w:r w:rsidRPr="00717407">
        <w:t xml:space="preserve">The Legislative Instrument </w:t>
      </w:r>
      <w:r w:rsidR="00992BB7">
        <w:t xml:space="preserve">doubles the thresholds for determining whether a company is a large or small proprietary company. </w:t>
      </w:r>
    </w:p>
    <w:p w14:paraId="010288E6" w14:textId="77777777" w:rsidR="00312311" w:rsidRPr="00717407" w:rsidRDefault="00312311" w:rsidP="00312311">
      <w:pPr>
        <w:keepNext/>
        <w:tabs>
          <w:tab w:val="left" w:pos="1987"/>
        </w:tabs>
        <w:outlineLvl w:val="3"/>
        <w:rPr>
          <w:b/>
          <w:kern w:val="28"/>
        </w:rPr>
      </w:pPr>
      <w:r w:rsidRPr="00717407">
        <w:rPr>
          <w:b/>
          <w:kern w:val="28"/>
        </w:rPr>
        <w:t>Human rights implications</w:t>
      </w:r>
    </w:p>
    <w:p w14:paraId="594A9EB8" w14:textId="77777777" w:rsidR="00312311" w:rsidRPr="00717407" w:rsidRDefault="00312311" w:rsidP="00312311">
      <w:r w:rsidRPr="00717407">
        <w:t>This Legislative Instrument does not engage any of the applicable rights or freedoms.</w:t>
      </w:r>
    </w:p>
    <w:p w14:paraId="1EB7D768" w14:textId="77777777" w:rsidR="00312311" w:rsidRPr="00717407" w:rsidRDefault="00312311" w:rsidP="00312311">
      <w:pPr>
        <w:keepNext/>
        <w:tabs>
          <w:tab w:val="left" w:pos="1987"/>
        </w:tabs>
        <w:outlineLvl w:val="3"/>
        <w:rPr>
          <w:b/>
          <w:kern w:val="28"/>
        </w:rPr>
      </w:pPr>
      <w:r w:rsidRPr="00717407">
        <w:rPr>
          <w:b/>
          <w:kern w:val="28"/>
        </w:rPr>
        <w:t>Conclusion</w:t>
      </w:r>
    </w:p>
    <w:p w14:paraId="0DCF7891" w14:textId="77777777" w:rsidR="00312311" w:rsidRPr="00717407" w:rsidRDefault="00312311" w:rsidP="00312311">
      <w:r w:rsidRPr="00717407">
        <w:t>This Legislative Instrument is compatible with human rights as it does not raise any human rights issues.</w:t>
      </w:r>
    </w:p>
    <w:p w14:paraId="2E30890E" w14:textId="2E39E076" w:rsidR="00493EDD" w:rsidRPr="00B43350" w:rsidRDefault="00493EDD" w:rsidP="00312311">
      <w:pPr>
        <w:spacing w:before="240"/>
      </w:pPr>
    </w:p>
    <w:sectPr w:rsidR="00493EDD" w:rsidRPr="00B4335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BDE0F" w14:textId="77777777" w:rsidR="0099573C" w:rsidRDefault="0099573C" w:rsidP="00954679">
      <w:pPr>
        <w:spacing w:before="0" w:after="0"/>
      </w:pPr>
      <w:r>
        <w:separator/>
      </w:r>
    </w:p>
  </w:endnote>
  <w:endnote w:type="continuationSeparator" w:id="0">
    <w:p w14:paraId="0A461CF2" w14:textId="77777777" w:rsidR="0099573C" w:rsidRDefault="0099573C" w:rsidP="00954679">
      <w:pPr>
        <w:spacing w:before="0" w:after="0"/>
      </w:pPr>
      <w:r>
        <w:continuationSeparator/>
      </w:r>
    </w:p>
  </w:endnote>
  <w:endnote w:type="continuationNotice" w:id="1">
    <w:p w14:paraId="776A2EF4" w14:textId="77777777" w:rsidR="0099573C" w:rsidRDefault="009957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5C3614F" w14:textId="77777777" w:rsidR="0099573C" w:rsidRDefault="0099573C"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50722">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50722">
              <w:rPr>
                <w:bCs/>
                <w:noProof/>
              </w:rPr>
              <w:t>5</w:t>
            </w:r>
            <w:r w:rsidRPr="00954679">
              <w:rPr>
                <w:bCs/>
                <w:szCs w:val="24"/>
              </w:rPr>
              <w:fldChar w:fldCharType="end"/>
            </w:r>
          </w:p>
        </w:sdtContent>
      </w:sdt>
    </w:sdtContent>
  </w:sdt>
  <w:p w14:paraId="7378EE36" w14:textId="77777777" w:rsidR="0099573C" w:rsidRDefault="00995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020AF" w14:textId="77777777" w:rsidR="0099573C" w:rsidRDefault="0099573C" w:rsidP="00954679">
      <w:pPr>
        <w:spacing w:before="0" w:after="0"/>
      </w:pPr>
      <w:r>
        <w:separator/>
      </w:r>
    </w:p>
  </w:footnote>
  <w:footnote w:type="continuationSeparator" w:id="0">
    <w:p w14:paraId="47A97ADD" w14:textId="77777777" w:rsidR="0099573C" w:rsidRDefault="0099573C" w:rsidP="00954679">
      <w:pPr>
        <w:spacing w:before="0" w:after="0"/>
      </w:pPr>
      <w:r>
        <w:continuationSeparator/>
      </w:r>
    </w:p>
  </w:footnote>
  <w:footnote w:type="continuationNotice" w:id="1">
    <w:p w14:paraId="387ACAFE" w14:textId="77777777" w:rsidR="0099573C" w:rsidRDefault="0099573C">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6000000"/>
    <w:multiLevelType w:val="multilevel"/>
    <w:tmpl w:val="7F6610C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7552C0"/>
    <w:multiLevelType w:val="singleLevel"/>
    <w:tmpl w:val="BBF66F10"/>
    <w:lvl w:ilvl="0">
      <w:start w:val="1"/>
      <w:numFmt w:val="bullet"/>
      <w:pStyle w:val="Dotpoint"/>
      <w:lvlText w:val=""/>
      <w:lvlJc w:val="left"/>
      <w:pPr>
        <w:tabs>
          <w:tab w:val="num" w:pos="786"/>
        </w:tabs>
        <w:ind w:left="786" w:hanging="360"/>
      </w:pPr>
      <w:rPr>
        <w:rFonts w:ascii="Symbol" w:hAnsi="Symbol" w:hint="default"/>
        <w:sz w:val="24"/>
      </w:rPr>
    </w:lvl>
  </w:abstractNum>
  <w:abstractNum w:abstractNumId="4">
    <w:nsid w:val="38C655BD"/>
    <w:multiLevelType w:val="multilevel"/>
    <w:tmpl w:val="AE021DC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E13113F"/>
    <w:multiLevelType w:val="multilevel"/>
    <w:tmpl w:val="F9E20BC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E7A1676"/>
    <w:multiLevelType w:val="multilevel"/>
    <w:tmpl w:val="B504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A43C0B"/>
    <w:multiLevelType w:val="multilevel"/>
    <w:tmpl w:val="CA08321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0A"/>
    <w:rsid w:val="00002935"/>
    <w:rsid w:val="00003C06"/>
    <w:rsid w:val="00007D3A"/>
    <w:rsid w:val="0001598F"/>
    <w:rsid w:val="000163D7"/>
    <w:rsid w:val="00016EA2"/>
    <w:rsid w:val="00020B8A"/>
    <w:rsid w:val="00020C89"/>
    <w:rsid w:val="000304C8"/>
    <w:rsid w:val="00031740"/>
    <w:rsid w:val="000351B2"/>
    <w:rsid w:val="00044A1E"/>
    <w:rsid w:val="00046BBB"/>
    <w:rsid w:val="0005042B"/>
    <w:rsid w:val="0005579A"/>
    <w:rsid w:val="00055E44"/>
    <w:rsid w:val="000572BA"/>
    <w:rsid w:val="000605F0"/>
    <w:rsid w:val="000606F9"/>
    <w:rsid w:val="00061271"/>
    <w:rsid w:val="00062E90"/>
    <w:rsid w:val="00064C43"/>
    <w:rsid w:val="00067F5E"/>
    <w:rsid w:val="0007087D"/>
    <w:rsid w:val="0007110E"/>
    <w:rsid w:val="00071B12"/>
    <w:rsid w:val="000769D8"/>
    <w:rsid w:val="00084965"/>
    <w:rsid w:val="000904AA"/>
    <w:rsid w:val="0009139D"/>
    <w:rsid w:val="00091648"/>
    <w:rsid w:val="0009295C"/>
    <w:rsid w:val="00095211"/>
    <w:rsid w:val="000A404D"/>
    <w:rsid w:val="000A562C"/>
    <w:rsid w:val="000B0290"/>
    <w:rsid w:val="000B0E43"/>
    <w:rsid w:val="000B1C23"/>
    <w:rsid w:val="000B2C88"/>
    <w:rsid w:val="000B749A"/>
    <w:rsid w:val="000C0098"/>
    <w:rsid w:val="000C10DF"/>
    <w:rsid w:val="000C172D"/>
    <w:rsid w:val="000C313E"/>
    <w:rsid w:val="000C33B4"/>
    <w:rsid w:val="000C3DDC"/>
    <w:rsid w:val="000C3ED0"/>
    <w:rsid w:val="000C4D36"/>
    <w:rsid w:val="000D5ED2"/>
    <w:rsid w:val="000D760F"/>
    <w:rsid w:val="000D76AF"/>
    <w:rsid w:val="000D781B"/>
    <w:rsid w:val="000E4DD1"/>
    <w:rsid w:val="000E75EB"/>
    <w:rsid w:val="000E779A"/>
    <w:rsid w:val="000F65A2"/>
    <w:rsid w:val="000F72D5"/>
    <w:rsid w:val="000F7CE4"/>
    <w:rsid w:val="001004DE"/>
    <w:rsid w:val="00104A9F"/>
    <w:rsid w:val="0010626B"/>
    <w:rsid w:val="00113B45"/>
    <w:rsid w:val="00114280"/>
    <w:rsid w:val="001225EB"/>
    <w:rsid w:val="00123E2B"/>
    <w:rsid w:val="00134BDC"/>
    <w:rsid w:val="001352D8"/>
    <w:rsid w:val="00135B08"/>
    <w:rsid w:val="00135B26"/>
    <w:rsid w:val="00140147"/>
    <w:rsid w:val="00145AFC"/>
    <w:rsid w:val="00146EB5"/>
    <w:rsid w:val="00147DF8"/>
    <w:rsid w:val="0015125F"/>
    <w:rsid w:val="00152E04"/>
    <w:rsid w:val="001559E4"/>
    <w:rsid w:val="001616CD"/>
    <w:rsid w:val="00162ED3"/>
    <w:rsid w:val="00165140"/>
    <w:rsid w:val="0016572E"/>
    <w:rsid w:val="00175B58"/>
    <w:rsid w:val="00176990"/>
    <w:rsid w:val="001779B4"/>
    <w:rsid w:val="001824AE"/>
    <w:rsid w:val="00184B90"/>
    <w:rsid w:val="00190F9A"/>
    <w:rsid w:val="00191F93"/>
    <w:rsid w:val="00192A85"/>
    <w:rsid w:val="001A1AA4"/>
    <w:rsid w:val="001A1AA7"/>
    <w:rsid w:val="001A2E00"/>
    <w:rsid w:val="001A32F2"/>
    <w:rsid w:val="001A436A"/>
    <w:rsid w:val="001B4DAF"/>
    <w:rsid w:val="001B5713"/>
    <w:rsid w:val="001B7B2D"/>
    <w:rsid w:val="001C1F39"/>
    <w:rsid w:val="001C2246"/>
    <w:rsid w:val="001C3AE0"/>
    <w:rsid w:val="001C42C9"/>
    <w:rsid w:val="001C44F6"/>
    <w:rsid w:val="001C7313"/>
    <w:rsid w:val="001C7332"/>
    <w:rsid w:val="001D0447"/>
    <w:rsid w:val="001D0801"/>
    <w:rsid w:val="001D7248"/>
    <w:rsid w:val="001E41A7"/>
    <w:rsid w:val="001E54BE"/>
    <w:rsid w:val="001E5A06"/>
    <w:rsid w:val="001E5E31"/>
    <w:rsid w:val="001E6A74"/>
    <w:rsid w:val="001F41D0"/>
    <w:rsid w:val="001F5071"/>
    <w:rsid w:val="0020062E"/>
    <w:rsid w:val="002038F3"/>
    <w:rsid w:val="00204CF4"/>
    <w:rsid w:val="00206075"/>
    <w:rsid w:val="00210796"/>
    <w:rsid w:val="00213178"/>
    <w:rsid w:val="00220F16"/>
    <w:rsid w:val="002213D1"/>
    <w:rsid w:val="002338ED"/>
    <w:rsid w:val="002356F3"/>
    <w:rsid w:val="0023787F"/>
    <w:rsid w:val="00242F03"/>
    <w:rsid w:val="00243F91"/>
    <w:rsid w:val="00247C65"/>
    <w:rsid w:val="00254C5B"/>
    <w:rsid w:val="0025564D"/>
    <w:rsid w:val="002556E6"/>
    <w:rsid w:val="002558D8"/>
    <w:rsid w:val="00255930"/>
    <w:rsid w:val="00257008"/>
    <w:rsid w:val="00262AFC"/>
    <w:rsid w:val="002646FA"/>
    <w:rsid w:val="00264B18"/>
    <w:rsid w:val="00265523"/>
    <w:rsid w:val="0026670D"/>
    <w:rsid w:val="00273617"/>
    <w:rsid w:val="00277F82"/>
    <w:rsid w:val="00283B2E"/>
    <w:rsid w:val="00283BCC"/>
    <w:rsid w:val="002878CF"/>
    <w:rsid w:val="00290B5A"/>
    <w:rsid w:val="0029537C"/>
    <w:rsid w:val="002A161E"/>
    <w:rsid w:val="002A3273"/>
    <w:rsid w:val="002A79BE"/>
    <w:rsid w:val="002B3E83"/>
    <w:rsid w:val="002D49E3"/>
    <w:rsid w:val="002E57D5"/>
    <w:rsid w:val="002E5A7D"/>
    <w:rsid w:val="002E63F1"/>
    <w:rsid w:val="002F1FAB"/>
    <w:rsid w:val="002F32D9"/>
    <w:rsid w:val="002F42E5"/>
    <w:rsid w:val="002F6C76"/>
    <w:rsid w:val="00303AB2"/>
    <w:rsid w:val="00306911"/>
    <w:rsid w:val="00312311"/>
    <w:rsid w:val="003148E1"/>
    <w:rsid w:val="00316781"/>
    <w:rsid w:val="00322E1D"/>
    <w:rsid w:val="00325951"/>
    <w:rsid w:val="00325977"/>
    <w:rsid w:val="003342CD"/>
    <w:rsid w:val="00335042"/>
    <w:rsid w:val="003353A0"/>
    <w:rsid w:val="003364A2"/>
    <w:rsid w:val="00336F6E"/>
    <w:rsid w:val="003446DF"/>
    <w:rsid w:val="003517EE"/>
    <w:rsid w:val="003558BC"/>
    <w:rsid w:val="00360B6C"/>
    <w:rsid w:val="00362520"/>
    <w:rsid w:val="00362B70"/>
    <w:rsid w:val="00366532"/>
    <w:rsid w:val="00367647"/>
    <w:rsid w:val="0037237E"/>
    <w:rsid w:val="00375BFD"/>
    <w:rsid w:val="00376348"/>
    <w:rsid w:val="00384095"/>
    <w:rsid w:val="003847E8"/>
    <w:rsid w:val="0039166A"/>
    <w:rsid w:val="00392A41"/>
    <w:rsid w:val="00392BBA"/>
    <w:rsid w:val="003954FD"/>
    <w:rsid w:val="0039610F"/>
    <w:rsid w:val="003A0CA9"/>
    <w:rsid w:val="003A1058"/>
    <w:rsid w:val="003A1159"/>
    <w:rsid w:val="003A38F4"/>
    <w:rsid w:val="003A758B"/>
    <w:rsid w:val="003A7C80"/>
    <w:rsid w:val="003B0562"/>
    <w:rsid w:val="003B212F"/>
    <w:rsid w:val="003C2B0D"/>
    <w:rsid w:val="003C657D"/>
    <w:rsid w:val="003C7A1F"/>
    <w:rsid w:val="003D7800"/>
    <w:rsid w:val="003E096E"/>
    <w:rsid w:val="003E1CE3"/>
    <w:rsid w:val="003E3786"/>
    <w:rsid w:val="003E42A2"/>
    <w:rsid w:val="003E694C"/>
    <w:rsid w:val="003F2E37"/>
    <w:rsid w:val="003F3822"/>
    <w:rsid w:val="003F7CC5"/>
    <w:rsid w:val="004015F2"/>
    <w:rsid w:val="00402085"/>
    <w:rsid w:val="004122D3"/>
    <w:rsid w:val="00417E92"/>
    <w:rsid w:val="00420050"/>
    <w:rsid w:val="00422C32"/>
    <w:rsid w:val="004241AB"/>
    <w:rsid w:val="00430E5B"/>
    <w:rsid w:val="0043467E"/>
    <w:rsid w:val="004420BB"/>
    <w:rsid w:val="00443431"/>
    <w:rsid w:val="00446932"/>
    <w:rsid w:val="00446F91"/>
    <w:rsid w:val="00447C17"/>
    <w:rsid w:val="00456C0E"/>
    <w:rsid w:val="00462095"/>
    <w:rsid w:val="00462A85"/>
    <w:rsid w:val="00462B7A"/>
    <w:rsid w:val="00463834"/>
    <w:rsid w:val="00464933"/>
    <w:rsid w:val="00466E64"/>
    <w:rsid w:val="00472ED1"/>
    <w:rsid w:val="004748BF"/>
    <w:rsid w:val="00477920"/>
    <w:rsid w:val="00480D1C"/>
    <w:rsid w:val="00481965"/>
    <w:rsid w:val="00482DFC"/>
    <w:rsid w:val="00483337"/>
    <w:rsid w:val="00483A10"/>
    <w:rsid w:val="0048566E"/>
    <w:rsid w:val="00485E5E"/>
    <w:rsid w:val="004863AC"/>
    <w:rsid w:val="004935DA"/>
    <w:rsid w:val="00493EDD"/>
    <w:rsid w:val="00495B28"/>
    <w:rsid w:val="00497310"/>
    <w:rsid w:val="004A1782"/>
    <w:rsid w:val="004A399F"/>
    <w:rsid w:val="004A3D9C"/>
    <w:rsid w:val="004A5470"/>
    <w:rsid w:val="004A65CB"/>
    <w:rsid w:val="004B2908"/>
    <w:rsid w:val="004B3C0F"/>
    <w:rsid w:val="004C05E4"/>
    <w:rsid w:val="004C4D60"/>
    <w:rsid w:val="004C4DC3"/>
    <w:rsid w:val="004C6FE7"/>
    <w:rsid w:val="004C70B2"/>
    <w:rsid w:val="004D133E"/>
    <w:rsid w:val="004D38BF"/>
    <w:rsid w:val="004D5951"/>
    <w:rsid w:val="004D67CD"/>
    <w:rsid w:val="004D685B"/>
    <w:rsid w:val="004E0F55"/>
    <w:rsid w:val="004E24FB"/>
    <w:rsid w:val="004E2ECC"/>
    <w:rsid w:val="004E39E1"/>
    <w:rsid w:val="004E4407"/>
    <w:rsid w:val="004E529B"/>
    <w:rsid w:val="004E608E"/>
    <w:rsid w:val="004F598B"/>
    <w:rsid w:val="0050066E"/>
    <w:rsid w:val="00503E44"/>
    <w:rsid w:val="00504CA4"/>
    <w:rsid w:val="0050698C"/>
    <w:rsid w:val="00514C2F"/>
    <w:rsid w:val="00515283"/>
    <w:rsid w:val="00517356"/>
    <w:rsid w:val="00517DBF"/>
    <w:rsid w:val="005204A0"/>
    <w:rsid w:val="00520ACF"/>
    <w:rsid w:val="00522551"/>
    <w:rsid w:val="005232C7"/>
    <w:rsid w:val="0052341D"/>
    <w:rsid w:val="00525693"/>
    <w:rsid w:val="00533926"/>
    <w:rsid w:val="00535CA5"/>
    <w:rsid w:val="00543A22"/>
    <w:rsid w:val="00544B72"/>
    <w:rsid w:val="00545A2D"/>
    <w:rsid w:val="0055491C"/>
    <w:rsid w:val="00554AD9"/>
    <w:rsid w:val="0055621C"/>
    <w:rsid w:val="0055675D"/>
    <w:rsid w:val="00561BB8"/>
    <w:rsid w:val="00564D9B"/>
    <w:rsid w:val="005662AA"/>
    <w:rsid w:val="00566E8F"/>
    <w:rsid w:val="005679A2"/>
    <w:rsid w:val="00577CA6"/>
    <w:rsid w:val="00577E75"/>
    <w:rsid w:val="005833BE"/>
    <w:rsid w:val="00585A87"/>
    <w:rsid w:val="00586197"/>
    <w:rsid w:val="0058729B"/>
    <w:rsid w:val="00591C23"/>
    <w:rsid w:val="00592B28"/>
    <w:rsid w:val="00593B39"/>
    <w:rsid w:val="0059636A"/>
    <w:rsid w:val="00596E7A"/>
    <w:rsid w:val="005A227C"/>
    <w:rsid w:val="005A33B4"/>
    <w:rsid w:val="005A740F"/>
    <w:rsid w:val="005B04CC"/>
    <w:rsid w:val="005B32EE"/>
    <w:rsid w:val="005B3B06"/>
    <w:rsid w:val="005B3FA5"/>
    <w:rsid w:val="005B666D"/>
    <w:rsid w:val="005B786B"/>
    <w:rsid w:val="005C0973"/>
    <w:rsid w:val="005C1120"/>
    <w:rsid w:val="005C2664"/>
    <w:rsid w:val="005C4949"/>
    <w:rsid w:val="005C4C05"/>
    <w:rsid w:val="005C7A2B"/>
    <w:rsid w:val="005D259B"/>
    <w:rsid w:val="005D412D"/>
    <w:rsid w:val="005D41FF"/>
    <w:rsid w:val="005D6D20"/>
    <w:rsid w:val="005D7D5A"/>
    <w:rsid w:val="005E3854"/>
    <w:rsid w:val="005E4BAC"/>
    <w:rsid w:val="005E55C1"/>
    <w:rsid w:val="005E6188"/>
    <w:rsid w:val="005E6A22"/>
    <w:rsid w:val="005F4720"/>
    <w:rsid w:val="005F4B0F"/>
    <w:rsid w:val="005F6707"/>
    <w:rsid w:val="0060130D"/>
    <w:rsid w:val="006037F0"/>
    <w:rsid w:val="00612303"/>
    <w:rsid w:val="006127DF"/>
    <w:rsid w:val="006224F0"/>
    <w:rsid w:val="00624004"/>
    <w:rsid w:val="006260DD"/>
    <w:rsid w:val="006276E6"/>
    <w:rsid w:val="0063081A"/>
    <w:rsid w:val="00632E2C"/>
    <w:rsid w:val="0064129F"/>
    <w:rsid w:val="006453D3"/>
    <w:rsid w:val="006470B8"/>
    <w:rsid w:val="00647BB7"/>
    <w:rsid w:val="00661690"/>
    <w:rsid w:val="00663C29"/>
    <w:rsid w:val="0066411B"/>
    <w:rsid w:val="00667AA7"/>
    <w:rsid w:val="006725EF"/>
    <w:rsid w:val="006752ED"/>
    <w:rsid w:val="00685CA6"/>
    <w:rsid w:val="00693FDC"/>
    <w:rsid w:val="00697821"/>
    <w:rsid w:val="006A0786"/>
    <w:rsid w:val="006A0960"/>
    <w:rsid w:val="006B26C8"/>
    <w:rsid w:val="006B435F"/>
    <w:rsid w:val="006B7C3B"/>
    <w:rsid w:val="006C35BB"/>
    <w:rsid w:val="006C4B3F"/>
    <w:rsid w:val="006D5054"/>
    <w:rsid w:val="006D58C4"/>
    <w:rsid w:val="006D66F8"/>
    <w:rsid w:val="006D7E6C"/>
    <w:rsid w:val="006E5FD6"/>
    <w:rsid w:val="006F04C0"/>
    <w:rsid w:val="006F2C5F"/>
    <w:rsid w:val="006F3458"/>
    <w:rsid w:val="006F4486"/>
    <w:rsid w:val="0070255F"/>
    <w:rsid w:val="00707856"/>
    <w:rsid w:val="0071304A"/>
    <w:rsid w:val="00715ADA"/>
    <w:rsid w:val="00715E06"/>
    <w:rsid w:val="00715E16"/>
    <w:rsid w:val="00716A78"/>
    <w:rsid w:val="00717407"/>
    <w:rsid w:val="00722ED9"/>
    <w:rsid w:val="00723AD4"/>
    <w:rsid w:val="00727CB2"/>
    <w:rsid w:val="0073324D"/>
    <w:rsid w:val="007362D4"/>
    <w:rsid w:val="00736F61"/>
    <w:rsid w:val="0073780F"/>
    <w:rsid w:val="00744EB2"/>
    <w:rsid w:val="00745359"/>
    <w:rsid w:val="00745B3F"/>
    <w:rsid w:val="00747A51"/>
    <w:rsid w:val="00750930"/>
    <w:rsid w:val="00750C92"/>
    <w:rsid w:val="007520ED"/>
    <w:rsid w:val="00757D2A"/>
    <w:rsid w:val="00762C89"/>
    <w:rsid w:val="0076338D"/>
    <w:rsid w:val="00764B76"/>
    <w:rsid w:val="007662C7"/>
    <w:rsid w:val="00770FC5"/>
    <w:rsid w:val="00773EDA"/>
    <w:rsid w:val="00774048"/>
    <w:rsid w:val="007755B2"/>
    <w:rsid w:val="00776306"/>
    <w:rsid w:val="00780BDD"/>
    <w:rsid w:val="007841B5"/>
    <w:rsid w:val="00784DF4"/>
    <w:rsid w:val="00787931"/>
    <w:rsid w:val="00787E1D"/>
    <w:rsid w:val="00790597"/>
    <w:rsid w:val="0079332D"/>
    <w:rsid w:val="00795248"/>
    <w:rsid w:val="007A27C9"/>
    <w:rsid w:val="007A3764"/>
    <w:rsid w:val="007A580D"/>
    <w:rsid w:val="007B1F10"/>
    <w:rsid w:val="007B3D15"/>
    <w:rsid w:val="007B5A70"/>
    <w:rsid w:val="007C25F3"/>
    <w:rsid w:val="007C366C"/>
    <w:rsid w:val="007C4BFD"/>
    <w:rsid w:val="007D157A"/>
    <w:rsid w:val="007D2E10"/>
    <w:rsid w:val="007D4C03"/>
    <w:rsid w:val="007D77D1"/>
    <w:rsid w:val="007E018D"/>
    <w:rsid w:val="007E15B3"/>
    <w:rsid w:val="007E2A25"/>
    <w:rsid w:val="007E7DF0"/>
    <w:rsid w:val="007F1A60"/>
    <w:rsid w:val="007F1B71"/>
    <w:rsid w:val="007F379C"/>
    <w:rsid w:val="007F418A"/>
    <w:rsid w:val="007F5B67"/>
    <w:rsid w:val="007F76B6"/>
    <w:rsid w:val="007F7CD7"/>
    <w:rsid w:val="00804FAC"/>
    <w:rsid w:val="00807089"/>
    <w:rsid w:val="00807B4D"/>
    <w:rsid w:val="00807E7D"/>
    <w:rsid w:val="00810ADD"/>
    <w:rsid w:val="0081373B"/>
    <w:rsid w:val="0081426F"/>
    <w:rsid w:val="00816F95"/>
    <w:rsid w:val="00820225"/>
    <w:rsid w:val="00821332"/>
    <w:rsid w:val="00822102"/>
    <w:rsid w:val="00827921"/>
    <w:rsid w:val="00831675"/>
    <w:rsid w:val="00832DCE"/>
    <w:rsid w:val="0083357B"/>
    <w:rsid w:val="00833707"/>
    <w:rsid w:val="00840532"/>
    <w:rsid w:val="00841E58"/>
    <w:rsid w:val="00843E11"/>
    <w:rsid w:val="00843E7B"/>
    <w:rsid w:val="00845F90"/>
    <w:rsid w:val="00854612"/>
    <w:rsid w:val="00854AB4"/>
    <w:rsid w:val="008625CF"/>
    <w:rsid w:val="00863AF6"/>
    <w:rsid w:val="00864C25"/>
    <w:rsid w:val="0086580C"/>
    <w:rsid w:val="00866534"/>
    <w:rsid w:val="0087524B"/>
    <w:rsid w:val="0088467C"/>
    <w:rsid w:val="00884C46"/>
    <w:rsid w:val="00884D07"/>
    <w:rsid w:val="00885F9C"/>
    <w:rsid w:val="008921E6"/>
    <w:rsid w:val="00894579"/>
    <w:rsid w:val="008A04DC"/>
    <w:rsid w:val="008A10E7"/>
    <w:rsid w:val="008A1475"/>
    <w:rsid w:val="008A5B67"/>
    <w:rsid w:val="008A6956"/>
    <w:rsid w:val="008B210F"/>
    <w:rsid w:val="008C2B8B"/>
    <w:rsid w:val="008C54C2"/>
    <w:rsid w:val="008C557C"/>
    <w:rsid w:val="008C56B6"/>
    <w:rsid w:val="008C5A58"/>
    <w:rsid w:val="008C6205"/>
    <w:rsid w:val="008C6C34"/>
    <w:rsid w:val="008C7FA1"/>
    <w:rsid w:val="008D16F7"/>
    <w:rsid w:val="008D1AA7"/>
    <w:rsid w:val="008D617C"/>
    <w:rsid w:val="008D7F66"/>
    <w:rsid w:val="008E3B24"/>
    <w:rsid w:val="008E4B19"/>
    <w:rsid w:val="008E5908"/>
    <w:rsid w:val="00901B3A"/>
    <w:rsid w:val="00901F04"/>
    <w:rsid w:val="009024DA"/>
    <w:rsid w:val="009025F3"/>
    <w:rsid w:val="00911D47"/>
    <w:rsid w:val="00911DD2"/>
    <w:rsid w:val="009143A0"/>
    <w:rsid w:val="009168AC"/>
    <w:rsid w:val="00916DF3"/>
    <w:rsid w:val="00924E2B"/>
    <w:rsid w:val="00931D14"/>
    <w:rsid w:val="00936470"/>
    <w:rsid w:val="00941515"/>
    <w:rsid w:val="00946E05"/>
    <w:rsid w:val="00946EDD"/>
    <w:rsid w:val="00947BA9"/>
    <w:rsid w:val="00950722"/>
    <w:rsid w:val="00954679"/>
    <w:rsid w:val="00957704"/>
    <w:rsid w:val="009608AB"/>
    <w:rsid w:val="009610D1"/>
    <w:rsid w:val="009621CA"/>
    <w:rsid w:val="00972894"/>
    <w:rsid w:val="00974A1C"/>
    <w:rsid w:val="00975C1C"/>
    <w:rsid w:val="00984491"/>
    <w:rsid w:val="009919F1"/>
    <w:rsid w:val="00992BB7"/>
    <w:rsid w:val="00994FE8"/>
    <w:rsid w:val="0099573C"/>
    <w:rsid w:val="00996497"/>
    <w:rsid w:val="009A0719"/>
    <w:rsid w:val="009A247F"/>
    <w:rsid w:val="009A6D4B"/>
    <w:rsid w:val="009A7E58"/>
    <w:rsid w:val="009B145A"/>
    <w:rsid w:val="009B1471"/>
    <w:rsid w:val="009B3C74"/>
    <w:rsid w:val="009C05EA"/>
    <w:rsid w:val="009C19A2"/>
    <w:rsid w:val="009C5597"/>
    <w:rsid w:val="009D1287"/>
    <w:rsid w:val="009D3BB5"/>
    <w:rsid w:val="009D4530"/>
    <w:rsid w:val="009E1CC2"/>
    <w:rsid w:val="009E2F86"/>
    <w:rsid w:val="009E6598"/>
    <w:rsid w:val="009E7CDB"/>
    <w:rsid w:val="009F095C"/>
    <w:rsid w:val="009F28FC"/>
    <w:rsid w:val="009F7879"/>
    <w:rsid w:val="00A00454"/>
    <w:rsid w:val="00A02CF6"/>
    <w:rsid w:val="00A0359E"/>
    <w:rsid w:val="00A06731"/>
    <w:rsid w:val="00A06BF9"/>
    <w:rsid w:val="00A12209"/>
    <w:rsid w:val="00A13D93"/>
    <w:rsid w:val="00A15186"/>
    <w:rsid w:val="00A16074"/>
    <w:rsid w:val="00A27303"/>
    <w:rsid w:val="00A274BE"/>
    <w:rsid w:val="00A27BB3"/>
    <w:rsid w:val="00A3165B"/>
    <w:rsid w:val="00A330B8"/>
    <w:rsid w:val="00A36DF3"/>
    <w:rsid w:val="00A40820"/>
    <w:rsid w:val="00A45987"/>
    <w:rsid w:val="00A52399"/>
    <w:rsid w:val="00A532DD"/>
    <w:rsid w:val="00A54CC5"/>
    <w:rsid w:val="00A600C1"/>
    <w:rsid w:val="00A644FE"/>
    <w:rsid w:val="00A644FF"/>
    <w:rsid w:val="00A70A81"/>
    <w:rsid w:val="00A73923"/>
    <w:rsid w:val="00A75B2D"/>
    <w:rsid w:val="00A770D1"/>
    <w:rsid w:val="00A80BCF"/>
    <w:rsid w:val="00A8309C"/>
    <w:rsid w:val="00A8369C"/>
    <w:rsid w:val="00A83857"/>
    <w:rsid w:val="00A854EE"/>
    <w:rsid w:val="00A97EC0"/>
    <w:rsid w:val="00AA077A"/>
    <w:rsid w:val="00AA1689"/>
    <w:rsid w:val="00AA1806"/>
    <w:rsid w:val="00AA20FB"/>
    <w:rsid w:val="00AA3166"/>
    <w:rsid w:val="00AA68B9"/>
    <w:rsid w:val="00AB045B"/>
    <w:rsid w:val="00AB393B"/>
    <w:rsid w:val="00AC1C1D"/>
    <w:rsid w:val="00AC1D15"/>
    <w:rsid w:val="00AC1F77"/>
    <w:rsid w:val="00AC6AD5"/>
    <w:rsid w:val="00AC731F"/>
    <w:rsid w:val="00AE34F4"/>
    <w:rsid w:val="00AE3743"/>
    <w:rsid w:val="00AE3B00"/>
    <w:rsid w:val="00AE523A"/>
    <w:rsid w:val="00AE53C8"/>
    <w:rsid w:val="00AF1161"/>
    <w:rsid w:val="00AF4A36"/>
    <w:rsid w:val="00AF4A37"/>
    <w:rsid w:val="00AF5545"/>
    <w:rsid w:val="00B034F9"/>
    <w:rsid w:val="00B07B0C"/>
    <w:rsid w:val="00B16836"/>
    <w:rsid w:val="00B227AC"/>
    <w:rsid w:val="00B24873"/>
    <w:rsid w:val="00B25563"/>
    <w:rsid w:val="00B26D48"/>
    <w:rsid w:val="00B30073"/>
    <w:rsid w:val="00B30124"/>
    <w:rsid w:val="00B30876"/>
    <w:rsid w:val="00B308EF"/>
    <w:rsid w:val="00B322A9"/>
    <w:rsid w:val="00B36033"/>
    <w:rsid w:val="00B3753D"/>
    <w:rsid w:val="00B37B09"/>
    <w:rsid w:val="00B37B32"/>
    <w:rsid w:val="00B37D48"/>
    <w:rsid w:val="00B42EE1"/>
    <w:rsid w:val="00B43350"/>
    <w:rsid w:val="00B44EAA"/>
    <w:rsid w:val="00B522E4"/>
    <w:rsid w:val="00B52C12"/>
    <w:rsid w:val="00B52E7A"/>
    <w:rsid w:val="00B62D4C"/>
    <w:rsid w:val="00B662FE"/>
    <w:rsid w:val="00B7392B"/>
    <w:rsid w:val="00B74485"/>
    <w:rsid w:val="00B74865"/>
    <w:rsid w:val="00B761A0"/>
    <w:rsid w:val="00B7643D"/>
    <w:rsid w:val="00B835F3"/>
    <w:rsid w:val="00B92478"/>
    <w:rsid w:val="00B93C0A"/>
    <w:rsid w:val="00B95DCC"/>
    <w:rsid w:val="00B96FB7"/>
    <w:rsid w:val="00B9761A"/>
    <w:rsid w:val="00BA5911"/>
    <w:rsid w:val="00BA5E99"/>
    <w:rsid w:val="00BA7BF4"/>
    <w:rsid w:val="00BB04D7"/>
    <w:rsid w:val="00BB3E71"/>
    <w:rsid w:val="00BB5E35"/>
    <w:rsid w:val="00BB752D"/>
    <w:rsid w:val="00BC13EA"/>
    <w:rsid w:val="00BC36B4"/>
    <w:rsid w:val="00BD2DD4"/>
    <w:rsid w:val="00BD61A2"/>
    <w:rsid w:val="00BD69E5"/>
    <w:rsid w:val="00BE1186"/>
    <w:rsid w:val="00BE1C93"/>
    <w:rsid w:val="00BE2A32"/>
    <w:rsid w:val="00BE2E50"/>
    <w:rsid w:val="00BE484D"/>
    <w:rsid w:val="00BE7B00"/>
    <w:rsid w:val="00BF7668"/>
    <w:rsid w:val="00C07200"/>
    <w:rsid w:val="00C10084"/>
    <w:rsid w:val="00C14C65"/>
    <w:rsid w:val="00C16CE7"/>
    <w:rsid w:val="00C22C25"/>
    <w:rsid w:val="00C330FD"/>
    <w:rsid w:val="00C3419A"/>
    <w:rsid w:val="00C35801"/>
    <w:rsid w:val="00C36DF5"/>
    <w:rsid w:val="00C37E05"/>
    <w:rsid w:val="00C4109B"/>
    <w:rsid w:val="00C4137B"/>
    <w:rsid w:val="00C42704"/>
    <w:rsid w:val="00C4447B"/>
    <w:rsid w:val="00C4710A"/>
    <w:rsid w:val="00C53156"/>
    <w:rsid w:val="00C55533"/>
    <w:rsid w:val="00C55D29"/>
    <w:rsid w:val="00C57B3A"/>
    <w:rsid w:val="00C60DFA"/>
    <w:rsid w:val="00C610A1"/>
    <w:rsid w:val="00C61AB5"/>
    <w:rsid w:val="00C71B04"/>
    <w:rsid w:val="00C720EB"/>
    <w:rsid w:val="00C72332"/>
    <w:rsid w:val="00C72956"/>
    <w:rsid w:val="00C75678"/>
    <w:rsid w:val="00C802F7"/>
    <w:rsid w:val="00C85918"/>
    <w:rsid w:val="00C90069"/>
    <w:rsid w:val="00C9232B"/>
    <w:rsid w:val="00C94230"/>
    <w:rsid w:val="00C97138"/>
    <w:rsid w:val="00CA0BE9"/>
    <w:rsid w:val="00CA138D"/>
    <w:rsid w:val="00CA563B"/>
    <w:rsid w:val="00CA59A4"/>
    <w:rsid w:val="00CA65CD"/>
    <w:rsid w:val="00CA7093"/>
    <w:rsid w:val="00CA7CF9"/>
    <w:rsid w:val="00CA7E05"/>
    <w:rsid w:val="00CB0E1A"/>
    <w:rsid w:val="00CB1249"/>
    <w:rsid w:val="00CB3A23"/>
    <w:rsid w:val="00CB5036"/>
    <w:rsid w:val="00CB7EA2"/>
    <w:rsid w:val="00CC0490"/>
    <w:rsid w:val="00CC1F85"/>
    <w:rsid w:val="00CC7641"/>
    <w:rsid w:val="00CD18BC"/>
    <w:rsid w:val="00CD18EE"/>
    <w:rsid w:val="00CD3FCD"/>
    <w:rsid w:val="00CD7951"/>
    <w:rsid w:val="00CE339A"/>
    <w:rsid w:val="00CF1653"/>
    <w:rsid w:val="00CF1DFB"/>
    <w:rsid w:val="00D00CF9"/>
    <w:rsid w:val="00D00E4D"/>
    <w:rsid w:val="00D13794"/>
    <w:rsid w:val="00D20ACB"/>
    <w:rsid w:val="00D20ECD"/>
    <w:rsid w:val="00D216C9"/>
    <w:rsid w:val="00D24052"/>
    <w:rsid w:val="00D3004A"/>
    <w:rsid w:val="00D309AB"/>
    <w:rsid w:val="00D31575"/>
    <w:rsid w:val="00D3333C"/>
    <w:rsid w:val="00D34626"/>
    <w:rsid w:val="00D3647E"/>
    <w:rsid w:val="00D3684D"/>
    <w:rsid w:val="00D41B13"/>
    <w:rsid w:val="00D41E3B"/>
    <w:rsid w:val="00D4257A"/>
    <w:rsid w:val="00D442D3"/>
    <w:rsid w:val="00D47819"/>
    <w:rsid w:val="00D47873"/>
    <w:rsid w:val="00D479B2"/>
    <w:rsid w:val="00D54023"/>
    <w:rsid w:val="00D55871"/>
    <w:rsid w:val="00D55BD2"/>
    <w:rsid w:val="00D56884"/>
    <w:rsid w:val="00D57DBE"/>
    <w:rsid w:val="00D61820"/>
    <w:rsid w:val="00D622D8"/>
    <w:rsid w:val="00D62665"/>
    <w:rsid w:val="00D71ACE"/>
    <w:rsid w:val="00D80F05"/>
    <w:rsid w:val="00D81094"/>
    <w:rsid w:val="00D827CC"/>
    <w:rsid w:val="00D8440E"/>
    <w:rsid w:val="00D87042"/>
    <w:rsid w:val="00D87FDE"/>
    <w:rsid w:val="00D95916"/>
    <w:rsid w:val="00D96D3A"/>
    <w:rsid w:val="00D9769B"/>
    <w:rsid w:val="00DA51A5"/>
    <w:rsid w:val="00DA5437"/>
    <w:rsid w:val="00DB02AB"/>
    <w:rsid w:val="00DB24E8"/>
    <w:rsid w:val="00DB2D6F"/>
    <w:rsid w:val="00DB3486"/>
    <w:rsid w:val="00DB3D02"/>
    <w:rsid w:val="00DB5574"/>
    <w:rsid w:val="00DB7764"/>
    <w:rsid w:val="00DC0CDE"/>
    <w:rsid w:val="00DC4C0F"/>
    <w:rsid w:val="00DC4D72"/>
    <w:rsid w:val="00DC5F7F"/>
    <w:rsid w:val="00DD238C"/>
    <w:rsid w:val="00DD6B64"/>
    <w:rsid w:val="00DE3BF0"/>
    <w:rsid w:val="00DE7DFD"/>
    <w:rsid w:val="00DF1EE7"/>
    <w:rsid w:val="00DF4357"/>
    <w:rsid w:val="00E0031D"/>
    <w:rsid w:val="00E02E22"/>
    <w:rsid w:val="00E0624D"/>
    <w:rsid w:val="00E07ADD"/>
    <w:rsid w:val="00E1545A"/>
    <w:rsid w:val="00E15ABE"/>
    <w:rsid w:val="00E1751A"/>
    <w:rsid w:val="00E235C6"/>
    <w:rsid w:val="00E27A3F"/>
    <w:rsid w:val="00E30656"/>
    <w:rsid w:val="00E3401E"/>
    <w:rsid w:val="00E34597"/>
    <w:rsid w:val="00E35644"/>
    <w:rsid w:val="00E37790"/>
    <w:rsid w:val="00E40444"/>
    <w:rsid w:val="00E42C12"/>
    <w:rsid w:val="00E43DFC"/>
    <w:rsid w:val="00E4438C"/>
    <w:rsid w:val="00E457F3"/>
    <w:rsid w:val="00E53EDC"/>
    <w:rsid w:val="00E614E1"/>
    <w:rsid w:val="00E66349"/>
    <w:rsid w:val="00E67A54"/>
    <w:rsid w:val="00E720CA"/>
    <w:rsid w:val="00E72DD5"/>
    <w:rsid w:val="00E81049"/>
    <w:rsid w:val="00E83EC4"/>
    <w:rsid w:val="00E85402"/>
    <w:rsid w:val="00E87232"/>
    <w:rsid w:val="00E9301C"/>
    <w:rsid w:val="00EA290C"/>
    <w:rsid w:val="00EA33D7"/>
    <w:rsid w:val="00EA3A83"/>
    <w:rsid w:val="00EB2D9B"/>
    <w:rsid w:val="00EB7412"/>
    <w:rsid w:val="00EB7E71"/>
    <w:rsid w:val="00EC023F"/>
    <w:rsid w:val="00EC07DF"/>
    <w:rsid w:val="00EC1984"/>
    <w:rsid w:val="00EC3498"/>
    <w:rsid w:val="00EC38CA"/>
    <w:rsid w:val="00EC5344"/>
    <w:rsid w:val="00ED21B0"/>
    <w:rsid w:val="00ED34B9"/>
    <w:rsid w:val="00ED3C64"/>
    <w:rsid w:val="00ED4C42"/>
    <w:rsid w:val="00ED7432"/>
    <w:rsid w:val="00EE0A53"/>
    <w:rsid w:val="00EE1D98"/>
    <w:rsid w:val="00EE26F0"/>
    <w:rsid w:val="00EE293C"/>
    <w:rsid w:val="00EE2EE0"/>
    <w:rsid w:val="00EE3CFB"/>
    <w:rsid w:val="00EF01B1"/>
    <w:rsid w:val="00EF776A"/>
    <w:rsid w:val="00F00C05"/>
    <w:rsid w:val="00F01D7D"/>
    <w:rsid w:val="00F04409"/>
    <w:rsid w:val="00F109D4"/>
    <w:rsid w:val="00F153CE"/>
    <w:rsid w:val="00F1743D"/>
    <w:rsid w:val="00F20790"/>
    <w:rsid w:val="00F230FC"/>
    <w:rsid w:val="00F240B6"/>
    <w:rsid w:val="00F24275"/>
    <w:rsid w:val="00F276BC"/>
    <w:rsid w:val="00F33841"/>
    <w:rsid w:val="00F35210"/>
    <w:rsid w:val="00F376CF"/>
    <w:rsid w:val="00F37990"/>
    <w:rsid w:val="00F47585"/>
    <w:rsid w:val="00F478A4"/>
    <w:rsid w:val="00F60F3F"/>
    <w:rsid w:val="00F65B43"/>
    <w:rsid w:val="00F86A0D"/>
    <w:rsid w:val="00F90355"/>
    <w:rsid w:val="00F91EFC"/>
    <w:rsid w:val="00F9224A"/>
    <w:rsid w:val="00F939B8"/>
    <w:rsid w:val="00F94C6C"/>
    <w:rsid w:val="00F95A58"/>
    <w:rsid w:val="00F97BE5"/>
    <w:rsid w:val="00FA317B"/>
    <w:rsid w:val="00FA4063"/>
    <w:rsid w:val="00FA5EAD"/>
    <w:rsid w:val="00FA645E"/>
    <w:rsid w:val="00FB08FF"/>
    <w:rsid w:val="00FB3570"/>
    <w:rsid w:val="00FC4C41"/>
    <w:rsid w:val="00FC7483"/>
    <w:rsid w:val="00FD0542"/>
    <w:rsid w:val="00FD10DB"/>
    <w:rsid w:val="00FD1AB9"/>
    <w:rsid w:val="00FE04E4"/>
    <w:rsid w:val="00FE4C59"/>
    <w:rsid w:val="00FE73F9"/>
    <w:rsid w:val="00FF1057"/>
    <w:rsid w:val="00FF3E25"/>
    <w:rsid w:val="00FF4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6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8946">
      <w:bodyDiv w:val="1"/>
      <w:marLeft w:val="0"/>
      <w:marRight w:val="0"/>
      <w:marTop w:val="0"/>
      <w:marBottom w:val="0"/>
      <w:divBdr>
        <w:top w:val="none" w:sz="0" w:space="0" w:color="auto"/>
        <w:left w:val="none" w:sz="0" w:space="0" w:color="auto"/>
        <w:bottom w:val="none" w:sz="0" w:space="0" w:color="auto"/>
        <w:right w:val="none" w:sz="0" w:space="0" w:color="auto"/>
      </w:divBdr>
      <w:divsChild>
        <w:div w:id="151415520">
          <w:marLeft w:val="0"/>
          <w:marRight w:val="0"/>
          <w:marTop w:val="0"/>
          <w:marBottom w:val="0"/>
          <w:divBdr>
            <w:top w:val="none" w:sz="0" w:space="0" w:color="auto"/>
            <w:left w:val="none" w:sz="0" w:space="0" w:color="auto"/>
            <w:bottom w:val="none" w:sz="0" w:space="0" w:color="auto"/>
            <w:right w:val="none" w:sz="0" w:space="0" w:color="auto"/>
          </w:divBdr>
          <w:divsChild>
            <w:div w:id="1863081143">
              <w:marLeft w:val="0"/>
              <w:marRight w:val="0"/>
              <w:marTop w:val="0"/>
              <w:marBottom w:val="0"/>
              <w:divBdr>
                <w:top w:val="none" w:sz="0" w:space="0" w:color="auto"/>
                <w:left w:val="none" w:sz="0" w:space="0" w:color="auto"/>
                <w:bottom w:val="none" w:sz="0" w:space="0" w:color="auto"/>
                <w:right w:val="none" w:sz="0" w:space="0" w:color="auto"/>
              </w:divBdr>
              <w:divsChild>
                <w:div w:id="313996101">
                  <w:marLeft w:val="0"/>
                  <w:marRight w:val="0"/>
                  <w:marTop w:val="0"/>
                  <w:marBottom w:val="0"/>
                  <w:divBdr>
                    <w:top w:val="none" w:sz="0" w:space="0" w:color="auto"/>
                    <w:left w:val="none" w:sz="0" w:space="0" w:color="auto"/>
                    <w:bottom w:val="none" w:sz="0" w:space="0" w:color="auto"/>
                    <w:right w:val="none" w:sz="0" w:space="0" w:color="auto"/>
                  </w:divBdr>
                  <w:divsChild>
                    <w:div w:id="1356881553">
                      <w:marLeft w:val="0"/>
                      <w:marRight w:val="0"/>
                      <w:marTop w:val="0"/>
                      <w:marBottom w:val="0"/>
                      <w:divBdr>
                        <w:top w:val="none" w:sz="0" w:space="0" w:color="auto"/>
                        <w:left w:val="none" w:sz="0" w:space="0" w:color="auto"/>
                        <w:bottom w:val="none" w:sz="0" w:space="0" w:color="auto"/>
                        <w:right w:val="none" w:sz="0" w:space="0" w:color="auto"/>
                      </w:divBdr>
                      <w:divsChild>
                        <w:div w:id="417991543">
                          <w:marLeft w:val="0"/>
                          <w:marRight w:val="0"/>
                          <w:marTop w:val="0"/>
                          <w:marBottom w:val="0"/>
                          <w:divBdr>
                            <w:top w:val="none" w:sz="0" w:space="0" w:color="auto"/>
                            <w:left w:val="none" w:sz="0" w:space="0" w:color="auto"/>
                            <w:bottom w:val="none" w:sz="0" w:space="0" w:color="auto"/>
                            <w:right w:val="none" w:sz="0" w:space="0" w:color="auto"/>
                          </w:divBdr>
                          <w:divsChild>
                            <w:div w:id="1355883950">
                              <w:marLeft w:val="0"/>
                              <w:marRight w:val="0"/>
                              <w:marTop w:val="0"/>
                              <w:marBottom w:val="0"/>
                              <w:divBdr>
                                <w:top w:val="none" w:sz="0" w:space="0" w:color="auto"/>
                                <w:left w:val="none" w:sz="0" w:space="0" w:color="auto"/>
                                <w:bottom w:val="none" w:sz="0" w:space="0" w:color="auto"/>
                                <w:right w:val="none" w:sz="0" w:space="0" w:color="auto"/>
                              </w:divBdr>
                              <w:divsChild>
                                <w:div w:id="371617528">
                                  <w:marLeft w:val="0"/>
                                  <w:marRight w:val="0"/>
                                  <w:marTop w:val="0"/>
                                  <w:marBottom w:val="0"/>
                                  <w:divBdr>
                                    <w:top w:val="none" w:sz="0" w:space="0" w:color="auto"/>
                                    <w:left w:val="none" w:sz="0" w:space="0" w:color="auto"/>
                                    <w:bottom w:val="none" w:sz="0" w:space="0" w:color="auto"/>
                                    <w:right w:val="none" w:sz="0" w:space="0" w:color="auto"/>
                                  </w:divBdr>
                                  <w:divsChild>
                                    <w:div w:id="1405295175">
                                      <w:marLeft w:val="0"/>
                                      <w:marRight w:val="0"/>
                                      <w:marTop w:val="0"/>
                                      <w:marBottom w:val="0"/>
                                      <w:divBdr>
                                        <w:top w:val="none" w:sz="0" w:space="0" w:color="auto"/>
                                        <w:left w:val="none" w:sz="0" w:space="0" w:color="auto"/>
                                        <w:bottom w:val="none" w:sz="0" w:space="0" w:color="auto"/>
                                        <w:right w:val="none" w:sz="0" w:space="0" w:color="auto"/>
                                      </w:divBdr>
                                      <w:divsChild>
                                        <w:div w:id="925267328">
                                          <w:marLeft w:val="0"/>
                                          <w:marRight w:val="0"/>
                                          <w:marTop w:val="0"/>
                                          <w:marBottom w:val="0"/>
                                          <w:divBdr>
                                            <w:top w:val="none" w:sz="0" w:space="0" w:color="auto"/>
                                            <w:left w:val="none" w:sz="0" w:space="0" w:color="auto"/>
                                            <w:bottom w:val="none" w:sz="0" w:space="0" w:color="auto"/>
                                            <w:right w:val="none" w:sz="0" w:space="0" w:color="auto"/>
                                          </w:divBdr>
                                          <w:divsChild>
                                            <w:div w:id="2003001789">
                                              <w:marLeft w:val="0"/>
                                              <w:marRight w:val="0"/>
                                              <w:marTop w:val="0"/>
                                              <w:marBottom w:val="0"/>
                                              <w:divBdr>
                                                <w:top w:val="none" w:sz="0" w:space="0" w:color="auto"/>
                                                <w:left w:val="none" w:sz="0" w:space="0" w:color="auto"/>
                                                <w:bottom w:val="none" w:sz="0" w:space="0" w:color="auto"/>
                                                <w:right w:val="none" w:sz="0" w:space="0" w:color="auto"/>
                                              </w:divBdr>
                                              <w:divsChild>
                                                <w:div w:id="1663048529">
                                                  <w:marLeft w:val="0"/>
                                                  <w:marRight w:val="0"/>
                                                  <w:marTop w:val="0"/>
                                                  <w:marBottom w:val="0"/>
                                                  <w:divBdr>
                                                    <w:top w:val="none" w:sz="0" w:space="0" w:color="auto"/>
                                                    <w:left w:val="none" w:sz="0" w:space="0" w:color="auto"/>
                                                    <w:bottom w:val="none" w:sz="0" w:space="0" w:color="auto"/>
                                                    <w:right w:val="none" w:sz="0" w:space="0" w:color="auto"/>
                                                  </w:divBdr>
                                                  <w:divsChild>
                                                    <w:div w:id="226185408">
                                                      <w:marLeft w:val="0"/>
                                                      <w:marRight w:val="0"/>
                                                      <w:marTop w:val="0"/>
                                                      <w:marBottom w:val="0"/>
                                                      <w:divBdr>
                                                        <w:top w:val="none" w:sz="0" w:space="0" w:color="auto"/>
                                                        <w:left w:val="none" w:sz="0" w:space="0" w:color="auto"/>
                                                        <w:bottom w:val="none" w:sz="0" w:space="0" w:color="auto"/>
                                                        <w:right w:val="none" w:sz="0" w:space="0" w:color="auto"/>
                                                      </w:divBdr>
                                                      <w:divsChild>
                                                        <w:div w:id="11426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0f563589-9cf9-4143-b1eb-fb0534803d38">
      <Value>11</Value>
    </TaxCatchAll>
    <_dlc_DocId xmlns="0f563589-9cf9-4143-b1eb-fb0534803d38">2019RG-111-11243</_dlc_DocId>
    <_dlc_DocIdUrl xmlns="0f563589-9cf9-4143-b1eb-fb0534803d38">
      <Url>http://tweb/sites/rg/ldp/lmu/_layouts/15/DocIdRedir.aspx?ID=2019RG-111-11243</Url>
      <Description>2019RG-111-11243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836" ma:contentTypeDescription=" " ma:contentTypeScope="" ma:versionID="18fc52e93675745df3aafa658fdca6e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www.w3.org/XML/1998/namespace"/>
    <ds:schemaRef ds:uri="http://purl.org/dc/elements/1.1/"/>
    <ds:schemaRef ds:uri="0f563589-9cf9-4143-b1eb-fb0534803d38"/>
    <ds:schemaRef ds:uri="http://schemas.microsoft.com/office/2006/documentManagement/types"/>
    <ds:schemaRef ds:uri="http://schemas.microsoft.com/office/infopath/2007/PartnerControls"/>
    <ds:schemaRef ds:uri="http://purl.org/dc/dcmitype/"/>
    <ds:schemaRef ds:uri="http://purl.org/dc/terms/"/>
    <ds:schemaRef ds:uri="http://schemas.microsoft.com/sharepoint/v3"/>
    <ds:schemaRef ds:uri="http://schemas.openxmlformats.org/package/2006/metadata/core-properties"/>
    <ds:schemaRef ds:uri="http://schemas.microsoft.com/sharepoint/v4"/>
    <ds:schemaRef ds:uri="507a8a59-704d-43cf-b103-02b0cd527a9d"/>
    <ds:schemaRef ds:uri="9f7bc583-7cbe-45b9-a2bd-8bbb6543b37e"/>
    <ds:schemaRef ds:uri="http://schemas.microsoft.com/office/2006/metadata/propertie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EBDEAB32-E284-438E-AC7D-EA64771D9302}">
  <ds:schemaRefs>
    <ds:schemaRef ds:uri="office.server.policy"/>
  </ds:schemaRefs>
</ds:datastoreItem>
</file>

<file path=customXml/itemProps4.xml><?xml version="1.0" encoding="utf-8"?>
<ds:datastoreItem xmlns:ds="http://schemas.openxmlformats.org/officeDocument/2006/customXml" ds:itemID="{C0516EC1-1297-4BE8-976A-FF0B399EEB8B}"/>
</file>

<file path=customXml/itemProps5.xml><?xml version="1.0" encoding="utf-8"?>
<ds:datastoreItem xmlns:ds="http://schemas.openxmlformats.org/officeDocument/2006/customXml" ds:itemID="{E67C88CF-839F-4D04-81D4-5FE9219BD672}">
  <ds:schemaRefs>
    <ds:schemaRef ds:uri="http://schemas.microsoft.com/sharepoint/events"/>
  </ds:schemaRefs>
</ds:datastoreItem>
</file>

<file path=customXml/itemProps6.xml><?xml version="1.0" encoding="utf-8"?>
<ds:datastoreItem xmlns:ds="http://schemas.openxmlformats.org/officeDocument/2006/customXml" ds:itemID="{D9E10C6B-B417-4294-9616-8BD6EDBD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45</TotalTime>
  <Pages>5</Pages>
  <Words>1341</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Treasury</dc:creator>
  <cp:lastModifiedBy>Nik</cp:lastModifiedBy>
  <cp:revision>12</cp:revision>
  <cp:lastPrinted>2019-03-12T06:42:00Z</cp:lastPrinted>
  <dcterms:created xsi:type="dcterms:W3CDTF">2019-03-14T00:22:00Z</dcterms:created>
  <dcterms:modified xsi:type="dcterms:W3CDTF">2019-03-15T03:15:00Z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-208432462</vt:i4>
  </property>
  <property fmtid="{D5CDD505-2E9C-101B-9397-08002B2CF9AE}" pid="3" name="_NewReviewCycle">
    <vt:lpwstr/>
  </property>
  <property fmtid="{D5CDD505-2E9C-101B-9397-08002B2CF9AE}" pid="4" name="_EmailSubject">
    <vt:lpwstr>FOR CLEARANCE: Corporations Amendment (Proprietary Company Thresholds) Regulations 2019 [SEC=PROTECTED, DLM=Sensitive:Legal]</vt:lpwstr>
  </property>
  <property fmtid="{D5CDD505-2E9C-101B-9397-08002B2CF9AE}" pid="5" name="_AuthorEmail">
    <vt:lpwstr>Nik.Wahi@TREASURY.GOV.AU</vt:lpwstr>
  </property>
  <property fmtid="{D5CDD505-2E9C-101B-9397-08002B2CF9AE}" pid="6" name="_AuthorEmailDisplayName">
    <vt:lpwstr>Wahi, Nik</vt:lpwstr>
  </property>
  <property fmtid="{D5CDD505-2E9C-101B-9397-08002B2CF9AE}" pid="7" name="ContentTypeId">
    <vt:lpwstr>0x01010036BB8DE7EC542E42A8B2E98CC20CB69700D5C18F41BA18FB44827A222ACD6776F5</vt:lpwstr>
  </property>
  <property fmtid="{D5CDD505-2E9C-101B-9397-08002B2CF9AE}" pid="8" name="_PreviousAdHocReviewCycleID">
    <vt:i4>-573746624</vt:i4>
  </property>
  <property fmtid="{D5CDD505-2E9C-101B-9397-08002B2CF9AE}" pid="9" name="_dlc_DocIdItemGuid">
    <vt:lpwstr>277930c0-77c7-4bb2-a747-818df97239f8</vt:lpwstr>
  </property>
  <property fmtid="{D5CDD505-2E9C-101B-9397-08002B2CF9AE}" pid="10" name="TSYRecordClass">
    <vt:lpwstr>11;#TSY RA-9237 - Destroy 5 years after action completed|9f1a030e-81bf-44c5-98eb-4d5d869a40d5</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WorkflowType">
    <vt:lpwstr>ActiveSubmitStub</vt:lpwstr>
  </property>
  <property fmtid="{D5CDD505-2E9C-101B-9397-08002B2CF9AE}" pid="15" name="RecordPoint_ActiveItemWebId">
    <vt:lpwstr>{2602612e-a30f-4de0-b9eb-e01e73dc8005}</vt:lpwstr>
  </property>
  <property fmtid="{D5CDD505-2E9C-101B-9397-08002B2CF9AE}" pid="16" name="RecordPoint_ActiveItemSiteId">
    <vt:lpwstr>{5b52b9a5-e5b2-4521-8814-a1e24ca2869d}</vt:lpwstr>
  </property>
  <property fmtid="{D5CDD505-2E9C-101B-9397-08002B2CF9AE}" pid="17" name="RecordPoint_ActiveItemListId">
    <vt:lpwstr>{1a010be9-83b3-4740-abb7-452f2d1120fe}</vt:lpwstr>
  </property>
  <property fmtid="{D5CDD505-2E9C-101B-9397-08002B2CF9AE}" pid="18" name="RecordPoint_ActiveItemUniqueId">
    <vt:lpwstr>{277930c0-77c7-4bb2-a747-818df97239f8}</vt:lpwstr>
  </property>
  <property fmtid="{D5CDD505-2E9C-101B-9397-08002B2CF9AE}" pid="19" name="RecordPoint_RecordNumberSubmitted">
    <vt:lpwstr>R0002025476</vt:lpwstr>
  </property>
  <property fmtid="{D5CDD505-2E9C-101B-9397-08002B2CF9AE}" pid="20" name="RecordPoint_SubmissionCompleted">
    <vt:lpwstr>2019-03-23T07:03:25.9307037+11:00</vt:lpwstr>
  </property>
</Properties>
</file>