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7A2F4" w14:textId="169F5A0E" w:rsidR="00E263F4" w:rsidRPr="00D71100" w:rsidRDefault="00E263F4" w:rsidP="00E263F4">
      <w:pPr>
        <w:spacing w:before="360" w:line="260" w:lineRule="atLeast"/>
        <w:jc w:val="center"/>
        <w:outlineLvl w:val="0"/>
        <w:rPr>
          <w:rFonts w:ascii="Times New Roman" w:eastAsia="Calibri" w:hAnsi="Times New Roman" w:cs="Times New Roman"/>
          <w:b/>
          <w:caps/>
          <w:sz w:val="28"/>
          <w:szCs w:val="28"/>
          <w:u w:val="single"/>
        </w:rPr>
      </w:pPr>
      <w:r w:rsidRPr="00D71100">
        <w:rPr>
          <w:rFonts w:ascii="Times New Roman" w:eastAsia="Calibri" w:hAnsi="Times New Roman" w:cs="Times New Roman"/>
          <w:b/>
          <w:caps/>
          <w:sz w:val="28"/>
          <w:szCs w:val="28"/>
          <w:u w:val="single"/>
        </w:rPr>
        <w:t>Legislation (Exemptions and Other Matters) Amendment (</w:t>
      </w:r>
      <w:r w:rsidR="001D0064" w:rsidRPr="00D71100">
        <w:rPr>
          <w:rFonts w:ascii="Times New Roman" w:eastAsia="Calibri" w:hAnsi="Times New Roman" w:cs="Times New Roman"/>
          <w:b/>
          <w:caps/>
          <w:sz w:val="28"/>
          <w:szCs w:val="28"/>
          <w:u w:val="single"/>
        </w:rPr>
        <w:t>2019 </w:t>
      </w:r>
      <w:r w:rsidRPr="00D71100">
        <w:rPr>
          <w:rFonts w:ascii="Times New Roman" w:eastAsia="Calibri" w:hAnsi="Times New Roman" w:cs="Times New Roman"/>
          <w:b/>
          <w:caps/>
          <w:sz w:val="28"/>
          <w:szCs w:val="28"/>
          <w:u w:val="single"/>
        </w:rPr>
        <w:t xml:space="preserve">Measures No. 1) Regulations 2019 </w:t>
      </w:r>
    </w:p>
    <w:p w14:paraId="10182774" w14:textId="77777777" w:rsidR="00E263F4" w:rsidRPr="00D71100" w:rsidRDefault="00E263F4" w:rsidP="00E263F4">
      <w:pPr>
        <w:spacing w:line="360" w:lineRule="auto"/>
        <w:jc w:val="center"/>
        <w:outlineLvl w:val="0"/>
        <w:rPr>
          <w:rFonts w:ascii="Times New Roman" w:hAnsi="Times New Roman" w:cs="Times New Roman"/>
          <w:b/>
          <w:sz w:val="28"/>
          <w:szCs w:val="28"/>
          <w:u w:val="single"/>
        </w:rPr>
      </w:pPr>
      <w:r w:rsidRPr="00D71100">
        <w:rPr>
          <w:rFonts w:ascii="Times New Roman" w:hAnsi="Times New Roman" w:cs="Times New Roman"/>
          <w:b/>
          <w:sz w:val="28"/>
          <w:szCs w:val="28"/>
          <w:u w:val="single"/>
        </w:rPr>
        <w:t>EXPLANATORY STATEMENT</w:t>
      </w:r>
    </w:p>
    <w:p w14:paraId="09AE518E" w14:textId="20145D19" w:rsidR="00E263F4" w:rsidRPr="001D0064" w:rsidRDefault="00E263F4" w:rsidP="00495394">
      <w:pPr>
        <w:spacing w:after="240" w:line="240" w:lineRule="auto"/>
        <w:jc w:val="center"/>
        <w:outlineLvl w:val="0"/>
        <w:rPr>
          <w:rFonts w:ascii="Times New Roman" w:hAnsi="Times New Roman" w:cs="Times New Roman"/>
        </w:rPr>
      </w:pPr>
      <w:r w:rsidRPr="00E263F4">
        <w:rPr>
          <w:rFonts w:ascii="Times New Roman" w:hAnsi="Times New Roman" w:cs="Times New Roman"/>
        </w:rPr>
        <w:t>Issued by the authority of the Attorney-General</w:t>
      </w:r>
    </w:p>
    <w:p w14:paraId="7F7B61D7" w14:textId="77777777" w:rsidR="00E263F4" w:rsidRPr="00E263F4" w:rsidRDefault="00E263F4" w:rsidP="00E263F4">
      <w:pPr>
        <w:rPr>
          <w:rFonts w:ascii="Times New Roman" w:hAnsi="Times New Roman" w:cs="Times New Roman"/>
          <w:b/>
          <w:sz w:val="24"/>
          <w:szCs w:val="24"/>
        </w:rPr>
      </w:pPr>
      <w:r w:rsidRPr="00E263F4">
        <w:rPr>
          <w:rFonts w:ascii="Times New Roman" w:hAnsi="Times New Roman" w:cs="Times New Roman"/>
          <w:b/>
          <w:caps/>
          <w:sz w:val="24"/>
          <w:szCs w:val="24"/>
        </w:rPr>
        <w:t>Purpose and operation of the Instrument</w:t>
      </w:r>
    </w:p>
    <w:p w14:paraId="54BB622A" w14:textId="77777777" w:rsidR="00E263F4" w:rsidRPr="007D698E" w:rsidRDefault="00E263F4" w:rsidP="00E263F4">
      <w:pPr>
        <w:spacing w:before="240" w:after="0" w:line="240" w:lineRule="auto"/>
        <w:ind w:right="91"/>
        <w:rPr>
          <w:rFonts w:ascii="Times New Roman" w:eastAsia="Times New Roman" w:hAnsi="Times New Roman" w:cs="Times New Roman"/>
          <w:color w:val="000000"/>
          <w:sz w:val="24"/>
          <w:szCs w:val="24"/>
          <w:lang w:eastAsia="en-AU"/>
        </w:rPr>
      </w:pPr>
      <w:r w:rsidRPr="007D698E">
        <w:rPr>
          <w:rFonts w:ascii="Times New Roman" w:eastAsia="Times New Roman" w:hAnsi="Times New Roman" w:cs="Times New Roman"/>
          <w:color w:val="000000"/>
          <w:sz w:val="24"/>
          <w:szCs w:val="24"/>
          <w:lang w:eastAsia="en-AU"/>
        </w:rPr>
        <w:t>The </w:t>
      </w:r>
      <w:r w:rsidRPr="007D698E">
        <w:rPr>
          <w:rFonts w:ascii="Times New Roman" w:eastAsia="Times New Roman" w:hAnsi="Times New Roman" w:cs="Times New Roman"/>
          <w:i/>
          <w:iCs/>
          <w:color w:val="000000"/>
          <w:sz w:val="24"/>
          <w:szCs w:val="24"/>
          <w:lang w:eastAsia="en-AU"/>
        </w:rPr>
        <w:t>Legislation Act 2003</w:t>
      </w:r>
      <w:r w:rsidRPr="007D698E">
        <w:rPr>
          <w:rFonts w:ascii="Times New Roman" w:eastAsia="Times New Roman" w:hAnsi="Times New Roman" w:cs="Times New Roman"/>
          <w:color w:val="000000"/>
          <w:sz w:val="24"/>
          <w:szCs w:val="24"/>
          <w:lang w:eastAsia="en-AU"/>
        </w:rPr>
        <w:t> establishe</w:t>
      </w:r>
      <w:r>
        <w:rPr>
          <w:rFonts w:ascii="Times New Roman" w:eastAsia="Times New Roman" w:hAnsi="Times New Roman" w:cs="Times New Roman"/>
          <w:color w:val="000000"/>
          <w:sz w:val="24"/>
          <w:szCs w:val="24"/>
          <w:lang w:eastAsia="en-AU"/>
        </w:rPr>
        <w:t>s</w:t>
      </w:r>
      <w:r w:rsidRPr="007D698E">
        <w:rPr>
          <w:rFonts w:ascii="Times New Roman" w:eastAsia="Times New Roman" w:hAnsi="Times New Roman" w:cs="Times New Roman"/>
          <w:color w:val="000000"/>
          <w:sz w:val="24"/>
          <w:szCs w:val="24"/>
          <w:lang w:eastAsia="en-AU"/>
        </w:rPr>
        <w:t xml:space="preserve"> a comprehensive regime for the publication of Commonwealth Acts and instruments. </w:t>
      </w:r>
      <w:r>
        <w:rPr>
          <w:rFonts w:ascii="Times New Roman" w:eastAsia="Times New Roman" w:hAnsi="Times New Roman" w:cs="Times New Roman"/>
          <w:color w:val="000000"/>
          <w:sz w:val="24"/>
          <w:szCs w:val="24"/>
          <w:lang w:eastAsia="en-AU"/>
        </w:rPr>
        <w:t xml:space="preserve">It also provides for the registration, tabling, parliamentary scrutiny, disallowance and </w:t>
      </w:r>
      <w:proofErr w:type="spellStart"/>
      <w:r>
        <w:rPr>
          <w:rFonts w:ascii="Times New Roman" w:eastAsia="Times New Roman" w:hAnsi="Times New Roman" w:cs="Times New Roman"/>
          <w:color w:val="000000"/>
          <w:sz w:val="24"/>
          <w:szCs w:val="24"/>
          <w:lang w:eastAsia="en-AU"/>
        </w:rPr>
        <w:t>sunsetting</w:t>
      </w:r>
      <w:proofErr w:type="spellEnd"/>
      <w:r>
        <w:rPr>
          <w:rFonts w:ascii="Times New Roman" w:eastAsia="Times New Roman" w:hAnsi="Times New Roman" w:cs="Times New Roman"/>
          <w:color w:val="000000"/>
          <w:sz w:val="24"/>
          <w:szCs w:val="24"/>
          <w:lang w:eastAsia="en-AU"/>
        </w:rPr>
        <w:t xml:space="preserve"> of instruments. </w:t>
      </w:r>
    </w:p>
    <w:p w14:paraId="33B1B80E" w14:textId="77777777" w:rsidR="00E263F4" w:rsidRDefault="00E263F4" w:rsidP="00E263F4">
      <w:pPr>
        <w:spacing w:before="240" w:after="0" w:line="240" w:lineRule="auto"/>
        <w:ind w:right="91"/>
        <w:rPr>
          <w:rFonts w:ascii="Times New Roman" w:eastAsia="Times New Roman" w:hAnsi="Times New Roman" w:cs="Times New Roman"/>
          <w:color w:val="000000"/>
          <w:sz w:val="24"/>
          <w:szCs w:val="24"/>
          <w:lang w:eastAsia="en-AU"/>
        </w:rPr>
      </w:pPr>
      <w:r w:rsidRPr="007D698E">
        <w:rPr>
          <w:rFonts w:ascii="Times New Roman" w:eastAsia="Times New Roman" w:hAnsi="Times New Roman" w:cs="Times New Roman"/>
          <w:color w:val="000000"/>
          <w:sz w:val="24"/>
          <w:szCs w:val="24"/>
          <w:lang w:eastAsia="en-AU"/>
        </w:rPr>
        <w:t>Section 62 of the Legislation Act</w:t>
      </w:r>
      <w:r w:rsidRPr="007D698E">
        <w:rPr>
          <w:rFonts w:ascii="Times New Roman" w:eastAsia="Times New Roman" w:hAnsi="Times New Roman" w:cs="Times New Roman"/>
          <w:i/>
          <w:iCs/>
          <w:color w:val="000000"/>
          <w:sz w:val="24"/>
          <w:szCs w:val="24"/>
          <w:lang w:eastAsia="en-AU"/>
        </w:rPr>
        <w:t> </w:t>
      </w:r>
      <w:r w:rsidRPr="00934473">
        <w:rPr>
          <w:rFonts w:ascii="Times New Roman" w:eastAsia="Times New Roman" w:hAnsi="Times New Roman" w:cs="Times New Roman"/>
          <w:color w:val="000000"/>
          <w:sz w:val="24"/>
          <w:szCs w:val="24"/>
          <w:lang w:eastAsia="en-AU"/>
        </w:rPr>
        <w:t>provides that the Governor-General may make regulations prescribing matters required or permitted by the Act to be prescri</w:t>
      </w:r>
      <w:bookmarkStart w:id="0" w:name="_GoBack"/>
      <w:bookmarkEnd w:id="0"/>
      <w:r w:rsidRPr="00934473">
        <w:rPr>
          <w:rFonts w:ascii="Times New Roman" w:eastAsia="Times New Roman" w:hAnsi="Times New Roman" w:cs="Times New Roman"/>
          <w:color w:val="000000"/>
          <w:sz w:val="24"/>
          <w:szCs w:val="24"/>
          <w:lang w:eastAsia="en-AU"/>
        </w:rPr>
        <w:t>bed, or necessary or convenient to be prescribed</w:t>
      </w:r>
      <w:r>
        <w:rPr>
          <w:rFonts w:ascii="Times New Roman" w:eastAsia="Times New Roman" w:hAnsi="Times New Roman" w:cs="Times New Roman"/>
          <w:color w:val="000000"/>
          <w:sz w:val="24"/>
          <w:szCs w:val="24"/>
          <w:lang w:eastAsia="en-AU"/>
        </w:rPr>
        <w:t>,</w:t>
      </w:r>
      <w:r w:rsidRPr="00934473">
        <w:rPr>
          <w:rFonts w:ascii="Times New Roman" w:eastAsia="Times New Roman" w:hAnsi="Times New Roman" w:cs="Times New Roman"/>
          <w:color w:val="000000"/>
          <w:sz w:val="24"/>
          <w:szCs w:val="24"/>
          <w:lang w:eastAsia="en-AU"/>
        </w:rPr>
        <w:t xml:space="preserve"> for carrying out or giving effect to the Act.</w:t>
      </w:r>
    </w:p>
    <w:p w14:paraId="43EEBFE9" w14:textId="77777777" w:rsidR="00E263F4" w:rsidRDefault="00E263F4" w:rsidP="00E263F4">
      <w:pPr>
        <w:spacing w:before="240"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Part 4 of Chapter 3 of the Legislation Act provides for the </w:t>
      </w:r>
      <w:proofErr w:type="spellStart"/>
      <w:r>
        <w:rPr>
          <w:rFonts w:ascii="Times New Roman" w:eastAsia="Times New Roman" w:hAnsi="Times New Roman" w:cs="Times New Roman"/>
          <w:color w:val="000000"/>
          <w:sz w:val="24"/>
          <w:szCs w:val="24"/>
          <w:lang w:eastAsia="en-AU"/>
        </w:rPr>
        <w:t>sunsetting</w:t>
      </w:r>
      <w:proofErr w:type="spellEnd"/>
      <w:r>
        <w:rPr>
          <w:rFonts w:ascii="Times New Roman" w:eastAsia="Times New Roman" w:hAnsi="Times New Roman" w:cs="Times New Roman"/>
          <w:color w:val="000000"/>
          <w:sz w:val="24"/>
          <w:szCs w:val="24"/>
          <w:lang w:eastAsia="en-AU"/>
        </w:rPr>
        <w:t xml:space="preserve"> of legislative instruments. </w:t>
      </w:r>
      <w:proofErr w:type="spellStart"/>
      <w:r>
        <w:rPr>
          <w:rFonts w:ascii="Times New Roman" w:eastAsia="Times New Roman" w:hAnsi="Times New Roman" w:cs="Times New Roman"/>
          <w:color w:val="000000"/>
          <w:sz w:val="24"/>
          <w:szCs w:val="24"/>
          <w:lang w:eastAsia="en-AU"/>
        </w:rPr>
        <w:t>Sunsetting</w:t>
      </w:r>
      <w:proofErr w:type="spellEnd"/>
      <w:r>
        <w:rPr>
          <w:rFonts w:ascii="Times New Roman" w:eastAsia="Times New Roman" w:hAnsi="Times New Roman" w:cs="Times New Roman"/>
          <w:color w:val="000000"/>
          <w:sz w:val="24"/>
          <w:szCs w:val="24"/>
          <w:lang w:eastAsia="en-AU"/>
        </w:rPr>
        <w:t xml:space="preserve"> is the process by which instruments are automatically repealed approximately 10 years after they are made unless steps are taken to preserve their operation, or the instruments are exempt from </w:t>
      </w:r>
      <w:proofErr w:type="spellStart"/>
      <w:r>
        <w:rPr>
          <w:rFonts w:ascii="Times New Roman" w:eastAsia="Times New Roman" w:hAnsi="Times New Roman" w:cs="Times New Roman"/>
          <w:color w:val="000000"/>
          <w:sz w:val="24"/>
          <w:szCs w:val="24"/>
          <w:lang w:eastAsia="en-AU"/>
        </w:rPr>
        <w:t>sunsetting</w:t>
      </w:r>
      <w:proofErr w:type="spellEnd"/>
      <w:r>
        <w:rPr>
          <w:rFonts w:ascii="Times New Roman" w:eastAsia="Times New Roman" w:hAnsi="Times New Roman" w:cs="Times New Roman"/>
          <w:color w:val="000000"/>
          <w:sz w:val="24"/>
          <w:szCs w:val="24"/>
          <w:lang w:eastAsia="en-AU"/>
        </w:rPr>
        <w:t xml:space="preserve">. </w:t>
      </w:r>
    </w:p>
    <w:p w14:paraId="39452AC8" w14:textId="2CADEBD6" w:rsidR="00E263F4" w:rsidRDefault="00E263F4" w:rsidP="00E263F4">
      <w:pPr>
        <w:widowControl w:val="0"/>
        <w:spacing w:before="240"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51 of the Legislation Act provides that, in certain circumstances, the Attorney</w:t>
      </w:r>
      <w:r w:rsidR="009451D2">
        <w:rPr>
          <w:rFonts w:ascii="Times New Roman" w:eastAsia="Times New Roman" w:hAnsi="Times New Roman" w:cs="Times New Roman"/>
          <w:color w:val="000000"/>
          <w:sz w:val="24"/>
          <w:szCs w:val="24"/>
          <w:lang w:eastAsia="en-AU"/>
        </w:rPr>
        <w:noBreakHyphen/>
      </w:r>
      <w:r>
        <w:rPr>
          <w:rFonts w:ascii="Times New Roman" w:eastAsia="Times New Roman" w:hAnsi="Times New Roman" w:cs="Times New Roman"/>
          <w:color w:val="000000"/>
          <w:sz w:val="24"/>
          <w:szCs w:val="24"/>
          <w:lang w:eastAsia="en-AU"/>
        </w:rPr>
        <w:t xml:space="preserve">General may issue a certificate to defer the </w:t>
      </w:r>
      <w:proofErr w:type="spellStart"/>
      <w:r>
        <w:rPr>
          <w:rFonts w:ascii="Times New Roman" w:eastAsia="Times New Roman" w:hAnsi="Times New Roman" w:cs="Times New Roman"/>
          <w:color w:val="000000"/>
          <w:sz w:val="24"/>
          <w:szCs w:val="24"/>
          <w:lang w:eastAsia="en-AU"/>
        </w:rPr>
        <w:t>sunsetting</w:t>
      </w:r>
      <w:proofErr w:type="spellEnd"/>
      <w:r>
        <w:rPr>
          <w:rFonts w:ascii="Times New Roman" w:eastAsia="Times New Roman" w:hAnsi="Times New Roman" w:cs="Times New Roman"/>
          <w:color w:val="000000"/>
          <w:sz w:val="24"/>
          <w:szCs w:val="24"/>
          <w:lang w:eastAsia="en-AU"/>
        </w:rPr>
        <w:t xml:space="preserve"> of a legislative instrument </w:t>
      </w:r>
      <w:r w:rsidR="00927724">
        <w:rPr>
          <w:rFonts w:ascii="Times New Roman" w:eastAsia="Times New Roman" w:hAnsi="Times New Roman" w:cs="Times New Roman"/>
          <w:color w:val="000000"/>
          <w:sz w:val="24"/>
          <w:szCs w:val="24"/>
          <w:lang w:eastAsia="en-AU"/>
        </w:rPr>
        <w:t xml:space="preserve">to a date of 1 April or 1 October that is on or before the second anniversary of the </w:t>
      </w:r>
      <w:proofErr w:type="spellStart"/>
      <w:r w:rsidR="00927724">
        <w:rPr>
          <w:rFonts w:ascii="Times New Roman" w:eastAsia="Times New Roman" w:hAnsi="Times New Roman" w:cs="Times New Roman"/>
          <w:color w:val="000000"/>
          <w:sz w:val="24"/>
          <w:szCs w:val="24"/>
          <w:lang w:eastAsia="en-AU"/>
        </w:rPr>
        <w:t>sunsetting</w:t>
      </w:r>
      <w:proofErr w:type="spellEnd"/>
      <w:r w:rsidR="00927724">
        <w:rPr>
          <w:rFonts w:ascii="Times New Roman" w:eastAsia="Times New Roman" w:hAnsi="Times New Roman" w:cs="Times New Roman"/>
          <w:color w:val="000000"/>
          <w:sz w:val="24"/>
          <w:szCs w:val="24"/>
          <w:lang w:eastAsia="en-AU"/>
        </w:rPr>
        <w:t xml:space="preserve"> date; that is the </w:t>
      </w:r>
      <w:proofErr w:type="spellStart"/>
      <w:r w:rsidR="00927724">
        <w:rPr>
          <w:rFonts w:ascii="Times New Roman" w:eastAsia="Times New Roman" w:hAnsi="Times New Roman" w:cs="Times New Roman"/>
          <w:color w:val="000000"/>
          <w:sz w:val="24"/>
          <w:szCs w:val="24"/>
          <w:lang w:eastAsia="en-AU"/>
        </w:rPr>
        <w:t>sunsetting</w:t>
      </w:r>
      <w:proofErr w:type="spellEnd"/>
      <w:r w:rsidR="00927724">
        <w:rPr>
          <w:rFonts w:ascii="Times New Roman" w:eastAsia="Times New Roman" w:hAnsi="Times New Roman" w:cs="Times New Roman"/>
          <w:color w:val="000000"/>
          <w:sz w:val="24"/>
          <w:szCs w:val="24"/>
          <w:lang w:eastAsia="en-AU"/>
        </w:rPr>
        <w:t xml:space="preserve"> date may be deferred by </w:t>
      </w:r>
      <w:proofErr w:type="spellStart"/>
      <w:r>
        <w:rPr>
          <w:rFonts w:ascii="Times New Roman" w:eastAsia="Times New Roman" w:hAnsi="Times New Roman" w:cs="Times New Roman"/>
          <w:color w:val="000000"/>
          <w:sz w:val="24"/>
          <w:szCs w:val="24"/>
          <w:lang w:eastAsia="en-AU"/>
        </w:rPr>
        <w:t>by</w:t>
      </w:r>
      <w:proofErr w:type="spellEnd"/>
      <w:r>
        <w:rPr>
          <w:rFonts w:ascii="Times New Roman" w:eastAsia="Times New Roman" w:hAnsi="Times New Roman" w:cs="Times New Roman"/>
          <w:color w:val="000000"/>
          <w:sz w:val="24"/>
          <w:szCs w:val="24"/>
          <w:lang w:eastAsia="en-AU"/>
        </w:rPr>
        <w:t xml:space="preserve"> six, 12, 18 or </w:t>
      </w:r>
      <w:r w:rsidR="0077680D">
        <w:rPr>
          <w:rFonts w:ascii="Times New Roman" w:eastAsia="Times New Roman" w:hAnsi="Times New Roman" w:cs="Times New Roman"/>
          <w:color w:val="000000"/>
          <w:sz w:val="24"/>
          <w:szCs w:val="24"/>
          <w:lang w:eastAsia="en-AU"/>
        </w:rPr>
        <w:t xml:space="preserve">24 </w:t>
      </w:r>
      <w:r>
        <w:rPr>
          <w:rFonts w:ascii="Times New Roman" w:eastAsia="Times New Roman" w:hAnsi="Times New Roman" w:cs="Times New Roman"/>
          <w:color w:val="000000"/>
          <w:sz w:val="24"/>
          <w:szCs w:val="24"/>
          <w:lang w:eastAsia="en-AU"/>
        </w:rPr>
        <w:t xml:space="preserve">months. </w:t>
      </w:r>
    </w:p>
    <w:p w14:paraId="2D870C08" w14:textId="021BBE74" w:rsidR="00E263F4" w:rsidRDefault="005B762D" w:rsidP="00E263F4">
      <w:pPr>
        <w:widowControl w:val="0"/>
        <w:spacing w:before="240"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Section 42 of the Legislation Act provides for the disallowance of legislative instruments. Subsection 51(4) of the Act provides that section 42 (disallowance) does not apply to a certificate that defers </w:t>
      </w:r>
      <w:proofErr w:type="spellStart"/>
      <w:r>
        <w:rPr>
          <w:rFonts w:ascii="Times New Roman" w:eastAsia="Times New Roman" w:hAnsi="Times New Roman" w:cs="Times New Roman"/>
          <w:color w:val="000000"/>
          <w:sz w:val="24"/>
          <w:szCs w:val="24"/>
          <w:lang w:eastAsia="en-AU"/>
        </w:rPr>
        <w:t>sunsetting</w:t>
      </w:r>
      <w:proofErr w:type="spellEnd"/>
      <w:r>
        <w:rPr>
          <w:rFonts w:ascii="Times New Roman" w:eastAsia="Times New Roman" w:hAnsi="Times New Roman" w:cs="Times New Roman"/>
          <w:color w:val="000000"/>
          <w:sz w:val="24"/>
          <w:szCs w:val="24"/>
          <w:lang w:eastAsia="en-AU"/>
        </w:rPr>
        <w:t xml:space="preserve"> for six or 12 months. Other exemptions from disallowance are created by regulations made for the purposes of paragraph 44(2</w:t>
      </w:r>
      <w:proofErr w:type="gramStart"/>
      <w:r>
        <w:rPr>
          <w:rFonts w:ascii="Times New Roman" w:eastAsia="Times New Roman" w:hAnsi="Times New Roman" w:cs="Times New Roman"/>
          <w:color w:val="000000"/>
          <w:sz w:val="24"/>
          <w:szCs w:val="24"/>
          <w:lang w:eastAsia="en-AU"/>
        </w:rPr>
        <w:t>)(</w:t>
      </w:r>
      <w:proofErr w:type="gramEnd"/>
      <w:r>
        <w:rPr>
          <w:rFonts w:ascii="Times New Roman" w:eastAsia="Times New Roman" w:hAnsi="Times New Roman" w:cs="Times New Roman"/>
          <w:color w:val="000000"/>
          <w:sz w:val="24"/>
          <w:szCs w:val="24"/>
          <w:lang w:eastAsia="en-AU"/>
        </w:rPr>
        <w:t xml:space="preserve">b). </w:t>
      </w:r>
    </w:p>
    <w:p w14:paraId="30E54C6C" w14:textId="77777777" w:rsidR="00E263F4" w:rsidRPr="006A4B7F" w:rsidRDefault="00E263F4" w:rsidP="00E263F4">
      <w:pPr>
        <w:spacing w:before="240"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Section 54 of the Legislation Act provides for instruments to which the </w:t>
      </w:r>
      <w:proofErr w:type="spellStart"/>
      <w:r>
        <w:rPr>
          <w:rFonts w:ascii="Times New Roman" w:eastAsia="Times New Roman" w:hAnsi="Times New Roman" w:cs="Times New Roman"/>
          <w:color w:val="000000"/>
          <w:sz w:val="24"/>
          <w:szCs w:val="24"/>
          <w:lang w:eastAsia="en-AU"/>
        </w:rPr>
        <w:t>sunsetting</w:t>
      </w:r>
      <w:proofErr w:type="spellEnd"/>
      <w:r>
        <w:rPr>
          <w:rFonts w:ascii="Times New Roman" w:eastAsia="Times New Roman" w:hAnsi="Times New Roman" w:cs="Times New Roman"/>
          <w:color w:val="000000"/>
          <w:sz w:val="24"/>
          <w:szCs w:val="24"/>
          <w:lang w:eastAsia="en-AU"/>
        </w:rPr>
        <w:t xml:space="preserve"> regime in Part 4 of Chapter 3 does not apply. Instruments which are prescribed by the regulations for the purposes of paragraph 54(2</w:t>
      </w:r>
      <w:proofErr w:type="gramStart"/>
      <w:r>
        <w:rPr>
          <w:rFonts w:ascii="Times New Roman" w:eastAsia="Times New Roman" w:hAnsi="Times New Roman" w:cs="Times New Roman"/>
          <w:color w:val="000000"/>
          <w:sz w:val="24"/>
          <w:szCs w:val="24"/>
          <w:lang w:eastAsia="en-AU"/>
        </w:rPr>
        <w:t>)(</w:t>
      </w:r>
      <w:proofErr w:type="gramEnd"/>
      <w:r>
        <w:rPr>
          <w:rFonts w:ascii="Times New Roman" w:eastAsia="Times New Roman" w:hAnsi="Times New Roman" w:cs="Times New Roman"/>
          <w:color w:val="000000"/>
          <w:sz w:val="24"/>
          <w:szCs w:val="24"/>
          <w:lang w:eastAsia="en-AU"/>
        </w:rPr>
        <w:t xml:space="preserve">b) of the Legislation Act are exempt from </w:t>
      </w:r>
      <w:proofErr w:type="spellStart"/>
      <w:r>
        <w:rPr>
          <w:rFonts w:ascii="Times New Roman" w:eastAsia="Times New Roman" w:hAnsi="Times New Roman" w:cs="Times New Roman"/>
          <w:color w:val="000000"/>
          <w:sz w:val="24"/>
          <w:szCs w:val="24"/>
          <w:lang w:eastAsia="en-AU"/>
        </w:rPr>
        <w:t>sunsetting</w:t>
      </w:r>
      <w:proofErr w:type="spellEnd"/>
      <w:r>
        <w:rPr>
          <w:rFonts w:ascii="Times New Roman" w:eastAsia="Times New Roman" w:hAnsi="Times New Roman" w:cs="Times New Roman"/>
          <w:color w:val="000000"/>
          <w:sz w:val="24"/>
          <w:szCs w:val="24"/>
          <w:lang w:eastAsia="en-AU"/>
        </w:rPr>
        <w:t>.</w:t>
      </w:r>
    </w:p>
    <w:p w14:paraId="67B1A9F1" w14:textId="53C510F9" w:rsidR="00E263F4" w:rsidRPr="00166DBE" w:rsidRDefault="00E263F4" w:rsidP="00E263F4">
      <w:pPr>
        <w:numPr>
          <w:ilvl w:val="12"/>
          <w:numId w:val="0"/>
        </w:numPr>
        <w:spacing w:before="240" w:after="0" w:line="240" w:lineRule="auto"/>
        <w:rPr>
          <w:rFonts w:ascii="Times New Roman" w:eastAsia="Calibri"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The </w:t>
      </w:r>
      <w:r w:rsidRPr="002B1A9B">
        <w:rPr>
          <w:rFonts w:ascii="Times New Roman" w:eastAsia="Times New Roman" w:hAnsi="Times New Roman" w:cs="Times New Roman"/>
          <w:i/>
          <w:color w:val="000000"/>
          <w:sz w:val="24"/>
          <w:szCs w:val="24"/>
          <w:lang w:eastAsia="en-AU"/>
        </w:rPr>
        <w:t>Legislation (Exemptions and Other Matters) Regulatio</w:t>
      </w:r>
      <w:r>
        <w:rPr>
          <w:rFonts w:ascii="Times New Roman" w:eastAsia="Times New Roman" w:hAnsi="Times New Roman" w:cs="Times New Roman"/>
          <w:i/>
          <w:color w:val="000000"/>
          <w:sz w:val="24"/>
          <w:szCs w:val="24"/>
          <w:lang w:eastAsia="en-AU"/>
        </w:rPr>
        <w:t>n 2015</w:t>
      </w:r>
      <w:r>
        <w:rPr>
          <w:rFonts w:ascii="Times New Roman" w:eastAsia="Times New Roman" w:hAnsi="Times New Roman" w:cs="Times New Roman"/>
          <w:color w:val="000000"/>
          <w:sz w:val="24"/>
          <w:szCs w:val="24"/>
          <w:lang w:eastAsia="en-AU"/>
        </w:rPr>
        <w:t xml:space="preserve"> (the Principal Regulations) </w:t>
      </w:r>
      <w:proofErr w:type="gramStart"/>
      <w:r>
        <w:rPr>
          <w:rFonts w:ascii="Times New Roman" w:eastAsia="Times New Roman" w:hAnsi="Times New Roman" w:cs="Times New Roman"/>
          <w:color w:val="000000"/>
          <w:sz w:val="24"/>
          <w:szCs w:val="24"/>
          <w:lang w:eastAsia="en-AU"/>
        </w:rPr>
        <w:t>prescribe</w:t>
      </w:r>
      <w:proofErr w:type="gramEnd"/>
      <w:r>
        <w:rPr>
          <w:rFonts w:ascii="Times New Roman" w:eastAsia="Times New Roman" w:hAnsi="Times New Roman" w:cs="Times New Roman"/>
          <w:color w:val="000000"/>
          <w:sz w:val="24"/>
          <w:szCs w:val="24"/>
          <w:lang w:eastAsia="en-AU"/>
        </w:rPr>
        <w:t xml:space="preserve"> classes of instruments (at section 9) and particular instruments (at section 10) that are </w:t>
      </w:r>
      <w:r w:rsidR="005B762D">
        <w:rPr>
          <w:rFonts w:ascii="Times New Roman" w:eastAsia="Times New Roman" w:hAnsi="Times New Roman" w:cs="Times New Roman"/>
          <w:color w:val="000000"/>
          <w:sz w:val="24"/>
          <w:szCs w:val="24"/>
          <w:lang w:eastAsia="en-AU"/>
        </w:rPr>
        <w:t>exempt from</w:t>
      </w:r>
      <w:r>
        <w:rPr>
          <w:rFonts w:ascii="Times New Roman" w:eastAsia="Times New Roman" w:hAnsi="Times New Roman" w:cs="Times New Roman"/>
          <w:color w:val="000000"/>
          <w:sz w:val="24"/>
          <w:szCs w:val="24"/>
          <w:lang w:eastAsia="en-AU"/>
        </w:rPr>
        <w:t xml:space="preserve"> disallowance under paragraph 44(2)(b) of the Legislation Act. The Principal</w:t>
      </w:r>
      <w:r w:rsidR="00D34989">
        <w:rPr>
          <w:rFonts w:ascii="Times New Roman" w:eastAsia="Times New Roman" w:hAnsi="Times New Roman" w:cs="Times New Roman"/>
          <w:color w:val="000000"/>
          <w:sz w:val="24"/>
          <w:szCs w:val="24"/>
          <w:lang w:eastAsia="en-AU"/>
        </w:rPr>
        <w:t> </w:t>
      </w:r>
      <w:r>
        <w:rPr>
          <w:rFonts w:ascii="Times New Roman" w:eastAsia="Times New Roman" w:hAnsi="Times New Roman" w:cs="Times New Roman"/>
          <w:color w:val="000000"/>
          <w:sz w:val="24"/>
          <w:szCs w:val="24"/>
          <w:lang w:eastAsia="en-AU"/>
        </w:rPr>
        <w:t xml:space="preserve">Regulations also prescribe </w:t>
      </w:r>
      <w:r>
        <w:rPr>
          <w:rFonts w:ascii="Times New Roman" w:eastAsia="Calibri" w:hAnsi="Times New Roman" w:cs="Times New Roman"/>
          <w:sz w:val="24"/>
          <w:szCs w:val="24"/>
          <w:lang w:eastAsia="en-AU"/>
        </w:rPr>
        <w:t>classes of instruments (at section 11) and particular instruments (at</w:t>
      </w:r>
      <w:r w:rsidR="00B81EF9">
        <w:rPr>
          <w:rFonts w:ascii="Times New Roman" w:eastAsia="Calibri" w:hAnsi="Times New Roman" w:cs="Times New Roman"/>
          <w:sz w:val="24"/>
          <w:szCs w:val="24"/>
          <w:lang w:eastAsia="en-AU"/>
        </w:rPr>
        <w:t> </w:t>
      </w:r>
      <w:r>
        <w:rPr>
          <w:rFonts w:ascii="Times New Roman" w:eastAsia="Calibri" w:hAnsi="Times New Roman" w:cs="Times New Roman"/>
          <w:sz w:val="24"/>
          <w:szCs w:val="24"/>
          <w:lang w:eastAsia="en-AU"/>
        </w:rPr>
        <w:t xml:space="preserve">section 12) that are exempt from </w:t>
      </w:r>
      <w:proofErr w:type="spellStart"/>
      <w:r>
        <w:rPr>
          <w:rFonts w:ascii="Times New Roman" w:eastAsia="Calibri" w:hAnsi="Times New Roman" w:cs="Times New Roman"/>
          <w:sz w:val="24"/>
          <w:szCs w:val="24"/>
          <w:lang w:eastAsia="en-AU"/>
        </w:rPr>
        <w:t>sunsetting</w:t>
      </w:r>
      <w:proofErr w:type="spellEnd"/>
      <w:r>
        <w:rPr>
          <w:rFonts w:ascii="Times New Roman" w:eastAsia="Calibri" w:hAnsi="Times New Roman" w:cs="Times New Roman"/>
          <w:sz w:val="24"/>
          <w:szCs w:val="24"/>
          <w:lang w:eastAsia="en-AU"/>
        </w:rPr>
        <w:t xml:space="preserve"> under paragraph 54(2</w:t>
      </w:r>
      <w:proofErr w:type="gramStart"/>
      <w:r>
        <w:rPr>
          <w:rFonts w:ascii="Times New Roman" w:eastAsia="Calibri" w:hAnsi="Times New Roman" w:cs="Times New Roman"/>
          <w:sz w:val="24"/>
          <w:szCs w:val="24"/>
          <w:lang w:eastAsia="en-AU"/>
        </w:rPr>
        <w:t>)(</w:t>
      </w:r>
      <w:proofErr w:type="gramEnd"/>
      <w:r>
        <w:rPr>
          <w:rFonts w:ascii="Times New Roman" w:eastAsia="Calibri" w:hAnsi="Times New Roman" w:cs="Times New Roman"/>
          <w:sz w:val="24"/>
          <w:szCs w:val="24"/>
          <w:lang w:eastAsia="en-AU"/>
        </w:rPr>
        <w:t xml:space="preserve">b) of the Act. </w:t>
      </w:r>
    </w:p>
    <w:p w14:paraId="25D1732C" w14:textId="6F60471D" w:rsidR="00E263F4" w:rsidRDefault="00E263F4" w:rsidP="00E263F4">
      <w:pPr>
        <w:spacing w:before="240"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purpose of the </w:t>
      </w:r>
      <w:r w:rsidRPr="00163DDD">
        <w:rPr>
          <w:rFonts w:ascii="Times New Roman" w:eastAsia="Times New Roman" w:hAnsi="Times New Roman" w:cs="Times New Roman"/>
          <w:i/>
          <w:color w:val="000000"/>
          <w:sz w:val="24"/>
          <w:szCs w:val="24"/>
          <w:lang w:eastAsia="en-AU"/>
        </w:rPr>
        <w:t>Legislation (Exemptions and Other Matters) Amendment (2019 Measures No. 1) Regulations 2019</w:t>
      </w:r>
      <w:r w:rsidRPr="00D33C7B">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(the </w:t>
      </w:r>
      <w:r w:rsidR="004D7CB5">
        <w:rPr>
          <w:rFonts w:ascii="Times New Roman" w:eastAsia="Times New Roman" w:hAnsi="Times New Roman" w:cs="Times New Roman"/>
          <w:color w:val="000000"/>
          <w:sz w:val="24"/>
          <w:szCs w:val="24"/>
          <w:lang w:eastAsia="en-AU"/>
        </w:rPr>
        <w:t>Amendment</w:t>
      </w:r>
      <w:r>
        <w:rPr>
          <w:rFonts w:ascii="Times New Roman" w:eastAsia="Times New Roman" w:hAnsi="Times New Roman" w:cs="Times New Roman"/>
          <w:color w:val="000000"/>
          <w:sz w:val="24"/>
          <w:szCs w:val="24"/>
          <w:lang w:eastAsia="en-AU"/>
        </w:rPr>
        <w:t xml:space="preserve"> Regulations) is to remove an item from section 10</w:t>
      </w:r>
      <w:r w:rsidR="005B762D">
        <w:rPr>
          <w:rFonts w:ascii="Times New Roman" w:eastAsia="Times New Roman" w:hAnsi="Times New Roman" w:cs="Times New Roman"/>
          <w:color w:val="000000"/>
          <w:sz w:val="24"/>
          <w:szCs w:val="24"/>
          <w:lang w:eastAsia="en-AU"/>
        </w:rPr>
        <w:t xml:space="preserve"> of the Principal Regulations</w:t>
      </w:r>
      <w:r>
        <w:rPr>
          <w:rFonts w:ascii="Times New Roman" w:eastAsia="Times New Roman" w:hAnsi="Times New Roman" w:cs="Times New Roman"/>
          <w:color w:val="000000"/>
          <w:sz w:val="24"/>
          <w:szCs w:val="24"/>
          <w:lang w:eastAsia="en-AU"/>
        </w:rPr>
        <w:t xml:space="preserve"> (exemption of particular instruments from disallowance) and to prescribe additional instruments to be exempt from </w:t>
      </w:r>
      <w:proofErr w:type="spellStart"/>
      <w:r>
        <w:rPr>
          <w:rFonts w:ascii="Times New Roman" w:eastAsia="Times New Roman" w:hAnsi="Times New Roman" w:cs="Times New Roman"/>
          <w:color w:val="000000"/>
          <w:sz w:val="24"/>
          <w:szCs w:val="24"/>
          <w:lang w:eastAsia="en-AU"/>
        </w:rPr>
        <w:t>sunsetting</w:t>
      </w:r>
      <w:proofErr w:type="spellEnd"/>
      <w:r>
        <w:rPr>
          <w:rFonts w:ascii="Times New Roman" w:eastAsia="Times New Roman" w:hAnsi="Times New Roman" w:cs="Times New Roman"/>
          <w:color w:val="000000"/>
          <w:sz w:val="24"/>
          <w:szCs w:val="24"/>
          <w:lang w:eastAsia="en-AU"/>
        </w:rPr>
        <w:t xml:space="preserve"> under section 12 of </w:t>
      </w:r>
      <w:r w:rsidR="005B762D">
        <w:rPr>
          <w:rFonts w:ascii="Times New Roman" w:eastAsia="Times New Roman" w:hAnsi="Times New Roman" w:cs="Times New Roman"/>
          <w:color w:val="000000"/>
          <w:sz w:val="24"/>
          <w:szCs w:val="24"/>
          <w:lang w:eastAsia="en-AU"/>
        </w:rPr>
        <w:t>those</w:t>
      </w:r>
      <w:r>
        <w:rPr>
          <w:rFonts w:ascii="Times New Roman" w:eastAsia="Times New Roman" w:hAnsi="Times New Roman" w:cs="Times New Roman"/>
          <w:color w:val="000000"/>
          <w:sz w:val="24"/>
          <w:szCs w:val="24"/>
          <w:lang w:eastAsia="en-AU"/>
        </w:rPr>
        <w:t xml:space="preserve"> Regulations. These additional instruments are made under the </w:t>
      </w:r>
      <w:r w:rsidRPr="004E7820">
        <w:rPr>
          <w:rFonts w:ascii="Times New Roman" w:eastAsia="Times New Roman" w:hAnsi="Times New Roman" w:cs="Times New Roman"/>
          <w:i/>
          <w:color w:val="000000"/>
          <w:sz w:val="24"/>
          <w:szCs w:val="24"/>
          <w:lang w:eastAsia="en-AU"/>
        </w:rPr>
        <w:t>Fair Work Act 2009</w:t>
      </w:r>
      <w:r>
        <w:rPr>
          <w:rFonts w:ascii="Times New Roman" w:eastAsia="Times New Roman" w:hAnsi="Times New Roman" w:cs="Times New Roman"/>
          <w:color w:val="000000"/>
          <w:sz w:val="24"/>
          <w:szCs w:val="24"/>
          <w:lang w:eastAsia="en-AU"/>
        </w:rPr>
        <w:t xml:space="preserve">, the </w:t>
      </w:r>
      <w:r w:rsidRPr="004E7820">
        <w:rPr>
          <w:rFonts w:ascii="Times New Roman" w:eastAsia="Times New Roman" w:hAnsi="Times New Roman" w:cs="Times New Roman"/>
          <w:i/>
          <w:color w:val="000000"/>
          <w:sz w:val="24"/>
          <w:szCs w:val="24"/>
          <w:lang w:eastAsia="en-AU"/>
        </w:rPr>
        <w:t>Fair</w:t>
      </w:r>
      <w:r w:rsidR="008C2BB0">
        <w:rPr>
          <w:rFonts w:ascii="Times New Roman" w:eastAsia="Times New Roman" w:hAnsi="Times New Roman" w:cs="Times New Roman"/>
          <w:i/>
          <w:color w:val="000000"/>
          <w:sz w:val="24"/>
          <w:szCs w:val="24"/>
          <w:lang w:eastAsia="en-AU"/>
        </w:rPr>
        <w:t> </w:t>
      </w:r>
      <w:r w:rsidRPr="004E7820">
        <w:rPr>
          <w:rFonts w:ascii="Times New Roman" w:eastAsia="Times New Roman" w:hAnsi="Times New Roman" w:cs="Times New Roman"/>
          <w:i/>
          <w:color w:val="000000"/>
          <w:sz w:val="24"/>
          <w:szCs w:val="24"/>
          <w:lang w:eastAsia="en-AU"/>
        </w:rPr>
        <w:t>Work (Registered Organisations) Act 2009</w:t>
      </w:r>
      <w:r>
        <w:rPr>
          <w:rFonts w:ascii="Times New Roman" w:eastAsia="Times New Roman" w:hAnsi="Times New Roman" w:cs="Times New Roman"/>
          <w:color w:val="000000"/>
          <w:sz w:val="24"/>
          <w:szCs w:val="24"/>
          <w:lang w:eastAsia="en-AU"/>
        </w:rPr>
        <w:t xml:space="preserve">, the </w:t>
      </w:r>
      <w:r w:rsidRPr="004E7820">
        <w:rPr>
          <w:rFonts w:ascii="Times New Roman" w:eastAsia="Times New Roman" w:hAnsi="Times New Roman" w:cs="Times New Roman"/>
          <w:i/>
          <w:color w:val="000000"/>
          <w:sz w:val="24"/>
          <w:szCs w:val="24"/>
          <w:lang w:eastAsia="en-AU"/>
        </w:rPr>
        <w:t xml:space="preserve">Fair Work (Transitional </w:t>
      </w:r>
      <w:r w:rsidRPr="004E7820">
        <w:rPr>
          <w:rFonts w:ascii="Times New Roman" w:eastAsia="Times New Roman" w:hAnsi="Times New Roman" w:cs="Times New Roman"/>
          <w:i/>
          <w:color w:val="000000"/>
          <w:sz w:val="24"/>
          <w:szCs w:val="24"/>
          <w:lang w:eastAsia="en-AU"/>
        </w:rPr>
        <w:lastRenderedPageBreak/>
        <w:t>Provisions and Consequential Amendments Act) 2009</w:t>
      </w:r>
      <w:r>
        <w:rPr>
          <w:rFonts w:ascii="Times New Roman" w:eastAsia="Times New Roman" w:hAnsi="Times New Roman" w:cs="Times New Roman"/>
          <w:color w:val="000000"/>
          <w:sz w:val="24"/>
          <w:szCs w:val="24"/>
          <w:lang w:eastAsia="en-AU"/>
        </w:rPr>
        <w:t xml:space="preserve">, the </w:t>
      </w:r>
      <w:r w:rsidRPr="004E7820">
        <w:rPr>
          <w:rFonts w:ascii="Times New Roman" w:eastAsia="Times New Roman" w:hAnsi="Times New Roman" w:cs="Times New Roman"/>
          <w:i/>
          <w:color w:val="000000"/>
          <w:sz w:val="24"/>
          <w:szCs w:val="24"/>
          <w:lang w:eastAsia="en-AU"/>
        </w:rPr>
        <w:t>Work Health and Safety Act 2011</w:t>
      </w:r>
      <w:r>
        <w:rPr>
          <w:rFonts w:ascii="Times New Roman" w:eastAsia="Times New Roman" w:hAnsi="Times New Roman" w:cs="Times New Roman"/>
          <w:color w:val="000000"/>
          <w:sz w:val="24"/>
          <w:szCs w:val="24"/>
          <w:lang w:eastAsia="en-AU"/>
        </w:rPr>
        <w:t xml:space="preserve"> and the </w:t>
      </w:r>
      <w:r w:rsidRPr="004E7820">
        <w:rPr>
          <w:rFonts w:ascii="Times New Roman" w:eastAsia="Times New Roman" w:hAnsi="Times New Roman" w:cs="Times New Roman"/>
          <w:i/>
          <w:color w:val="000000"/>
          <w:sz w:val="24"/>
          <w:szCs w:val="24"/>
          <w:lang w:eastAsia="en-AU"/>
        </w:rPr>
        <w:t>Work</w:t>
      </w:r>
      <w:r w:rsidR="000A0E0E">
        <w:rPr>
          <w:rFonts w:ascii="Times New Roman" w:eastAsia="Times New Roman" w:hAnsi="Times New Roman" w:cs="Times New Roman"/>
          <w:i/>
          <w:color w:val="000000"/>
          <w:sz w:val="24"/>
          <w:szCs w:val="24"/>
          <w:lang w:eastAsia="en-AU"/>
        </w:rPr>
        <w:t> </w:t>
      </w:r>
      <w:r w:rsidRPr="004E7820">
        <w:rPr>
          <w:rFonts w:ascii="Times New Roman" w:eastAsia="Times New Roman" w:hAnsi="Times New Roman" w:cs="Times New Roman"/>
          <w:i/>
          <w:color w:val="000000"/>
          <w:sz w:val="24"/>
          <w:szCs w:val="24"/>
          <w:lang w:eastAsia="en-AU"/>
        </w:rPr>
        <w:t xml:space="preserve">Health </w:t>
      </w:r>
      <w:r w:rsidR="006478CB">
        <w:rPr>
          <w:rFonts w:ascii="Times New Roman" w:eastAsia="Times New Roman" w:hAnsi="Times New Roman" w:cs="Times New Roman"/>
          <w:i/>
          <w:color w:val="000000"/>
          <w:sz w:val="24"/>
          <w:szCs w:val="24"/>
          <w:lang w:eastAsia="en-AU"/>
        </w:rPr>
        <w:t xml:space="preserve">and </w:t>
      </w:r>
      <w:r w:rsidRPr="004E7820">
        <w:rPr>
          <w:rFonts w:ascii="Times New Roman" w:eastAsia="Times New Roman" w:hAnsi="Times New Roman" w:cs="Times New Roman"/>
          <w:i/>
          <w:color w:val="000000"/>
          <w:sz w:val="24"/>
          <w:szCs w:val="24"/>
          <w:lang w:eastAsia="en-AU"/>
        </w:rPr>
        <w:t xml:space="preserve">Safety (Transitional and Consequential </w:t>
      </w:r>
      <w:r w:rsidR="00927724">
        <w:rPr>
          <w:rFonts w:ascii="Times New Roman" w:eastAsia="Times New Roman" w:hAnsi="Times New Roman" w:cs="Times New Roman"/>
          <w:i/>
          <w:color w:val="000000"/>
          <w:sz w:val="24"/>
          <w:szCs w:val="24"/>
          <w:lang w:eastAsia="en-AU"/>
        </w:rPr>
        <w:t>Provisions)</w:t>
      </w:r>
      <w:r w:rsidRPr="004E7820">
        <w:rPr>
          <w:rFonts w:ascii="Times New Roman" w:eastAsia="Times New Roman" w:hAnsi="Times New Roman" w:cs="Times New Roman"/>
          <w:i/>
          <w:color w:val="000000"/>
          <w:sz w:val="24"/>
          <w:szCs w:val="24"/>
          <w:lang w:eastAsia="en-AU"/>
        </w:rPr>
        <w:t xml:space="preserve"> Act 20</w:t>
      </w:r>
      <w:r w:rsidR="00927724">
        <w:rPr>
          <w:rFonts w:ascii="Times New Roman" w:eastAsia="Times New Roman" w:hAnsi="Times New Roman" w:cs="Times New Roman"/>
          <w:i/>
          <w:color w:val="000000"/>
          <w:sz w:val="24"/>
          <w:szCs w:val="24"/>
          <w:lang w:eastAsia="en-AU"/>
        </w:rPr>
        <w:t>11</w:t>
      </w:r>
      <w:r>
        <w:rPr>
          <w:rFonts w:ascii="Times New Roman" w:eastAsia="Times New Roman" w:hAnsi="Times New Roman" w:cs="Times New Roman"/>
          <w:color w:val="000000"/>
          <w:sz w:val="24"/>
          <w:szCs w:val="24"/>
          <w:lang w:eastAsia="en-AU"/>
        </w:rPr>
        <w:t>.</w:t>
      </w:r>
    </w:p>
    <w:p w14:paraId="6F3C12AF" w14:textId="77777777" w:rsidR="00E263F4" w:rsidRPr="007D698E" w:rsidRDefault="00E263F4" w:rsidP="00E263F4">
      <w:pPr>
        <w:spacing w:before="240" w:after="12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The Legislation Act does not specify any conditions that must be fulfilled before the power to </w:t>
      </w:r>
      <w:r>
        <w:rPr>
          <w:rFonts w:ascii="Times New Roman" w:eastAsia="Calibri" w:hAnsi="Times New Roman" w:cs="Times New Roman"/>
          <w:sz w:val="24"/>
          <w:szCs w:val="24"/>
        </w:rPr>
        <w:t xml:space="preserve">grant exemptions may be exercised. </w:t>
      </w:r>
      <w:r w:rsidRPr="007D698E">
        <w:rPr>
          <w:rFonts w:ascii="Times New Roman" w:eastAsia="Calibri" w:hAnsi="Times New Roman" w:cs="Times New Roman"/>
          <w:sz w:val="24"/>
          <w:szCs w:val="24"/>
        </w:rPr>
        <w:t xml:space="preserve">However, </w:t>
      </w:r>
      <w:r>
        <w:rPr>
          <w:rFonts w:ascii="Times New Roman" w:eastAsia="Calibri" w:hAnsi="Times New Roman" w:cs="Times New Roman"/>
          <w:sz w:val="24"/>
          <w:szCs w:val="24"/>
        </w:rPr>
        <w:t>there are established criteria against which the Attorney</w:t>
      </w:r>
      <w:r>
        <w:rPr>
          <w:rFonts w:ascii="Times New Roman" w:eastAsia="Calibri" w:hAnsi="Times New Roman" w:cs="Times New Roman"/>
          <w:sz w:val="24"/>
          <w:szCs w:val="24"/>
        </w:rPr>
        <w:noBreakHyphen/>
        <w:t xml:space="preserve">General considers all applications to exempt an instrument or class of instruments from </w:t>
      </w:r>
      <w:proofErr w:type="spellStart"/>
      <w:r>
        <w:rPr>
          <w:rFonts w:ascii="Times New Roman" w:eastAsia="Calibri" w:hAnsi="Times New Roman" w:cs="Times New Roman"/>
          <w:sz w:val="24"/>
          <w:szCs w:val="24"/>
        </w:rPr>
        <w:t>sunsetting</w:t>
      </w:r>
      <w:proofErr w:type="spellEnd"/>
      <w:r>
        <w:rPr>
          <w:rFonts w:ascii="Times New Roman" w:eastAsia="Calibri" w:hAnsi="Times New Roman" w:cs="Times New Roman"/>
          <w:sz w:val="24"/>
          <w:szCs w:val="24"/>
        </w:rPr>
        <w:t xml:space="preserve">: </w:t>
      </w:r>
    </w:p>
    <w:p w14:paraId="6EA5AA26" w14:textId="77777777" w:rsidR="00E263F4" w:rsidRPr="002F19E2" w:rsidRDefault="00E263F4" w:rsidP="005B762D">
      <w:pPr>
        <w:pStyle w:val="ListParagraph"/>
        <w:numPr>
          <w:ilvl w:val="1"/>
          <w:numId w:val="19"/>
        </w:numPr>
        <w:spacing w:before="120" w:after="0" w:line="240" w:lineRule="auto"/>
        <w:ind w:left="714" w:hanging="357"/>
        <w:rPr>
          <w:rFonts w:ascii="Times New Roman" w:eastAsia="Calibri" w:hAnsi="Times New Roman" w:cs="Times New Roman"/>
          <w:sz w:val="24"/>
          <w:szCs w:val="24"/>
        </w:rPr>
      </w:pPr>
      <w:r w:rsidRPr="002F19E2">
        <w:rPr>
          <w:rFonts w:ascii="Times New Roman" w:eastAsia="Calibri" w:hAnsi="Times New Roman" w:cs="Times New Roman"/>
          <w:sz w:val="24"/>
          <w:szCs w:val="24"/>
        </w:rPr>
        <w:t>the rule-maker has been given a statutory role independent of the Government, or is operating in competition with the private sector</w:t>
      </w:r>
    </w:p>
    <w:p w14:paraId="647D6744" w14:textId="77777777" w:rsidR="00E263F4" w:rsidRPr="002F19E2" w:rsidRDefault="00E263F4" w:rsidP="005B762D">
      <w:pPr>
        <w:pStyle w:val="ListParagraph"/>
        <w:numPr>
          <w:ilvl w:val="1"/>
          <w:numId w:val="19"/>
        </w:numPr>
        <w:spacing w:before="120" w:after="0" w:line="240" w:lineRule="auto"/>
        <w:ind w:left="714" w:hanging="357"/>
        <w:rPr>
          <w:rFonts w:ascii="Times New Roman" w:eastAsia="Calibri" w:hAnsi="Times New Roman" w:cs="Times New Roman"/>
          <w:sz w:val="24"/>
          <w:szCs w:val="24"/>
        </w:rPr>
      </w:pPr>
      <w:r w:rsidRPr="002F19E2">
        <w:rPr>
          <w:rFonts w:ascii="Times New Roman" w:eastAsia="Calibri" w:hAnsi="Times New Roman" w:cs="Times New Roman"/>
          <w:sz w:val="24"/>
          <w:szCs w:val="24"/>
        </w:rPr>
        <w:t>the instrument is designed to be enduring and not subject to regular review</w:t>
      </w:r>
    </w:p>
    <w:p w14:paraId="39EF9876" w14:textId="77777777" w:rsidR="00E263F4" w:rsidRPr="002F19E2" w:rsidRDefault="00E263F4" w:rsidP="005B762D">
      <w:pPr>
        <w:pStyle w:val="ListParagraph"/>
        <w:numPr>
          <w:ilvl w:val="1"/>
          <w:numId w:val="19"/>
        </w:numPr>
        <w:spacing w:before="120" w:after="0" w:line="240" w:lineRule="auto"/>
        <w:ind w:left="714" w:hanging="357"/>
        <w:rPr>
          <w:rFonts w:ascii="Times New Roman" w:eastAsia="Calibri" w:hAnsi="Times New Roman" w:cs="Times New Roman"/>
          <w:sz w:val="24"/>
          <w:szCs w:val="24"/>
        </w:rPr>
      </w:pPr>
      <w:r w:rsidRPr="002F19E2">
        <w:rPr>
          <w:rFonts w:ascii="Times New Roman" w:eastAsia="Calibri" w:hAnsi="Times New Roman" w:cs="Times New Roman"/>
          <w:sz w:val="24"/>
          <w:szCs w:val="24"/>
        </w:rPr>
        <w:t xml:space="preserve">commercial certainty would be undermined by </w:t>
      </w:r>
      <w:proofErr w:type="spellStart"/>
      <w:r w:rsidRPr="002F19E2">
        <w:rPr>
          <w:rFonts w:ascii="Times New Roman" w:eastAsia="Calibri" w:hAnsi="Times New Roman" w:cs="Times New Roman"/>
          <w:sz w:val="24"/>
          <w:szCs w:val="24"/>
        </w:rPr>
        <w:t>sunsetting</w:t>
      </w:r>
      <w:proofErr w:type="spellEnd"/>
    </w:p>
    <w:p w14:paraId="37B8AAE7" w14:textId="77777777" w:rsidR="00E263F4" w:rsidRPr="002F19E2" w:rsidRDefault="00E263F4" w:rsidP="005B762D">
      <w:pPr>
        <w:pStyle w:val="ListParagraph"/>
        <w:numPr>
          <w:ilvl w:val="1"/>
          <w:numId w:val="19"/>
        </w:numPr>
        <w:spacing w:before="120" w:after="0" w:line="240" w:lineRule="auto"/>
        <w:ind w:left="714" w:hanging="357"/>
        <w:rPr>
          <w:rFonts w:ascii="Times New Roman" w:eastAsia="Calibri" w:hAnsi="Times New Roman" w:cs="Times New Roman"/>
          <w:sz w:val="24"/>
          <w:szCs w:val="24"/>
        </w:rPr>
      </w:pPr>
      <w:r w:rsidRPr="002F19E2">
        <w:rPr>
          <w:rFonts w:ascii="Times New Roman" w:eastAsia="Calibri" w:hAnsi="Times New Roman" w:cs="Times New Roman"/>
          <w:sz w:val="24"/>
          <w:szCs w:val="24"/>
        </w:rPr>
        <w:t>the instrument is part of an intergovernmental scheme</w:t>
      </w:r>
    </w:p>
    <w:p w14:paraId="4281370F" w14:textId="77777777" w:rsidR="00E263F4" w:rsidRPr="002F19E2" w:rsidRDefault="00E263F4" w:rsidP="005B762D">
      <w:pPr>
        <w:pStyle w:val="ListParagraph"/>
        <w:numPr>
          <w:ilvl w:val="1"/>
          <w:numId w:val="19"/>
        </w:numPr>
        <w:spacing w:before="120" w:after="0" w:line="240" w:lineRule="auto"/>
        <w:ind w:left="714" w:hanging="357"/>
        <w:rPr>
          <w:rFonts w:ascii="Times New Roman" w:eastAsia="Calibri" w:hAnsi="Times New Roman" w:cs="Times New Roman"/>
          <w:sz w:val="24"/>
          <w:szCs w:val="24"/>
        </w:rPr>
      </w:pPr>
      <w:r w:rsidRPr="002F19E2">
        <w:rPr>
          <w:rFonts w:ascii="Times New Roman" w:eastAsia="Calibri" w:hAnsi="Times New Roman" w:cs="Times New Roman"/>
          <w:sz w:val="24"/>
          <w:szCs w:val="24"/>
        </w:rPr>
        <w:t xml:space="preserve">the instrument is subject to a more rigorous statutory review process, or </w:t>
      </w:r>
    </w:p>
    <w:p w14:paraId="722A1DCD" w14:textId="77777777" w:rsidR="00E263F4" w:rsidRPr="002F19E2" w:rsidRDefault="00E263F4" w:rsidP="005B762D">
      <w:pPr>
        <w:pStyle w:val="ListParagraph"/>
        <w:numPr>
          <w:ilvl w:val="1"/>
          <w:numId w:val="19"/>
        </w:numPr>
        <w:spacing w:before="120" w:after="0" w:line="240" w:lineRule="auto"/>
        <w:ind w:left="714" w:hanging="357"/>
        <w:rPr>
          <w:rFonts w:ascii="Times New Roman" w:eastAsia="Calibri" w:hAnsi="Times New Roman" w:cs="Times New Roman"/>
          <w:sz w:val="24"/>
          <w:szCs w:val="24"/>
        </w:rPr>
      </w:pPr>
      <w:proofErr w:type="gramStart"/>
      <w:r w:rsidRPr="002F19E2">
        <w:rPr>
          <w:rFonts w:ascii="Times New Roman" w:eastAsia="Calibri" w:hAnsi="Times New Roman" w:cs="Times New Roman"/>
          <w:sz w:val="24"/>
          <w:szCs w:val="24"/>
        </w:rPr>
        <w:t>the</w:t>
      </w:r>
      <w:proofErr w:type="gramEnd"/>
      <w:r w:rsidRPr="002F19E2">
        <w:rPr>
          <w:rFonts w:ascii="Times New Roman" w:eastAsia="Calibri" w:hAnsi="Times New Roman" w:cs="Times New Roman"/>
          <w:sz w:val="24"/>
          <w:szCs w:val="24"/>
        </w:rPr>
        <w:t xml:space="preserve"> instrument governs a scheme that is applicable to a permanently closed class of persons.</w:t>
      </w:r>
    </w:p>
    <w:p w14:paraId="54C63C21" w14:textId="77777777" w:rsidR="00E263F4" w:rsidRDefault="00E263F4" w:rsidP="00E263F4">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addition, an exemption from </w:t>
      </w:r>
      <w:proofErr w:type="spellStart"/>
      <w:r>
        <w:rPr>
          <w:rFonts w:ascii="Times New Roman" w:eastAsia="Calibri" w:hAnsi="Times New Roman" w:cs="Times New Roman"/>
          <w:sz w:val="24"/>
          <w:szCs w:val="24"/>
        </w:rPr>
        <w:t>sunsetting</w:t>
      </w:r>
      <w:proofErr w:type="spellEnd"/>
      <w:r>
        <w:rPr>
          <w:rFonts w:ascii="Times New Roman" w:eastAsia="Calibri" w:hAnsi="Times New Roman" w:cs="Times New Roman"/>
          <w:sz w:val="24"/>
          <w:szCs w:val="24"/>
        </w:rPr>
        <w:t xml:space="preserve"> may also be appropriate where:</w:t>
      </w:r>
    </w:p>
    <w:p w14:paraId="53FDA52A" w14:textId="533CDC03" w:rsidR="00E263F4" w:rsidRPr="007D698E" w:rsidRDefault="00E263F4" w:rsidP="00E263F4">
      <w:pPr>
        <w:pStyle w:val="ListParagraph"/>
        <w:numPr>
          <w:ilvl w:val="1"/>
          <w:numId w:val="20"/>
        </w:numPr>
        <w:spacing w:before="12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the instrument is sufficiently large and complex that the administrative burden associated with remaking the instrument would </w:t>
      </w:r>
      <w:r>
        <w:rPr>
          <w:rFonts w:ascii="Times New Roman" w:eastAsia="Calibri" w:hAnsi="Times New Roman" w:cs="Times New Roman"/>
          <w:sz w:val="24"/>
          <w:szCs w:val="24"/>
        </w:rPr>
        <w:t>outweigh any regulatory benefit</w:t>
      </w:r>
      <w:r w:rsidR="00DD4DFB">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w:t>
      </w:r>
    </w:p>
    <w:p w14:paraId="44B61AAB" w14:textId="77777777" w:rsidR="00E263F4" w:rsidRPr="007D698E" w:rsidRDefault="00E263F4" w:rsidP="00E263F4">
      <w:pPr>
        <w:pStyle w:val="ListParagraph"/>
        <w:numPr>
          <w:ilvl w:val="2"/>
          <w:numId w:val="20"/>
        </w:numPr>
        <w:spacing w:before="240" w:after="0"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the instrument is subject to regular review, and</w:t>
      </w:r>
    </w:p>
    <w:p w14:paraId="1929E6DE" w14:textId="77777777" w:rsidR="00E263F4" w:rsidRPr="0084060D" w:rsidRDefault="00E263F4" w:rsidP="00E263F4">
      <w:pPr>
        <w:pStyle w:val="ListParagraph"/>
        <w:numPr>
          <w:ilvl w:val="2"/>
          <w:numId w:val="20"/>
        </w:numPr>
        <w:spacing w:before="240" w:after="0" w:line="240" w:lineRule="auto"/>
        <w:rPr>
          <w:rFonts w:ascii="Times New Roman" w:eastAsia="Calibri" w:hAnsi="Times New Roman" w:cs="Times New Roman"/>
          <w:sz w:val="24"/>
          <w:szCs w:val="24"/>
        </w:rPr>
      </w:pPr>
      <w:proofErr w:type="gramStart"/>
      <w:r w:rsidRPr="007D698E">
        <w:rPr>
          <w:rFonts w:ascii="Times New Roman" w:eastAsia="Calibri" w:hAnsi="Times New Roman" w:cs="Times New Roman"/>
          <w:sz w:val="24"/>
          <w:szCs w:val="24"/>
        </w:rPr>
        <w:t>the</w:t>
      </w:r>
      <w:proofErr w:type="gramEnd"/>
      <w:r w:rsidRPr="007D698E">
        <w:rPr>
          <w:rFonts w:ascii="Times New Roman" w:eastAsia="Calibri" w:hAnsi="Times New Roman" w:cs="Times New Roman"/>
          <w:sz w:val="24"/>
          <w:szCs w:val="24"/>
        </w:rPr>
        <w:t xml:space="preserve"> instrument is subject to regular amendment. </w:t>
      </w:r>
    </w:p>
    <w:p w14:paraId="778A96D5" w14:textId="77777777" w:rsidR="00E263F4" w:rsidRPr="007D698E" w:rsidRDefault="00E263F4" w:rsidP="00E263F4">
      <w:pPr>
        <w:pStyle w:val="Paragraph"/>
        <w:numPr>
          <w:ilvl w:val="0"/>
          <w:numId w:val="0"/>
        </w:numPr>
        <w:tabs>
          <w:tab w:val="left" w:pos="567"/>
        </w:tabs>
        <w:rPr>
          <w:szCs w:val="24"/>
        </w:rPr>
      </w:pPr>
      <w:r w:rsidRPr="007D698E">
        <w:rPr>
          <w:szCs w:val="24"/>
        </w:rPr>
        <w:t>These criteria</w:t>
      </w:r>
      <w:r>
        <w:rPr>
          <w:szCs w:val="24"/>
        </w:rPr>
        <w:t xml:space="preserve"> are </w:t>
      </w:r>
      <w:r w:rsidRPr="007D698E">
        <w:rPr>
          <w:szCs w:val="24"/>
        </w:rPr>
        <w:t xml:space="preserve">consistent with the purpose of </w:t>
      </w:r>
      <w:proofErr w:type="spellStart"/>
      <w:r w:rsidRPr="007D698E">
        <w:rPr>
          <w:szCs w:val="24"/>
        </w:rPr>
        <w:t>sunsetting</w:t>
      </w:r>
      <w:proofErr w:type="spellEnd"/>
      <w:r w:rsidRPr="007D698E">
        <w:rPr>
          <w:szCs w:val="24"/>
        </w:rPr>
        <w:t>, which is to ensure that legislative instruments are kept up to date and continue to be fit-for-purpose.</w:t>
      </w:r>
    </w:p>
    <w:p w14:paraId="1AC94E76" w14:textId="237E2B9C" w:rsidR="00E263F4" w:rsidRDefault="00E263F4" w:rsidP="00E263F4">
      <w:pPr>
        <w:spacing w:before="24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Each</w:t>
      </w:r>
      <w:r w:rsidR="005B762D">
        <w:rPr>
          <w:rFonts w:ascii="Times New Roman" w:eastAsia="Calibri" w:hAnsi="Times New Roman" w:cs="Times New Roman"/>
          <w:sz w:val="24"/>
          <w:szCs w:val="24"/>
        </w:rPr>
        <w:t xml:space="preserve"> new</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sunsetting</w:t>
      </w:r>
      <w:proofErr w:type="spellEnd"/>
      <w:r>
        <w:rPr>
          <w:rFonts w:ascii="Times New Roman" w:eastAsia="Calibri" w:hAnsi="Times New Roman" w:cs="Times New Roman"/>
          <w:sz w:val="24"/>
          <w:szCs w:val="24"/>
        </w:rPr>
        <w:t xml:space="preserve"> exemption</w:t>
      </w:r>
      <w:r w:rsidR="005B762D">
        <w:rPr>
          <w:rFonts w:ascii="Times New Roman" w:eastAsia="Calibri" w:hAnsi="Times New Roman" w:cs="Times New Roman"/>
          <w:sz w:val="24"/>
          <w:szCs w:val="24"/>
        </w:rPr>
        <w:t xml:space="preserve"> contained</w:t>
      </w:r>
      <w:r>
        <w:rPr>
          <w:rFonts w:ascii="Times New Roman" w:eastAsia="Calibri" w:hAnsi="Times New Roman" w:cs="Times New Roman"/>
          <w:sz w:val="24"/>
          <w:szCs w:val="24"/>
        </w:rPr>
        <w:t xml:space="preserve"> in Schedule 1 to the </w:t>
      </w:r>
      <w:r w:rsidR="002E78A0">
        <w:rPr>
          <w:rFonts w:ascii="Times New Roman" w:eastAsia="Calibri" w:hAnsi="Times New Roman" w:cs="Times New Roman"/>
          <w:sz w:val="24"/>
          <w:szCs w:val="24"/>
        </w:rPr>
        <w:t>Amendment</w:t>
      </w:r>
      <w:r>
        <w:rPr>
          <w:rFonts w:ascii="Times New Roman" w:eastAsia="Calibri" w:hAnsi="Times New Roman" w:cs="Times New Roman"/>
          <w:sz w:val="24"/>
          <w:szCs w:val="24"/>
        </w:rPr>
        <w:t xml:space="preserve"> Regulations was </w:t>
      </w:r>
      <w:r w:rsidR="005B762D">
        <w:rPr>
          <w:rFonts w:ascii="Times New Roman" w:eastAsia="Calibri" w:hAnsi="Times New Roman" w:cs="Times New Roman"/>
          <w:sz w:val="24"/>
          <w:szCs w:val="24"/>
        </w:rPr>
        <w:t xml:space="preserve">found to be justified when </w:t>
      </w:r>
      <w:r>
        <w:rPr>
          <w:rFonts w:ascii="Times New Roman" w:eastAsia="Calibri" w:hAnsi="Times New Roman" w:cs="Times New Roman"/>
          <w:sz w:val="24"/>
          <w:szCs w:val="24"/>
        </w:rPr>
        <w:t xml:space="preserve">analysed against the above criteria. It is appropriate to provide specific exemptions in the </w:t>
      </w:r>
      <w:r w:rsidR="002E78A0">
        <w:rPr>
          <w:rFonts w:ascii="Times New Roman" w:eastAsia="Calibri" w:hAnsi="Times New Roman" w:cs="Times New Roman"/>
          <w:sz w:val="24"/>
          <w:szCs w:val="24"/>
        </w:rPr>
        <w:t>Amendment</w:t>
      </w:r>
      <w:r>
        <w:rPr>
          <w:rFonts w:ascii="Times New Roman" w:eastAsia="Calibri" w:hAnsi="Times New Roman" w:cs="Times New Roman"/>
          <w:sz w:val="24"/>
          <w:szCs w:val="24"/>
        </w:rPr>
        <w:t xml:space="preserve"> Regulations to provide legal certainty for the status of the instruments, and to provide an accessible source of information about these exemptions for users of the legislation. </w:t>
      </w:r>
    </w:p>
    <w:p w14:paraId="1C12E355" w14:textId="77777777" w:rsidR="001511FD" w:rsidRPr="001511FD" w:rsidRDefault="001511FD" w:rsidP="001511FD">
      <w:pPr>
        <w:spacing w:before="240" w:after="0" w:line="240" w:lineRule="auto"/>
        <w:rPr>
          <w:rFonts w:ascii="Times New Roman" w:eastAsia="Calibri" w:hAnsi="Times New Roman" w:cs="Times New Roman"/>
          <w:b/>
          <w:sz w:val="24"/>
          <w:szCs w:val="24"/>
        </w:rPr>
      </w:pPr>
      <w:r w:rsidRPr="001511FD">
        <w:rPr>
          <w:rFonts w:ascii="Times New Roman" w:eastAsia="Calibri" w:hAnsi="Times New Roman" w:cs="Times New Roman"/>
          <w:b/>
          <w:sz w:val="24"/>
          <w:szCs w:val="24"/>
        </w:rPr>
        <w:t>CONSULTATION</w:t>
      </w:r>
    </w:p>
    <w:p w14:paraId="1E273F60" w14:textId="0162AA6B" w:rsidR="001511FD" w:rsidRDefault="001511FD" w:rsidP="001511FD">
      <w:pPr>
        <w:numPr>
          <w:ilvl w:val="12"/>
          <w:numId w:val="0"/>
        </w:numPr>
        <w:spacing w:before="240"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Before the Amendment Regulations were made, the Attorney-General considered the general obligation to consult imposed by section 17 of the Legislation Act. </w:t>
      </w:r>
    </w:p>
    <w:p w14:paraId="62B70B1B" w14:textId="3208BA98" w:rsidR="001511FD" w:rsidRPr="00A167E6" w:rsidRDefault="001511FD" w:rsidP="001511FD">
      <w:pPr>
        <w:numPr>
          <w:ilvl w:val="12"/>
          <w:numId w:val="0"/>
        </w:numPr>
        <w:spacing w:before="240"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The Minister for Jobs and Industrial Relations, who has portfolio responsibility for all the instruments exempted from </w:t>
      </w:r>
      <w:proofErr w:type="spellStart"/>
      <w:r>
        <w:rPr>
          <w:rFonts w:ascii="Times New Roman" w:eastAsia="Calibri" w:hAnsi="Times New Roman" w:cs="Times New Roman"/>
          <w:sz w:val="24"/>
          <w:szCs w:val="24"/>
          <w:lang w:eastAsia="en-AU"/>
        </w:rPr>
        <w:t>sunsetting</w:t>
      </w:r>
      <w:proofErr w:type="spellEnd"/>
      <w:r>
        <w:rPr>
          <w:rFonts w:ascii="Times New Roman" w:eastAsia="Calibri" w:hAnsi="Times New Roman" w:cs="Times New Roman"/>
          <w:sz w:val="24"/>
          <w:szCs w:val="24"/>
          <w:lang w:eastAsia="en-AU"/>
        </w:rPr>
        <w:t xml:space="preserve"> by the </w:t>
      </w:r>
      <w:r w:rsidR="0077680D">
        <w:rPr>
          <w:rFonts w:ascii="Times New Roman" w:eastAsia="Calibri" w:hAnsi="Times New Roman" w:cs="Times New Roman"/>
          <w:sz w:val="24"/>
          <w:szCs w:val="24"/>
          <w:lang w:eastAsia="en-AU"/>
        </w:rPr>
        <w:t xml:space="preserve">Amendment </w:t>
      </w:r>
      <w:r>
        <w:rPr>
          <w:rFonts w:ascii="Times New Roman" w:eastAsia="Calibri" w:hAnsi="Times New Roman" w:cs="Times New Roman"/>
          <w:sz w:val="24"/>
          <w:szCs w:val="24"/>
          <w:lang w:eastAsia="en-AU"/>
        </w:rPr>
        <w:t>Regulations, wrote to the Attorney</w:t>
      </w:r>
      <w:r w:rsidR="00495394">
        <w:rPr>
          <w:rFonts w:ascii="Times New Roman" w:eastAsia="Calibri" w:hAnsi="Times New Roman" w:cs="Times New Roman"/>
          <w:sz w:val="24"/>
          <w:szCs w:val="24"/>
          <w:lang w:eastAsia="en-AU"/>
        </w:rPr>
        <w:noBreakHyphen/>
      </w:r>
      <w:r>
        <w:rPr>
          <w:rFonts w:ascii="Times New Roman" w:eastAsia="Calibri" w:hAnsi="Times New Roman" w:cs="Times New Roman"/>
          <w:sz w:val="24"/>
          <w:szCs w:val="24"/>
          <w:lang w:eastAsia="en-AU"/>
        </w:rPr>
        <w:t xml:space="preserve">General requesting that the exemptions be made. The Department of Jobs and Small Business was consulted on, and supports, the exemptions included in the </w:t>
      </w:r>
      <w:r w:rsidR="0077680D">
        <w:rPr>
          <w:rFonts w:ascii="Times New Roman" w:eastAsia="Calibri" w:hAnsi="Times New Roman" w:cs="Times New Roman"/>
          <w:sz w:val="24"/>
          <w:szCs w:val="24"/>
          <w:lang w:eastAsia="en-AU"/>
        </w:rPr>
        <w:t xml:space="preserve">Amendment </w:t>
      </w:r>
      <w:r>
        <w:rPr>
          <w:rFonts w:ascii="Times New Roman" w:eastAsia="Calibri" w:hAnsi="Times New Roman" w:cs="Times New Roman"/>
          <w:sz w:val="24"/>
          <w:szCs w:val="24"/>
          <w:lang w:eastAsia="en-AU"/>
        </w:rPr>
        <w:t xml:space="preserve">Regulations. </w:t>
      </w:r>
    </w:p>
    <w:p w14:paraId="777A66E5" w14:textId="77777777" w:rsidR="001511FD" w:rsidRPr="001511FD" w:rsidRDefault="001511FD" w:rsidP="001511FD">
      <w:pPr>
        <w:spacing w:before="240" w:after="0" w:line="240" w:lineRule="auto"/>
        <w:rPr>
          <w:rFonts w:ascii="Times New Roman" w:eastAsia="Calibri" w:hAnsi="Times New Roman" w:cs="Times New Roman"/>
          <w:b/>
          <w:sz w:val="24"/>
          <w:szCs w:val="24"/>
        </w:rPr>
      </w:pPr>
      <w:r w:rsidRPr="001511FD">
        <w:rPr>
          <w:rFonts w:ascii="Times New Roman" w:eastAsia="Calibri" w:hAnsi="Times New Roman" w:cs="Times New Roman"/>
          <w:b/>
          <w:sz w:val="24"/>
          <w:szCs w:val="24"/>
        </w:rPr>
        <w:t>REGULATION IMPACT STATEMENT</w:t>
      </w:r>
    </w:p>
    <w:p w14:paraId="6C704EE7" w14:textId="20CAE118" w:rsidR="00E3633F" w:rsidRPr="007D698E" w:rsidRDefault="00DD4DFB" w:rsidP="00E3633F">
      <w:pPr>
        <w:spacing w:before="240" w:after="0" w:line="240" w:lineRule="auto"/>
        <w:rPr>
          <w:rFonts w:ascii="Times New Roman" w:eastAsia="Calibri" w:hAnsi="Times New Roman" w:cs="Times New Roman"/>
          <w:sz w:val="24"/>
          <w:szCs w:val="24"/>
        </w:rPr>
      </w:pPr>
      <w:r w:rsidRPr="00495394">
        <w:rPr>
          <w:rFonts w:ascii="Times New Roman" w:eastAsia="Calibri" w:hAnsi="Times New Roman" w:cs="Times New Roman"/>
          <w:sz w:val="24"/>
          <w:szCs w:val="24"/>
        </w:rPr>
        <w:t>Amendments to the Principal Regulations ar</w:t>
      </w:r>
      <w:r w:rsidR="002C5FEE" w:rsidRPr="00495394">
        <w:rPr>
          <w:rFonts w:ascii="Times New Roman" w:eastAsia="Calibri" w:hAnsi="Times New Roman" w:cs="Times New Roman"/>
          <w:sz w:val="24"/>
          <w:szCs w:val="24"/>
        </w:rPr>
        <w:t xml:space="preserve">e regarded as machinery changes. </w:t>
      </w:r>
      <w:r w:rsidR="00495394" w:rsidRPr="00495394">
        <w:rPr>
          <w:rFonts w:ascii="Times New Roman" w:eastAsia="Calibri" w:hAnsi="Times New Roman" w:cs="Times New Roman"/>
          <w:sz w:val="24"/>
          <w:szCs w:val="24"/>
        </w:rPr>
        <w:t>Where</w:t>
      </w:r>
      <w:r w:rsidRPr="00495394">
        <w:rPr>
          <w:rFonts w:ascii="Times New Roman" w:eastAsia="Calibri" w:hAnsi="Times New Roman" w:cs="Times New Roman"/>
          <w:sz w:val="24"/>
          <w:szCs w:val="24"/>
        </w:rPr>
        <w:t xml:space="preserve"> the Attorney</w:t>
      </w:r>
      <w:r w:rsidRPr="00495394">
        <w:rPr>
          <w:rFonts w:ascii="Times New Roman" w:eastAsia="Calibri" w:hAnsi="Times New Roman" w:cs="Times New Roman"/>
          <w:sz w:val="24"/>
          <w:szCs w:val="24"/>
        </w:rPr>
        <w:noBreakHyphen/>
        <w:t xml:space="preserve">General has provided policy approval for the amendments, </w:t>
      </w:r>
      <w:r w:rsidR="002C5FEE" w:rsidRPr="00495394">
        <w:rPr>
          <w:rFonts w:ascii="Times New Roman" w:eastAsia="Calibri" w:hAnsi="Times New Roman" w:cs="Times New Roman"/>
          <w:sz w:val="24"/>
          <w:szCs w:val="24"/>
        </w:rPr>
        <w:t xml:space="preserve">the Office of Best Practice Regulation (OBPR) does not require </w:t>
      </w:r>
      <w:r w:rsidRPr="00495394">
        <w:rPr>
          <w:rFonts w:ascii="Times New Roman" w:eastAsia="Calibri" w:hAnsi="Times New Roman" w:cs="Times New Roman"/>
          <w:sz w:val="24"/>
          <w:szCs w:val="24"/>
        </w:rPr>
        <w:t>further assessment or approval under th</w:t>
      </w:r>
      <w:r w:rsidR="002C5FEE" w:rsidRPr="00495394">
        <w:rPr>
          <w:rFonts w:ascii="Times New Roman" w:eastAsia="Calibri" w:hAnsi="Times New Roman" w:cs="Times New Roman"/>
          <w:sz w:val="24"/>
          <w:szCs w:val="24"/>
        </w:rPr>
        <w:t>e Regulatory Impact Assessment p</w:t>
      </w:r>
      <w:r w:rsidRPr="00495394">
        <w:rPr>
          <w:rFonts w:ascii="Times New Roman" w:eastAsia="Calibri" w:hAnsi="Times New Roman" w:cs="Times New Roman"/>
          <w:sz w:val="24"/>
          <w:szCs w:val="24"/>
        </w:rPr>
        <w:t>rocess</w:t>
      </w:r>
      <w:r w:rsidR="002C5FEE" w:rsidRPr="00495394">
        <w:rPr>
          <w:rFonts w:ascii="Times New Roman" w:eastAsia="Calibri" w:hAnsi="Times New Roman" w:cs="Times New Roman"/>
          <w:sz w:val="24"/>
          <w:szCs w:val="24"/>
        </w:rPr>
        <w:t>.</w:t>
      </w:r>
      <w:r w:rsidRPr="00495394">
        <w:rPr>
          <w:rFonts w:ascii="Times New Roman" w:eastAsia="Calibri" w:hAnsi="Times New Roman" w:cs="Times New Roman"/>
          <w:sz w:val="24"/>
          <w:szCs w:val="24"/>
        </w:rPr>
        <w:t xml:space="preserve"> This standing exemption has been confirmed </w:t>
      </w:r>
      <w:r w:rsidR="002C5FEE" w:rsidRPr="00495394">
        <w:rPr>
          <w:rFonts w:ascii="Times New Roman" w:eastAsia="Calibri" w:hAnsi="Times New Roman" w:cs="Times New Roman"/>
          <w:sz w:val="24"/>
          <w:szCs w:val="24"/>
        </w:rPr>
        <w:t xml:space="preserve">by the Office of Best Practice Regulation </w:t>
      </w:r>
      <w:r w:rsidR="00C420E2" w:rsidRPr="00495394">
        <w:rPr>
          <w:rFonts w:ascii="Times New Roman" w:eastAsia="Calibri" w:hAnsi="Times New Roman" w:cs="Times New Roman"/>
          <w:sz w:val="24"/>
          <w:szCs w:val="24"/>
        </w:rPr>
        <w:t>under</w:t>
      </w:r>
      <w:r w:rsidR="002C5FEE" w:rsidRPr="00495394">
        <w:rPr>
          <w:rFonts w:ascii="Times New Roman" w:eastAsia="Calibri" w:hAnsi="Times New Roman" w:cs="Times New Roman"/>
          <w:sz w:val="24"/>
          <w:szCs w:val="24"/>
        </w:rPr>
        <w:t xml:space="preserve"> OBPR reference 17635. </w:t>
      </w:r>
    </w:p>
    <w:p w14:paraId="46EE608C" w14:textId="77777777" w:rsidR="001511FD" w:rsidRDefault="001511FD" w:rsidP="002E7CC3">
      <w:pPr>
        <w:keepNext/>
        <w:spacing w:before="240" w:after="0" w:line="240" w:lineRule="auto"/>
        <w:rPr>
          <w:rFonts w:ascii="Times New Roman" w:eastAsia="Calibri" w:hAnsi="Times New Roman" w:cs="Times New Roman"/>
          <w:b/>
          <w:sz w:val="24"/>
          <w:szCs w:val="24"/>
        </w:rPr>
      </w:pPr>
      <w:r w:rsidRPr="001511FD">
        <w:rPr>
          <w:rFonts w:ascii="Times New Roman" w:eastAsia="Calibri" w:hAnsi="Times New Roman" w:cs="Times New Roman"/>
          <w:b/>
          <w:sz w:val="24"/>
          <w:szCs w:val="24"/>
        </w:rPr>
        <w:lastRenderedPageBreak/>
        <w:t>OTHER DETAILS</w:t>
      </w:r>
    </w:p>
    <w:p w14:paraId="448E0328" w14:textId="171BF42B" w:rsidR="00E3633F" w:rsidRPr="001511FD" w:rsidRDefault="00E3633F" w:rsidP="00E3633F">
      <w:pPr>
        <w:spacing w:before="24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Details of the Amendment Regulations are set out in </w:t>
      </w:r>
      <w:r w:rsidRPr="00B872A8">
        <w:rPr>
          <w:rFonts w:ascii="Times New Roman" w:eastAsia="Calibri" w:hAnsi="Times New Roman" w:cs="Times New Roman"/>
          <w:sz w:val="24"/>
          <w:szCs w:val="24"/>
          <w:u w:val="single"/>
        </w:rPr>
        <w:t>Attachment</w:t>
      </w:r>
      <w:r>
        <w:rPr>
          <w:rFonts w:ascii="Times New Roman" w:eastAsia="Calibri" w:hAnsi="Times New Roman" w:cs="Times New Roman"/>
          <w:sz w:val="24"/>
          <w:szCs w:val="24"/>
          <w:u w:val="single"/>
        </w:rPr>
        <w:t xml:space="preserve"> A</w:t>
      </w:r>
      <w:r w:rsidRPr="00B872A8">
        <w:rPr>
          <w:rFonts w:ascii="Times New Roman" w:eastAsia="Calibri" w:hAnsi="Times New Roman" w:cs="Times New Roman"/>
          <w:sz w:val="24"/>
          <w:szCs w:val="24"/>
          <w:u w:val="single"/>
        </w:rPr>
        <w:t>.</w:t>
      </w:r>
    </w:p>
    <w:p w14:paraId="2519453E" w14:textId="7FDE81E5" w:rsidR="00E3633F" w:rsidRDefault="00E3633F" w:rsidP="00E3633F">
      <w:pPr>
        <w:spacing w:line="240" w:lineRule="auto"/>
        <w:rPr>
          <w:rFonts w:ascii="Times New Roman" w:eastAsia="Calibri" w:hAnsi="Times New Roman" w:cs="Times New Roman"/>
          <w:sz w:val="24"/>
          <w:szCs w:val="24"/>
        </w:rPr>
      </w:pPr>
      <w:r w:rsidRPr="00E3633F">
        <w:rPr>
          <w:rFonts w:ascii="Times New Roman" w:eastAsia="Calibri" w:hAnsi="Times New Roman" w:cs="Times New Roman"/>
          <w:sz w:val="24"/>
          <w:szCs w:val="24"/>
        </w:rPr>
        <w:t xml:space="preserve">A statement of compatibility under subsection 9(1) of the </w:t>
      </w:r>
      <w:r w:rsidRPr="00E3633F">
        <w:rPr>
          <w:rFonts w:ascii="Times New Roman" w:eastAsia="Calibri" w:hAnsi="Times New Roman" w:cs="Times New Roman"/>
          <w:i/>
          <w:sz w:val="24"/>
          <w:szCs w:val="24"/>
        </w:rPr>
        <w:t>Human Rights (Parliamentary Scrutiny) Act 2011</w:t>
      </w:r>
      <w:r w:rsidRPr="00E3633F">
        <w:rPr>
          <w:rFonts w:ascii="Times New Roman" w:eastAsia="Calibri" w:hAnsi="Times New Roman" w:cs="Times New Roman"/>
          <w:sz w:val="24"/>
          <w:szCs w:val="24"/>
        </w:rPr>
        <w:t xml:space="preserve"> is at </w:t>
      </w:r>
      <w:r w:rsidRPr="004B69F9">
        <w:rPr>
          <w:rFonts w:ascii="Times New Roman" w:eastAsia="Calibri" w:hAnsi="Times New Roman" w:cs="Times New Roman"/>
          <w:sz w:val="24"/>
          <w:szCs w:val="24"/>
          <w:u w:val="single"/>
        </w:rPr>
        <w:t>Attachment B</w:t>
      </w:r>
      <w:r w:rsidRPr="00E3633F">
        <w:rPr>
          <w:rFonts w:ascii="Times New Roman" w:eastAsia="Calibri" w:hAnsi="Times New Roman" w:cs="Times New Roman"/>
          <w:sz w:val="24"/>
          <w:szCs w:val="24"/>
        </w:rPr>
        <w:t>.</w:t>
      </w:r>
    </w:p>
    <w:p w14:paraId="7CAA3404" w14:textId="77777777" w:rsidR="00E3633F" w:rsidRPr="00992A3D" w:rsidRDefault="00E3633F" w:rsidP="00E3633F">
      <w:pPr>
        <w:spacing w:line="240" w:lineRule="auto"/>
        <w:rPr>
          <w:rFonts w:ascii="Times New Roman" w:eastAsia="Calibri" w:hAnsi="Times New Roman" w:cs="Times New Roman"/>
          <w:sz w:val="24"/>
          <w:szCs w:val="24"/>
        </w:rPr>
      </w:pPr>
      <w:r w:rsidRPr="00992A3D">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Legislation </w:t>
      </w:r>
      <w:r w:rsidRPr="00992A3D">
        <w:rPr>
          <w:rFonts w:ascii="Times New Roman" w:eastAsia="Calibri" w:hAnsi="Times New Roman" w:cs="Times New Roman"/>
          <w:sz w:val="24"/>
          <w:szCs w:val="24"/>
        </w:rPr>
        <w:t xml:space="preserve">Act specifies no conditions that need to be satisfied before the power to make the </w:t>
      </w:r>
      <w:r>
        <w:rPr>
          <w:rFonts w:ascii="Times New Roman" w:eastAsia="Calibri" w:hAnsi="Times New Roman" w:cs="Times New Roman"/>
          <w:sz w:val="24"/>
          <w:szCs w:val="24"/>
        </w:rPr>
        <w:t xml:space="preserve">Amendment </w:t>
      </w:r>
      <w:r w:rsidRPr="00992A3D">
        <w:rPr>
          <w:rFonts w:ascii="Times New Roman" w:eastAsia="Calibri" w:hAnsi="Times New Roman" w:cs="Times New Roman"/>
          <w:sz w:val="24"/>
          <w:szCs w:val="24"/>
        </w:rPr>
        <w:t>Regulations may be exercised.</w:t>
      </w:r>
      <w:r>
        <w:rPr>
          <w:rFonts w:ascii="Times New Roman" w:eastAsia="Calibri" w:hAnsi="Times New Roman" w:cs="Times New Roman"/>
          <w:sz w:val="24"/>
          <w:szCs w:val="24"/>
        </w:rPr>
        <w:t xml:space="preserve"> </w:t>
      </w:r>
    </w:p>
    <w:p w14:paraId="289A75B7" w14:textId="77777777" w:rsidR="00E3633F" w:rsidRDefault="00E3633F" w:rsidP="00E3633F">
      <w:pPr>
        <w:spacing w:line="240" w:lineRule="auto"/>
        <w:rPr>
          <w:rFonts w:ascii="Times New Roman" w:eastAsia="Calibri" w:hAnsi="Times New Roman" w:cs="Times New Roman"/>
          <w:sz w:val="24"/>
          <w:szCs w:val="24"/>
        </w:rPr>
      </w:pPr>
      <w:r w:rsidRPr="00992A3D">
        <w:rPr>
          <w:rFonts w:ascii="Times New Roman" w:eastAsia="Calibri" w:hAnsi="Times New Roman" w:cs="Times New Roman"/>
          <w:sz w:val="24"/>
          <w:szCs w:val="24"/>
        </w:rPr>
        <w:t xml:space="preserve">The </w:t>
      </w:r>
      <w:r>
        <w:rPr>
          <w:rFonts w:ascii="Times New Roman" w:eastAsia="Calibri" w:hAnsi="Times New Roman" w:cs="Times New Roman"/>
          <w:sz w:val="24"/>
          <w:szCs w:val="24"/>
        </w:rPr>
        <w:t>Amendment</w:t>
      </w:r>
      <w:r w:rsidRPr="00992A3D">
        <w:rPr>
          <w:rFonts w:ascii="Times New Roman" w:eastAsia="Calibri" w:hAnsi="Times New Roman" w:cs="Times New Roman"/>
          <w:sz w:val="24"/>
          <w:szCs w:val="24"/>
        </w:rPr>
        <w:t xml:space="preserve"> Regulations </w:t>
      </w:r>
      <w:r>
        <w:rPr>
          <w:rFonts w:ascii="Times New Roman" w:eastAsia="Calibri" w:hAnsi="Times New Roman" w:cs="Times New Roman"/>
          <w:sz w:val="24"/>
          <w:szCs w:val="24"/>
        </w:rPr>
        <w:t>are</w:t>
      </w:r>
      <w:r w:rsidRPr="00992A3D">
        <w:rPr>
          <w:rFonts w:ascii="Times New Roman" w:eastAsia="Calibri" w:hAnsi="Times New Roman" w:cs="Times New Roman"/>
          <w:sz w:val="24"/>
          <w:szCs w:val="24"/>
        </w:rPr>
        <w:t xml:space="preserve"> a legislative instrument for the purposes of the Legislation</w:t>
      </w:r>
      <w:r>
        <w:rPr>
          <w:rFonts w:ascii="Times New Roman" w:eastAsia="Calibri" w:hAnsi="Times New Roman" w:cs="Times New Roman"/>
          <w:sz w:val="24"/>
          <w:szCs w:val="24"/>
        </w:rPr>
        <w:t> Act and are subject to the disallowance provisions of that Act.</w:t>
      </w:r>
    </w:p>
    <w:p w14:paraId="48A2B57D" w14:textId="77777777" w:rsidR="00E3633F" w:rsidRDefault="00E3633F" w:rsidP="00E3633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Amendment Regulations commence on the day after their registration. </w:t>
      </w:r>
    </w:p>
    <w:p w14:paraId="34D7E4F8" w14:textId="77777777" w:rsidR="004B69F9" w:rsidRDefault="004B69F9">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FCC21A4" w14:textId="121E70BE" w:rsidR="00E3633F" w:rsidRPr="00D71100" w:rsidRDefault="00602FB4" w:rsidP="004B69F9">
      <w:pPr>
        <w:spacing w:before="240" w:line="240" w:lineRule="auto"/>
        <w:jc w:val="right"/>
        <w:outlineLvl w:val="1"/>
        <w:rPr>
          <w:rFonts w:ascii="Times New Roman" w:eastAsia="Calibri" w:hAnsi="Times New Roman" w:cs="Times New Roman"/>
          <w:b/>
          <w:sz w:val="28"/>
          <w:szCs w:val="28"/>
        </w:rPr>
      </w:pPr>
      <w:r w:rsidRPr="00D71100">
        <w:rPr>
          <w:rFonts w:ascii="Times New Roman" w:eastAsia="Calibri" w:hAnsi="Times New Roman" w:cs="Times New Roman"/>
          <w:b/>
          <w:sz w:val="28"/>
          <w:szCs w:val="28"/>
        </w:rPr>
        <w:lastRenderedPageBreak/>
        <w:t>ATTACHMENT A</w:t>
      </w:r>
    </w:p>
    <w:p w14:paraId="5A26FC96" w14:textId="35295DB2" w:rsidR="00602FB4" w:rsidRDefault="00602FB4" w:rsidP="00602FB4">
      <w:pPr>
        <w:rPr>
          <w:rFonts w:ascii="Times New Roman" w:hAnsi="Times New Roman" w:cs="Times New Roman"/>
          <w:b/>
          <w:sz w:val="24"/>
          <w:szCs w:val="24"/>
        </w:rPr>
      </w:pPr>
      <w:r w:rsidRPr="00754F07">
        <w:rPr>
          <w:rFonts w:ascii="Times New Roman" w:hAnsi="Times New Roman" w:cs="Times New Roman"/>
          <w:b/>
          <w:sz w:val="24"/>
          <w:szCs w:val="24"/>
        </w:rPr>
        <w:t xml:space="preserve">Details of the </w:t>
      </w:r>
      <w:r w:rsidRPr="00E3633F">
        <w:rPr>
          <w:rFonts w:ascii="Times New Roman" w:hAnsi="Times New Roman" w:cs="Times New Roman"/>
          <w:b/>
          <w:i/>
          <w:sz w:val="24"/>
          <w:szCs w:val="24"/>
        </w:rPr>
        <w:t>Legislation (Exemptions and Other Matters) Amendment (2019 Measures No. 1) Regulations 2019</w:t>
      </w:r>
      <w:r w:rsidR="00177336">
        <w:rPr>
          <w:rFonts w:ascii="Times New Roman" w:hAnsi="Times New Roman" w:cs="Times New Roman"/>
          <w:b/>
          <w:sz w:val="24"/>
          <w:szCs w:val="24"/>
        </w:rPr>
        <w:t>.</w:t>
      </w:r>
    </w:p>
    <w:p w14:paraId="2319AF15" w14:textId="77777777" w:rsidR="006B161A" w:rsidRPr="006B161A" w:rsidRDefault="006B161A" w:rsidP="006B161A">
      <w:pPr>
        <w:rPr>
          <w:rFonts w:ascii="Times New Roman" w:hAnsi="Times New Roman" w:cs="Times New Roman"/>
          <w:b/>
          <w:sz w:val="24"/>
          <w:szCs w:val="24"/>
        </w:rPr>
      </w:pPr>
      <w:r w:rsidRPr="006B161A">
        <w:rPr>
          <w:rFonts w:ascii="Times New Roman" w:hAnsi="Times New Roman" w:cs="Times New Roman"/>
          <w:b/>
          <w:sz w:val="24"/>
          <w:szCs w:val="24"/>
        </w:rPr>
        <w:t>Section 1</w:t>
      </w:r>
      <w:r w:rsidRPr="006B161A">
        <w:rPr>
          <w:rFonts w:ascii="Times New Roman" w:hAnsi="Times New Roman" w:cs="Times New Roman"/>
          <w:b/>
          <w:sz w:val="24"/>
          <w:szCs w:val="24"/>
        </w:rPr>
        <w:tab/>
        <w:t>Name</w:t>
      </w:r>
    </w:p>
    <w:p w14:paraId="2B5E783F" w14:textId="49847EA8" w:rsidR="006B161A" w:rsidRPr="006B161A" w:rsidRDefault="006B161A" w:rsidP="006B161A">
      <w:pPr>
        <w:rPr>
          <w:rFonts w:ascii="Times New Roman" w:hAnsi="Times New Roman" w:cs="Times New Roman"/>
          <w:sz w:val="24"/>
          <w:szCs w:val="24"/>
        </w:rPr>
      </w:pPr>
      <w:r w:rsidRPr="006B161A">
        <w:rPr>
          <w:rFonts w:ascii="Times New Roman" w:hAnsi="Times New Roman" w:cs="Times New Roman"/>
          <w:sz w:val="24"/>
          <w:szCs w:val="24"/>
        </w:rPr>
        <w:t xml:space="preserve">This section provides that the instrument is named the </w:t>
      </w:r>
      <w:r w:rsidRPr="006B161A">
        <w:rPr>
          <w:rFonts w:ascii="Times New Roman" w:hAnsi="Times New Roman" w:cs="Times New Roman"/>
          <w:i/>
          <w:sz w:val="24"/>
          <w:szCs w:val="24"/>
        </w:rPr>
        <w:t>Legislation (Exemptions and Other Matters) Amendment (2019 Measures No. 1) Regulations 2019</w:t>
      </w:r>
      <w:r w:rsidRPr="006B161A">
        <w:rPr>
          <w:rFonts w:ascii="Times New Roman" w:hAnsi="Times New Roman" w:cs="Times New Roman"/>
          <w:sz w:val="24"/>
          <w:szCs w:val="24"/>
        </w:rPr>
        <w:t>.</w:t>
      </w:r>
      <w:r>
        <w:rPr>
          <w:rFonts w:ascii="Times New Roman" w:hAnsi="Times New Roman" w:cs="Times New Roman"/>
          <w:sz w:val="24"/>
          <w:szCs w:val="24"/>
        </w:rPr>
        <w:t xml:space="preserve"> </w:t>
      </w:r>
      <w:r w:rsidRPr="006B161A">
        <w:rPr>
          <w:rFonts w:ascii="Times New Roman" w:hAnsi="Times New Roman" w:cs="Times New Roman"/>
          <w:sz w:val="24"/>
          <w:szCs w:val="24"/>
        </w:rPr>
        <w:t xml:space="preserve">The instrument may be cited by that name. </w:t>
      </w:r>
    </w:p>
    <w:p w14:paraId="6237C487" w14:textId="77777777" w:rsidR="006B161A" w:rsidRPr="006B161A" w:rsidRDefault="006B161A" w:rsidP="006B161A">
      <w:pPr>
        <w:rPr>
          <w:rFonts w:ascii="Times New Roman" w:hAnsi="Times New Roman" w:cs="Times New Roman"/>
          <w:b/>
          <w:sz w:val="24"/>
          <w:szCs w:val="24"/>
        </w:rPr>
      </w:pPr>
      <w:r w:rsidRPr="006B161A">
        <w:rPr>
          <w:rFonts w:ascii="Times New Roman" w:hAnsi="Times New Roman" w:cs="Times New Roman"/>
          <w:b/>
          <w:sz w:val="24"/>
          <w:szCs w:val="24"/>
        </w:rPr>
        <w:t xml:space="preserve">Section 2 </w:t>
      </w:r>
      <w:r w:rsidRPr="006B161A">
        <w:rPr>
          <w:rFonts w:ascii="Times New Roman" w:hAnsi="Times New Roman" w:cs="Times New Roman"/>
          <w:b/>
          <w:sz w:val="24"/>
          <w:szCs w:val="24"/>
        </w:rPr>
        <w:tab/>
        <w:t>Commencement</w:t>
      </w:r>
    </w:p>
    <w:p w14:paraId="107B5F5D" w14:textId="77777777" w:rsidR="006B161A" w:rsidRPr="006B161A" w:rsidRDefault="006B161A" w:rsidP="006B161A">
      <w:pPr>
        <w:rPr>
          <w:rFonts w:ascii="Times New Roman" w:hAnsi="Times New Roman" w:cs="Times New Roman"/>
          <w:sz w:val="24"/>
          <w:szCs w:val="24"/>
        </w:rPr>
      </w:pPr>
      <w:r w:rsidRPr="006B161A">
        <w:rPr>
          <w:rFonts w:ascii="Times New Roman" w:hAnsi="Times New Roman" w:cs="Times New Roman"/>
          <w:sz w:val="24"/>
          <w:szCs w:val="24"/>
        </w:rPr>
        <w:t xml:space="preserve">This section provides for the instrument to commence on the day after it is registered. </w:t>
      </w:r>
    </w:p>
    <w:p w14:paraId="680630F9" w14:textId="77777777" w:rsidR="006B161A" w:rsidRPr="006B161A" w:rsidRDefault="006B161A" w:rsidP="006B161A">
      <w:pPr>
        <w:rPr>
          <w:rFonts w:ascii="Times New Roman" w:hAnsi="Times New Roman" w:cs="Times New Roman"/>
          <w:b/>
          <w:sz w:val="24"/>
          <w:szCs w:val="24"/>
        </w:rPr>
      </w:pPr>
      <w:r w:rsidRPr="006B161A">
        <w:rPr>
          <w:rFonts w:ascii="Times New Roman" w:hAnsi="Times New Roman" w:cs="Times New Roman"/>
          <w:b/>
          <w:sz w:val="24"/>
          <w:szCs w:val="24"/>
        </w:rPr>
        <w:t>Section 3</w:t>
      </w:r>
      <w:r w:rsidRPr="006B161A">
        <w:rPr>
          <w:rFonts w:ascii="Times New Roman" w:hAnsi="Times New Roman" w:cs="Times New Roman"/>
          <w:b/>
          <w:sz w:val="24"/>
          <w:szCs w:val="24"/>
        </w:rPr>
        <w:tab/>
        <w:t>Authority</w:t>
      </w:r>
    </w:p>
    <w:p w14:paraId="5091B784" w14:textId="23144384" w:rsidR="006B161A" w:rsidRPr="006B161A" w:rsidRDefault="006B161A" w:rsidP="006B161A">
      <w:pPr>
        <w:rPr>
          <w:rFonts w:ascii="Times New Roman" w:hAnsi="Times New Roman" w:cs="Times New Roman"/>
          <w:sz w:val="24"/>
          <w:szCs w:val="24"/>
        </w:rPr>
      </w:pPr>
      <w:r w:rsidRPr="006B161A">
        <w:rPr>
          <w:rFonts w:ascii="Times New Roman" w:hAnsi="Times New Roman" w:cs="Times New Roman"/>
          <w:sz w:val="24"/>
          <w:szCs w:val="24"/>
        </w:rPr>
        <w:t xml:space="preserve">This section provides that the instrument is made under the </w:t>
      </w:r>
      <w:r w:rsidR="00705AF8" w:rsidRPr="0079729C">
        <w:rPr>
          <w:rFonts w:ascii="Times New Roman" w:hAnsi="Times New Roman" w:cs="Times New Roman"/>
          <w:i/>
          <w:sz w:val="24"/>
          <w:szCs w:val="24"/>
        </w:rPr>
        <w:t xml:space="preserve">Legislation </w:t>
      </w:r>
      <w:r w:rsidRPr="0079729C">
        <w:rPr>
          <w:rFonts w:ascii="Times New Roman" w:hAnsi="Times New Roman" w:cs="Times New Roman"/>
          <w:i/>
          <w:sz w:val="24"/>
          <w:szCs w:val="24"/>
        </w:rPr>
        <w:t>Act</w:t>
      </w:r>
      <w:r w:rsidR="0079729C">
        <w:rPr>
          <w:rFonts w:ascii="Times New Roman" w:hAnsi="Times New Roman" w:cs="Times New Roman"/>
          <w:i/>
          <w:sz w:val="24"/>
          <w:szCs w:val="24"/>
        </w:rPr>
        <w:t xml:space="preserve"> 2003</w:t>
      </w:r>
      <w:r w:rsidRPr="006B161A">
        <w:rPr>
          <w:rFonts w:ascii="Times New Roman" w:hAnsi="Times New Roman" w:cs="Times New Roman"/>
          <w:sz w:val="24"/>
          <w:szCs w:val="24"/>
        </w:rPr>
        <w:t xml:space="preserve">. </w:t>
      </w:r>
    </w:p>
    <w:p w14:paraId="013A34D9" w14:textId="77777777" w:rsidR="006B161A" w:rsidRPr="006B161A" w:rsidRDefault="006B161A" w:rsidP="006B161A">
      <w:pPr>
        <w:rPr>
          <w:rFonts w:ascii="Times New Roman" w:hAnsi="Times New Roman" w:cs="Times New Roman"/>
          <w:b/>
          <w:sz w:val="24"/>
          <w:szCs w:val="24"/>
        </w:rPr>
      </w:pPr>
      <w:r w:rsidRPr="006B161A">
        <w:rPr>
          <w:rFonts w:ascii="Times New Roman" w:hAnsi="Times New Roman" w:cs="Times New Roman"/>
          <w:b/>
          <w:sz w:val="24"/>
          <w:szCs w:val="24"/>
        </w:rPr>
        <w:t>Section 4</w:t>
      </w:r>
      <w:r w:rsidRPr="006B161A">
        <w:rPr>
          <w:rFonts w:ascii="Times New Roman" w:hAnsi="Times New Roman" w:cs="Times New Roman"/>
          <w:b/>
          <w:sz w:val="24"/>
          <w:szCs w:val="24"/>
        </w:rPr>
        <w:tab/>
        <w:t xml:space="preserve">Schedules </w:t>
      </w:r>
    </w:p>
    <w:p w14:paraId="2946621D" w14:textId="7E5708E2" w:rsidR="0026286B" w:rsidRDefault="0026286B" w:rsidP="006B161A">
      <w:pPr>
        <w:rPr>
          <w:rFonts w:ascii="Times New Roman" w:hAnsi="Times New Roman" w:cs="Times New Roman"/>
          <w:sz w:val="24"/>
          <w:szCs w:val="24"/>
        </w:rPr>
      </w:pPr>
      <w:r w:rsidRPr="0026286B">
        <w:rPr>
          <w:rFonts w:ascii="Times New Roman" w:hAnsi="Times New Roman" w:cs="Times New Roman"/>
          <w:sz w:val="24"/>
          <w:szCs w:val="24"/>
        </w:rPr>
        <w:t xml:space="preserve">This section </w:t>
      </w:r>
      <w:r>
        <w:rPr>
          <w:rFonts w:ascii="Times New Roman" w:hAnsi="Times New Roman" w:cs="Times New Roman"/>
          <w:sz w:val="24"/>
          <w:szCs w:val="24"/>
        </w:rPr>
        <w:t>gives</w:t>
      </w:r>
      <w:r w:rsidRPr="0026286B">
        <w:rPr>
          <w:rFonts w:ascii="Times New Roman" w:hAnsi="Times New Roman" w:cs="Times New Roman"/>
          <w:sz w:val="24"/>
          <w:szCs w:val="24"/>
        </w:rPr>
        <w:t xml:space="preserve"> effect to the amendments and repeals specified in the Schedule to the instrument, according to their terms. </w:t>
      </w:r>
    </w:p>
    <w:p w14:paraId="55E112DC" w14:textId="2FBBEEFC" w:rsidR="00CC09C9" w:rsidRPr="00CC09C9" w:rsidRDefault="00CC09C9" w:rsidP="006B161A">
      <w:pPr>
        <w:rPr>
          <w:rFonts w:ascii="Times New Roman" w:hAnsi="Times New Roman" w:cs="Times New Roman"/>
          <w:b/>
          <w:sz w:val="24"/>
          <w:szCs w:val="24"/>
        </w:rPr>
      </w:pPr>
      <w:r w:rsidRPr="00CC09C9">
        <w:rPr>
          <w:rFonts w:ascii="Times New Roman" w:hAnsi="Times New Roman" w:cs="Times New Roman"/>
          <w:b/>
          <w:sz w:val="24"/>
          <w:szCs w:val="24"/>
        </w:rPr>
        <w:t>Schedule 1</w:t>
      </w:r>
      <w:r w:rsidRPr="00CC09C9">
        <w:rPr>
          <w:rFonts w:ascii="Times New Roman" w:hAnsi="Times New Roman" w:cs="Times New Roman"/>
          <w:b/>
          <w:sz w:val="24"/>
          <w:szCs w:val="24"/>
        </w:rPr>
        <w:tab/>
        <w:t>Repeals</w:t>
      </w:r>
    </w:p>
    <w:p w14:paraId="08C8B51E" w14:textId="57CB640C" w:rsidR="00602FB4" w:rsidRPr="00686756" w:rsidRDefault="00602FB4" w:rsidP="00602FB4">
      <w:pPr>
        <w:spacing w:line="240" w:lineRule="auto"/>
        <w:rPr>
          <w:rFonts w:ascii="Times New Roman" w:eastAsia="Calibri" w:hAnsi="Times New Roman" w:cs="Times New Roman"/>
          <w:sz w:val="24"/>
          <w:szCs w:val="24"/>
        </w:rPr>
      </w:pPr>
      <w:r w:rsidRPr="007D698E">
        <w:rPr>
          <w:rFonts w:ascii="Times New Roman" w:eastAsia="Calibri" w:hAnsi="Times New Roman" w:cs="Times New Roman"/>
          <w:sz w:val="24"/>
          <w:szCs w:val="24"/>
        </w:rPr>
        <w:t xml:space="preserve">Schedule 1 </w:t>
      </w:r>
      <w:r>
        <w:rPr>
          <w:rFonts w:ascii="Times New Roman" w:eastAsia="Calibri" w:hAnsi="Times New Roman" w:cs="Times New Roman"/>
          <w:sz w:val="24"/>
          <w:szCs w:val="24"/>
        </w:rPr>
        <w:t>repeal</w:t>
      </w:r>
      <w:r w:rsidR="008F53FC">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686756">
        <w:rPr>
          <w:rFonts w:ascii="Times New Roman" w:eastAsia="Calibri" w:hAnsi="Times New Roman" w:cs="Times New Roman"/>
          <w:sz w:val="24"/>
          <w:szCs w:val="24"/>
        </w:rPr>
        <w:t xml:space="preserve">table item 19 of section 10 of the </w:t>
      </w:r>
      <w:r>
        <w:rPr>
          <w:rFonts w:ascii="Times New Roman" w:eastAsia="Calibri" w:hAnsi="Times New Roman" w:cs="Times New Roman"/>
          <w:sz w:val="24"/>
          <w:szCs w:val="24"/>
        </w:rPr>
        <w:t>Principal Regulations to remove an</w:t>
      </w:r>
      <w:r w:rsidR="000A132A">
        <w:rPr>
          <w:rFonts w:ascii="Times New Roman" w:eastAsia="Calibri" w:hAnsi="Times New Roman" w:cs="Times New Roman"/>
          <w:sz w:val="24"/>
          <w:szCs w:val="24"/>
        </w:rPr>
        <w:t xml:space="preserve"> item</w:t>
      </w:r>
      <w:r w:rsidR="004B69F9">
        <w:rPr>
          <w:rFonts w:ascii="Times New Roman" w:eastAsia="Calibri" w:hAnsi="Times New Roman" w:cs="Times New Roman"/>
          <w:sz w:val="24"/>
          <w:szCs w:val="24"/>
        </w:rPr>
        <w:t xml:space="preserve"> relating to disallowance</w:t>
      </w:r>
      <w:r w:rsidR="000A132A">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w:t>
      </w:r>
      <w:r w:rsidRPr="00686756">
        <w:rPr>
          <w:rFonts w:ascii="Times New Roman" w:eastAsia="Calibri" w:hAnsi="Times New Roman" w:cs="Times New Roman"/>
          <w:sz w:val="24"/>
          <w:szCs w:val="24"/>
        </w:rPr>
        <w:t>amend</w:t>
      </w:r>
      <w:r w:rsidR="00CA4A20">
        <w:rPr>
          <w:rFonts w:ascii="Times New Roman" w:eastAsia="Calibri" w:hAnsi="Times New Roman" w:cs="Times New Roman"/>
          <w:sz w:val="24"/>
          <w:szCs w:val="24"/>
        </w:rPr>
        <w:t>s</w:t>
      </w:r>
      <w:r w:rsidRPr="00686756">
        <w:rPr>
          <w:rFonts w:ascii="Times New Roman" w:eastAsia="Calibri" w:hAnsi="Times New Roman" w:cs="Times New Roman"/>
          <w:sz w:val="24"/>
          <w:szCs w:val="24"/>
        </w:rPr>
        <w:t xml:space="preserve"> </w:t>
      </w:r>
      <w:r w:rsidR="00C65656">
        <w:rPr>
          <w:rFonts w:ascii="Times New Roman" w:eastAsia="Calibri" w:hAnsi="Times New Roman" w:cs="Times New Roman"/>
          <w:sz w:val="24"/>
          <w:szCs w:val="24"/>
        </w:rPr>
        <w:t xml:space="preserve">the table in </w:t>
      </w:r>
      <w:r w:rsidRPr="00686756">
        <w:rPr>
          <w:rFonts w:ascii="Times New Roman" w:eastAsia="Calibri" w:hAnsi="Times New Roman" w:cs="Times New Roman"/>
          <w:sz w:val="24"/>
          <w:szCs w:val="24"/>
        </w:rPr>
        <w:t xml:space="preserve">section 12 </w:t>
      </w:r>
      <w:r>
        <w:rPr>
          <w:rFonts w:ascii="Times New Roman" w:eastAsia="Calibri" w:hAnsi="Times New Roman" w:cs="Times New Roman"/>
          <w:sz w:val="24"/>
          <w:szCs w:val="24"/>
        </w:rPr>
        <w:t xml:space="preserve">of the Principal Regulations </w:t>
      </w:r>
      <w:r w:rsidRPr="00686756">
        <w:rPr>
          <w:rFonts w:ascii="Times New Roman" w:eastAsia="Calibri" w:hAnsi="Times New Roman" w:cs="Times New Roman"/>
          <w:sz w:val="24"/>
          <w:szCs w:val="24"/>
        </w:rPr>
        <w:t xml:space="preserve">to insert new exemptions from </w:t>
      </w:r>
      <w:proofErr w:type="spellStart"/>
      <w:r w:rsidRPr="00686756">
        <w:rPr>
          <w:rFonts w:ascii="Times New Roman" w:eastAsia="Calibri" w:hAnsi="Times New Roman" w:cs="Times New Roman"/>
          <w:sz w:val="24"/>
          <w:szCs w:val="24"/>
        </w:rPr>
        <w:t>sunsetting</w:t>
      </w:r>
      <w:proofErr w:type="spellEnd"/>
      <w:r w:rsidRPr="00686756">
        <w:rPr>
          <w:rFonts w:ascii="Times New Roman" w:eastAsia="Calibri" w:hAnsi="Times New Roman" w:cs="Times New Roman"/>
          <w:sz w:val="24"/>
          <w:szCs w:val="24"/>
        </w:rPr>
        <w:t xml:space="preserve">. </w:t>
      </w:r>
    </w:p>
    <w:p w14:paraId="16D8FBD8" w14:textId="77777777" w:rsidR="00602FB4" w:rsidRPr="004D09BB" w:rsidRDefault="00602FB4" w:rsidP="00602FB4">
      <w:pPr>
        <w:spacing w:before="240" w:after="0" w:line="240" w:lineRule="auto"/>
        <w:rPr>
          <w:rFonts w:ascii="Times New Roman" w:eastAsia="Calibri" w:hAnsi="Times New Roman" w:cs="Times New Roman"/>
          <w:sz w:val="24"/>
          <w:szCs w:val="24"/>
          <w:u w:val="single"/>
        </w:rPr>
      </w:pPr>
      <w:r w:rsidRPr="004D09BB">
        <w:rPr>
          <w:rFonts w:ascii="Times New Roman" w:eastAsia="Calibri" w:hAnsi="Times New Roman" w:cs="Times New Roman"/>
          <w:sz w:val="24"/>
          <w:szCs w:val="24"/>
          <w:u w:val="single"/>
        </w:rPr>
        <w:t>Item 1: Section 10 (table item 19)</w:t>
      </w:r>
    </w:p>
    <w:p w14:paraId="1D424CEF" w14:textId="0D9E9FAD" w:rsidR="00602FB4" w:rsidRDefault="00602FB4" w:rsidP="00602FB4">
      <w:pPr>
        <w:spacing w:before="240" w:after="0" w:line="240" w:lineRule="auto"/>
        <w:rPr>
          <w:rFonts w:ascii="Times New Roman" w:eastAsia="Times New Roman" w:hAnsi="Times New Roman" w:cs="Times New Roman"/>
          <w:color w:val="000000"/>
          <w:sz w:val="24"/>
          <w:szCs w:val="24"/>
          <w:lang w:eastAsia="en-AU"/>
        </w:rPr>
      </w:pPr>
      <w:r w:rsidRPr="00144E05">
        <w:rPr>
          <w:rFonts w:ascii="Times New Roman" w:eastAsia="Calibri" w:hAnsi="Times New Roman" w:cs="Times New Roman"/>
          <w:sz w:val="24"/>
          <w:szCs w:val="24"/>
        </w:rPr>
        <w:t>Item 1</w:t>
      </w:r>
      <w:r>
        <w:rPr>
          <w:rFonts w:ascii="Times New Roman" w:eastAsia="Times New Roman" w:hAnsi="Times New Roman" w:cs="Times New Roman"/>
          <w:b/>
          <w:sz w:val="24"/>
          <w:szCs w:val="24"/>
          <w:lang w:eastAsia="en-AU"/>
        </w:rPr>
        <w:t xml:space="preserve"> </w:t>
      </w:r>
      <w:r w:rsidRPr="00391D1F">
        <w:rPr>
          <w:rFonts w:ascii="Times New Roman" w:eastAsia="Times New Roman" w:hAnsi="Times New Roman" w:cs="Times New Roman"/>
          <w:sz w:val="24"/>
          <w:szCs w:val="24"/>
          <w:lang w:eastAsia="en-AU"/>
        </w:rPr>
        <w:t>repeal</w:t>
      </w:r>
      <w:r w:rsidR="00562996">
        <w:rPr>
          <w:rFonts w:ascii="Times New Roman" w:eastAsia="Times New Roman" w:hAnsi="Times New Roman" w:cs="Times New Roman"/>
          <w:sz w:val="24"/>
          <w:szCs w:val="24"/>
          <w:lang w:eastAsia="en-AU"/>
        </w:rPr>
        <w:t>s</w:t>
      </w:r>
      <w:r w:rsidRPr="00016378">
        <w:rPr>
          <w:rFonts w:ascii="Times New Roman" w:eastAsia="Times New Roman" w:hAnsi="Times New Roman" w:cs="Times New Roman"/>
          <w:sz w:val="24"/>
          <w:szCs w:val="24"/>
          <w:lang w:eastAsia="en-AU"/>
        </w:rPr>
        <w:t xml:space="preserve"> table item 19 of section 10 of the </w:t>
      </w:r>
      <w:r>
        <w:rPr>
          <w:rFonts w:ascii="Times New Roman" w:eastAsia="Times New Roman" w:hAnsi="Times New Roman" w:cs="Times New Roman"/>
          <w:sz w:val="24"/>
          <w:szCs w:val="24"/>
          <w:lang w:eastAsia="en-AU"/>
        </w:rPr>
        <w:t xml:space="preserve">Principal Regulations. Table item 19 </w:t>
      </w:r>
      <w:r>
        <w:rPr>
          <w:rFonts w:ascii="Times New Roman" w:eastAsia="Times New Roman" w:hAnsi="Times New Roman" w:cs="Times New Roman"/>
          <w:color w:val="000000"/>
          <w:sz w:val="24"/>
          <w:szCs w:val="24"/>
          <w:lang w:eastAsia="en-AU"/>
        </w:rPr>
        <w:t>provide</w:t>
      </w:r>
      <w:r w:rsidR="0077680D">
        <w:rPr>
          <w:rFonts w:ascii="Times New Roman" w:eastAsia="Times New Roman" w:hAnsi="Times New Roman" w:cs="Times New Roman"/>
          <w:color w:val="000000"/>
          <w:sz w:val="24"/>
          <w:szCs w:val="24"/>
          <w:lang w:eastAsia="en-AU"/>
        </w:rPr>
        <w:t>d</w:t>
      </w:r>
      <w:r>
        <w:rPr>
          <w:rFonts w:ascii="Times New Roman" w:eastAsia="Times New Roman" w:hAnsi="Times New Roman" w:cs="Times New Roman"/>
          <w:color w:val="000000"/>
          <w:sz w:val="24"/>
          <w:szCs w:val="24"/>
          <w:lang w:eastAsia="en-AU"/>
        </w:rPr>
        <w:t xml:space="preserve"> that a certificate of deferral issued under subsection 51(1) of the Legislation Act</w:t>
      </w:r>
      <w:r w:rsidR="004D654A">
        <w:rPr>
          <w:rFonts w:ascii="Times New Roman" w:eastAsia="Times New Roman" w:hAnsi="Times New Roman" w:cs="Times New Roman"/>
          <w:color w:val="000000"/>
          <w:sz w:val="24"/>
          <w:szCs w:val="24"/>
          <w:lang w:eastAsia="en-AU"/>
        </w:rPr>
        <w:t xml:space="preserve"> was</w:t>
      </w:r>
      <w:r>
        <w:rPr>
          <w:rFonts w:ascii="Times New Roman" w:eastAsia="Times New Roman" w:hAnsi="Times New Roman" w:cs="Times New Roman"/>
          <w:color w:val="000000"/>
          <w:sz w:val="24"/>
          <w:szCs w:val="24"/>
          <w:lang w:eastAsia="en-AU"/>
        </w:rPr>
        <w:t xml:space="preserve"> not subject to disallowance. </w:t>
      </w:r>
    </w:p>
    <w:p w14:paraId="535C6363" w14:textId="1962237A" w:rsidR="00602FB4" w:rsidRPr="00016378" w:rsidRDefault="00602FB4" w:rsidP="00602FB4">
      <w:pPr>
        <w:spacing w:before="240"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Prior to commencement of the </w:t>
      </w:r>
      <w:r>
        <w:rPr>
          <w:rFonts w:ascii="Times New Roman" w:eastAsia="Times New Roman" w:hAnsi="Times New Roman" w:cs="Times New Roman"/>
          <w:i/>
          <w:color w:val="000000"/>
          <w:sz w:val="24"/>
          <w:szCs w:val="24"/>
          <w:lang w:eastAsia="en-AU"/>
        </w:rPr>
        <w:t>Legislation Amendment (</w:t>
      </w:r>
      <w:proofErr w:type="spellStart"/>
      <w:r>
        <w:rPr>
          <w:rFonts w:ascii="Times New Roman" w:eastAsia="Times New Roman" w:hAnsi="Times New Roman" w:cs="Times New Roman"/>
          <w:i/>
          <w:color w:val="000000"/>
          <w:sz w:val="24"/>
          <w:szCs w:val="24"/>
          <w:lang w:eastAsia="en-AU"/>
        </w:rPr>
        <w:t>Sunsetting</w:t>
      </w:r>
      <w:proofErr w:type="spellEnd"/>
      <w:r>
        <w:rPr>
          <w:rFonts w:ascii="Times New Roman" w:eastAsia="Times New Roman" w:hAnsi="Times New Roman" w:cs="Times New Roman"/>
          <w:i/>
          <w:color w:val="000000"/>
          <w:sz w:val="24"/>
          <w:szCs w:val="24"/>
          <w:lang w:eastAsia="en-AU"/>
        </w:rPr>
        <w:t xml:space="preserve"> Review and Other Measures) Act 2018 </w:t>
      </w:r>
      <w:r>
        <w:rPr>
          <w:rFonts w:ascii="Times New Roman" w:eastAsia="Times New Roman" w:hAnsi="Times New Roman" w:cs="Times New Roman"/>
          <w:color w:val="000000"/>
          <w:sz w:val="24"/>
          <w:szCs w:val="24"/>
          <w:lang w:eastAsia="en-AU"/>
        </w:rPr>
        <w:t>(</w:t>
      </w:r>
      <w:proofErr w:type="spellStart"/>
      <w:r>
        <w:rPr>
          <w:rFonts w:ascii="Times New Roman" w:eastAsia="Times New Roman" w:hAnsi="Times New Roman" w:cs="Times New Roman"/>
          <w:color w:val="000000"/>
          <w:sz w:val="24"/>
          <w:szCs w:val="24"/>
          <w:lang w:eastAsia="en-AU"/>
        </w:rPr>
        <w:t>Sunsetting</w:t>
      </w:r>
      <w:proofErr w:type="spellEnd"/>
      <w:r>
        <w:rPr>
          <w:rFonts w:ascii="Times New Roman" w:eastAsia="Times New Roman" w:hAnsi="Times New Roman" w:cs="Times New Roman"/>
          <w:color w:val="000000"/>
          <w:sz w:val="24"/>
          <w:szCs w:val="24"/>
          <w:lang w:eastAsia="en-AU"/>
        </w:rPr>
        <w:t xml:space="preserve"> Review Act), subsection 51(1) of the Legislation Act provided that a certificate of deferral could defer an instrument’s sunset date by 6 or 12</w:t>
      </w:r>
      <w:r w:rsidR="002E7CC3">
        <w:rPr>
          <w:rFonts w:ascii="Times New Roman" w:eastAsia="Times New Roman" w:hAnsi="Times New Roman" w:cs="Times New Roman"/>
          <w:color w:val="000000"/>
          <w:sz w:val="24"/>
          <w:szCs w:val="24"/>
          <w:lang w:eastAsia="en-AU"/>
        </w:rPr>
        <w:t> </w:t>
      </w:r>
      <w:r>
        <w:rPr>
          <w:rFonts w:ascii="Times New Roman" w:eastAsia="Times New Roman" w:hAnsi="Times New Roman" w:cs="Times New Roman"/>
          <w:color w:val="000000"/>
          <w:sz w:val="24"/>
          <w:szCs w:val="24"/>
          <w:lang w:eastAsia="en-AU"/>
        </w:rPr>
        <w:t xml:space="preserve">months. The </w:t>
      </w:r>
      <w:proofErr w:type="spellStart"/>
      <w:r>
        <w:rPr>
          <w:rFonts w:ascii="Times New Roman" w:eastAsia="Times New Roman" w:hAnsi="Times New Roman" w:cs="Times New Roman"/>
          <w:color w:val="000000"/>
          <w:sz w:val="24"/>
          <w:szCs w:val="24"/>
          <w:lang w:eastAsia="en-AU"/>
        </w:rPr>
        <w:t>Sunsetting</w:t>
      </w:r>
      <w:proofErr w:type="spellEnd"/>
      <w:r>
        <w:rPr>
          <w:rFonts w:ascii="Times New Roman" w:eastAsia="Times New Roman" w:hAnsi="Times New Roman" w:cs="Times New Roman"/>
          <w:color w:val="000000"/>
          <w:sz w:val="24"/>
          <w:szCs w:val="24"/>
          <w:lang w:eastAsia="en-AU"/>
        </w:rPr>
        <w:t xml:space="preserve"> Review Act amended subsection 51(1) such that a certificate of deferral can now defer an instrument’s sunset date by six, 12, 18 or 24 months. </w:t>
      </w:r>
      <w:r w:rsidR="004D654A">
        <w:rPr>
          <w:rFonts w:ascii="Times New Roman" w:eastAsia="Times New Roman" w:hAnsi="Times New Roman" w:cs="Times New Roman"/>
          <w:color w:val="000000"/>
          <w:sz w:val="24"/>
          <w:szCs w:val="24"/>
          <w:lang w:eastAsia="en-AU"/>
        </w:rPr>
        <w:t xml:space="preserve">The </w:t>
      </w:r>
      <w:proofErr w:type="spellStart"/>
      <w:r w:rsidR="004D654A">
        <w:rPr>
          <w:rFonts w:ascii="Times New Roman" w:eastAsia="Times New Roman" w:hAnsi="Times New Roman" w:cs="Times New Roman"/>
          <w:color w:val="000000"/>
          <w:sz w:val="24"/>
          <w:szCs w:val="24"/>
          <w:lang w:eastAsia="en-AU"/>
        </w:rPr>
        <w:t>Sunsetting</w:t>
      </w:r>
      <w:proofErr w:type="spellEnd"/>
      <w:r w:rsidR="004D654A">
        <w:rPr>
          <w:rFonts w:ascii="Times New Roman" w:eastAsia="Times New Roman" w:hAnsi="Times New Roman" w:cs="Times New Roman"/>
          <w:color w:val="000000"/>
          <w:sz w:val="24"/>
          <w:szCs w:val="24"/>
          <w:lang w:eastAsia="en-AU"/>
        </w:rPr>
        <w:t xml:space="preserve"> Review Act</w:t>
      </w:r>
      <w:r>
        <w:rPr>
          <w:rFonts w:ascii="Times New Roman" w:eastAsia="Times New Roman" w:hAnsi="Times New Roman" w:cs="Times New Roman"/>
          <w:color w:val="000000"/>
          <w:sz w:val="24"/>
          <w:szCs w:val="24"/>
          <w:lang w:eastAsia="en-AU"/>
        </w:rPr>
        <w:t xml:space="preserve"> also inserted new subsection 51(4) to provide that deferral certificates for six or 12 months are exempt from disallowance.</w:t>
      </w:r>
      <w:r w:rsidR="0077680D" w:rsidDel="0077680D">
        <w:rPr>
          <w:rFonts w:ascii="Times New Roman" w:eastAsia="Times New Roman" w:hAnsi="Times New Roman" w:cs="Times New Roman"/>
          <w:color w:val="000000"/>
          <w:sz w:val="24"/>
          <w:szCs w:val="24"/>
          <w:lang w:eastAsia="en-AU"/>
        </w:rPr>
        <w:t xml:space="preserve"> </w:t>
      </w:r>
      <w:r w:rsidRPr="0077680D">
        <w:rPr>
          <w:rFonts w:ascii="Times New Roman" w:eastAsia="Times New Roman" w:hAnsi="Times New Roman" w:cs="Times New Roman"/>
          <w:color w:val="000000"/>
          <w:sz w:val="24"/>
          <w:szCs w:val="24"/>
          <w:lang w:eastAsia="en-AU"/>
        </w:rPr>
        <w:t xml:space="preserve">Since the insertion of subsection 51(4) into the Legislation Act, table item 19 of section 10 is no longer </w:t>
      </w:r>
      <w:r w:rsidR="0077680D">
        <w:rPr>
          <w:rFonts w:ascii="Times New Roman" w:eastAsia="Times New Roman" w:hAnsi="Times New Roman" w:cs="Times New Roman"/>
          <w:color w:val="000000"/>
          <w:sz w:val="24"/>
          <w:szCs w:val="24"/>
          <w:lang w:eastAsia="en-AU"/>
        </w:rPr>
        <w:t xml:space="preserve">required. </w:t>
      </w:r>
    </w:p>
    <w:p w14:paraId="1A5DB0C6" w14:textId="77777777" w:rsidR="00602FB4" w:rsidRPr="004D09BB" w:rsidRDefault="00602FB4" w:rsidP="00602FB4">
      <w:pPr>
        <w:keepNext/>
        <w:spacing w:before="240" w:after="0" w:line="240" w:lineRule="auto"/>
        <w:rPr>
          <w:rFonts w:ascii="Times New Roman" w:eastAsia="Calibri" w:hAnsi="Times New Roman" w:cs="Times New Roman"/>
          <w:sz w:val="24"/>
          <w:szCs w:val="24"/>
          <w:u w:val="single"/>
        </w:rPr>
      </w:pPr>
      <w:r w:rsidRPr="004D09BB">
        <w:rPr>
          <w:rFonts w:ascii="Times New Roman" w:eastAsia="Calibri" w:hAnsi="Times New Roman" w:cs="Times New Roman"/>
          <w:sz w:val="24"/>
          <w:szCs w:val="24"/>
          <w:u w:val="single"/>
        </w:rPr>
        <w:t xml:space="preserve">Item </w:t>
      </w:r>
      <w:r>
        <w:rPr>
          <w:rFonts w:ascii="Times New Roman" w:eastAsia="Calibri" w:hAnsi="Times New Roman" w:cs="Times New Roman"/>
          <w:sz w:val="24"/>
          <w:szCs w:val="24"/>
          <w:u w:val="single"/>
        </w:rPr>
        <w:t>2</w:t>
      </w:r>
      <w:r w:rsidRPr="004D09BB">
        <w:rPr>
          <w:rFonts w:ascii="Times New Roman" w:eastAsia="Calibri" w:hAnsi="Times New Roman" w:cs="Times New Roman"/>
          <w:sz w:val="24"/>
          <w:szCs w:val="24"/>
          <w:u w:val="single"/>
        </w:rPr>
        <w:t>: Section 1</w:t>
      </w:r>
      <w:r>
        <w:rPr>
          <w:rFonts w:ascii="Times New Roman" w:eastAsia="Calibri" w:hAnsi="Times New Roman" w:cs="Times New Roman"/>
          <w:sz w:val="24"/>
          <w:szCs w:val="24"/>
          <w:u w:val="single"/>
        </w:rPr>
        <w:t>2</w:t>
      </w:r>
      <w:r w:rsidRPr="004D09BB">
        <w:rPr>
          <w:rFonts w:ascii="Times New Roman" w:eastAsia="Calibri" w:hAnsi="Times New Roman" w:cs="Times New Roman"/>
          <w:sz w:val="24"/>
          <w:szCs w:val="24"/>
          <w:u w:val="single"/>
        </w:rPr>
        <w:t xml:space="preserve"> (table item </w:t>
      </w:r>
      <w:r>
        <w:rPr>
          <w:rFonts w:ascii="Times New Roman" w:eastAsia="Calibri" w:hAnsi="Times New Roman" w:cs="Times New Roman"/>
          <w:sz w:val="24"/>
          <w:szCs w:val="24"/>
          <w:u w:val="single"/>
        </w:rPr>
        <w:t>27</w:t>
      </w:r>
      <w:r w:rsidRPr="004D09BB">
        <w:rPr>
          <w:rFonts w:ascii="Times New Roman" w:eastAsia="Calibri" w:hAnsi="Times New Roman" w:cs="Times New Roman"/>
          <w:sz w:val="24"/>
          <w:szCs w:val="24"/>
          <w:u w:val="single"/>
        </w:rPr>
        <w:t>)</w:t>
      </w:r>
    </w:p>
    <w:p w14:paraId="17534D4F" w14:textId="2AB66084" w:rsidR="00602FB4" w:rsidRDefault="00602FB4" w:rsidP="00602FB4">
      <w:pPr>
        <w:keepNext/>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For</w:t>
      </w:r>
      <w:r w:rsidR="00055BBE">
        <w:rPr>
          <w:rFonts w:ascii="Times New Roman" w:eastAsia="Times New Roman" w:hAnsi="Times New Roman" w:cs="Times New Roman"/>
          <w:sz w:val="24"/>
          <w:szCs w:val="24"/>
          <w:lang w:eastAsia="en-AU"/>
        </w:rPr>
        <w:t xml:space="preserve"> the purposes of</w:t>
      </w:r>
      <w:r>
        <w:rPr>
          <w:rFonts w:ascii="Times New Roman" w:eastAsia="Times New Roman" w:hAnsi="Times New Roman" w:cs="Times New Roman"/>
          <w:sz w:val="24"/>
          <w:szCs w:val="24"/>
          <w:lang w:eastAsia="en-AU"/>
        </w:rPr>
        <w:t xml:space="preserve"> paragraph 54(2)(b) of the Legislation Act, section 12</w:t>
      </w:r>
      <w:r w:rsidR="00C65656">
        <w:rPr>
          <w:rFonts w:ascii="Times New Roman" w:eastAsia="Times New Roman" w:hAnsi="Times New Roman" w:cs="Times New Roman"/>
          <w:sz w:val="24"/>
          <w:szCs w:val="24"/>
          <w:lang w:eastAsia="en-AU"/>
        </w:rPr>
        <w:t xml:space="preserve"> of the Principal Regulations</w:t>
      </w:r>
      <w:r>
        <w:rPr>
          <w:rFonts w:ascii="Times New Roman" w:eastAsia="Times New Roman" w:hAnsi="Times New Roman" w:cs="Times New Roman"/>
          <w:sz w:val="24"/>
          <w:szCs w:val="24"/>
          <w:lang w:eastAsia="en-AU"/>
        </w:rPr>
        <w:t xml:space="preserve"> provides that instrument</w:t>
      </w:r>
      <w:r w:rsidR="00DF593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contained in the table to that section are not subject to </w:t>
      </w:r>
      <w:proofErr w:type="spellStart"/>
      <w:r>
        <w:rPr>
          <w:rFonts w:ascii="Times New Roman" w:eastAsia="Times New Roman" w:hAnsi="Times New Roman" w:cs="Times New Roman"/>
          <w:sz w:val="24"/>
          <w:szCs w:val="24"/>
          <w:lang w:eastAsia="en-AU"/>
        </w:rPr>
        <w:t>sunsetting</w:t>
      </w:r>
      <w:proofErr w:type="spellEnd"/>
      <w:r>
        <w:rPr>
          <w:rFonts w:ascii="Times New Roman" w:eastAsia="Times New Roman" w:hAnsi="Times New Roman" w:cs="Times New Roman"/>
          <w:sz w:val="24"/>
          <w:szCs w:val="24"/>
          <w:lang w:eastAsia="en-AU"/>
        </w:rPr>
        <w:t xml:space="preserve">. </w:t>
      </w:r>
      <w:r w:rsidRPr="004D09BB">
        <w:rPr>
          <w:rFonts w:ascii="Times New Roman" w:eastAsia="Times New Roman" w:hAnsi="Times New Roman" w:cs="Times New Roman"/>
          <w:sz w:val="24"/>
          <w:szCs w:val="24"/>
          <w:lang w:eastAsia="en-AU"/>
        </w:rPr>
        <w:t xml:space="preserve">Item 2 of Schedule 1 </w:t>
      </w:r>
      <w:r w:rsidR="00C65656">
        <w:rPr>
          <w:rFonts w:ascii="Times New Roman" w:eastAsia="Times New Roman" w:hAnsi="Times New Roman" w:cs="Times New Roman"/>
          <w:sz w:val="24"/>
          <w:szCs w:val="24"/>
          <w:lang w:eastAsia="en-AU"/>
        </w:rPr>
        <w:t xml:space="preserve">to the Amendment Regulations </w:t>
      </w:r>
      <w:r w:rsidRPr="004D09BB">
        <w:rPr>
          <w:rFonts w:ascii="Times New Roman" w:eastAsia="Times New Roman" w:hAnsi="Times New Roman" w:cs="Times New Roman"/>
          <w:sz w:val="24"/>
          <w:szCs w:val="24"/>
          <w:lang w:eastAsia="en-AU"/>
        </w:rPr>
        <w:t>repeal</w:t>
      </w:r>
      <w:r w:rsidR="004175AA">
        <w:rPr>
          <w:rFonts w:ascii="Times New Roman" w:eastAsia="Times New Roman" w:hAnsi="Times New Roman" w:cs="Times New Roman"/>
          <w:sz w:val="24"/>
          <w:szCs w:val="24"/>
          <w:lang w:eastAsia="en-AU"/>
        </w:rPr>
        <w:t>s</w:t>
      </w:r>
      <w:r w:rsidRPr="004D09BB">
        <w:rPr>
          <w:rFonts w:ascii="Times New Roman" w:eastAsia="Times New Roman" w:hAnsi="Times New Roman" w:cs="Times New Roman"/>
          <w:sz w:val="24"/>
          <w:szCs w:val="24"/>
          <w:lang w:eastAsia="en-AU"/>
        </w:rPr>
        <w:t xml:space="preserve"> table item 27</w:t>
      </w:r>
      <w:r w:rsidR="00C65656">
        <w:rPr>
          <w:rFonts w:ascii="Times New Roman" w:eastAsia="Times New Roman" w:hAnsi="Times New Roman" w:cs="Times New Roman"/>
          <w:sz w:val="24"/>
          <w:szCs w:val="24"/>
          <w:lang w:eastAsia="en-AU"/>
        </w:rPr>
        <w:t xml:space="preserve"> at </w:t>
      </w:r>
      <w:r w:rsidR="00C65656">
        <w:rPr>
          <w:rFonts w:ascii="Times New Roman" w:eastAsia="Times New Roman" w:hAnsi="Times New Roman" w:cs="Times New Roman"/>
          <w:sz w:val="24"/>
          <w:szCs w:val="24"/>
          <w:lang w:eastAsia="en-AU"/>
        </w:rPr>
        <w:lastRenderedPageBreak/>
        <w:t>section 12</w:t>
      </w:r>
      <w:r w:rsidRPr="004D09BB">
        <w:rPr>
          <w:rFonts w:ascii="Times New Roman" w:eastAsia="Times New Roman" w:hAnsi="Times New Roman" w:cs="Times New Roman"/>
          <w:sz w:val="24"/>
          <w:szCs w:val="24"/>
          <w:lang w:eastAsia="en-AU"/>
        </w:rPr>
        <w:t xml:space="preserve"> of the Principal Regulations</w:t>
      </w:r>
      <w:r w:rsidR="00C65656">
        <w:rPr>
          <w:rFonts w:ascii="Times New Roman" w:eastAsia="Times New Roman" w:hAnsi="Times New Roman" w:cs="Times New Roman"/>
          <w:sz w:val="24"/>
          <w:szCs w:val="24"/>
          <w:lang w:eastAsia="en-AU"/>
        </w:rPr>
        <w:t>,</w:t>
      </w:r>
      <w:r w:rsidRPr="004D09BB">
        <w:rPr>
          <w:rFonts w:ascii="Times New Roman" w:eastAsia="Times New Roman" w:hAnsi="Times New Roman" w:cs="Times New Roman"/>
          <w:sz w:val="24"/>
          <w:szCs w:val="24"/>
          <w:lang w:eastAsia="en-AU"/>
        </w:rPr>
        <w:t xml:space="preserve"> and insert</w:t>
      </w:r>
      <w:r w:rsidR="00744F81">
        <w:rPr>
          <w:rFonts w:ascii="Times New Roman" w:eastAsia="Times New Roman" w:hAnsi="Times New Roman" w:cs="Times New Roman"/>
          <w:sz w:val="24"/>
          <w:szCs w:val="24"/>
          <w:lang w:eastAsia="en-AU"/>
        </w:rPr>
        <w:t>s</w:t>
      </w:r>
      <w:r w:rsidRPr="004D09BB">
        <w:rPr>
          <w:rFonts w:ascii="Times New Roman" w:eastAsia="Times New Roman" w:hAnsi="Times New Roman" w:cs="Times New Roman"/>
          <w:sz w:val="24"/>
          <w:szCs w:val="24"/>
          <w:lang w:eastAsia="en-AU"/>
        </w:rPr>
        <w:t xml:space="preserve"> new table items 27, 27A and 27B into </w:t>
      </w:r>
      <w:r w:rsidR="00C65656" w:rsidRPr="004D09BB">
        <w:rPr>
          <w:rFonts w:ascii="Times New Roman" w:eastAsia="Times New Roman" w:hAnsi="Times New Roman" w:cs="Times New Roman"/>
          <w:sz w:val="24"/>
          <w:szCs w:val="24"/>
          <w:lang w:eastAsia="en-AU"/>
        </w:rPr>
        <w:t>th</w:t>
      </w:r>
      <w:r w:rsidR="00C65656">
        <w:rPr>
          <w:rFonts w:ascii="Times New Roman" w:eastAsia="Times New Roman" w:hAnsi="Times New Roman" w:cs="Times New Roman"/>
          <w:sz w:val="24"/>
          <w:szCs w:val="24"/>
          <w:lang w:eastAsia="en-AU"/>
        </w:rPr>
        <w:t>at</w:t>
      </w:r>
      <w:r w:rsidR="00C65656" w:rsidRPr="004D09BB">
        <w:rPr>
          <w:rFonts w:ascii="Times New Roman" w:eastAsia="Times New Roman" w:hAnsi="Times New Roman" w:cs="Times New Roman"/>
          <w:sz w:val="24"/>
          <w:szCs w:val="24"/>
          <w:lang w:eastAsia="en-AU"/>
        </w:rPr>
        <w:t xml:space="preserve"> </w:t>
      </w:r>
      <w:r w:rsidRPr="004D09BB">
        <w:rPr>
          <w:rFonts w:ascii="Times New Roman" w:eastAsia="Times New Roman" w:hAnsi="Times New Roman" w:cs="Times New Roman"/>
          <w:sz w:val="24"/>
          <w:szCs w:val="24"/>
          <w:lang w:eastAsia="en-AU"/>
        </w:rPr>
        <w:t xml:space="preserve">table. </w:t>
      </w:r>
      <w:r>
        <w:rPr>
          <w:rFonts w:ascii="Times New Roman" w:eastAsia="Times New Roman" w:hAnsi="Times New Roman" w:cs="Times New Roman"/>
          <w:sz w:val="24"/>
          <w:szCs w:val="24"/>
          <w:lang w:eastAsia="en-AU"/>
        </w:rPr>
        <w:t xml:space="preserve"> </w:t>
      </w:r>
    </w:p>
    <w:p w14:paraId="71C99E12" w14:textId="31A179B3" w:rsidR="00602FB4" w:rsidRPr="002F19E2" w:rsidRDefault="00602FB4" w:rsidP="00602FB4">
      <w:pPr>
        <w:spacing w:before="240" w:after="0" w:line="240" w:lineRule="auto"/>
        <w:rPr>
          <w:rFonts w:ascii="Times New Roman" w:hAnsi="Times New Roman" w:cs="Times New Roman"/>
          <w:sz w:val="24"/>
          <w:szCs w:val="24"/>
        </w:rPr>
      </w:pPr>
      <w:r w:rsidRPr="002F19E2">
        <w:rPr>
          <w:rFonts w:ascii="Times New Roman" w:eastAsia="Times New Roman" w:hAnsi="Times New Roman" w:cs="Times New Roman"/>
          <w:sz w:val="24"/>
          <w:szCs w:val="24"/>
          <w:lang w:eastAsia="en-AU"/>
        </w:rPr>
        <w:t xml:space="preserve">Table item 27 lists instruments made under the </w:t>
      </w:r>
      <w:r w:rsidRPr="002F19E2">
        <w:rPr>
          <w:rFonts w:ascii="Times New Roman" w:eastAsia="Times New Roman" w:hAnsi="Times New Roman" w:cs="Times New Roman"/>
          <w:i/>
          <w:sz w:val="24"/>
          <w:szCs w:val="24"/>
          <w:lang w:eastAsia="en-AU"/>
        </w:rPr>
        <w:t>Fair Work Act 2009</w:t>
      </w:r>
      <w:r w:rsidRPr="002F19E2">
        <w:rPr>
          <w:rFonts w:ascii="Times New Roman" w:eastAsia="Times New Roman" w:hAnsi="Times New Roman" w:cs="Times New Roman"/>
          <w:sz w:val="24"/>
          <w:szCs w:val="24"/>
          <w:lang w:eastAsia="en-AU"/>
        </w:rPr>
        <w:t xml:space="preserve">. New table item </w:t>
      </w:r>
      <w:r w:rsidRPr="002F19E2">
        <w:rPr>
          <w:rFonts w:ascii="Times New Roman" w:hAnsi="Times New Roman" w:cs="Times New Roman"/>
          <w:sz w:val="24"/>
          <w:szCs w:val="24"/>
        </w:rPr>
        <w:t>27 retain</w:t>
      </w:r>
      <w:r w:rsidR="001F744C">
        <w:rPr>
          <w:rFonts w:ascii="Times New Roman" w:hAnsi="Times New Roman" w:cs="Times New Roman"/>
          <w:sz w:val="24"/>
          <w:szCs w:val="24"/>
        </w:rPr>
        <w:t>s</w:t>
      </w:r>
      <w:r w:rsidRPr="002F19E2">
        <w:rPr>
          <w:rFonts w:ascii="Times New Roman" w:hAnsi="Times New Roman" w:cs="Times New Roman"/>
          <w:sz w:val="24"/>
          <w:szCs w:val="24"/>
        </w:rPr>
        <w:t xml:space="preserve"> the existing exemption from </w:t>
      </w:r>
      <w:proofErr w:type="spellStart"/>
      <w:r w:rsidRPr="002F19E2">
        <w:rPr>
          <w:rFonts w:ascii="Times New Roman" w:hAnsi="Times New Roman" w:cs="Times New Roman"/>
          <w:sz w:val="24"/>
          <w:szCs w:val="24"/>
        </w:rPr>
        <w:t>sunsetting</w:t>
      </w:r>
      <w:proofErr w:type="spellEnd"/>
      <w:r w:rsidRPr="002F19E2">
        <w:rPr>
          <w:rFonts w:ascii="Times New Roman" w:hAnsi="Times New Roman" w:cs="Times New Roman"/>
          <w:sz w:val="24"/>
          <w:szCs w:val="24"/>
        </w:rPr>
        <w:t xml:space="preserve"> for instruments made under subsection 14(4) of the </w:t>
      </w:r>
      <w:r w:rsidRPr="002F5B8A">
        <w:rPr>
          <w:rFonts w:ascii="Times New Roman" w:hAnsi="Times New Roman" w:cs="Times New Roman"/>
          <w:sz w:val="24"/>
          <w:szCs w:val="24"/>
        </w:rPr>
        <w:t>Fair Work Act</w:t>
      </w:r>
      <w:r w:rsidRPr="002F19E2">
        <w:rPr>
          <w:rFonts w:ascii="Times New Roman" w:hAnsi="Times New Roman" w:cs="Times New Roman"/>
          <w:sz w:val="24"/>
          <w:szCs w:val="24"/>
        </w:rPr>
        <w:t>, and provide</w:t>
      </w:r>
      <w:r w:rsidR="00477FB8">
        <w:rPr>
          <w:rFonts w:ascii="Times New Roman" w:hAnsi="Times New Roman" w:cs="Times New Roman"/>
          <w:sz w:val="24"/>
          <w:szCs w:val="24"/>
        </w:rPr>
        <w:t>s</w:t>
      </w:r>
      <w:r w:rsidRPr="002F19E2">
        <w:rPr>
          <w:rFonts w:ascii="Times New Roman" w:hAnsi="Times New Roman" w:cs="Times New Roman"/>
          <w:sz w:val="24"/>
          <w:szCs w:val="24"/>
        </w:rPr>
        <w:t xml:space="preserve"> new exemptions from </w:t>
      </w:r>
      <w:proofErr w:type="spellStart"/>
      <w:r w:rsidRPr="002F19E2">
        <w:rPr>
          <w:rFonts w:ascii="Times New Roman" w:hAnsi="Times New Roman" w:cs="Times New Roman"/>
          <w:sz w:val="24"/>
          <w:szCs w:val="24"/>
        </w:rPr>
        <w:t>sunsetting</w:t>
      </w:r>
      <w:proofErr w:type="spellEnd"/>
      <w:r w:rsidRPr="002F19E2">
        <w:rPr>
          <w:rFonts w:ascii="Times New Roman" w:hAnsi="Times New Roman" w:cs="Times New Roman"/>
          <w:sz w:val="24"/>
          <w:szCs w:val="24"/>
        </w:rPr>
        <w:t xml:space="preserve"> for each of the following instruments (together, the Fair Work Instruments):</w:t>
      </w:r>
    </w:p>
    <w:p w14:paraId="5EC21897" w14:textId="77777777" w:rsidR="00602FB4" w:rsidRPr="007674FE" w:rsidRDefault="00602FB4" w:rsidP="00602FB4">
      <w:pPr>
        <w:pStyle w:val="Paragraph"/>
        <w:numPr>
          <w:ilvl w:val="1"/>
          <w:numId w:val="21"/>
        </w:numPr>
        <w:tabs>
          <w:tab w:val="left" w:pos="567"/>
        </w:tabs>
        <w:spacing w:before="120"/>
        <w:ind w:left="714" w:hanging="357"/>
        <w:rPr>
          <w:szCs w:val="24"/>
        </w:rPr>
      </w:pPr>
      <w:r w:rsidRPr="002F19E2">
        <w:rPr>
          <w:szCs w:val="24"/>
        </w:rPr>
        <w:tab/>
        <w:t>a rule made under subsection</w:t>
      </w:r>
      <w:r w:rsidRPr="007674FE">
        <w:rPr>
          <w:szCs w:val="24"/>
        </w:rPr>
        <w:t xml:space="preserve"> 32</w:t>
      </w:r>
      <w:r>
        <w:rPr>
          <w:szCs w:val="24"/>
        </w:rPr>
        <w:t xml:space="preserve">A(1) made under </w:t>
      </w:r>
      <w:r w:rsidRPr="001A737B">
        <w:rPr>
          <w:szCs w:val="24"/>
        </w:rPr>
        <w:t>the Fair Work Act</w:t>
      </w:r>
    </w:p>
    <w:p w14:paraId="57364307" w14:textId="77777777" w:rsidR="00602FB4" w:rsidRPr="007674FE" w:rsidRDefault="00602FB4" w:rsidP="00602FB4">
      <w:pPr>
        <w:pStyle w:val="Paragraph"/>
        <w:numPr>
          <w:ilvl w:val="1"/>
          <w:numId w:val="21"/>
        </w:numPr>
        <w:tabs>
          <w:tab w:val="left" w:pos="567"/>
        </w:tabs>
        <w:spacing w:before="120"/>
        <w:ind w:left="714" w:hanging="357"/>
        <w:rPr>
          <w:szCs w:val="24"/>
        </w:rPr>
      </w:pPr>
      <w:r>
        <w:rPr>
          <w:szCs w:val="24"/>
        </w:rPr>
        <w:tab/>
        <w:t>a declaration</w:t>
      </w:r>
      <w:r w:rsidRPr="007674FE">
        <w:rPr>
          <w:szCs w:val="24"/>
        </w:rPr>
        <w:t xml:space="preserve"> made under subsection 388(1</w:t>
      </w:r>
      <w:r>
        <w:rPr>
          <w:szCs w:val="24"/>
        </w:rPr>
        <w:t xml:space="preserve">) of that Act </w:t>
      </w:r>
    </w:p>
    <w:p w14:paraId="57B64C24" w14:textId="77777777" w:rsidR="00602FB4" w:rsidRPr="007674FE" w:rsidRDefault="00602FB4" w:rsidP="00602FB4">
      <w:pPr>
        <w:pStyle w:val="Paragraph"/>
        <w:numPr>
          <w:ilvl w:val="1"/>
          <w:numId w:val="21"/>
        </w:numPr>
        <w:tabs>
          <w:tab w:val="left" w:pos="567"/>
        </w:tabs>
        <w:spacing w:before="120"/>
        <w:ind w:left="714" w:hanging="357"/>
        <w:rPr>
          <w:szCs w:val="24"/>
        </w:rPr>
      </w:pPr>
      <w:r>
        <w:rPr>
          <w:szCs w:val="24"/>
        </w:rPr>
        <w:tab/>
        <w:t>an instrument</w:t>
      </w:r>
      <w:r w:rsidRPr="007674FE">
        <w:rPr>
          <w:szCs w:val="24"/>
        </w:rPr>
        <w:t xml:space="preserve"> made under subsection 559(3B</w:t>
      </w:r>
      <w:r>
        <w:rPr>
          <w:szCs w:val="24"/>
        </w:rPr>
        <w:t>) of that Act, and</w:t>
      </w:r>
    </w:p>
    <w:p w14:paraId="0793F0CD" w14:textId="77777777" w:rsidR="00602FB4" w:rsidRDefault="00602FB4" w:rsidP="00602FB4">
      <w:pPr>
        <w:pStyle w:val="Paragraph"/>
        <w:numPr>
          <w:ilvl w:val="1"/>
          <w:numId w:val="21"/>
        </w:numPr>
        <w:tabs>
          <w:tab w:val="left" w:pos="567"/>
        </w:tabs>
        <w:spacing w:before="120"/>
        <w:ind w:left="714" w:hanging="357"/>
        <w:rPr>
          <w:szCs w:val="24"/>
        </w:rPr>
      </w:pPr>
      <w:r>
        <w:rPr>
          <w:szCs w:val="24"/>
        </w:rPr>
        <w:tab/>
      </w:r>
      <w:proofErr w:type="gramStart"/>
      <w:r>
        <w:rPr>
          <w:szCs w:val="24"/>
        </w:rPr>
        <w:t>a</w:t>
      </w:r>
      <w:proofErr w:type="gramEnd"/>
      <w:r>
        <w:rPr>
          <w:szCs w:val="24"/>
        </w:rPr>
        <w:t xml:space="preserve"> regulation</w:t>
      </w:r>
      <w:r w:rsidRPr="007674FE">
        <w:rPr>
          <w:szCs w:val="24"/>
        </w:rPr>
        <w:t xml:space="preserve"> made under </w:t>
      </w:r>
      <w:r>
        <w:rPr>
          <w:szCs w:val="24"/>
        </w:rPr>
        <w:t xml:space="preserve">that Act. </w:t>
      </w:r>
    </w:p>
    <w:p w14:paraId="51899547" w14:textId="77777777" w:rsidR="00602FB4" w:rsidRPr="007674FE" w:rsidRDefault="00602FB4" w:rsidP="00602FB4">
      <w:pPr>
        <w:pStyle w:val="Paragraph"/>
        <w:numPr>
          <w:ilvl w:val="0"/>
          <w:numId w:val="0"/>
        </w:numPr>
        <w:tabs>
          <w:tab w:val="left" w:pos="567"/>
        </w:tabs>
        <w:rPr>
          <w:szCs w:val="24"/>
        </w:rPr>
      </w:pPr>
      <w:r>
        <w:rPr>
          <w:szCs w:val="24"/>
        </w:rPr>
        <w:t xml:space="preserve">The </w:t>
      </w:r>
      <w:r w:rsidRPr="007674FE">
        <w:rPr>
          <w:szCs w:val="24"/>
        </w:rPr>
        <w:t xml:space="preserve">Fair Work Act and the Fair Work Instruments are essential components of the national workplace relations </w:t>
      </w:r>
      <w:r>
        <w:rPr>
          <w:szCs w:val="24"/>
        </w:rPr>
        <w:t>scheme</w:t>
      </w:r>
      <w:r w:rsidRPr="007674FE">
        <w:rPr>
          <w:szCs w:val="24"/>
        </w:rPr>
        <w:t xml:space="preserve"> regulating the majority of private sector employers and employees in Australia. This is an intergovernmental scheme involving the Commonwealth, territories and multip</w:t>
      </w:r>
      <w:r>
        <w:rPr>
          <w:szCs w:val="24"/>
        </w:rPr>
        <w:t xml:space="preserve">le states. </w:t>
      </w:r>
    </w:p>
    <w:p w14:paraId="2630B676" w14:textId="77777777" w:rsidR="00602FB4" w:rsidRPr="007674FE" w:rsidRDefault="00602FB4" w:rsidP="00602FB4">
      <w:pPr>
        <w:pStyle w:val="Paragraph"/>
        <w:numPr>
          <w:ilvl w:val="0"/>
          <w:numId w:val="0"/>
        </w:numPr>
        <w:tabs>
          <w:tab w:val="left" w:pos="567"/>
        </w:tabs>
        <w:rPr>
          <w:szCs w:val="24"/>
        </w:rPr>
      </w:pPr>
      <w:r w:rsidRPr="007674FE">
        <w:rPr>
          <w:szCs w:val="24"/>
        </w:rPr>
        <w:t xml:space="preserve">That scheme was developed in conjunction with a multilateral agreement between the Commonwealth, referring states and the Australian Capital Territory and Northern Territory, namely the </w:t>
      </w:r>
      <w:r w:rsidRPr="000B5ED5">
        <w:rPr>
          <w:i/>
          <w:szCs w:val="24"/>
        </w:rPr>
        <w:t>Intergovernmental Agreement for a National Workplace Relations System for the Private Sector</w:t>
      </w:r>
      <w:r w:rsidRPr="007674FE">
        <w:rPr>
          <w:szCs w:val="24"/>
        </w:rPr>
        <w:t xml:space="preserve"> (National Workplace IGA). The National Workplace IGA sets out each party’s commitment, role and responsibility towards achieving and maintaining a uniform nation</w:t>
      </w:r>
      <w:r>
        <w:rPr>
          <w:szCs w:val="24"/>
        </w:rPr>
        <w:t xml:space="preserve">al workplace relations system. </w:t>
      </w:r>
    </w:p>
    <w:p w14:paraId="35D49566" w14:textId="77777777" w:rsidR="00602FB4" w:rsidRDefault="00602FB4" w:rsidP="00602FB4">
      <w:pPr>
        <w:pStyle w:val="Paragraph"/>
        <w:numPr>
          <w:ilvl w:val="0"/>
          <w:numId w:val="0"/>
        </w:numPr>
        <w:tabs>
          <w:tab w:val="left" w:pos="567"/>
        </w:tabs>
        <w:rPr>
          <w:szCs w:val="24"/>
        </w:rPr>
      </w:pPr>
      <w:r w:rsidRPr="007674FE">
        <w:rPr>
          <w:szCs w:val="24"/>
        </w:rPr>
        <w:t xml:space="preserve">The Fair Work Regulations are explicitly subject to the National Workplace IGA. Under clause 2.11 of that agreement, the Commonwealth must consult with the referring states and </w:t>
      </w:r>
      <w:r>
        <w:rPr>
          <w:szCs w:val="24"/>
        </w:rPr>
        <w:t xml:space="preserve">the </w:t>
      </w:r>
      <w:r w:rsidRPr="007674FE">
        <w:rPr>
          <w:szCs w:val="24"/>
        </w:rPr>
        <w:t xml:space="preserve">territories on proposed amendments to the Fair Work Regulations. </w:t>
      </w:r>
    </w:p>
    <w:p w14:paraId="37743D4D" w14:textId="75FB9A8B" w:rsidR="00602FB4" w:rsidRPr="007674FE" w:rsidRDefault="00602FB4" w:rsidP="00602FB4">
      <w:pPr>
        <w:pStyle w:val="Paragraph"/>
        <w:numPr>
          <w:ilvl w:val="0"/>
          <w:numId w:val="0"/>
        </w:numPr>
        <w:tabs>
          <w:tab w:val="left" w:pos="567"/>
        </w:tabs>
        <w:rPr>
          <w:szCs w:val="24"/>
        </w:rPr>
      </w:pPr>
      <w:r w:rsidRPr="007674FE">
        <w:rPr>
          <w:szCs w:val="24"/>
        </w:rPr>
        <w:t xml:space="preserve">The </w:t>
      </w:r>
      <w:r>
        <w:rPr>
          <w:szCs w:val="24"/>
        </w:rPr>
        <w:t>other listed instruments</w:t>
      </w:r>
      <w:r w:rsidRPr="007674FE">
        <w:rPr>
          <w:szCs w:val="24"/>
        </w:rPr>
        <w:t xml:space="preserve"> are not specifically subject to the National Workplace IGA. However, they are made under the Fair Work Act and were developed in consultation with the ref</w:t>
      </w:r>
      <w:r>
        <w:rPr>
          <w:szCs w:val="24"/>
        </w:rPr>
        <w:t xml:space="preserve">erring states and </w:t>
      </w:r>
      <w:r w:rsidR="00F66514">
        <w:rPr>
          <w:szCs w:val="24"/>
        </w:rPr>
        <w:t xml:space="preserve">the </w:t>
      </w:r>
      <w:r>
        <w:rPr>
          <w:szCs w:val="24"/>
        </w:rPr>
        <w:t xml:space="preserve">territories. </w:t>
      </w:r>
      <w:r w:rsidRPr="007674FE">
        <w:rPr>
          <w:szCs w:val="24"/>
        </w:rPr>
        <w:t xml:space="preserve">As such, </w:t>
      </w:r>
      <w:r w:rsidR="00F66514">
        <w:rPr>
          <w:szCs w:val="24"/>
        </w:rPr>
        <w:t xml:space="preserve">all of </w:t>
      </w:r>
      <w:r w:rsidRPr="007674FE">
        <w:rPr>
          <w:szCs w:val="24"/>
        </w:rPr>
        <w:t xml:space="preserve">the </w:t>
      </w:r>
      <w:r>
        <w:rPr>
          <w:szCs w:val="24"/>
        </w:rPr>
        <w:t>Fair Work instruments</w:t>
      </w:r>
      <w:r w:rsidRPr="007674FE">
        <w:rPr>
          <w:szCs w:val="24"/>
        </w:rPr>
        <w:t xml:space="preserve"> form part of </w:t>
      </w:r>
      <w:r>
        <w:rPr>
          <w:szCs w:val="24"/>
        </w:rPr>
        <w:t>the</w:t>
      </w:r>
      <w:r w:rsidRPr="007674FE">
        <w:rPr>
          <w:szCs w:val="24"/>
        </w:rPr>
        <w:t xml:space="preserve"> intergovernmental scheme and it</w:t>
      </w:r>
      <w:r>
        <w:rPr>
          <w:szCs w:val="24"/>
        </w:rPr>
        <w:t xml:space="preserve"> is appropriate to exempt them from </w:t>
      </w:r>
      <w:proofErr w:type="spellStart"/>
      <w:r>
        <w:rPr>
          <w:szCs w:val="24"/>
        </w:rPr>
        <w:t>sunsetting</w:t>
      </w:r>
      <w:proofErr w:type="spellEnd"/>
      <w:r>
        <w:rPr>
          <w:szCs w:val="24"/>
        </w:rPr>
        <w:t xml:space="preserve">. </w:t>
      </w:r>
      <w:r w:rsidRPr="007674FE">
        <w:rPr>
          <w:szCs w:val="24"/>
        </w:rPr>
        <w:t xml:space="preserve"> </w:t>
      </w:r>
    </w:p>
    <w:p w14:paraId="01608540" w14:textId="5C73C822" w:rsidR="00602FB4" w:rsidRDefault="00602FB4" w:rsidP="00602FB4">
      <w:pPr>
        <w:pStyle w:val="Paragraph"/>
        <w:numPr>
          <w:ilvl w:val="0"/>
          <w:numId w:val="0"/>
        </w:numPr>
        <w:tabs>
          <w:tab w:val="left" w:pos="567"/>
        </w:tabs>
        <w:rPr>
          <w:szCs w:val="24"/>
        </w:rPr>
      </w:pPr>
      <w:r w:rsidRPr="009D446B">
        <w:rPr>
          <w:szCs w:val="24"/>
        </w:rPr>
        <w:t xml:space="preserve">While it </w:t>
      </w:r>
      <w:r>
        <w:rPr>
          <w:szCs w:val="24"/>
        </w:rPr>
        <w:t>is</w:t>
      </w:r>
      <w:r w:rsidRPr="009D446B">
        <w:rPr>
          <w:szCs w:val="24"/>
        </w:rPr>
        <w:t xml:space="preserve"> likely that the </w:t>
      </w:r>
      <w:r>
        <w:rPr>
          <w:szCs w:val="24"/>
        </w:rPr>
        <w:t>Fair Work Instruments</w:t>
      </w:r>
      <w:r w:rsidRPr="009D446B">
        <w:rPr>
          <w:szCs w:val="24"/>
        </w:rPr>
        <w:t xml:space="preserve"> </w:t>
      </w:r>
      <w:r>
        <w:rPr>
          <w:szCs w:val="24"/>
        </w:rPr>
        <w:t>are</w:t>
      </w:r>
      <w:r w:rsidRPr="009D446B">
        <w:rPr>
          <w:szCs w:val="24"/>
        </w:rPr>
        <w:t xml:space="preserve"> </w:t>
      </w:r>
      <w:r>
        <w:rPr>
          <w:szCs w:val="24"/>
        </w:rPr>
        <w:t xml:space="preserve">already </w:t>
      </w:r>
      <w:r w:rsidRPr="009D446B">
        <w:rPr>
          <w:szCs w:val="24"/>
        </w:rPr>
        <w:t xml:space="preserve">exempt from </w:t>
      </w:r>
      <w:proofErr w:type="spellStart"/>
      <w:r w:rsidRPr="009D446B">
        <w:rPr>
          <w:szCs w:val="24"/>
        </w:rPr>
        <w:t>sunsetting</w:t>
      </w:r>
      <w:proofErr w:type="spellEnd"/>
      <w:r w:rsidRPr="009D446B">
        <w:rPr>
          <w:szCs w:val="24"/>
        </w:rPr>
        <w:t xml:space="preserve"> under </w:t>
      </w:r>
      <w:r w:rsidR="00F66514">
        <w:rPr>
          <w:szCs w:val="24"/>
        </w:rPr>
        <w:t xml:space="preserve">the legislated class exemption set out in </w:t>
      </w:r>
      <w:r w:rsidRPr="009D446B">
        <w:rPr>
          <w:szCs w:val="24"/>
        </w:rPr>
        <w:t>subsection 54(1) of the Legislation Act, specific exemptions</w:t>
      </w:r>
      <w:r>
        <w:rPr>
          <w:szCs w:val="24"/>
        </w:rPr>
        <w:t xml:space="preserve"> for the instruments are included </w:t>
      </w:r>
      <w:r w:rsidRPr="009D446B">
        <w:rPr>
          <w:szCs w:val="24"/>
        </w:rPr>
        <w:t xml:space="preserve">in the </w:t>
      </w:r>
      <w:r w:rsidR="007957BD">
        <w:rPr>
          <w:szCs w:val="24"/>
        </w:rPr>
        <w:t>Principal Regulations</w:t>
      </w:r>
      <w:r w:rsidRPr="009D446B">
        <w:rPr>
          <w:szCs w:val="24"/>
        </w:rPr>
        <w:t xml:space="preserve"> in order to provide greater certainty. </w:t>
      </w:r>
    </w:p>
    <w:p w14:paraId="6EE4864B" w14:textId="476C190F" w:rsidR="00602FB4" w:rsidRPr="003F0F1B" w:rsidRDefault="00602FB4" w:rsidP="00602FB4">
      <w:pPr>
        <w:pStyle w:val="Paragraph"/>
        <w:numPr>
          <w:ilvl w:val="0"/>
          <w:numId w:val="0"/>
        </w:numPr>
        <w:tabs>
          <w:tab w:val="left" w:pos="567"/>
        </w:tabs>
      </w:pPr>
      <w:r>
        <w:rPr>
          <w:szCs w:val="24"/>
        </w:rPr>
        <w:t>New table item 27A provide</w:t>
      </w:r>
      <w:r w:rsidR="002D3A17">
        <w:rPr>
          <w:szCs w:val="24"/>
        </w:rPr>
        <w:t>s</w:t>
      </w:r>
      <w:r>
        <w:rPr>
          <w:szCs w:val="24"/>
        </w:rPr>
        <w:t xml:space="preserve"> an exemption from </w:t>
      </w:r>
      <w:proofErr w:type="spellStart"/>
      <w:r>
        <w:rPr>
          <w:szCs w:val="24"/>
        </w:rPr>
        <w:t>sunsetting</w:t>
      </w:r>
      <w:proofErr w:type="spellEnd"/>
      <w:r>
        <w:rPr>
          <w:szCs w:val="24"/>
        </w:rPr>
        <w:t xml:space="preserve"> for regulations made under </w:t>
      </w:r>
      <w:r w:rsidRPr="00A622C1">
        <w:t xml:space="preserve">the </w:t>
      </w:r>
      <w:r w:rsidRPr="00A622C1">
        <w:rPr>
          <w:i/>
        </w:rPr>
        <w:t>Fair</w:t>
      </w:r>
      <w:r>
        <w:rPr>
          <w:i/>
        </w:rPr>
        <w:t> </w:t>
      </w:r>
      <w:r w:rsidRPr="00A622C1">
        <w:rPr>
          <w:i/>
        </w:rPr>
        <w:t>Work (Registered Organisations) Act 2009</w:t>
      </w:r>
      <w:r>
        <w:t xml:space="preserve"> (the Registered Organisations Act). </w:t>
      </w:r>
    </w:p>
    <w:p w14:paraId="5000E53B" w14:textId="77777777" w:rsidR="00602FB4" w:rsidRPr="007674FE" w:rsidRDefault="00602FB4" w:rsidP="00602FB4">
      <w:pPr>
        <w:pStyle w:val="Paragraph"/>
        <w:tabs>
          <w:tab w:val="left" w:pos="567"/>
        </w:tabs>
        <w:rPr>
          <w:szCs w:val="24"/>
        </w:rPr>
      </w:pPr>
      <w:r>
        <w:rPr>
          <w:szCs w:val="24"/>
        </w:rPr>
        <w:t xml:space="preserve">Regulations made under the Registered Organisations Act </w:t>
      </w:r>
      <w:r w:rsidRPr="007674FE">
        <w:rPr>
          <w:szCs w:val="24"/>
        </w:rPr>
        <w:t>form part of the national workplace relations system, underpinned</w:t>
      </w:r>
      <w:r>
        <w:rPr>
          <w:szCs w:val="24"/>
        </w:rPr>
        <w:t xml:space="preserve"> by the National Workplace IGA. </w:t>
      </w:r>
    </w:p>
    <w:p w14:paraId="4D66E2B9" w14:textId="77777777" w:rsidR="00602FB4" w:rsidRPr="007674FE" w:rsidRDefault="00602FB4" w:rsidP="00602FB4">
      <w:pPr>
        <w:pStyle w:val="Paragraph"/>
        <w:tabs>
          <w:tab w:val="left" w:pos="567"/>
        </w:tabs>
        <w:rPr>
          <w:szCs w:val="24"/>
        </w:rPr>
      </w:pPr>
      <w:r w:rsidRPr="007674FE">
        <w:rPr>
          <w:szCs w:val="24"/>
        </w:rPr>
        <w:t xml:space="preserve">The National Workplace IGA places obligations on the Commonwealth in relation to </w:t>
      </w:r>
      <w:r>
        <w:rPr>
          <w:szCs w:val="24"/>
        </w:rPr>
        <w:t>regulations made under the Registered Organisations Act</w:t>
      </w:r>
      <w:r w:rsidRPr="007674FE">
        <w:rPr>
          <w:szCs w:val="24"/>
        </w:rPr>
        <w:t xml:space="preserve">. Under clause 2.11 of the National Workplace IGA, the Commonwealth must consult with the referring states and the territories on proposed amendments to ‘Fair Work legislation’, which is defined in clause 3.6 of the agreement </w:t>
      </w:r>
      <w:r>
        <w:rPr>
          <w:szCs w:val="24"/>
        </w:rPr>
        <w:t>to include</w:t>
      </w:r>
      <w:r w:rsidRPr="007674FE">
        <w:rPr>
          <w:szCs w:val="24"/>
        </w:rPr>
        <w:t xml:space="preserve"> </w:t>
      </w:r>
      <w:r>
        <w:rPr>
          <w:szCs w:val="24"/>
        </w:rPr>
        <w:t xml:space="preserve">regulations made under the Registered Organisations Act. </w:t>
      </w:r>
    </w:p>
    <w:p w14:paraId="7F14A852" w14:textId="77777777" w:rsidR="00602FB4" w:rsidRDefault="00602FB4" w:rsidP="00602FB4">
      <w:pPr>
        <w:pStyle w:val="Paragraph"/>
        <w:tabs>
          <w:tab w:val="left" w:pos="567"/>
        </w:tabs>
        <w:rPr>
          <w:szCs w:val="24"/>
        </w:rPr>
      </w:pPr>
      <w:r w:rsidRPr="007674FE">
        <w:rPr>
          <w:szCs w:val="24"/>
        </w:rPr>
        <w:lastRenderedPageBreak/>
        <w:t xml:space="preserve">As such, </w:t>
      </w:r>
      <w:r>
        <w:rPr>
          <w:szCs w:val="24"/>
        </w:rPr>
        <w:t>regulations made under that Act</w:t>
      </w:r>
      <w:r w:rsidRPr="007674FE">
        <w:rPr>
          <w:szCs w:val="24"/>
        </w:rPr>
        <w:t xml:space="preserve"> form part of an intergovernmental scheme and it</w:t>
      </w:r>
      <w:r>
        <w:rPr>
          <w:szCs w:val="24"/>
        </w:rPr>
        <w:t xml:space="preserve"> is appropriate to exempt them from </w:t>
      </w:r>
      <w:proofErr w:type="spellStart"/>
      <w:r>
        <w:rPr>
          <w:szCs w:val="24"/>
        </w:rPr>
        <w:t>sunsetting</w:t>
      </w:r>
      <w:proofErr w:type="spellEnd"/>
      <w:r>
        <w:rPr>
          <w:szCs w:val="24"/>
        </w:rPr>
        <w:t xml:space="preserve">. </w:t>
      </w:r>
      <w:r w:rsidRPr="007674FE">
        <w:rPr>
          <w:szCs w:val="24"/>
        </w:rPr>
        <w:t xml:space="preserve"> </w:t>
      </w:r>
    </w:p>
    <w:p w14:paraId="568A5F2D" w14:textId="08CF73F5" w:rsidR="00602FB4" w:rsidRDefault="00602FB4" w:rsidP="00602FB4">
      <w:pPr>
        <w:pStyle w:val="Paragraph"/>
        <w:numPr>
          <w:ilvl w:val="0"/>
          <w:numId w:val="0"/>
        </w:numPr>
        <w:tabs>
          <w:tab w:val="left" w:pos="567"/>
        </w:tabs>
        <w:rPr>
          <w:szCs w:val="24"/>
        </w:rPr>
      </w:pPr>
      <w:r w:rsidRPr="009D446B">
        <w:rPr>
          <w:szCs w:val="24"/>
        </w:rPr>
        <w:t xml:space="preserve">While it </w:t>
      </w:r>
      <w:r>
        <w:rPr>
          <w:szCs w:val="24"/>
        </w:rPr>
        <w:t>is</w:t>
      </w:r>
      <w:r w:rsidRPr="009D446B">
        <w:rPr>
          <w:szCs w:val="24"/>
        </w:rPr>
        <w:t xml:space="preserve"> likely that </w:t>
      </w:r>
      <w:r>
        <w:rPr>
          <w:szCs w:val="24"/>
        </w:rPr>
        <w:t>such regulations</w:t>
      </w:r>
      <w:r w:rsidRPr="009D446B">
        <w:rPr>
          <w:szCs w:val="24"/>
        </w:rPr>
        <w:t xml:space="preserve"> </w:t>
      </w:r>
      <w:r>
        <w:rPr>
          <w:szCs w:val="24"/>
        </w:rPr>
        <w:t>are already</w:t>
      </w:r>
      <w:r w:rsidRPr="009D446B">
        <w:rPr>
          <w:szCs w:val="24"/>
        </w:rPr>
        <w:t xml:space="preserve"> exempt from </w:t>
      </w:r>
      <w:proofErr w:type="spellStart"/>
      <w:r w:rsidRPr="009D446B">
        <w:rPr>
          <w:szCs w:val="24"/>
        </w:rPr>
        <w:t>sunsetting</w:t>
      </w:r>
      <w:proofErr w:type="spellEnd"/>
      <w:r w:rsidRPr="009D446B">
        <w:rPr>
          <w:szCs w:val="24"/>
        </w:rPr>
        <w:t xml:space="preserve"> under</w:t>
      </w:r>
      <w:r w:rsidR="0000342B" w:rsidRPr="0000342B">
        <w:rPr>
          <w:szCs w:val="24"/>
        </w:rPr>
        <w:t xml:space="preserve"> </w:t>
      </w:r>
      <w:r w:rsidR="0000342B">
        <w:rPr>
          <w:szCs w:val="24"/>
        </w:rPr>
        <w:t>the legislated class exemption set out in</w:t>
      </w:r>
      <w:r w:rsidRPr="009D446B">
        <w:rPr>
          <w:szCs w:val="24"/>
        </w:rPr>
        <w:t xml:space="preserve"> subsection 54(1) of the Legislation Act</w:t>
      </w:r>
      <w:r>
        <w:rPr>
          <w:szCs w:val="24"/>
        </w:rPr>
        <w:t>,</w:t>
      </w:r>
      <w:r w:rsidRPr="00375F31">
        <w:rPr>
          <w:szCs w:val="24"/>
        </w:rPr>
        <w:t xml:space="preserve"> </w:t>
      </w:r>
      <w:r w:rsidR="002D3A17">
        <w:rPr>
          <w:szCs w:val="24"/>
        </w:rPr>
        <w:t xml:space="preserve">a specific exemption was included </w:t>
      </w:r>
      <w:r w:rsidR="002D3A17" w:rsidRPr="009D446B">
        <w:rPr>
          <w:szCs w:val="24"/>
        </w:rPr>
        <w:t xml:space="preserve">in the </w:t>
      </w:r>
      <w:r w:rsidR="002D3A17">
        <w:rPr>
          <w:szCs w:val="24"/>
        </w:rPr>
        <w:t>Principal Regulations</w:t>
      </w:r>
      <w:r w:rsidR="002D3A17" w:rsidRPr="009D446B">
        <w:rPr>
          <w:szCs w:val="24"/>
        </w:rPr>
        <w:t xml:space="preserve"> in order to provide greater certainty.</w:t>
      </w:r>
    </w:p>
    <w:p w14:paraId="15723843" w14:textId="6572125B" w:rsidR="00602FB4" w:rsidRPr="00840BAF" w:rsidRDefault="00602FB4" w:rsidP="00602FB4">
      <w:pPr>
        <w:pStyle w:val="Paragraph"/>
        <w:numPr>
          <w:ilvl w:val="0"/>
          <w:numId w:val="0"/>
        </w:numPr>
        <w:tabs>
          <w:tab w:val="left" w:pos="567"/>
        </w:tabs>
      </w:pPr>
      <w:r>
        <w:t xml:space="preserve">To ensure consistency across the Fair Work scheme legislation, new </w:t>
      </w:r>
      <w:r w:rsidR="00254100">
        <w:t xml:space="preserve">table </w:t>
      </w:r>
      <w:r>
        <w:t>item 27B</w:t>
      </w:r>
      <w:r w:rsidR="0000342B">
        <w:t xml:space="preserve"> </w:t>
      </w:r>
      <w:r w:rsidR="007260A1">
        <w:t>provides</w:t>
      </w:r>
      <w:r>
        <w:t xml:space="preserve"> </w:t>
      </w:r>
      <w:r w:rsidR="0000342B">
        <w:t xml:space="preserve">an </w:t>
      </w:r>
      <w:r>
        <w:t xml:space="preserve">exemption from </w:t>
      </w:r>
      <w:proofErr w:type="spellStart"/>
      <w:r>
        <w:t>sunsetting</w:t>
      </w:r>
      <w:proofErr w:type="spellEnd"/>
      <w:r>
        <w:t xml:space="preserve"> for regulations made under the </w:t>
      </w:r>
      <w:r>
        <w:rPr>
          <w:i/>
        </w:rPr>
        <w:t>Fair Work (Transitional Provisions and Consequential Amendments) Act 2009</w:t>
      </w:r>
      <w:r>
        <w:t xml:space="preserve">. </w:t>
      </w:r>
    </w:p>
    <w:p w14:paraId="59E51FEE" w14:textId="4107D763" w:rsidR="00602FB4" w:rsidRPr="004D09BB" w:rsidRDefault="00602FB4" w:rsidP="00602FB4">
      <w:pPr>
        <w:spacing w:before="240" w:after="0" w:line="240" w:lineRule="auto"/>
        <w:rPr>
          <w:rFonts w:ascii="Times New Roman" w:eastAsia="Calibri" w:hAnsi="Times New Roman" w:cs="Times New Roman"/>
          <w:sz w:val="24"/>
          <w:szCs w:val="24"/>
          <w:u w:val="single"/>
        </w:rPr>
      </w:pPr>
      <w:r w:rsidRPr="004D09BB">
        <w:rPr>
          <w:rFonts w:ascii="Times New Roman" w:eastAsia="Calibri" w:hAnsi="Times New Roman" w:cs="Times New Roman"/>
          <w:sz w:val="24"/>
          <w:szCs w:val="24"/>
          <w:u w:val="single"/>
        </w:rPr>
        <w:t xml:space="preserve">Item </w:t>
      </w:r>
      <w:r w:rsidR="00F02752">
        <w:rPr>
          <w:rFonts w:ascii="Times New Roman" w:eastAsia="Calibri" w:hAnsi="Times New Roman" w:cs="Times New Roman"/>
          <w:sz w:val="24"/>
          <w:szCs w:val="24"/>
          <w:u w:val="single"/>
        </w:rPr>
        <w:t>3</w:t>
      </w:r>
      <w:r w:rsidRPr="004D09BB">
        <w:rPr>
          <w:rFonts w:ascii="Times New Roman" w:eastAsia="Calibri" w:hAnsi="Times New Roman" w:cs="Times New Roman"/>
          <w:sz w:val="24"/>
          <w:szCs w:val="24"/>
          <w:u w:val="single"/>
        </w:rPr>
        <w:t>: Section 1</w:t>
      </w:r>
      <w:r>
        <w:rPr>
          <w:rFonts w:ascii="Times New Roman" w:eastAsia="Calibri" w:hAnsi="Times New Roman" w:cs="Times New Roman"/>
          <w:sz w:val="24"/>
          <w:szCs w:val="24"/>
          <w:u w:val="single"/>
        </w:rPr>
        <w:t>2</w:t>
      </w:r>
      <w:r w:rsidRPr="004D09BB">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at the end of the table</w:t>
      </w:r>
      <w:r w:rsidRPr="004D09BB">
        <w:rPr>
          <w:rFonts w:ascii="Times New Roman" w:eastAsia="Calibri" w:hAnsi="Times New Roman" w:cs="Times New Roman"/>
          <w:sz w:val="24"/>
          <w:szCs w:val="24"/>
          <w:u w:val="single"/>
        </w:rPr>
        <w:t>)</w:t>
      </w:r>
    </w:p>
    <w:p w14:paraId="4606D323" w14:textId="762A38D2" w:rsidR="00602FB4" w:rsidRPr="00840BAF" w:rsidRDefault="00602FB4" w:rsidP="00602FB4">
      <w:pPr>
        <w:pStyle w:val="Paragraph"/>
        <w:numPr>
          <w:ilvl w:val="0"/>
          <w:numId w:val="0"/>
        </w:numPr>
        <w:tabs>
          <w:tab w:val="left" w:pos="567"/>
        </w:tabs>
        <w:rPr>
          <w:szCs w:val="24"/>
        </w:rPr>
      </w:pPr>
      <w:r w:rsidRPr="00E32AD7">
        <w:rPr>
          <w:szCs w:val="24"/>
        </w:rPr>
        <w:t>Item 3</w:t>
      </w:r>
      <w:r w:rsidRPr="00471C79">
        <w:rPr>
          <w:szCs w:val="24"/>
        </w:rPr>
        <w:t xml:space="preserve"> </w:t>
      </w:r>
      <w:r>
        <w:rPr>
          <w:szCs w:val="24"/>
        </w:rPr>
        <w:t>insert</w:t>
      </w:r>
      <w:r w:rsidR="004445F7">
        <w:rPr>
          <w:szCs w:val="24"/>
        </w:rPr>
        <w:t>s</w:t>
      </w:r>
      <w:r w:rsidRPr="007D698E">
        <w:rPr>
          <w:szCs w:val="24"/>
        </w:rPr>
        <w:t xml:space="preserve"> new </w:t>
      </w:r>
      <w:r>
        <w:rPr>
          <w:szCs w:val="24"/>
        </w:rPr>
        <w:t xml:space="preserve">table </w:t>
      </w:r>
      <w:r w:rsidRPr="007D698E">
        <w:rPr>
          <w:szCs w:val="24"/>
        </w:rPr>
        <w:t xml:space="preserve">items </w:t>
      </w:r>
      <w:r>
        <w:rPr>
          <w:szCs w:val="24"/>
        </w:rPr>
        <w:t xml:space="preserve">68 and 69 </w:t>
      </w:r>
      <w:r w:rsidRPr="007D698E">
        <w:rPr>
          <w:szCs w:val="24"/>
        </w:rPr>
        <w:t xml:space="preserve">into the table </w:t>
      </w:r>
      <w:r>
        <w:rPr>
          <w:szCs w:val="24"/>
        </w:rPr>
        <w:t>at</w:t>
      </w:r>
      <w:r w:rsidRPr="007D698E">
        <w:rPr>
          <w:szCs w:val="24"/>
        </w:rPr>
        <w:t xml:space="preserve"> section</w:t>
      </w:r>
      <w:r>
        <w:rPr>
          <w:szCs w:val="24"/>
        </w:rPr>
        <w:t> </w:t>
      </w:r>
      <w:r w:rsidRPr="007D698E">
        <w:rPr>
          <w:szCs w:val="24"/>
        </w:rPr>
        <w:t xml:space="preserve">12 of the </w:t>
      </w:r>
      <w:r>
        <w:rPr>
          <w:szCs w:val="24"/>
        </w:rPr>
        <w:t>Principal</w:t>
      </w:r>
      <w:r w:rsidR="004445F7">
        <w:rPr>
          <w:szCs w:val="24"/>
        </w:rPr>
        <w:t> </w:t>
      </w:r>
      <w:r>
        <w:rPr>
          <w:szCs w:val="24"/>
        </w:rPr>
        <w:t>Regulation</w:t>
      </w:r>
      <w:r w:rsidR="004445F7">
        <w:rPr>
          <w:szCs w:val="24"/>
        </w:rPr>
        <w:t>s</w:t>
      </w:r>
      <w:r>
        <w:rPr>
          <w:szCs w:val="24"/>
        </w:rPr>
        <w:t>.</w:t>
      </w:r>
    </w:p>
    <w:p w14:paraId="0EDED237" w14:textId="7F698B5E" w:rsidR="00602FB4" w:rsidRDefault="00602FB4" w:rsidP="00602FB4">
      <w:pPr>
        <w:pStyle w:val="Paragraph"/>
        <w:numPr>
          <w:ilvl w:val="0"/>
          <w:numId w:val="0"/>
        </w:numPr>
        <w:tabs>
          <w:tab w:val="left" w:pos="567"/>
        </w:tabs>
        <w:rPr>
          <w:szCs w:val="24"/>
        </w:rPr>
      </w:pPr>
      <w:r>
        <w:rPr>
          <w:szCs w:val="24"/>
        </w:rPr>
        <w:t>New item</w:t>
      </w:r>
      <w:r w:rsidR="004445F7">
        <w:rPr>
          <w:szCs w:val="24"/>
        </w:rPr>
        <w:t xml:space="preserve"> </w:t>
      </w:r>
      <w:r>
        <w:rPr>
          <w:szCs w:val="24"/>
        </w:rPr>
        <w:t>68 provide</w:t>
      </w:r>
      <w:r w:rsidR="00C11080">
        <w:rPr>
          <w:szCs w:val="24"/>
        </w:rPr>
        <w:t>s</w:t>
      </w:r>
      <w:r>
        <w:rPr>
          <w:szCs w:val="24"/>
        </w:rPr>
        <w:t xml:space="preserve"> exemptions from </w:t>
      </w:r>
      <w:proofErr w:type="spellStart"/>
      <w:r>
        <w:rPr>
          <w:szCs w:val="24"/>
        </w:rPr>
        <w:t>sunsetting</w:t>
      </w:r>
      <w:proofErr w:type="spellEnd"/>
      <w:r>
        <w:rPr>
          <w:szCs w:val="24"/>
        </w:rPr>
        <w:t xml:space="preserve"> for:</w:t>
      </w:r>
    </w:p>
    <w:p w14:paraId="15333C0F" w14:textId="77777777" w:rsidR="00602FB4" w:rsidRDefault="00602FB4" w:rsidP="00602FB4">
      <w:pPr>
        <w:pStyle w:val="Paragraph"/>
        <w:numPr>
          <w:ilvl w:val="1"/>
          <w:numId w:val="22"/>
        </w:numPr>
        <w:tabs>
          <w:tab w:val="left" w:pos="284"/>
        </w:tabs>
        <w:rPr>
          <w:szCs w:val="24"/>
        </w:rPr>
      </w:pPr>
      <w:r>
        <w:rPr>
          <w:szCs w:val="24"/>
        </w:rPr>
        <w:t xml:space="preserve">a regulation made under the </w:t>
      </w:r>
      <w:r>
        <w:rPr>
          <w:i/>
          <w:szCs w:val="24"/>
        </w:rPr>
        <w:t>Work Health and Safety Act 2011</w:t>
      </w:r>
      <w:r>
        <w:rPr>
          <w:szCs w:val="24"/>
        </w:rPr>
        <w:t xml:space="preserve"> (WHS Act), and</w:t>
      </w:r>
    </w:p>
    <w:p w14:paraId="6993C824" w14:textId="3BD60ACF" w:rsidR="00602FB4" w:rsidRDefault="00602FB4" w:rsidP="00602FB4">
      <w:pPr>
        <w:pStyle w:val="Paragraph"/>
        <w:numPr>
          <w:ilvl w:val="1"/>
          <w:numId w:val="22"/>
        </w:numPr>
        <w:tabs>
          <w:tab w:val="left" w:pos="567"/>
        </w:tabs>
        <w:rPr>
          <w:szCs w:val="24"/>
        </w:rPr>
      </w:pPr>
      <w:r>
        <w:rPr>
          <w:szCs w:val="24"/>
        </w:rPr>
        <w:tab/>
      </w:r>
      <w:proofErr w:type="gramStart"/>
      <w:r>
        <w:rPr>
          <w:szCs w:val="24"/>
        </w:rPr>
        <w:t>an</w:t>
      </w:r>
      <w:proofErr w:type="gramEnd"/>
      <w:r>
        <w:rPr>
          <w:szCs w:val="24"/>
        </w:rPr>
        <w:t xml:space="preserve"> instrument </w:t>
      </w:r>
      <w:r w:rsidR="0000342B">
        <w:rPr>
          <w:szCs w:val="24"/>
        </w:rPr>
        <w:t xml:space="preserve">(code of practice) </w:t>
      </w:r>
      <w:r>
        <w:rPr>
          <w:szCs w:val="24"/>
        </w:rPr>
        <w:t xml:space="preserve">made under </w:t>
      </w:r>
      <w:r w:rsidR="004445F7">
        <w:rPr>
          <w:szCs w:val="24"/>
        </w:rPr>
        <w:t>sub</w:t>
      </w:r>
      <w:r>
        <w:rPr>
          <w:szCs w:val="24"/>
        </w:rPr>
        <w:t xml:space="preserve">section 274(1) of that Act. </w:t>
      </w:r>
    </w:p>
    <w:p w14:paraId="6571EBDC" w14:textId="21344C28" w:rsidR="00602FB4" w:rsidRDefault="00602FB4" w:rsidP="00602FB4">
      <w:pPr>
        <w:pStyle w:val="Paragraph"/>
        <w:numPr>
          <w:ilvl w:val="0"/>
          <w:numId w:val="0"/>
        </w:numPr>
        <w:tabs>
          <w:tab w:val="left" w:pos="567"/>
        </w:tabs>
        <w:rPr>
          <w:szCs w:val="24"/>
        </w:rPr>
      </w:pPr>
      <w:r>
        <w:rPr>
          <w:szCs w:val="24"/>
        </w:rPr>
        <w:t>New item 69 provide</w:t>
      </w:r>
      <w:r w:rsidR="00C11080">
        <w:rPr>
          <w:szCs w:val="24"/>
        </w:rPr>
        <w:t>s</w:t>
      </w:r>
      <w:r>
        <w:rPr>
          <w:szCs w:val="24"/>
        </w:rPr>
        <w:t xml:space="preserve"> exemptions from </w:t>
      </w:r>
      <w:proofErr w:type="spellStart"/>
      <w:r>
        <w:rPr>
          <w:szCs w:val="24"/>
        </w:rPr>
        <w:t>sunsetting</w:t>
      </w:r>
      <w:proofErr w:type="spellEnd"/>
      <w:r>
        <w:rPr>
          <w:szCs w:val="24"/>
        </w:rPr>
        <w:t xml:space="preserve"> for regulations</w:t>
      </w:r>
      <w:r w:rsidRPr="00275017">
        <w:rPr>
          <w:szCs w:val="24"/>
        </w:rPr>
        <w:t xml:space="preserve"> made under the </w:t>
      </w:r>
      <w:r w:rsidRPr="00275017">
        <w:rPr>
          <w:i/>
          <w:szCs w:val="24"/>
        </w:rPr>
        <w:t>Work</w:t>
      </w:r>
      <w:r>
        <w:rPr>
          <w:i/>
          <w:szCs w:val="24"/>
        </w:rPr>
        <w:t> </w:t>
      </w:r>
      <w:r w:rsidRPr="00275017">
        <w:rPr>
          <w:i/>
          <w:szCs w:val="24"/>
        </w:rPr>
        <w:t>Health and Safety (Transitional and Consequential Provisions) Act 2011</w:t>
      </w:r>
      <w:r w:rsidRPr="00275017">
        <w:rPr>
          <w:szCs w:val="24"/>
        </w:rPr>
        <w:t>.</w:t>
      </w:r>
      <w:r w:rsidRPr="0053628C">
        <w:rPr>
          <w:szCs w:val="24"/>
        </w:rPr>
        <w:t xml:space="preserve"> </w:t>
      </w:r>
    </w:p>
    <w:p w14:paraId="5E724E82" w14:textId="1989533D" w:rsidR="00602FB4" w:rsidRPr="00275017" w:rsidRDefault="00602FB4" w:rsidP="00602FB4">
      <w:pPr>
        <w:pStyle w:val="Paragraph"/>
        <w:numPr>
          <w:ilvl w:val="0"/>
          <w:numId w:val="0"/>
        </w:numPr>
        <w:tabs>
          <w:tab w:val="left" w:pos="567"/>
        </w:tabs>
        <w:rPr>
          <w:szCs w:val="24"/>
        </w:rPr>
      </w:pPr>
      <w:r>
        <w:rPr>
          <w:szCs w:val="24"/>
        </w:rPr>
        <w:t>Together, these three categories of instrument</w:t>
      </w:r>
      <w:r w:rsidR="00C11080">
        <w:rPr>
          <w:szCs w:val="24"/>
        </w:rPr>
        <w:t>s</w:t>
      </w:r>
      <w:r>
        <w:rPr>
          <w:szCs w:val="24"/>
        </w:rPr>
        <w:t xml:space="preserve"> are referred to as the WHS Instruments. </w:t>
      </w:r>
    </w:p>
    <w:p w14:paraId="623AA72B" w14:textId="1AF246B5" w:rsidR="00602FB4" w:rsidRDefault="0000342B" w:rsidP="00602FB4">
      <w:pPr>
        <w:pStyle w:val="Paragraph"/>
        <w:numPr>
          <w:ilvl w:val="0"/>
          <w:numId w:val="0"/>
        </w:numPr>
        <w:tabs>
          <w:tab w:val="left" w:pos="567"/>
        </w:tabs>
        <w:rPr>
          <w:szCs w:val="24"/>
        </w:rPr>
      </w:pPr>
      <w:r>
        <w:rPr>
          <w:szCs w:val="24"/>
        </w:rPr>
        <w:t>These exempted Regulations and instruments form</w:t>
      </w:r>
      <w:r w:rsidR="00602FB4">
        <w:rPr>
          <w:szCs w:val="24"/>
        </w:rPr>
        <w:t xml:space="preserve"> part of </w:t>
      </w:r>
      <w:r>
        <w:rPr>
          <w:szCs w:val="24"/>
        </w:rPr>
        <w:t xml:space="preserve">the </w:t>
      </w:r>
      <w:r w:rsidR="00602FB4">
        <w:rPr>
          <w:szCs w:val="24"/>
        </w:rPr>
        <w:t xml:space="preserve">intergovernmental scheme for </w:t>
      </w:r>
      <w:r>
        <w:rPr>
          <w:szCs w:val="24"/>
        </w:rPr>
        <w:t xml:space="preserve">a </w:t>
      </w:r>
      <w:r w:rsidR="00602FB4">
        <w:rPr>
          <w:szCs w:val="24"/>
        </w:rPr>
        <w:t>nationally consistent framework to secure the health and safety of workers and workplaces. They are</w:t>
      </w:r>
      <w:r w:rsidR="00602FB4" w:rsidRPr="00E61FF1">
        <w:rPr>
          <w:szCs w:val="24"/>
        </w:rPr>
        <w:t xml:space="preserve"> part of a system of nationally harmoni</w:t>
      </w:r>
      <w:r w:rsidR="00602FB4">
        <w:rPr>
          <w:szCs w:val="24"/>
        </w:rPr>
        <w:t>sed work health and safety laws,</w:t>
      </w:r>
      <w:r w:rsidR="00602FB4" w:rsidRPr="00E61FF1">
        <w:rPr>
          <w:szCs w:val="24"/>
        </w:rPr>
        <w:t xml:space="preserve"> based on model laws developed by Safe Work Australia</w:t>
      </w:r>
      <w:r w:rsidR="00602FB4" w:rsidRPr="006F1533">
        <w:rPr>
          <w:szCs w:val="24"/>
        </w:rPr>
        <w:t>.</w:t>
      </w:r>
      <w:r w:rsidR="00602FB4" w:rsidRPr="00E61FF1">
        <w:rPr>
          <w:szCs w:val="24"/>
        </w:rPr>
        <w:t xml:space="preserve"> </w:t>
      </w:r>
    </w:p>
    <w:p w14:paraId="7F2C0392" w14:textId="77777777" w:rsidR="00602FB4" w:rsidRPr="00E61FF1" w:rsidRDefault="00602FB4" w:rsidP="00602FB4">
      <w:pPr>
        <w:pStyle w:val="Paragraph"/>
        <w:numPr>
          <w:ilvl w:val="0"/>
          <w:numId w:val="0"/>
        </w:numPr>
        <w:tabs>
          <w:tab w:val="left" w:pos="567"/>
        </w:tabs>
        <w:rPr>
          <w:szCs w:val="24"/>
        </w:rPr>
      </w:pPr>
      <w:r>
        <w:rPr>
          <w:szCs w:val="24"/>
        </w:rPr>
        <w:t xml:space="preserve">The </w:t>
      </w:r>
      <w:r w:rsidRPr="00E61FF1">
        <w:rPr>
          <w:szCs w:val="24"/>
        </w:rPr>
        <w:t xml:space="preserve">Commonwealth and all states and territories formally committed to the harmonisation of work health and safety laws by signing the </w:t>
      </w:r>
      <w:r w:rsidRPr="00323B74">
        <w:rPr>
          <w:i/>
          <w:szCs w:val="24"/>
        </w:rPr>
        <w:t>Inter-Governmental Agreement for Regulatory and Operational Reform in Occupational Health and Safety</w:t>
      </w:r>
      <w:r w:rsidRPr="00E61FF1">
        <w:rPr>
          <w:szCs w:val="24"/>
        </w:rPr>
        <w:t xml:space="preserve">. As such, the </w:t>
      </w:r>
      <w:r>
        <w:rPr>
          <w:szCs w:val="24"/>
        </w:rPr>
        <w:t xml:space="preserve">WHS </w:t>
      </w:r>
      <w:r w:rsidRPr="00E61FF1">
        <w:rPr>
          <w:szCs w:val="24"/>
        </w:rPr>
        <w:t>instruments form part of an intergovernmental scheme</w:t>
      </w:r>
      <w:r>
        <w:rPr>
          <w:szCs w:val="24"/>
        </w:rPr>
        <w:t xml:space="preserve"> and it is appropriate to exempt them from </w:t>
      </w:r>
      <w:proofErr w:type="spellStart"/>
      <w:r>
        <w:rPr>
          <w:szCs w:val="24"/>
        </w:rPr>
        <w:t>sunsetting</w:t>
      </w:r>
      <w:proofErr w:type="spellEnd"/>
      <w:r>
        <w:rPr>
          <w:szCs w:val="24"/>
        </w:rPr>
        <w:t xml:space="preserve">. </w:t>
      </w:r>
    </w:p>
    <w:p w14:paraId="5691E7E8" w14:textId="4FDEC271" w:rsidR="00602FB4" w:rsidRPr="00E32AD7" w:rsidRDefault="00602FB4" w:rsidP="00602FB4">
      <w:pPr>
        <w:pStyle w:val="Paragraph"/>
        <w:tabs>
          <w:tab w:val="left" w:pos="567"/>
        </w:tabs>
        <w:rPr>
          <w:szCs w:val="24"/>
        </w:rPr>
      </w:pPr>
      <w:r w:rsidRPr="00E61FF1">
        <w:rPr>
          <w:szCs w:val="24"/>
        </w:rPr>
        <w:t xml:space="preserve">While it </w:t>
      </w:r>
      <w:r>
        <w:rPr>
          <w:szCs w:val="24"/>
        </w:rPr>
        <w:t xml:space="preserve">is </w:t>
      </w:r>
      <w:r w:rsidRPr="00E61FF1">
        <w:rPr>
          <w:szCs w:val="24"/>
        </w:rPr>
        <w:t xml:space="preserve">likely that the </w:t>
      </w:r>
      <w:r>
        <w:rPr>
          <w:szCs w:val="24"/>
        </w:rPr>
        <w:t>WHS instruments are</w:t>
      </w:r>
      <w:r w:rsidRPr="00E61FF1">
        <w:rPr>
          <w:szCs w:val="24"/>
        </w:rPr>
        <w:t xml:space="preserve"> </w:t>
      </w:r>
      <w:r>
        <w:rPr>
          <w:szCs w:val="24"/>
        </w:rPr>
        <w:t xml:space="preserve">already </w:t>
      </w:r>
      <w:r w:rsidRPr="00E61FF1">
        <w:rPr>
          <w:szCs w:val="24"/>
        </w:rPr>
        <w:t xml:space="preserve">exempt from </w:t>
      </w:r>
      <w:proofErr w:type="spellStart"/>
      <w:r w:rsidRPr="00E61FF1">
        <w:rPr>
          <w:szCs w:val="24"/>
        </w:rPr>
        <w:t>sunsetting</w:t>
      </w:r>
      <w:proofErr w:type="spellEnd"/>
      <w:r w:rsidRPr="00E61FF1">
        <w:rPr>
          <w:szCs w:val="24"/>
        </w:rPr>
        <w:t xml:space="preserve"> under </w:t>
      </w:r>
      <w:r w:rsidR="001A345E">
        <w:rPr>
          <w:szCs w:val="24"/>
        </w:rPr>
        <w:t>the legislated class exemption set out in</w:t>
      </w:r>
      <w:r w:rsidR="001A345E" w:rsidRPr="00E61FF1">
        <w:rPr>
          <w:szCs w:val="24"/>
        </w:rPr>
        <w:t xml:space="preserve"> </w:t>
      </w:r>
      <w:r w:rsidRPr="00E61FF1">
        <w:rPr>
          <w:szCs w:val="24"/>
        </w:rPr>
        <w:t>subsection</w:t>
      </w:r>
      <w:r>
        <w:rPr>
          <w:szCs w:val="24"/>
        </w:rPr>
        <w:t> </w:t>
      </w:r>
      <w:r w:rsidRPr="00E61FF1">
        <w:rPr>
          <w:szCs w:val="24"/>
        </w:rPr>
        <w:t>54(1) of the Legislation Act</w:t>
      </w:r>
      <w:r>
        <w:rPr>
          <w:szCs w:val="24"/>
        </w:rPr>
        <w:t>,</w:t>
      </w:r>
      <w:r w:rsidRPr="00375F31">
        <w:rPr>
          <w:szCs w:val="24"/>
        </w:rPr>
        <w:t xml:space="preserve"> </w:t>
      </w:r>
      <w:r w:rsidR="005E39B4" w:rsidRPr="009D446B">
        <w:rPr>
          <w:szCs w:val="24"/>
        </w:rPr>
        <w:t>specific exemptions</w:t>
      </w:r>
      <w:r w:rsidR="005E39B4">
        <w:rPr>
          <w:szCs w:val="24"/>
        </w:rPr>
        <w:t xml:space="preserve"> for the instruments are included </w:t>
      </w:r>
      <w:r w:rsidR="005E39B4" w:rsidRPr="009D446B">
        <w:rPr>
          <w:szCs w:val="24"/>
        </w:rPr>
        <w:t xml:space="preserve">in the </w:t>
      </w:r>
      <w:r w:rsidR="005E39B4">
        <w:rPr>
          <w:szCs w:val="24"/>
        </w:rPr>
        <w:t>Principal Regulations</w:t>
      </w:r>
      <w:r w:rsidR="005E39B4" w:rsidRPr="009D446B">
        <w:rPr>
          <w:szCs w:val="24"/>
        </w:rPr>
        <w:t xml:space="preserve"> in order to provide greater certainty.</w:t>
      </w:r>
    </w:p>
    <w:p w14:paraId="702DAC71" w14:textId="77777777" w:rsidR="00CE7F2A" w:rsidRDefault="00CE7F2A">
      <w:pPr>
        <w:rPr>
          <w:rFonts w:ascii="Times New Roman" w:eastAsia="Times New Roman" w:hAnsi="Times New Roman" w:cs="Times New Roman"/>
          <w:b/>
          <w:sz w:val="28"/>
          <w:szCs w:val="28"/>
          <w:lang w:eastAsia="en-AU"/>
        </w:rPr>
      </w:pPr>
      <w:r>
        <w:rPr>
          <w:b/>
          <w:sz w:val="28"/>
          <w:szCs w:val="28"/>
        </w:rPr>
        <w:br w:type="page"/>
      </w:r>
    </w:p>
    <w:p w14:paraId="58AD8A42" w14:textId="45D7503A" w:rsidR="00F02752" w:rsidRPr="00D71100" w:rsidRDefault="00F02752" w:rsidP="00D71100">
      <w:pPr>
        <w:pStyle w:val="Paragraph"/>
        <w:tabs>
          <w:tab w:val="left" w:pos="567"/>
        </w:tabs>
        <w:jc w:val="right"/>
        <w:rPr>
          <w:b/>
          <w:sz w:val="28"/>
          <w:szCs w:val="28"/>
        </w:rPr>
      </w:pPr>
      <w:r w:rsidRPr="00D71100">
        <w:rPr>
          <w:b/>
          <w:sz w:val="28"/>
          <w:szCs w:val="28"/>
        </w:rPr>
        <w:lastRenderedPageBreak/>
        <w:t>ATTACHMENT B</w:t>
      </w:r>
    </w:p>
    <w:p w14:paraId="7991AEF0" w14:textId="149DD9F9" w:rsidR="00F02752" w:rsidRDefault="00F02752" w:rsidP="008E222A">
      <w:pPr>
        <w:pStyle w:val="Paragraph"/>
        <w:numPr>
          <w:ilvl w:val="0"/>
          <w:numId w:val="0"/>
        </w:numPr>
        <w:tabs>
          <w:tab w:val="left" w:pos="567"/>
        </w:tabs>
        <w:jc w:val="center"/>
        <w:rPr>
          <w:b/>
          <w:sz w:val="28"/>
          <w:szCs w:val="28"/>
        </w:rPr>
      </w:pPr>
      <w:r w:rsidRPr="00D71100">
        <w:rPr>
          <w:b/>
          <w:sz w:val="28"/>
          <w:szCs w:val="28"/>
        </w:rPr>
        <w:t>STATEMENT OF COMPATIBILITY WITH HUMAN RIGHTS</w:t>
      </w:r>
    </w:p>
    <w:p w14:paraId="2F41BA4E" w14:textId="77777777" w:rsidR="008E222A" w:rsidRPr="0061686B" w:rsidRDefault="008E222A" w:rsidP="008E222A">
      <w:pPr>
        <w:pStyle w:val="Paragraph"/>
        <w:tabs>
          <w:tab w:val="left" w:pos="567"/>
        </w:tabs>
        <w:jc w:val="center"/>
        <w:rPr>
          <w:bCs/>
          <w:szCs w:val="24"/>
        </w:rPr>
      </w:pPr>
      <w:r w:rsidRPr="0061686B">
        <w:rPr>
          <w:bCs/>
          <w:szCs w:val="24"/>
        </w:rPr>
        <w:t xml:space="preserve">Prepared in accordance with Part 3 of the </w:t>
      </w:r>
      <w:r w:rsidRPr="0061686B">
        <w:rPr>
          <w:bCs/>
          <w:i/>
          <w:szCs w:val="24"/>
        </w:rPr>
        <w:t>Human Rights (Parliamentary Scrutiny) Act 2011</w:t>
      </w:r>
    </w:p>
    <w:p w14:paraId="7BD76501" w14:textId="64F7BBC9" w:rsidR="008E222A" w:rsidRPr="008E222A" w:rsidRDefault="008E222A" w:rsidP="008E222A">
      <w:pPr>
        <w:pStyle w:val="Paragraph"/>
        <w:tabs>
          <w:tab w:val="left" w:pos="567"/>
        </w:tabs>
        <w:jc w:val="center"/>
        <w:rPr>
          <w:b/>
          <w:bCs/>
          <w:i/>
          <w:szCs w:val="24"/>
        </w:rPr>
      </w:pPr>
      <w:r w:rsidRPr="008E222A">
        <w:rPr>
          <w:b/>
          <w:bCs/>
          <w:i/>
          <w:szCs w:val="24"/>
        </w:rPr>
        <w:t>Legislation (Exemption and Other Matters) Amendment (2019 Measures No.</w:t>
      </w:r>
      <w:r w:rsidR="002E7CC3">
        <w:rPr>
          <w:b/>
          <w:bCs/>
          <w:i/>
          <w:szCs w:val="24"/>
        </w:rPr>
        <w:t xml:space="preserve"> </w:t>
      </w:r>
      <w:r w:rsidRPr="008E222A">
        <w:rPr>
          <w:b/>
          <w:bCs/>
          <w:i/>
          <w:szCs w:val="24"/>
        </w:rPr>
        <w:t>1)</w:t>
      </w:r>
    </w:p>
    <w:p w14:paraId="7E72006D" w14:textId="10007993" w:rsidR="008E222A" w:rsidRPr="008E222A" w:rsidRDefault="008E222A" w:rsidP="008E222A">
      <w:pPr>
        <w:pStyle w:val="Paragraph"/>
        <w:tabs>
          <w:tab w:val="left" w:pos="567"/>
        </w:tabs>
        <w:rPr>
          <w:szCs w:val="24"/>
          <w:lang w:val="en-US"/>
        </w:rPr>
      </w:pPr>
      <w:r w:rsidRPr="008E222A">
        <w:rPr>
          <w:szCs w:val="24"/>
        </w:rPr>
        <w:t xml:space="preserve">The </w:t>
      </w:r>
      <w:r w:rsidRPr="008E222A">
        <w:rPr>
          <w:i/>
          <w:szCs w:val="24"/>
        </w:rPr>
        <w:t>Legislation (Exemptions and Other Matters) Amendment (2019 Measures No. 1) Regulations 2019</w:t>
      </w:r>
      <w:r w:rsidRPr="008E222A">
        <w:rPr>
          <w:szCs w:val="24"/>
        </w:rPr>
        <w:t xml:space="preserve"> (the Amendment Regulations) are compatible with the human rights and freedoms recognised or declared in the international instruments listed in section 3 of the </w:t>
      </w:r>
      <w:r w:rsidRPr="008E222A">
        <w:rPr>
          <w:i/>
          <w:iCs/>
          <w:szCs w:val="24"/>
        </w:rPr>
        <w:t>Human Rights (Parliamentary Scrutiny) Act 2011.</w:t>
      </w:r>
      <w:r>
        <w:rPr>
          <w:iCs/>
          <w:szCs w:val="24"/>
        </w:rPr>
        <w:t xml:space="preserve"> </w:t>
      </w:r>
    </w:p>
    <w:p w14:paraId="7687417E" w14:textId="77777777" w:rsidR="008E222A" w:rsidRPr="008E222A" w:rsidRDefault="008E222A" w:rsidP="008E222A">
      <w:pPr>
        <w:pStyle w:val="Paragraph"/>
        <w:tabs>
          <w:tab w:val="left" w:pos="567"/>
        </w:tabs>
        <w:rPr>
          <w:b/>
          <w:szCs w:val="24"/>
          <w:lang w:val="en-US"/>
        </w:rPr>
      </w:pPr>
      <w:r w:rsidRPr="008E222A">
        <w:rPr>
          <w:b/>
          <w:iCs/>
          <w:szCs w:val="24"/>
        </w:rPr>
        <w:t xml:space="preserve">Overview </w:t>
      </w:r>
    </w:p>
    <w:p w14:paraId="3DE86E31" w14:textId="77777777" w:rsidR="008E222A" w:rsidRPr="008E222A" w:rsidRDefault="008E222A" w:rsidP="008E222A">
      <w:pPr>
        <w:pStyle w:val="Paragraph"/>
        <w:tabs>
          <w:tab w:val="left" w:pos="567"/>
        </w:tabs>
        <w:rPr>
          <w:szCs w:val="24"/>
        </w:rPr>
      </w:pPr>
      <w:r w:rsidRPr="008E222A">
        <w:rPr>
          <w:szCs w:val="24"/>
        </w:rPr>
        <w:t xml:space="preserve">The </w:t>
      </w:r>
      <w:r w:rsidRPr="008E222A">
        <w:rPr>
          <w:i/>
          <w:szCs w:val="24"/>
        </w:rPr>
        <w:t xml:space="preserve">Legislation Act 2003 </w:t>
      </w:r>
      <w:r w:rsidRPr="008E222A">
        <w:rPr>
          <w:szCs w:val="24"/>
        </w:rPr>
        <w:t xml:space="preserve">(Legislation Act) establishes a comprehensive regime for the publication of Commonwealth Acts and Instruments and provides for the </w:t>
      </w:r>
      <w:proofErr w:type="spellStart"/>
      <w:r w:rsidRPr="008E222A">
        <w:rPr>
          <w:szCs w:val="24"/>
        </w:rPr>
        <w:t>sunsetting</w:t>
      </w:r>
      <w:proofErr w:type="spellEnd"/>
      <w:r w:rsidRPr="008E222A">
        <w:rPr>
          <w:szCs w:val="24"/>
        </w:rPr>
        <w:t xml:space="preserve"> of legislative instruments. </w:t>
      </w:r>
      <w:proofErr w:type="spellStart"/>
      <w:r w:rsidRPr="008E222A">
        <w:rPr>
          <w:szCs w:val="24"/>
        </w:rPr>
        <w:t>Sunsetting</w:t>
      </w:r>
      <w:proofErr w:type="spellEnd"/>
      <w:r w:rsidRPr="008E222A">
        <w:rPr>
          <w:szCs w:val="24"/>
        </w:rPr>
        <w:t xml:space="preserve"> is the process by which instruments are automatically repealed approximately 10 years after they are made unless steps are taken to preserve their operation or the instruments are exempt from </w:t>
      </w:r>
      <w:proofErr w:type="spellStart"/>
      <w:r w:rsidRPr="008E222A">
        <w:rPr>
          <w:szCs w:val="24"/>
        </w:rPr>
        <w:t>sunsetting</w:t>
      </w:r>
      <w:proofErr w:type="spellEnd"/>
      <w:r w:rsidRPr="008E222A">
        <w:rPr>
          <w:szCs w:val="24"/>
        </w:rPr>
        <w:t xml:space="preserve">. </w:t>
      </w:r>
    </w:p>
    <w:p w14:paraId="18D82B8A" w14:textId="299C54E6" w:rsidR="008E222A" w:rsidRPr="008E222A" w:rsidRDefault="008E222A" w:rsidP="008E222A">
      <w:pPr>
        <w:pStyle w:val="Paragraph"/>
        <w:tabs>
          <w:tab w:val="left" w:pos="567"/>
        </w:tabs>
        <w:rPr>
          <w:szCs w:val="24"/>
        </w:rPr>
      </w:pPr>
      <w:r w:rsidRPr="008E222A">
        <w:rPr>
          <w:szCs w:val="24"/>
        </w:rPr>
        <w:t xml:space="preserve">The Amendment Regulations are made under section 62 of the Legislation Act and amend the </w:t>
      </w:r>
      <w:r w:rsidRPr="008E222A">
        <w:rPr>
          <w:i/>
          <w:szCs w:val="24"/>
        </w:rPr>
        <w:t>Legislation (Exemptions and Other Matters) Regulation 2015</w:t>
      </w:r>
      <w:r w:rsidRPr="008E222A">
        <w:rPr>
          <w:szCs w:val="24"/>
        </w:rPr>
        <w:t xml:space="preserve"> </w:t>
      </w:r>
      <w:r w:rsidR="0061686B">
        <w:rPr>
          <w:szCs w:val="24"/>
        </w:rPr>
        <w:t xml:space="preserve">(Exemptions Regulations) </w:t>
      </w:r>
      <w:r w:rsidRPr="008E222A">
        <w:rPr>
          <w:szCs w:val="24"/>
        </w:rPr>
        <w:t xml:space="preserve">to prescribe additional instruments in the Jobs and Small Business Portfolio to be exempt from </w:t>
      </w:r>
      <w:proofErr w:type="spellStart"/>
      <w:r w:rsidRPr="008E222A">
        <w:rPr>
          <w:szCs w:val="24"/>
        </w:rPr>
        <w:t>sunsetting</w:t>
      </w:r>
      <w:proofErr w:type="spellEnd"/>
      <w:r w:rsidRPr="008E222A">
        <w:rPr>
          <w:szCs w:val="24"/>
        </w:rPr>
        <w:t xml:space="preserve">, pursuant to paragraph 54(2)(b) of the Legislation Act. </w:t>
      </w:r>
    </w:p>
    <w:p w14:paraId="380B0987" w14:textId="797A887C" w:rsidR="008E222A" w:rsidRPr="008E222A" w:rsidRDefault="008E222A" w:rsidP="008E222A">
      <w:pPr>
        <w:pStyle w:val="Paragraph"/>
        <w:tabs>
          <w:tab w:val="left" w:pos="567"/>
        </w:tabs>
        <w:rPr>
          <w:szCs w:val="24"/>
        </w:rPr>
      </w:pPr>
      <w:r w:rsidRPr="008E222A">
        <w:rPr>
          <w:szCs w:val="24"/>
        </w:rPr>
        <w:t>The Amendment Regulations also make a minor technical amendment to repeal item 19</w:t>
      </w:r>
      <w:r w:rsidR="0061686B">
        <w:rPr>
          <w:szCs w:val="24"/>
        </w:rPr>
        <w:t xml:space="preserve"> in the table at </w:t>
      </w:r>
      <w:r w:rsidRPr="008E222A">
        <w:rPr>
          <w:szCs w:val="24"/>
        </w:rPr>
        <w:t>section 10</w:t>
      </w:r>
      <w:r w:rsidR="0061686B">
        <w:rPr>
          <w:szCs w:val="24"/>
        </w:rPr>
        <w:t xml:space="preserve"> of the Exemptions Regulations</w:t>
      </w:r>
      <w:r w:rsidRPr="008E222A">
        <w:rPr>
          <w:szCs w:val="24"/>
        </w:rPr>
        <w:t xml:space="preserve">. This item </w:t>
      </w:r>
      <w:r w:rsidR="00F663D1">
        <w:rPr>
          <w:szCs w:val="24"/>
        </w:rPr>
        <w:t xml:space="preserve">is no longer required following the commencement of </w:t>
      </w:r>
      <w:r w:rsidRPr="008E222A">
        <w:rPr>
          <w:szCs w:val="24"/>
        </w:rPr>
        <w:t>amendments</w:t>
      </w:r>
      <w:r w:rsidR="00F663D1">
        <w:rPr>
          <w:szCs w:val="24"/>
        </w:rPr>
        <w:t xml:space="preserve"> made by the </w:t>
      </w:r>
      <w:r w:rsidR="00F663D1" w:rsidRPr="008E222A">
        <w:rPr>
          <w:i/>
          <w:szCs w:val="24"/>
        </w:rPr>
        <w:t>Legislation Amendment (</w:t>
      </w:r>
      <w:proofErr w:type="spellStart"/>
      <w:r w:rsidR="00F663D1" w:rsidRPr="008E222A">
        <w:rPr>
          <w:i/>
          <w:szCs w:val="24"/>
        </w:rPr>
        <w:t>Sunsetting</w:t>
      </w:r>
      <w:proofErr w:type="spellEnd"/>
      <w:r w:rsidR="00F663D1" w:rsidRPr="008E222A">
        <w:rPr>
          <w:i/>
          <w:szCs w:val="24"/>
        </w:rPr>
        <w:t xml:space="preserve"> Review and Other Measures) Act 2018</w:t>
      </w:r>
      <w:r w:rsidR="00F663D1">
        <w:rPr>
          <w:szCs w:val="24"/>
        </w:rPr>
        <w:t>.</w:t>
      </w:r>
      <w:r w:rsidRPr="008E222A">
        <w:rPr>
          <w:szCs w:val="24"/>
        </w:rPr>
        <w:t xml:space="preserve"> </w:t>
      </w:r>
    </w:p>
    <w:p w14:paraId="1A7942F5" w14:textId="2CEA1E7E" w:rsidR="008E222A" w:rsidRPr="008E222A" w:rsidRDefault="008E222A" w:rsidP="008E222A">
      <w:pPr>
        <w:pStyle w:val="Paragraph"/>
        <w:tabs>
          <w:tab w:val="left" w:pos="567"/>
        </w:tabs>
        <w:rPr>
          <w:szCs w:val="24"/>
        </w:rPr>
      </w:pPr>
      <w:r w:rsidRPr="008E222A">
        <w:rPr>
          <w:szCs w:val="24"/>
        </w:rPr>
        <w:t>The instruments</w:t>
      </w:r>
      <w:r w:rsidR="0061686B">
        <w:rPr>
          <w:szCs w:val="24"/>
        </w:rPr>
        <w:t xml:space="preserve"> that are exempted from </w:t>
      </w:r>
      <w:proofErr w:type="spellStart"/>
      <w:r w:rsidR="0061686B">
        <w:rPr>
          <w:szCs w:val="24"/>
        </w:rPr>
        <w:t>sunsetting</w:t>
      </w:r>
      <w:proofErr w:type="spellEnd"/>
      <w:r w:rsidR="0061686B">
        <w:rPr>
          <w:szCs w:val="24"/>
        </w:rPr>
        <w:t xml:space="preserve"> by the </w:t>
      </w:r>
      <w:r w:rsidRPr="008E222A">
        <w:rPr>
          <w:szCs w:val="24"/>
        </w:rPr>
        <w:t xml:space="preserve">Amendment Regulations are: </w:t>
      </w:r>
    </w:p>
    <w:p w14:paraId="390A6C59" w14:textId="77777777" w:rsidR="008E222A" w:rsidRPr="008E222A" w:rsidRDefault="008E222A" w:rsidP="0077680D">
      <w:pPr>
        <w:pStyle w:val="Paragraph"/>
        <w:numPr>
          <w:ilvl w:val="0"/>
          <w:numId w:val="24"/>
        </w:numPr>
        <w:tabs>
          <w:tab w:val="left" w:pos="567"/>
        </w:tabs>
        <w:spacing w:before="120"/>
        <w:ind w:left="992" w:hanging="425"/>
        <w:rPr>
          <w:szCs w:val="24"/>
        </w:rPr>
      </w:pPr>
      <w:r w:rsidRPr="008E222A">
        <w:rPr>
          <w:szCs w:val="24"/>
        </w:rPr>
        <w:t xml:space="preserve">an instrument made under subsection 14(4) of the </w:t>
      </w:r>
      <w:r w:rsidRPr="008E222A">
        <w:rPr>
          <w:i/>
          <w:szCs w:val="24"/>
        </w:rPr>
        <w:t>Fair Work Act 2009</w:t>
      </w:r>
      <w:r w:rsidRPr="008E222A">
        <w:rPr>
          <w:szCs w:val="24"/>
        </w:rPr>
        <w:t xml:space="preserve"> </w:t>
      </w:r>
    </w:p>
    <w:p w14:paraId="5FEB66C6" w14:textId="77777777" w:rsidR="008E222A" w:rsidRPr="008E222A" w:rsidRDefault="008E222A" w:rsidP="0077680D">
      <w:pPr>
        <w:pStyle w:val="Paragraph"/>
        <w:numPr>
          <w:ilvl w:val="0"/>
          <w:numId w:val="24"/>
        </w:numPr>
        <w:tabs>
          <w:tab w:val="left" w:pos="567"/>
        </w:tabs>
        <w:spacing w:before="120"/>
        <w:ind w:left="992" w:hanging="425"/>
        <w:rPr>
          <w:szCs w:val="24"/>
        </w:rPr>
      </w:pPr>
      <w:r w:rsidRPr="008E222A">
        <w:rPr>
          <w:szCs w:val="24"/>
        </w:rPr>
        <w:t>a rule made under subsection 32A(1) of that Act</w:t>
      </w:r>
    </w:p>
    <w:p w14:paraId="64D2AEF7" w14:textId="77777777" w:rsidR="008E222A" w:rsidRPr="008E222A" w:rsidRDefault="008E222A" w:rsidP="0077680D">
      <w:pPr>
        <w:pStyle w:val="Paragraph"/>
        <w:numPr>
          <w:ilvl w:val="0"/>
          <w:numId w:val="24"/>
        </w:numPr>
        <w:tabs>
          <w:tab w:val="left" w:pos="567"/>
        </w:tabs>
        <w:spacing w:before="120"/>
        <w:ind w:left="992" w:hanging="425"/>
        <w:rPr>
          <w:szCs w:val="24"/>
        </w:rPr>
      </w:pPr>
      <w:r w:rsidRPr="008E222A">
        <w:rPr>
          <w:szCs w:val="24"/>
        </w:rPr>
        <w:t>a declaration made under subsection 388(1) of that Act</w:t>
      </w:r>
    </w:p>
    <w:p w14:paraId="018F2F4C" w14:textId="77777777" w:rsidR="008E222A" w:rsidRPr="008E222A" w:rsidRDefault="008E222A" w:rsidP="0077680D">
      <w:pPr>
        <w:pStyle w:val="Paragraph"/>
        <w:numPr>
          <w:ilvl w:val="0"/>
          <w:numId w:val="24"/>
        </w:numPr>
        <w:tabs>
          <w:tab w:val="left" w:pos="567"/>
        </w:tabs>
        <w:spacing w:before="120"/>
        <w:ind w:left="992" w:hanging="425"/>
        <w:rPr>
          <w:szCs w:val="24"/>
        </w:rPr>
      </w:pPr>
      <w:r w:rsidRPr="008E222A">
        <w:rPr>
          <w:szCs w:val="24"/>
        </w:rPr>
        <w:t>an instrument made under subsection 559(3B) of that Act</w:t>
      </w:r>
    </w:p>
    <w:p w14:paraId="6D1629DC" w14:textId="77777777" w:rsidR="008E222A" w:rsidRPr="008E222A" w:rsidRDefault="008E222A" w:rsidP="0077680D">
      <w:pPr>
        <w:pStyle w:val="Paragraph"/>
        <w:numPr>
          <w:ilvl w:val="0"/>
          <w:numId w:val="24"/>
        </w:numPr>
        <w:tabs>
          <w:tab w:val="left" w:pos="567"/>
        </w:tabs>
        <w:spacing w:before="120"/>
        <w:ind w:left="992" w:hanging="425"/>
        <w:rPr>
          <w:szCs w:val="24"/>
        </w:rPr>
      </w:pPr>
      <w:r w:rsidRPr="008E222A">
        <w:rPr>
          <w:szCs w:val="24"/>
        </w:rPr>
        <w:t>a regulation made under that Act</w:t>
      </w:r>
    </w:p>
    <w:p w14:paraId="0650C00F" w14:textId="77777777" w:rsidR="008E222A" w:rsidRPr="008E222A" w:rsidRDefault="008E222A" w:rsidP="0077680D">
      <w:pPr>
        <w:pStyle w:val="Paragraph"/>
        <w:numPr>
          <w:ilvl w:val="0"/>
          <w:numId w:val="24"/>
        </w:numPr>
        <w:tabs>
          <w:tab w:val="left" w:pos="567"/>
        </w:tabs>
        <w:spacing w:before="120"/>
        <w:ind w:left="992" w:hanging="425"/>
        <w:rPr>
          <w:szCs w:val="24"/>
        </w:rPr>
      </w:pPr>
      <w:r w:rsidRPr="008E222A">
        <w:rPr>
          <w:szCs w:val="24"/>
        </w:rPr>
        <w:t xml:space="preserve">a regulation made under the </w:t>
      </w:r>
      <w:r w:rsidRPr="008E222A">
        <w:rPr>
          <w:i/>
          <w:szCs w:val="24"/>
        </w:rPr>
        <w:t>Fair Work (Registered Organisations) Act 2009</w:t>
      </w:r>
    </w:p>
    <w:p w14:paraId="62E4A3F0" w14:textId="77777777" w:rsidR="008E222A" w:rsidRPr="008E222A" w:rsidRDefault="008E222A" w:rsidP="0077680D">
      <w:pPr>
        <w:pStyle w:val="Paragraph"/>
        <w:numPr>
          <w:ilvl w:val="0"/>
          <w:numId w:val="24"/>
        </w:numPr>
        <w:tabs>
          <w:tab w:val="left" w:pos="567"/>
        </w:tabs>
        <w:spacing w:before="120"/>
        <w:ind w:left="992" w:hanging="425"/>
        <w:rPr>
          <w:szCs w:val="24"/>
        </w:rPr>
      </w:pPr>
      <w:r w:rsidRPr="008E222A">
        <w:rPr>
          <w:szCs w:val="24"/>
        </w:rPr>
        <w:t xml:space="preserve">a regulation made under the </w:t>
      </w:r>
      <w:r w:rsidRPr="008E222A">
        <w:rPr>
          <w:i/>
          <w:szCs w:val="24"/>
        </w:rPr>
        <w:t>Fair Work (Transitional Provisions and Consequential Amendments) Act 2009</w:t>
      </w:r>
    </w:p>
    <w:p w14:paraId="787219A2" w14:textId="77777777" w:rsidR="008E222A" w:rsidRPr="008E222A" w:rsidRDefault="008E222A" w:rsidP="0077680D">
      <w:pPr>
        <w:pStyle w:val="Paragraph"/>
        <w:numPr>
          <w:ilvl w:val="0"/>
          <w:numId w:val="24"/>
        </w:numPr>
        <w:tabs>
          <w:tab w:val="left" w:pos="567"/>
        </w:tabs>
        <w:spacing w:before="120"/>
        <w:ind w:left="992" w:hanging="425"/>
        <w:rPr>
          <w:szCs w:val="24"/>
        </w:rPr>
      </w:pPr>
      <w:r w:rsidRPr="008E222A">
        <w:rPr>
          <w:szCs w:val="24"/>
        </w:rPr>
        <w:t xml:space="preserve">a regulation made under the </w:t>
      </w:r>
      <w:r w:rsidRPr="008E222A">
        <w:rPr>
          <w:i/>
          <w:szCs w:val="24"/>
        </w:rPr>
        <w:t>Work Health and Safety Act 2011</w:t>
      </w:r>
    </w:p>
    <w:p w14:paraId="4C4E47D3" w14:textId="5B8F48A5" w:rsidR="008E222A" w:rsidRPr="008E222A" w:rsidRDefault="008E222A" w:rsidP="0077680D">
      <w:pPr>
        <w:pStyle w:val="Paragraph"/>
        <w:numPr>
          <w:ilvl w:val="0"/>
          <w:numId w:val="24"/>
        </w:numPr>
        <w:tabs>
          <w:tab w:val="left" w:pos="567"/>
        </w:tabs>
        <w:spacing w:before="120"/>
        <w:ind w:left="992" w:hanging="425"/>
        <w:rPr>
          <w:szCs w:val="24"/>
        </w:rPr>
      </w:pPr>
      <w:r w:rsidRPr="008E222A">
        <w:rPr>
          <w:szCs w:val="24"/>
        </w:rPr>
        <w:t xml:space="preserve">an instrument made under </w:t>
      </w:r>
      <w:r w:rsidR="00927724">
        <w:rPr>
          <w:szCs w:val="24"/>
        </w:rPr>
        <w:t>sub</w:t>
      </w:r>
      <w:r w:rsidRPr="008E222A">
        <w:rPr>
          <w:szCs w:val="24"/>
        </w:rPr>
        <w:t>section 274(1) of that Act</w:t>
      </w:r>
    </w:p>
    <w:p w14:paraId="722639BF" w14:textId="77777777" w:rsidR="008E222A" w:rsidRPr="008E222A" w:rsidRDefault="008E222A" w:rsidP="0077680D">
      <w:pPr>
        <w:pStyle w:val="Paragraph"/>
        <w:numPr>
          <w:ilvl w:val="0"/>
          <w:numId w:val="24"/>
        </w:numPr>
        <w:tabs>
          <w:tab w:val="left" w:pos="567"/>
        </w:tabs>
        <w:spacing w:before="120"/>
        <w:ind w:left="992" w:hanging="425"/>
        <w:rPr>
          <w:szCs w:val="24"/>
        </w:rPr>
      </w:pPr>
      <w:proofErr w:type="gramStart"/>
      <w:r w:rsidRPr="008E222A">
        <w:rPr>
          <w:szCs w:val="24"/>
        </w:rPr>
        <w:t>a</w:t>
      </w:r>
      <w:proofErr w:type="gramEnd"/>
      <w:r w:rsidRPr="008E222A">
        <w:rPr>
          <w:szCs w:val="24"/>
        </w:rPr>
        <w:t xml:space="preserve"> regulation made under the </w:t>
      </w:r>
      <w:r w:rsidRPr="008E222A">
        <w:rPr>
          <w:i/>
          <w:szCs w:val="24"/>
        </w:rPr>
        <w:t>Work Health and Safety (Transitional and Consequential Provisions) Act 2011.</w:t>
      </w:r>
    </w:p>
    <w:p w14:paraId="2D15E5EE" w14:textId="77777777" w:rsidR="0077680D" w:rsidRDefault="0077680D">
      <w:pPr>
        <w:rPr>
          <w:rFonts w:ascii="Times New Roman" w:eastAsia="Times New Roman" w:hAnsi="Times New Roman" w:cs="Times New Roman"/>
          <w:b/>
          <w:iCs/>
          <w:sz w:val="24"/>
          <w:szCs w:val="24"/>
          <w:lang w:eastAsia="en-AU"/>
        </w:rPr>
      </w:pPr>
      <w:r>
        <w:rPr>
          <w:b/>
          <w:iCs/>
          <w:szCs w:val="24"/>
        </w:rPr>
        <w:br w:type="page"/>
      </w:r>
    </w:p>
    <w:p w14:paraId="06F3CB05" w14:textId="1809051D" w:rsidR="008E222A" w:rsidRPr="008E222A" w:rsidRDefault="008E222A" w:rsidP="008E222A">
      <w:pPr>
        <w:pStyle w:val="Paragraph"/>
        <w:tabs>
          <w:tab w:val="left" w:pos="567"/>
        </w:tabs>
        <w:rPr>
          <w:b/>
          <w:iCs/>
          <w:szCs w:val="24"/>
        </w:rPr>
      </w:pPr>
      <w:r w:rsidRPr="008E222A">
        <w:rPr>
          <w:b/>
          <w:iCs/>
          <w:szCs w:val="24"/>
        </w:rPr>
        <w:lastRenderedPageBreak/>
        <w:t xml:space="preserve">Human Rights Implications </w:t>
      </w:r>
    </w:p>
    <w:p w14:paraId="1A697BA9" w14:textId="77777777" w:rsidR="00667C58" w:rsidRDefault="008E222A" w:rsidP="008E222A">
      <w:pPr>
        <w:pStyle w:val="Paragraph"/>
        <w:tabs>
          <w:tab w:val="left" w:pos="567"/>
        </w:tabs>
        <w:rPr>
          <w:szCs w:val="24"/>
        </w:rPr>
      </w:pPr>
      <w:r w:rsidRPr="008E222A">
        <w:rPr>
          <w:szCs w:val="24"/>
        </w:rPr>
        <w:t xml:space="preserve">Each </w:t>
      </w:r>
      <w:r w:rsidR="006D793A">
        <w:rPr>
          <w:szCs w:val="24"/>
        </w:rPr>
        <w:t xml:space="preserve">new </w:t>
      </w:r>
      <w:proofErr w:type="spellStart"/>
      <w:r w:rsidRPr="008E222A">
        <w:rPr>
          <w:szCs w:val="24"/>
        </w:rPr>
        <w:t>sunsetting</w:t>
      </w:r>
      <w:proofErr w:type="spellEnd"/>
      <w:r w:rsidRPr="008E222A">
        <w:rPr>
          <w:szCs w:val="24"/>
        </w:rPr>
        <w:t xml:space="preserve"> exemption made by the Amendment Regulations was</w:t>
      </w:r>
      <w:r w:rsidR="006D793A">
        <w:rPr>
          <w:szCs w:val="24"/>
        </w:rPr>
        <w:t xml:space="preserve"> found to be justified when</w:t>
      </w:r>
      <w:r w:rsidRPr="008E222A">
        <w:rPr>
          <w:szCs w:val="24"/>
        </w:rPr>
        <w:t xml:space="preserve"> analysed against </w:t>
      </w:r>
      <w:r w:rsidR="006D793A">
        <w:rPr>
          <w:szCs w:val="24"/>
        </w:rPr>
        <w:t xml:space="preserve">established </w:t>
      </w:r>
      <w:r w:rsidRPr="008E222A">
        <w:rPr>
          <w:szCs w:val="24"/>
        </w:rPr>
        <w:t xml:space="preserve">policy criteria </w:t>
      </w:r>
      <w:r w:rsidR="006D793A">
        <w:rPr>
          <w:szCs w:val="24"/>
        </w:rPr>
        <w:t>for</w:t>
      </w:r>
      <w:r w:rsidRPr="008E222A">
        <w:rPr>
          <w:szCs w:val="24"/>
        </w:rPr>
        <w:t xml:space="preserve"> the granting of </w:t>
      </w:r>
      <w:r w:rsidR="006D793A">
        <w:rPr>
          <w:szCs w:val="24"/>
        </w:rPr>
        <w:t>new</w:t>
      </w:r>
      <w:r w:rsidRPr="008E222A">
        <w:rPr>
          <w:szCs w:val="24"/>
        </w:rPr>
        <w:t xml:space="preserve"> exemption</w:t>
      </w:r>
      <w:r w:rsidR="006D793A">
        <w:rPr>
          <w:szCs w:val="24"/>
        </w:rPr>
        <w:t>s</w:t>
      </w:r>
      <w:r w:rsidRPr="008E222A">
        <w:rPr>
          <w:szCs w:val="24"/>
        </w:rPr>
        <w:t xml:space="preserve">. In each instance it was considered that the instruments </w:t>
      </w:r>
      <w:r w:rsidR="00667C58">
        <w:rPr>
          <w:szCs w:val="24"/>
        </w:rPr>
        <w:t xml:space="preserve">should not be subject to the </w:t>
      </w:r>
      <w:proofErr w:type="spellStart"/>
      <w:r w:rsidR="00667C58">
        <w:rPr>
          <w:szCs w:val="24"/>
        </w:rPr>
        <w:t>sunsetting</w:t>
      </w:r>
      <w:proofErr w:type="spellEnd"/>
      <w:r w:rsidR="00667C58">
        <w:rPr>
          <w:szCs w:val="24"/>
        </w:rPr>
        <w:t xml:space="preserve"> regime set out in </w:t>
      </w:r>
      <w:r w:rsidRPr="008E222A">
        <w:rPr>
          <w:szCs w:val="24"/>
        </w:rPr>
        <w:t xml:space="preserve">Part 4 of Chapter 3 of the Legislation. </w:t>
      </w:r>
    </w:p>
    <w:p w14:paraId="51C042B3" w14:textId="1CFDB276" w:rsidR="008E222A" w:rsidRPr="008E222A" w:rsidRDefault="008E222A" w:rsidP="008E222A">
      <w:pPr>
        <w:pStyle w:val="Paragraph"/>
        <w:tabs>
          <w:tab w:val="left" w:pos="567"/>
        </w:tabs>
        <w:rPr>
          <w:szCs w:val="24"/>
        </w:rPr>
      </w:pPr>
      <w:r w:rsidRPr="008E222A">
        <w:rPr>
          <w:szCs w:val="24"/>
        </w:rPr>
        <w:t xml:space="preserve">The </w:t>
      </w:r>
      <w:r w:rsidR="00667C58">
        <w:rPr>
          <w:szCs w:val="24"/>
        </w:rPr>
        <w:t xml:space="preserve">creation of </w:t>
      </w:r>
      <w:r w:rsidRPr="008E222A">
        <w:rPr>
          <w:szCs w:val="24"/>
        </w:rPr>
        <w:t xml:space="preserve">specific exemptions </w:t>
      </w:r>
      <w:r w:rsidR="00667C58">
        <w:rPr>
          <w:szCs w:val="24"/>
        </w:rPr>
        <w:t xml:space="preserve">from </w:t>
      </w:r>
      <w:proofErr w:type="spellStart"/>
      <w:r w:rsidR="00667C58">
        <w:rPr>
          <w:szCs w:val="24"/>
        </w:rPr>
        <w:t>sunsetting</w:t>
      </w:r>
      <w:proofErr w:type="spellEnd"/>
      <w:r w:rsidR="00667C58">
        <w:rPr>
          <w:szCs w:val="24"/>
        </w:rPr>
        <w:t xml:space="preserve"> for </w:t>
      </w:r>
      <w:r w:rsidRPr="008E222A">
        <w:rPr>
          <w:szCs w:val="24"/>
        </w:rPr>
        <w:t>workplace relations legislation provide</w:t>
      </w:r>
      <w:r w:rsidR="00667C58">
        <w:rPr>
          <w:szCs w:val="24"/>
        </w:rPr>
        <w:t>s</w:t>
      </w:r>
      <w:r w:rsidRPr="008E222A">
        <w:rPr>
          <w:szCs w:val="24"/>
        </w:rPr>
        <w:t xml:space="preserve"> certainty to the vast majority of Australian private sector employers and employees who are subject to the national workplace relations system. </w:t>
      </w:r>
    </w:p>
    <w:p w14:paraId="57CBBC98" w14:textId="017B8C42" w:rsidR="008E222A" w:rsidRPr="008E222A" w:rsidRDefault="008E222A" w:rsidP="008E222A">
      <w:pPr>
        <w:pStyle w:val="Paragraph"/>
        <w:tabs>
          <w:tab w:val="left" w:pos="567"/>
        </w:tabs>
        <w:rPr>
          <w:szCs w:val="24"/>
        </w:rPr>
      </w:pPr>
      <w:r w:rsidRPr="008E222A">
        <w:rPr>
          <w:szCs w:val="24"/>
        </w:rPr>
        <w:t xml:space="preserve">None of the </w:t>
      </w:r>
      <w:proofErr w:type="spellStart"/>
      <w:r w:rsidRPr="008E222A">
        <w:rPr>
          <w:szCs w:val="24"/>
        </w:rPr>
        <w:t>sunsetting</w:t>
      </w:r>
      <w:proofErr w:type="spellEnd"/>
      <w:r w:rsidRPr="008E222A">
        <w:rPr>
          <w:szCs w:val="24"/>
        </w:rPr>
        <w:t xml:space="preserve"> exemptions made by the Amendment Regulations alter the content of </w:t>
      </w:r>
      <w:r w:rsidR="00667C58">
        <w:rPr>
          <w:szCs w:val="24"/>
        </w:rPr>
        <w:t>the laws to which those</w:t>
      </w:r>
      <w:r w:rsidRPr="008E222A">
        <w:rPr>
          <w:szCs w:val="24"/>
        </w:rPr>
        <w:t xml:space="preserve"> exemptions apply</w:t>
      </w:r>
      <w:r w:rsidR="00667C58">
        <w:rPr>
          <w:szCs w:val="24"/>
        </w:rPr>
        <w:t>. The</w:t>
      </w:r>
      <w:r w:rsidRPr="008E222A">
        <w:rPr>
          <w:szCs w:val="24"/>
        </w:rPr>
        <w:t xml:space="preserve"> </w:t>
      </w:r>
      <w:proofErr w:type="spellStart"/>
      <w:r w:rsidRPr="008E222A">
        <w:rPr>
          <w:szCs w:val="24"/>
        </w:rPr>
        <w:t>sunsetting</w:t>
      </w:r>
      <w:proofErr w:type="spellEnd"/>
      <w:r w:rsidRPr="008E222A">
        <w:rPr>
          <w:szCs w:val="24"/>
        </w:rPr>
        <w:t xml:space="preserve"> exemptions preserve those laws and ensure they are not automatically repealed pursuant to the </w:t>
      </w:r>
      <w:proofErr w:type="spellStart"/>
      <w:r w:rsidR="00667C58">
        <w:rPr>
          <w:szCs w:val="24"/>
        </w:rPr>
        <w:t>sunsetting</w:t>
      </w:r>
      <w:proofErr w:type="spellEnd"/>
      <w:r w:rsidR="00667C58">
        <w:rPr>
          <w:szCs w:val="24"/>
        </w:rPr>
        <w:t xml:space="preserve"> regime set out in the </w:t>
      </w:r>
      <w:r w:rsidRPr="008E222A">
        <w:rPr>
          <w:szCs w:val="24"/>
        </w:rPr>
        <w:t xml:space="preserve">Legislation Act. As such, the Amendment Regulations do not engage any of the applicable rights or freedoms. </w:t>
      </w:r>
    </w:p>
    <w:p w14:paraId="3E0EFED1" w14:textId="77777777" w:rsidR="008E222A" w:rsidRPr="008E222A" w:rsidRDefault="008E222A" w:rsidP="008E222A">
      <w:pPr>
        <w:pStyle w:val="Paragraph"/>
        <w:tabs>
          <w:tab w:val="left" w:pos="567"/>
        </w:tabs>
        <w:rPr>
          <w:b/>
          <w:szCs w:val="24"/>
          <w:lang w:val="en-US"/>
        </w:rPr>
      </w:pPr>
      <w:r w:rsidRPr="008E222A">
        <w:rPr>
          <w:b/>
          <w:iCs/>
          <w:szCs w:val="24"/>
        </w:rPr>
        <w:t>Conclusion</w:t>
      </w:r>
    </w:p>
    <w:p w14:paraId="54F1C8BD" w14:textId="20E35D46" w:rsidR="008E222A" w:rsidRPr="008E222A" w:rsidRDefault="008E222A" w:rsidP="008E222A">
      <w:pPr>
        <w:pStyle w:val="Paragraph"/>
        <w:tabs>
          <w:tab w:val="left" w:pos="567"/>
        </w:tabs>
        <w:rPr>
          <w:szCs w:val="24"/>
        </w:rPr>
      </w:pPr>
      <w:r w:rsidRPr="008E222A">
        <w:rPr>
          <w:szCs w:val="24"/>
        </w:rPr>
        <w:t xml:space="preserve">The Amendment Regulations are compatible with the human rights and freedoms recognised or declared in the international instruments listed in section 3 of the </w:t>
      </w:r>
      <w:r w:rsidRPr="008E222A">
        <w:rPr>
          <w:i/>
          <w:szCs w:val="24"/>
        </w:rPr>
        <w:t>Human Rights (Parliamentary Scrutiny) Act 2011</w:t>
      </w:r>
      <w:r w:rsidR="00667C58">
        <w:rPr>
          <w:szCs w:val="24"/>
        </w:rPr>
        <w:t>,</w:t>
      </w:r>
      <w:r w:rsidRPr="008E222A">
        <w:rPr>
          <w:i/>
          <w:szCs w:val="24"/>
        </w:rPr>
        <w:t xml:space="preserve"> </w:t>
      </w:r>
      <w:r w:rsidRPr="008E222A">
        <w:rPr>
          <w:szCs w:val="24"/>
        </w:rPr>
        <w:t xml:space="preserve">as they do not engage any of those rights or freedoms. </w:t>
      </w:r>
    </w:p>
    <w:p w14:paraId="19672C6C" w14:textId="77777777" w:rsidR="008E222A" w:rsidRPr="008E222A" w:rsidRDefault="008E222A" w:rsidP="00F02752">
      <w:pPr>
        <w:pStyle w:val="Paragraph"/>
        <w:numPr>
          <w:ilvl w:val="0"/>
          <w:numId w:val="0"/>
        </w:numPr>
        <w:tabs>
          <w:tab w:val="left" w:pos="567"/>
        </w:tabs>
        <w:rPr>
          <w:szCs w:val="24"/>
        </w:rPr>
      </w:pPr>
    </w:p>
    <w:sectPr w:rsidR="008E222A" w:rsidRPr="008E2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BBC"/>
    <w:multiLevelType w:val="hybridMultilevel"/>
    <w:tmpl w:val="48E26B90"/>
    <w:lvl w:ilvl="0" w:tplc="95AA1F46">
      <w:numFmt w:val="bullet"/>
      <w:lvlText w:val=""/>
      <w:lvlJc w:val="left"/>
      <w:pPr>
        <w:ind w:left="720" w:hanging="360"/>
      </w:pPr>
      <w:rPr>
        <w:rFonts w:ascii="Symbol" w:eastAsia="Times New Roman" w:hAnsi="Symbol" w:cs="Times New Roman" w:hint="default"/>
      </w:rPr>
    </w:lvl>
    <w:lvl w:ilvl="1" w:tplc="2F1240C2" w:tentative="1">
      <w:start w:val="1"/>
      <w:numFmt w:val="bullet"/>
      <w:lvlText w:val="o"/>
      <w:lvlJc w:val="left"/>
      <w:pPr>
        <w:ind w:left="1440" w:hanging="360"/>
      </w:pPr>
      <w:rPr>
        <w:rFonts w:ascii="Courier New" w:hAnsi="Courier New" w:cs="Courier New" w:hint="default"/>
      </w:rPr>
    </w:lvl>
    <w:lvl w:ilvl="2" w:tplc="B13A7C80" w:tentative="1">
      <w:start w:val="1"/>
      <w:numFmt w:val="bullet"/>
      <w:lvlText w:val=""/>
      <w:lvlJc w:val="left"/>
      <w:pPr>
        <w:ind w:left="2160" w:hanging="360"/>
      </w:pPr>
      <w:rPr>
        <w:rFonts w:ascii="Wingdings" w:hAnsi="Wingdings" w:hint="default"/>
      </w:rPr>
    </w:lvl>
    <w:lvl w:ilvl="3" w:tplc="B4444D4C" w:tentative="1">
      <w:start w:val="1"/>
      <w:numFmt w:val="bullet"/>
      <w:lvlText w:val=""/>
      <w:lvlJc w:val="left"/>
      <w:pPr>
        <w:ind w:left="2880" w:hanging="360"/>
      </w:pPr>
      <w:rPr>
        <w:rFonts w:ascii="Symbol" w:hAnsi="Symbol" w:hint="default"/>
      </w:rPr>
    </w:lvl>
    <w:lvl w:ilvl="4" w:tplc="D286080C" w:tentative="1">
      <w:start w:val="1"/>
      <w:numFmt w:val="bullet"/>
      <w:lvlText w:val="o"/>
      <w:lvlJc w:val="left"/>
      <w:pPr>
        <w:ind w:left="3600" w:hanging="360"/>
      </w:pPr>
      <w:rPr>
        <w:rFonts w:ascii="Courier New" w:hAnsi="Courier New" w:cs="Courier New" w:hint="default"/>
      </w:rPr>
    </w:lvl>
    <w:lvl w:ilvl="5" w:tplc="2AEA98AE" w:tentative="1">
      <w:start w:val="1"/>
      <w:numFmt w:val="bullet"/>
      <w:lvlText w:val=""/>
      <w:lvlJc w:val="left"/>
      <w:pPr>
        <w:ind w:left="4320" w:hanging="360"/>
      </w:pPr>
      <w:rPr>
        <w:rFonts w:ascii="Wingdings" w:hAnsi="Wingdings" w:hint="default"/>
      </w:rPr>
    </w:lvl>
    <w:lvl w:ilvl="6" w:tplc="E520AC3A" w:tentative="1">
      <w:start w:val="1"/>
      <w:numFmt w:val="bullet"/>
      <w:lvlText w:val=""/>
      <w:lvlJc w:val="left"/>
      <w:pPr>
        <w:ind w:left="5040" w:hanging="360"/>
      </w:pPr>
      <w:rPr>
        <w:rFonts w:ascii="Symbol" w:hAnsi="Symbol" w:hint="default"/>
      </w:rPr>
    </w:lvl>
    <w:lvl w:ilvl="7" w:tplc="A192FFEA" w:tentative="1">
      <w:start w:val="1"/>
      <w:numFmt w:val="bullet"/>
      <w:lvlText w:val="o"/>
      <w:lvlJc w:val="left"/>
      <w:pPr>
        <w:ind w:left="5760" w:hanging="360"/>
      </w:pPr>
      <w:rPr>
        <w:rFonts w:ascii="Courier New" w:hAnsi="Courier New" w:cs="Courier New" w:hint="default"/>
      </w:rPr>
    </w:lvl>
    <w:lvl w:ilvl="8" w:tplc="69BE34E2" w:tentative="1">
      <w:start w:val="1"/>
      <w:numFmt w:val="bullet"/>
      <w:lvlText w:val=""/>
      <w:lvlJc w:val="left"/>
      <w:pPr>
        <w:ind w:left="6480" w:hanging="360"/>
      </w:pPr>
      <w:rPr>
        <w:rFonts w:ascii="Wingdings" w:hAnsi="Wingdings" w:hint="default"/>
      </w:rPr>
    </w:lvl>
  </w:abstractNum>
  <w:abstractNum w:abstractNumId="1">
    <w:nsid w:val="039B7088"/>
    <w:multiLevelType w:val="hybridMultilevel"/>
    <w:tmpl w:val="D206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932EE"/>
    <w:multiLevelType w:val="hybridMultilevel"/>
    <w:tmpl w:val="3D741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13322E"/>
    <w:multiLevelType w:val="hybridMultilevel"/>
    <w:tmpl w:val="915852F4"/>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nsid w:val="15BF71AB"/>
    <w:multiLevelType w:val="hybridMultilevel"/>
    <w:tmpl w:val="F92A5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B24793D"/>
    <w:multiLevelType w:val="hybridMultilevel"/>
    <w:tmpl w:val="D73C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537B11"/>
    <w:multiLevelType w:val="hybridMultilevel"/>
    <w:tmpl w:val="E948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D0316E"/>
    <w:multiLevelType w:val="hybridMultilevel"/>
    <w:tmpl w:val="F3ACB470"/>
    <w:lvl w:ilvl="0" w:tplc="16180626">
      <w:start w:val="1"/>
      <w:numFmt w:val="decimal"/>
      <w:lvlText w:val="%1."/>
      <w:lvlJc w:val="left"/>
      <w:pPr>
        <w:ind w:left="720" w:hanging="360"/>
      </w:pPr>
      <w:rPr>
        <w:rFonts w:hint="default"/>
        <w:b w:val="0"/>
      </w:rPr>
    </w:lvl>
    <w:lvl w:ilvl="1" w:tplc="0C090001">
      <w:start w:val="1"/>
      <w:numFmt w:val="bullet"/>
      <w:lvlText w:val=""/>
      <w:lvlJc w:val="left"/>
      <w:pPr>
        <w:ind w:left="36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B4F5E"/>
    <w:multiLevelType w:val="hybridMultilevel"/>
    <w:tmpl w:val="2B3C2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B510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236E66"/>
    <w:multiLevelType w:val="hybridMultilevel"/>
    <w:tmpl w:val="17C89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62925"/>
    <w:multiLevelType w:val="hybridMultilevel"/>
    <w:tmpl w:val="619E8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937C7F"/>
    <w:multiLevelType w:val="hybridMultilevel"/>
    <w:tmpl w:val="EAC2D8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DB6250"/>
    <w:multiLevelType w:val="hybridMultilevel"/>
    <w:tmpl w:val="A8E29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942D3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D854B11"/>
    <w:multiLevelType w:val="hybridMultilevel"/>
    <w:tmpl w:val="11123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F36472"/>
    <w:multiLevelType w:val="hybridMultilevel"/>
    <w:tmpl w:val="8E20DED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7">
    <w:nsid w:val="56C32C91"/>
    <w:multiLevelType w:val="hybridMultilevel"/>
    <w:tmpl w:val="E37CC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F5408D"/>
    <w:multiLevelType w:val="hybridMultilevel"/>
    <w:tmpl w:val="2B641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B54D2C"/>
    <w:multiLevelType w:val="multilevel"/>
    <w:tmpl w:val="E7DA1C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9534FDB"/>
    <w:multiLevelType w:val="hybridMultilevel"/>
    <w:tmpl w:val="BACA7E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B265F8"/>
    <w:multiLevelType w:val="multilevel"/>
    <w:tmpl w:val="7D9E7C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0AC37D6"/>
    <w:multiLevelType w:val="hybridMultilevel"/>
    <w:tmpl w:val="76088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740C3C4C"/>
    <w:multiLevelType w:val="hybridMultilevel"/>
    <w:tmpl w:val="C17E7DE4"/>
    <w:lvl w:ilvl="0" w:tplc="16180626">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0"/>
  </w:num>
  <w:num w:numId="3">
    <w:abstractNumId w:val="23"/>
  </w:num>
  <w:num w:numId="4">
    <w:abstractNumId w:val="7"/>
  </w:num>
  <w:num w:numId="5">
    <w:abstractNumId w:val="0"/>
  </w:num>
  <w:num w:numId="6">
    <w:abstractNumId w:val="3"/>
  </w:num>
  <w:num w:numId="7">
    <w:abstractNumId w:val="4"/>
  </w:num>
  <w:num w:numId="8">
    <w:abstractNumId w:val="17"/>
  </w:num>
  <w:num w:numId="9">
    <w:abstractNumId w:val="1"/>
  </w:num>
  <w:num w:numId="10">
    <w:abstractNumId w:val="12"/>
  </w:num>
  <w:num w:numId="11">
    <w:abstractNumId w:val="6"/>
  </w:num>
  <w:num w:numId="12">
    <w:abstractNumId w:val="16"/>
  </w:num>
  <w:num w:numId="13">
    <w:abstractNumId w:val="11"/>
  </w:num>
  <w:num w:numId="14">
    <w:abstractNumId w:val="18"/>
  </w:num>
  <w:num w:numId="15">
    <w:abstractNumId w:val="8"/>
  </w:num>
  <w:num w:numId="16">
    <w:abstractNumId w:val="22"/>
  </w:num>
  <w:num w:numId="17">
    <w:abstractNumId w:val="15"/>
  </w:num>
  <w:num w:numId="18">
    <w:abstractNumId w:val="13"/>
  </w:num>
  <w:num w:numId="19">
    <w:abstractNumId w:val="19"/>
  </w:num>
  <w:num w:numId="20">
    <w:abstractNumId w:val="9"/>
  </w:num>
  <w:num w:numId="21">
    <w:abstractNumId w:val="14"/>
  </w:num>
  <w:num w:numId="22">
    <w:abstractNumId w:val="21"/>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72"/>
    <w:rsid w:val="00000AF0"/>
    <w:rsid w:val="0000342B"/>
    <w:rsid w:val="00003FAA"/>
    <w:rsid w:val="00013665"/>
    <w:rsid w:val="00013CB3"/>
    <w:rsid w:val="0001417B"/>
    <w:rsid w:val="00014916"/>
    <w:rsid w:val="00025432"/>
    <w:rsid w:val="00026764"/>
    <w:rsid w:val="0003395E"/>
    <w:rsid w:val="00035BB8"/>
    <w:rsid w:val="0003646C"/>
    <w:rsid w:val="00040DFF"/>
    <w:rsid w:val="00043584"/>
    <w:rsid w:val="000448A9"/>
    <w:rsid w:val="00047DF9"/>
    <w:rsid w:val="00055BBE"/>
    <w:rsid w:val="000570B7"/>
    <w:rsid w:val="00061969"/>
    <w:rsid w:val="00067C03"/>
    <w:rsid w:val="00070727"/>
    <w:rsid w:val="00073C36"/>
    <w:rsid w:val="00076677"/>
    <w:rsid w:val="000825FA"/>
    <w:rsid w:val="00082DFB"/>
    <w:rsid w:val="0008753A"/>
    <w:rsid w:val="00087B90"/>
    <w:rsid w:val="000921ED"/>
    <w:rsid w:val="000A0D77"/>
    <w:rsid w:val="000A0E0E"/>
    <w:rsid w:val="000A12CA"/>
    <w:rsid w:val="000A132A"/>
    <w:rsid w:val="000A215E"/>
    <w:rsid w:val="000A400C"/>
    <w:rsid w:val="000A7F61"/>
    <w:rsid w:val="000B219E"/>
    <w:rsid w:val="000B21EE"/>
    <w:rsid w:val="000B635B"/>
    <w:rsid w:val="000B6D2D"/>
    <w:rsid w:val="000C1809"/>
    <w:rsid w:val="000C2F85"/>
    <w:rsid w:val="000C592D"/>
    <w:rsid w:val="000D0AB5"/>
    <w:rsid w:val="000D3076"/>
    <w:rsid w:val="000D6545"/>
    <w:rsid w:val="000D7533"/>
    <w:rsid w:val="000E02EF"/>
    <w:rsid w:val="000E242C"/>
    <w:rsid w:val="000E2D8A"/>
    <w:rsid w:val="000F1BFD"/>
    <w:rsid w:val="001114EB"/>
    <w:rsid w:val="00120984"/>
    <w:rsid w:val="0013169B"/>
    <w:rsid w:val="001347B6"/>
    <w:rsid w:val="00141538"/>
    <w:rsid w:val="001470B3"/>
    <w:rsid w:val="001473A5"/>
    <w:rsid w:val="001511FD"/>
    <w:rsid w:val="0015255F"/>
    <w:rsid w:val="00157661"/>
    <w:rsid w:val="00166CE1"/>
    <w:rsid w:val="00172DFC"/>
    <w:rsid w:val="001741B3"/>
    <w:rsid w:val="00174678"/>
    <w:rsid w:val="00177336"/>
    <w:rsid w:val="00177684"/>
    <w:rsid w:val="0018013E"/>
    <w:rsid w:val="00184D82"/>
    <w:rsid w:val="0018758C"/>
    <w:rsid w:val="001954C2"/>
    <w:rsid w:val="001A026E"/>
    <w:rsid w:val="001A345E"/>
    <w:rsid w:val="001A5954"/>
    <w:rsid w:val="001B3CA8"/>
    <w:rsid w:val="001B5A20"/>
    <w:rsid w:val="001C0690"/>
    <w:rsid w:val="001C1116"/>
    <w:rsid w:val="001D0064"/>
    <w:rsid w:val="001D0C6C"/>
    <w:rsid w:val="001D2334"/>
    <w:rsid w:val="001D61DF"/>
    <w:rsid w:val="001E4A7B"/>
    <w:rsid w:val="001E580E"/>
    <w:rsid w:val="001F0292"/>
    <w:rsid w:val="001F16D5"/>
    <w:rsid w:val="001F2315"/>
    <w:rsid w:val="001F5C75"/>
    <w:rsid w:val="001F744C"/>
    <w:rsid w:val="001F77A0"/>
    <w:rsid w:val="0020222B"/>
    <w:rsid w:val="00206E8D"/>
    <w:rsid w:val="002106C2"/>
    <w:rsid w:val="00211EF3"/>
    <w:rsid w:val="0021237F"/>
    <w:rsid w:val="002178ED"/>
    <w:rsid w:val="00217FC3"/>
    <w:rsid w:val="00233946"/>
    <w:rsid w:val="0023401E"/>
    <w:rsid w:val="002417B8"/>
    <w:rsid w:val="002511C5"/>
    <w:rsid w:val="00254100"/>
    <w:rsid w:val="00255969"/>
    <w:rsid w:val="0026286B"/>
    <w:rsid w:val="0026423B"/>
    <w:rsid w:val="002643BA"/>
    <w:rsid w:val="00264811"/>
    <w:rsid w:val="0026483A"/>
    <w:rsid w:val="00266E00"/>
    <w:rsid w:val="00270F50"/>
    <w:rsid w:val="00274440"/>
    <w:rsid w:val="00281033"/>
    <w:rsid w:val="00290E2B"/>
    <w:rsid w:val="0029511B"/>
    <w:rsid w:val="002A05F8"/>
    <w:rsid w:val="002A0F36"/>
    <w:rsid w:val="002B7AAF"/>
    <w:rsid w:val="002C20E2"/>
    <w:rsid w:val="002C4539"/>
    <w:rsid w:val="002C5F84"/>
    <w:rsid w:val="002C5FEE"/>
    <w:rsid w:val="002D0577"/>
    <w:rsid w:val="002D117E"/>
    <w:rsid w:val="002D2F99"/>
    <w:rsid w:val="002D2FA5"/>
    <w:rsid w:val="002D3A17"/>
    <w:rsid w:val="002D55B3"/>
    <w:rsid w:val="002E0E9F"/>
    <w:rsid w:val="002E37C3"/>
    <w:rsid w:val="002E6857"/>
    <w:rsid w:val="002E7609"/>
    <w:rsid w:val="002E78A0"/>
    <w:rsid w:val="002E7CC3"/>
    <w:rsid w:val="002F1FAF"/>
    <w:rsid w:val="002F2BE3"/>
    <w:rsid w:val="002F5B8A"/>
    <w:rsid w:val="002F6371"/>
    <w:rsid w:val="002F6BA5"/>
    <w:rsid w:val="002F6EBE"/>
    <w:rsid w:val="002F7003"/>
    <w:rsid w:val="00300878"/>
    <w:rsid w:val="00300A4C"/>
    <w:rsid w:val="00303411"/>
    <w:rsid w:val="00303834"/>
    <w:rsid w:val="0030585F"/>
    <w:rsid w:val="003063E0"/>
    <w:rsid w:val="003072C9"/>
    <w:rsid w:val="0030761E"/>
    <w:rsid w:val="00311D56"/>
    <w:rsid w:val="00317138"/>
    <w:rsid w:val="003230E2"/>
    <w:rsid w:val="00323504"/>
    <w:rsid w:val="003249DF"/>
    <w:rsid w:val="00334871"/>
    <w:rsid w:val="0033496E"/>
    <w:rsid w:val="00336401"/>
    <w:rsid w:val="003432A6"/>
    <w:rsid w:val="0034349F"/>
    <w:rsid w:val="00346079"/>
    <w:rsid w:val="00350F77"/>
    <w:rsid w:val="003539E7"/>
    <w:rsid w:val="00354946"/>
    <w:rsid w:val="00355D35"/>
    <w:rsid w:val="00357654"/>
    <w:rsid w:val="003628F8"/>
    <w:rsid w:val="003665C2"/>
    <w:rsid w:val="003670B5"/>
    <w:rsid w:val="00373092"/>
    <w:rsid w:val="00374EE9"/>
    <w:rsid w:val="003800C9"/>
    <w:rsid w:val="003806F4"/>
    <w:rsid w:val="00380E46"/>
    <w:rsid w:val="00381DDE"/>
    <w:rsid w:val="003864FB"/>
    <w:rsid w:val="003873C7"/>
    <w:rsid w:val="00387BE9"/>
    <w:rsid w:val="003A7A4D"/>
    <w:rsid w:val="003B0C12"/>
    <w:rsid w:val="003B0E7B"/>
    <w:rsid w:val="003B25E9"/>
    <w:rsid w:val="003B3F6D"/>
    <w:rsid w:val="003B5823"/>
    <w:rsid w:val="003B6111"/>
    <w:rsid w:val="003C6DF1"/>
    <w:rsid w:val="003D118D"/>
    <w:rsid w:val="003D2A55"/>
    <w:rsid w:val="003D7FBE"/>
    <w:rsid w:val="003E0A6F"/>
    <w:rsid w:val="003E2F21"/>
    <w:rsid w:val="003F593F"/>
    <w:rsid w:val="003F7D95"/>
    <w:rsid w:val="004026BB"/>
    <w:rsid w:val="0040329F"/>
    <w:rsid w:val="004049A8"/>
    <w:rsid w:val="004101EA"/>
    <w:rsid w:val="004132CD"/>
    <w:rsid w:val="00414136"/>
    <w:rsid w:val="0041566D"/>
    <w:rsid w:val="004175AA"/>
    <w:rsid w:val="00417F4E"/>
    <w:rsid w:val="00424679"/>
    <w:rsid w:val="00426E55"/>
    <w:rsid w:val="00427CEF"/>
    <w:rsid w:val="00430854"/>
    <w:rsid w:val="00430AC0"/>
    <w:rsid w:val="00431A61"/>
    <w:rsid w:val="00432AFA"/>
    <w:rsid w:val="00432B7E"/>
    <w:rsid w:val="00433E96"/>
    <w:rsid w:val="00443C3E"/>
    <w:rsid w:val="004445F7"/>
    <w:rsid w:val="00444BE8"/>
    <w:rsid w:val="004515AE"/>
    <w:rsid w:val="00455671"/>
    <w:rsid w:val="004626DF"/>
    <w:rsid w:val="00465136"/>
    <w:rsid w:val="00477FB8"/>
    <w:rsid w:val="004858F0"/>
    <w:rsid w:val="00485ACF"/>
    <w:rsid w:val="00485EDB"/>
    <w:rsid w:val="00486088"/>
    <w:rsid w:val="0049022A"/>
    <w:rsid w:val="00490B9A"/>
    <w:rsid w:val="00492A1C"/>
    <w:rsid w:val="00494AF8"/>
    <w:rsid w:val="00495394"/>
    <w:rsid w:val="00497683"/>
    <w:rsid w:val="004A0365"/>
    <w:rsid w:val="004A0E9D"/>
    <w:rsid w:val="004B11B5"/>
    <w:rsid w:val="004B15B6"/>
    <w:rsid w:val="004B2ABA"/>
    <w:rsid w:val="004B4552"/>
    <w:rsid w:val="004B6370"/>
    <w:rsid w:val="004B69F9"/>
    <w:rsid w:val="004C236C"/>
    <w:rsid w:val="004C59EB"/>
    <w:rsid w:val="004C65CE"/>
    <w:rsid w:val="004D1C67"/>
    <w:rsid w:val="004D2911"/>
    <w:rsid w:val="004D3170"/>
    <w:rsid w:val="004D5090"/>
    <w:rsid w:val="004D654A"/>
    <w:rsid w:val="004D68E1"/>
    <w:rsid w:val="004D7CB5"/>
    <w:rsid w:val="004E13A8"/>
    <w:rsid w:val="004E51D0"/>
    <w:rsid w:val="004F61A1"/>
    <w:rsid w:val="00501B7E"/>
    <w:rsid w:val="005021A0"/>
    <w:rsid w:val="005036FF"/>
    <w:rsid w:val="00503BBB"/>
    <w:rsid w:val="00504E7F"/>
    <w:rsid w:val="00513FC1"/>
    <w:rsid w:val="00515318"/>
    <w:rsid w:val="00525DE7"/>
    <w:rsid w:val="00530BC2"/>
    <w:rsid w:val="00533124"/>
    <w:rsid w:val="00540A0A"/>
    <w:rsid w:val="005469E8"/>
    <w:rsid w:val="0055029F"/>
    <w:rsid w:val="00562996"/>
    <w:rsid w:val="0056460A"/>
    <w:rsid w:val="005700B6"/>
    <w:rsid w:val="00580CF9"/>
    <w:rsid w:val="005871BF"/>
    <w:rsid w:val="005875B9"/>
    <w:rsid w:val="00590A9B"/>
    <w:rsid w:val="00592550"/>
    <w:rsid w:val="00593FB7"/>
    <w:rsid w:val="005B2AD0"/>
    <w:rsid w:val="005B3D59"/>
    <w:rsid w:val="005B6603"/>
    <w:rsid w:val="005B6BB8"/>
    <w:rsid w:val="005B762D"/>
    <w:rsid w:val="005C6BC5"/>
    <w:rsid w:val="005E1720"/>
    <w:rsid w:val="005E39B4"/>
    <w:rsid w:val="005F3D57"/>
    <w:rsid w:val="005F4D3D"/>
    <w:rsid w:val="00602FB4"/>
    <w:rsid w:val="00605EB9"/>
    <w:rsid w:val="00606101"/>
    <w:rsid w:val="006130AF"/>
    <w:rsid w:val="006153C0"/>
    <w:rsid w:val="0061686B"/>
    <w:rsid w:val="00620325"/>
    <w:rsid w:val="0062104B"/>
    <w:rsid w:val="00621AF0"/>
    <w:rsid w:val="00622201"/>
    <w:rsid w:val="00622420"/>
    <w:rsid w:val="00635378"/>
    <w:rsid w:val="00636AAF"/>
    <w:rsid w:val="00637251"/>
    <w:rsid w:val="00643F65"/>
    <w:rsid w:val="00646AED"/>
    <w:rsid w:val="00646E58"/>
    <w:rsid w:val="006478CB"/>
    <w:rsid w:val="00654DEF"/>
    <w:rsid w:val="00661D94"/>
    <w:rsid w:val="00662780"/>
    <w:rsid w:val="00667C58"/>
    <w:rsid w:val="00671388"/>
    <w:rsid w:val="006777F8"/>
    <w:rsid w:val="00680F11"/>
    <w:rsid w:val="00681198"/>
    <w:rsid w:val="0069596F"/>
    <w:rsid w:val="00696BC1"/>
    <w:rsid w:val="006970E6"/>
    <w:rsid w:val="006A2882"/>
    <w:rsid w:val="006A294F"/>
    <w:rsid w:val="006A2E6F"/>
    <w:rsid w:val="006A5E04"/>
    <w:rsid w:val="006A619C"/>
    <w:rsid w:val="006B0DF2"/>
    <w:rsid w:val="006B161A"/>
    <w:rsid w:val="006B4473"/>
    <w:rsid w:val="006B46D0"/>
    <w:rsid w:val="006B5115"/>
    <w:rsid w:val="006B777B"/>
    <w:rsid w:val="006C32D5"/>
    <w:rsid w:val="006C3761"/>
    <w:rsid w:val="006D0C86"/>
    <w:rsid w:val="006D44A2"/>
    <w:rsid w:val="006D48D2"/>
    <w:rsid w:val="006D59B3"/>
    <w:rsid w:val="006D6BD0"/>
    <w:rsid w:val="006D793A"/>
    <w:rsid w:val="006E0E58"/>
    <w:rsid w:val="006E0FAC"/>
    <w:rsid w:val="006E1586"/>
    <w:rsid w:val="006E6143"/>
    <w:rsid w:val="006E6C63"/>
    <w:rsid w:val="006E7A81"/>
    <w:rsid w:val="006E7A99"/>
    <w:rsid w:val="006F127C"/>
    <w:rsid w:val="006F1533"/>
    <w:rsid w:val="006F5B5E"/>
    <w:rsid w:val="00702CFD"/>
    <w:rsid w:val="00703663"/>
    <w:rsid w:val="00705AF8"/>
    <w:rsid w:val="00706B77"/>
    <w:rsid w:val="00711320"/>
    <w:rsid w:val="0071246A"/>
    <w:rsid w:val="00712D55"/>
    <w:rsid w:val="007149BE"/>
    <w:rsid w:val="007164B8"/>
    <w:rsid w:val="0072266D"/>
    <w:rsid w:val="00725B26"/>
    <w:rsid w:val="007260A1"/>
    <w:rsid w:val="007264B9"/>
    <w:rsid w:val="00727595"/>
    <w:rsid w:val="007307B1"/>
    <w:rsid w:val="00732735"/>
    <w:rsid w:val="007364EF"/>
    <w:rsid w:val="00740166"/>
    <w:rsid w:val="0074057C"/>
    <w:rsid w:val="00741281"/>
    <w:rsid w:val="007424B9"/>
    <w:rsid w:val="00744F81"/>
    <w:rsid w:val="00745569"/>
    <w:rsid w:val="00745738"/>
    <w:rsid w:val="00747245"/>
    <w:rsid w:val="007503F6"/>
    <w:rsid w:val="007528B0"/>
    <w:rsid w:val="00762EFF"/>
    <w:rsid w:val="007631C5"/>
    <w:rsid w:val="007671F6"/>
    <w:rsid w:val="00770FE9"/>
    <w:rsid w:val="007720B3"/>
    <w:rsid w:val="00772F5A"/>
    <w:rsid w:val="00774405"/>
    <w:rsid w:val="0077680D"/>
    <w:rsid w:val="0078027B"/>
    <w:rsid w:val="007810C6"/>
    <w:rsid w:val="007912E3"/>
    <w:rsid w:val="0079509F"/>
    <w:rsid w:val="007954A9"/>
    <w:rsid w:val="007957BD"/>
    <w:rsid w:val="0079615D"/>
    <w:rsid w:val="00796AF3"/>
    <w:rsid w:val="00796B61"/>
    <w:rsid w:val="0079729C"/>
    <w:rsid w:val="007A467B"/>
    <w:rsid w:val="007A4A91"/>
    <w:rsid w:val="007B21CA"/>
    <w:rsid w:val="007B34CD"/>
    <w:rsid w:val="007B3ED5"/>
    <w:rsid w:val="007B55E5"/>
    <w:rsid w:val="007B70F9"/>
    <w:rsid w:val="007B7793"/>
    <w:rsid w:val="007C1B96"/>
    <w:rsid w:val="007C34D5"/>
    <w:rsid w:val="007C355A"/>
    <w:rsid w:val="007D006F"/>
    <w:rsid w:val="007D2508"/>
    <w:rsid w:val="007D698E"/>
    <w:rsid w:val="007E001A"/>
    <w:rsid w:val="007E79F8"/>
    <w:rsid w:val="007E7D66"/>
    <w:rsid w:val="007F0EAA"/>
    <w:rsid w:val="007F21A7"/>
    <w:rsid w:val="007F2670"/>
    <w:rsid w:val="00805B3C"/>
    <w:rsid w:val="008065B1"/>
    <w:rsid w:val="00811708"/>
    <w:rsid w:val="00812B96"/>
    <w:rsid w:val="00814D26"/>
    <w:rsid w:val="008206CB"/>
    <w:rsid w:val="00825D4A"/>
    <w:rsid w:val="00832DB4"/>
    <w:rsid w:val="00832FE5"/>
    <w:rsid w:val="00834C09"/>
    <w:rsid w:val="00836526"/>
    <w:rsid w:val="008421D4"/>
    <w:rsid w:val="00842788"/>
    <w:rsid w:val="008432F3"/>
    <w:rsid w:val="00843FE8"/>
    <w:rsid w:val="008473D2"/>
    <w:rsid w:val="00847F49"/>
    <w:rsid w:val="008569CE"/>
    <w:rsid w:val="008651D8"/>
    <w:rsid w:val="00865E3B"/>
    <w:rsid w:val="008751AC"/>
    <w:rsid w:val="00885783"/>
    <w:rsid w:val="0088664D"/>
    <w:rsid w:val="00886EE0"/>
    <w:rsid w:val="00887162"/>
    <w:rsid w:val="00890688"/>
    <w:rsid w:val="00893AE7"/>
    <w:rsid w:val="00894B78"/>
    <w:rsid w:val="008A489E"/>
    <w:rsid w:val="008A4D1B"/>
    <w:rsid w:val="008A6691"/>
    <w:rsid w:val="008A6EA8"/>
    <w:rsid w:val="008B1B91"/>
    <w:rsid w:val="008B3776"/>
    <w:rsid w:val="008B4CA0"/>
    <w:rsid w:val="008B5184"/>
    <w:rsid w:val="008B6C6C"/>
    <w:rsid w:val="008C0A85"/>
    <w:rsid w:val="008C0F64"/>
    <w:rsid w:val="008C2BB0"/>
    <w:rsid w:val="008C63DA"/>
    <w:rsid w:val="008C6A17"/>
    <w:rsid w:val="008D3C2D"/>
    <w:rsid w:val="008D3E8D"/>
    <w:rsid w:val="008D4145"/>
    <w:rsid w:val="008D55D9"/>
    <w:rsid w:val="008E222A"/>
    <w:rsid w:val="008E2860"/>
    <w:rsid w:val="008F43DA"/>
    <w:rsid w:val="008F46E9"/>
    <w:rsid w:val="008F49C8"/>
    <w:rsid w:val="008F53FC"/>
    <w:rsid w:val="008F62C2"/>
    <w:rsid w:val="00902C85"/>
    <w:rsid w:val="00904BDC"/>
    <w:rsid w:val="00910D4E"/>
    <w:rsid w:val="0091333B"/>
    <w:rsid w:val="00915EB3"/>
    <w:rsid w:val="00916044"/>
    <w:rsid w:val="009163A3"/>
    <w:rsid w:val="00916777"/>
    <w:rsid w:val="00921900"/>
    <w:rsid w:val="0092235C"/>
    <w:rsid w:val="00923A04"/>
    <w:rsid w:val="00927724"/>
    <w:rsid w:val="00935552"/>
    <w:rsid w:val="00941E50"/>
    <w:rsid w:val="009436C7"/>
    <w:rsid w:val="009451D2"/>
    <w:rsid w:val="009456A1"/>
    <w:rsid w:val="00952EE1"/>
    <w:rsid w:val="00960192"/>
    <w:rsid w:val="0096240C"/>
    <w:rsid w:val="009640EF"/>
    <w:rsid w:val="00974937"/>
    <w:rsid w:val="00976C07"/>
    <w:rsid w:val="009809B9"/>
    <w:rsid w:val="00983846"/>
    <w:rsid w:val="00983A39"/>
    <w:rsid w:val="009850FC"/>
    <w:rsid w:val="009904C4"/>
    <w:rsid w:val="00990F71"/>
    <w:rsid w:val="00993089"/>
    <w:rsid w:val="0099383A"/>
    <w:rsid w:val="009A1815"/>
    <w:rsid w:val="009A6E36"/>
    <w:rsid w:val="009A704A"/>
    <w:rsid w:val="009B0863"/>
    <w:rsid w:val="009B3FDF"/>
    <w:rsid w:val="009B6D6A"/>
    <w:rsid w:val="009C187C"/>
    <w:rsid w:val="009C3C90"/>
    <w:rsid w:val="009E1FC4"/>
    <w:rsid w:val="009E3935"/>
    <w:rsid w:val="009E63F6"/>
    <w:rsid w:val="009F488B"/>
    <w:rsid w:val="009F5248"/>
    <w:rsid w:val="009F5F63"/>
    <w:rsid w:val="009F68CC"/>
    <w:rsid w:val="00A00902"/>
    <w:rsid w:val="00A03CC6"/>
    <w:rsid w:val="00A07706"/>
    <w:rsid w:val="00A11B6E"/>
    <w:rsid w:val="00A1407D"/>
    <w:rsid w:val="00A24AA1"/>
    <w:rsid w:val="00A26431"/>
    <w:rsid w:val="00A277E5"/>
    <w:rsid w:val="00A32489"/>
    <w:rsid w:val="00A37E0A"/>
    <w:rsid w:val="00A4214C"/>
    <w:rsid w:val="00A43188"/>
    <w:rsid w:val="00A43209"/>
    <w:rsid w:val="00A44E02"/>
    <w:rsid w:val="00A45080"/>
    <w:rsid w:val="00A450C2"/>
    <w:rsid w:val="00A45FFF"/>
    <w:rsid w:val="00A53434"/>
    <w:rsid w:val="00A55F71"/>
    <w:rsid w:val="00A56518"/>
    <w:rsid w:val="00A64E58"/>
    <w:rsid w:val="00A653D0"/>
    <w:rsid w:val="00A66A41"/>
    <w:rsid w:val="00A70045"/>
    <w:rsid w:val="00A7736E"/>
    <w:rsid w:val="00A80190"/>
    <w:rsid w:val="00A8652F"/>
    <w:rsid w:val="00A90ACD"/>
    <w:rsid w:val="00AA3020"/>
    <w:rsid w:val="00AA316C"/>
    <w:rsid w:val="00AA3BBA"/>
    <w:rsid w:val="00AA3ED4"/>
    <w:rsid w:val="00AA48E3"/>
    <w:rsid w:val="00AA4D2C"/>
    <w:rsid w:val="00AA6B25"/>
    <w:rsid w:val="00AB3EB3"/>
    <w:rsid w:val="00AB6E8D"/>
    <w:rsid w:val="00AC29EE"/>
    <w:rsid w:val="00AC49A6"/>
    <w:rsid w:val="00AC584B"/>
    <w:rsid w:val="00AD6388"/>
    <w:rsid w:val="00AE0BFF"/>
    <w:rsid w:val="00AF3CD0"/>
    <w:rsid w:val="00AF4765"/>
    <w:rsid w:val="00AF543E"/>
    <w:rsid w:val="00B038F7"/>
    <w:rsid w:val="00B040B8"/>
    <w:rsid w:val="00B14F3F"/>
    <w:rsid w:val="00B16DCC"/>
    <w:rsid w:val="00B17C31"/>
    <w:rsid w:val="00B26551"/>
    <w:rsid w:val="00B3329E"/>
    <w:rsid w:val="00B37F6D"/>
    <w:rsid w:val="00B427A0"/>
    <w:rsid w:val="00B43062"/>
    <w:rsid w:val="00B440EE"/>
    <w:rsid w:val="00B44F9A"/>
    <w:rsid w:val="00B45B85"/>
    <w:rsid w:val="00B46297"/>
    <w:rsid w:val="00B470BF"/>
    <w:rsid w:val="00B4786F"/>
    <w:rsid w:val="00B5010A"/>
    <w:rsid w:val="00B50138"/>
    <w:rsid w:val="00B53F8B"/>
    <w:rsid w:val="00B5421A"/>
    <w:rsid w:val="00B54BCD"/>
    <w:rsid w:val="00B55AAE"/>
    <w:rsid w:val="00B62C22"/>
    <w:rsid w:val="00B72560"/>
    <w:rsid w:val="00B778CF"/>
    <w:rsid w:val="00B81EF9"/>
    <w:rsid w:val="00B8427D"/>
    <w:rsid w:val="00B851E6"/>
    <w:rsid w:val="00B9295C"/>
    <w:rsid w:val="00B93ACF"/>
    <w:rsid w:val="00B96467"/>
    <w:rsid w:val="00BA0CDC"/>
    <w:rsid w:val="00BB32FA"/>
    <w:rsid w:val="00BB5B69"/>
    <w:rsid w:val="00BB726B"/>
    <w:rsid w:val="00BC1299"/>
    <w:rsid w:val="00BC54AE"/>
    <w:rsid w:val="00BC5F35"/>
    <w:rsid w:val="00BC64D6"/>
    <w:rsid w:val="00BC713E"/>
    <w:rsid w:val="00BD2826"/>
    <w:rsid w:val="00BD2F19"/>
    <w:rsid w:val="00BD5FA3"/>
    <w:rsid w:val="00BD62DB"/>
    <w:rsid w:val="00BF095C"/>
    <w:rsid w:val="00BF10BD"/>
    <w:rsid w:val="00BF12A0"/>
    <w:rsid w:val="00BF2B80"/>
    <w:rsid w:val="00BF40DE"/>
    <w:rsid w:val="00BF4942"/>
    <w:rsid w:val="00BF54FD"/>
    <w:rsid w:val="00BF5860"/>
    <w:rsid w:val="00BF6797"/>
    <w:rsid w:val="00BF6849"/>
    <w:rsid w:val="00C06582"/>
    <w:rsid w:val="00C11080"/>
    <w:rsid w:val="00C1372A"/>
    <w:rsid w:val="00C21267"/>
    <w:rsid w:val="00C2301F"/>
    <w:rsid w:val="00C2784F"/>
    <w:rsid w:val="00C32302"/>
    <w:rsid w:val="00C420E2"/>
    <w:rsid w:val="00C4552F"/>
    <w:rsid w:val="00C45ABF"/>
    <w:rsid w:val="00C56799"/>
    <w:rsid w:val="00C56C89"/>
    <w:rsid w:val="00C6113E"/>
    <w:rsid w:val="00C62F64"/>
    <w:rsid w:val="00C65656"/>
    <w:rsid w:val="00C6635D"/>
    <w:rsid w:val="00C755C5"/>
    <w:rsid w:val="00C7677F"/>
    <w:rsid w:val="00C7707D"/>
    <w:rsid w:val="00C84664"/>
    <w:rsid w:val="00C847EE"/>
    <w:rsid w:val="00C856C5"/>
    <w:rsid w:val="00C861CF"/>
    <w:rsid w:val="00C8673D"/>
    <w:rsid w:val="00C87734"/>
    <w:rsid w:val="00C90794"/>
    <w:rsid w:val="00C91343"/>
    <w:rsid w:val="00C94A5C"/>
    <w:rsid w:val="00C94ED8"/>
    <w:rsid w:val="00CA4A20"/>
    <w:rsid w:val="00CA7C72"/>
    <w:rsid w:val="00CB1C6D"/>
    <w:rsid w:val="00CB2C56"/>
    <w:rsid w:val="00CB2FEC"/>
    <w:rsid w:val="00CB4D2C"/>
    <w:rsid w:val="00CB6571"/>
    <w:rsid w:val="00CC09C9"/>
    <w:rsid w:val="00CC0D78"/>
    <w:rsid w:val="00CC6EB1"/>
    <w:rsid w:val="00CD52EA"/>
    <w:rsid w:val="00CD64DD"/>
    <w:rsid w:val="00CD7EF0"/>
    <w:rsid w:val="00CE15BF"/>
    <w:rsid w:val="00CE4FB1"/>
    <w:rsid w:val="00CE58C8"/>
    <w:rsid w:val="00CE6481"/>
    <w:rsid w:val="00CE7E6A"/>
    <w:rsid w:val="00CE7F2A"/>
    <w:rsid w:val="00CF2253"/>
    <w:rsid w:val="00CF4853"/>
    <w:rsid w:val="00CF6648"/>
    <w:rsid w:val="00D025AD"/>
    <w:rsid w:val="00D034FA"/>
    <w:rsid w:val="00D06526"/>
    <w:rsid w:val="00D253EC"/>
    <w:rsid w:val="00D26331"/>
    <w:rsid w:val="00D34989"/>
    <w:rsid w:val="00D40286"/>
    <w:rsid w:val="00D41B3E"/>
    <w:rsid w:val="00D4290F"/>
    <w:rsid w:val="00D458DD"/>
    <w:rsid w:val="00D45ACA"/>
    <w:rsid w:val="00D46124"/>
    <w:rsid w:val="00D473AE"/>
    <w:rsid w:val="00D51640"/>
    <w:rsid w:val="00D54C2C"/>
    <w:rsid w:val="00D643D5"/>
    <w:rsid w:val="00D71100"/>
    <w:rsid w:val="00D72A1C"/>
    <w:rsid w:val="00D80EB7"/>
    <w:rsid w:val="00D81865"/>
    <w:rsid w:val="00D9230A"/>
    <w:rsid w:val="00D92ABD"/>
    <w:rsid w:val="00D9370F"/>
    <w:rsid w:val="00D9436E"/>
    <w:rsid w:val="00DA0891"/>
    <w:rsid w:val="00DA1AA0"/>
    <w:rsid w:val="00DA3362"/>
    <w:rsid w:val="00DA4C17"/>
    <w:rsid w:val="00DB38E7"/>
    <w:rsid w:val="00DB392E"/>
    <w:rsid w:val="00DB4291"/>
    <w:rsid w:val="00DB5D09"/>
    <w:rsid w:val="00DB723E"/>
    <w:rsid w:val="00DB79E5"/>
    <w:rsid w:val="00DC1D10"/>
    <w:rsid w:val="00DC513E"/>
    <w:rsid w:val="00DD3459"/>
    <w:rsid w:val="00DD4DFB"/>
    <w:rsid w:val="00DE29C9"/>
    <w:rsid w:val="00DE7A8A"/>
    <w:rsid w:val="00DF0ABB"/>
    <w:rsid w:val="00DF50F5"/>
    <w:rsid w:val="00DF5935"/>
    <w:rsid w:val="00E044E7"/>
    <w:rsid w:val="00E06388"/>
    <w:rsid w:val="00E06BDF"/>
    <w:rsid w:val="00E1026F"/>
    <w:rsid w:val="00E1206A"/>
    <w:rsid w:val="00E20222"/>
    <w:rsid w:val="00E2202F"/>
    <w:rsid w:val="00E24BD7"/>
    <w:rsid w:val="00E24F0B"/>
    <w:rsid w:val="00E259E1"/>
    <w:rsid w:val="00E263F4"/>
    <w:rsid w:val="00E33011"/>
    <w:rsid w:val="00E336C7"/>
    <w:rsid w:val="00E33733"/>
    <w:rsid w:val="00E3633F"/>
    <w:rsid w:val="00E372E9"/>
    <w:rsid w:val="00E525BE"/>
    <w:rsid w:val="00E54CA7"/>
    <w:rsid w:val="00E566EC"/>
    <w:rsid w:val="00E62350"/>
    <w:rsid w:val="00E634B9"/>
    <w:rsid w:val="00E6428D"/>
    <w:rsid w:val="00E7010B"/>
    <w:rsid w:val="00E704A5"/>
    <w:rsid w:val="00E7099B"/>
    <w:rsid w:val="00E7740E"/>
    <w:rsid w:val="00E93982"/>
    <w:rsid w:val="00E94415"/>
    <w:rsid w:val="00E9451B"/>
    <w:rsid w:val="00EA12E9"/>
    <w:rsid w:val="00EA40AE"/>
    <w:rsid w:val="00EA6419"/>
    <w:rsid w:val="00EA6B7B"/>
    <w:rsid w:val="00EA7883"/>
    <w:rsid w:val="00EB31F7"/>
    <w:rsid w:val="00EB399B"/>
    <w:rsid w:val="00EB5E6F"/>
    <w:rsid w:val="00EB607E"/>
    <w:rsid w:val="00EC01ED"/>
    <w:rsid w:val="00EC60F9"/>
    <w:rsid w:val="00ED5CF7"/>
    <w:rsid w:val="00ED6155"/>
    <w:rsid w:val="00ED6A20"/>
    <w:rsid w:val="00ED724B"/>
    <w:rsid w:val="00EE67AA"/>
    <w:rsid w:val="00EE691B"/>
    <w:rsid w:val="00EF62D2"/>
    <w:rsid w:val="00EF70F1"/>
    <w:rsid w:val="00F0088C"/>
    <w:rsid w:val="00F01039"/>
    <w:rsid w:val="00F01BCF"/>
    <w:rsid w:val="00F02752"/>
    <w:rsid w:val="00F02808"/>
    <w:rsid w:val="00F05652"/>
    <w:rsid w:val="00F056DB"/>
    <w:rsid w:val="00F05D19"/>
    <w:rsid w:val="00F05DA8"/>
    <w:rsid w:val="00F06D73"/>
    <w:rsid w:val="00F07EA1"/>
    <w:rsid w:val="00F11B1C"/>
    <w:rsid w:val="00F1605D"/>
    <w:rsid w:val="00F22AB0"/>
    <w:rsid w:val="00F24D6D"/>
    <w:rsid w:val="00F2596C"/>
    <w:rsid w:val="00F27820"/>
    <w:rsid w:val="00F34EEA"/>
    <w:rsid w:val="00F369EE"/>
    <w:rsid w:val="00F40E5C"/>
    <w:rsid w:val="00F41E3A"/>
    <w:rsid w:val="00F46E52"/>
    <w:rsid w:val="00F50D1D"/>
    <w:rsid w:val="00F51E76"/>
    <w:rsid w:val="00F571C7"/>
    <w:rsid w:val="00F627C4"/>
    <w:rsid w:val="00F63050"/>
    <w:rsid w:val="00F663D1"/>
    <w:rsid w:val="00F66514"/>
    <w:rsid w:val="00F674C0"/>
    <w:rsid w:val="00F7024C"/>
    <w:rsid w:val="00F708FA"/>
    <w:rsid w:val="00F74752"/>
    <w:rsid w:val="00F81619"/>
    <w:rsid w:val="00F84005"/>
    <w:rsid w:val="00F863A0"/>
    <w:rsid w:val="00F87712"/>
    <w:rsid w:val="00F9616A"/>
    <w:rsid w:val="00FA60F8"/>
    <w:rsid w:val="00FB0841"/>
    <w:rsid w:val="00FB7D2C"/>
    <w:rsid w:val="00FC5E72"/>
    <w:rsid w:val="00FC7875"/>
    <w:rsid w:val="00FD55AF"/>
    <w:rsid w:val="00FD60C3"/>
    <w:rsid w:val="00FD7A15"/>
    <w:rsid w:val="00FD7C7B"/>
    <w:rsid w:val="00FD7DD4"/>
    <w:rsid w:val="00FE16B5"/>
    <w:rsid w:val="00FE1769"/>
    <w:rsid w:val="00FE1CFD"/>
    <w:rsid w:val="00FE4F4B"/>
    <w:rsid w:val="00FE53C4"/>
    <w:rsid w:val="00FE5BEC"/>
    <w:rsid w:val="00FE6184"/>
    <w:rsid w:val="00FE7A39"/>
    <w:rsid w:val="00FF2922"/>
    <w:rsid w:val="00FF4CFB"/>
    <w:rsid w:val="00FF5427"/>
    <w:rsid w:val="00FF5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C72"/>
    <w:rPr>
      <w:sz w:val="16"/>
      <w:szCs w:val="16"/>
    </w:rPr>
  </w:style>
  <w:style w:type="paragraph" w:styleId="CommentText">
    <w:name w:val="annotation text"/>
    <w:basedOn w:val="Normal"/>
    <w:link w:val="CommentTextChar"/>
    <w:uiPriority w:val="99"/>
    <w:unhideWhenUsed/>
    <w:rsid w:val="00CA7C72"/>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A7C7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CA7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72"/>
    <w:rPr>
      <w:rFonts w:ascii="Tahoma" w:hAnsi="Tahoma" w:cs="Tahoma"/>
      <w:sz w:val="16"/>
      <w:szCs w:val="16"/>
    </w:rPr>
  </w:style>
  <w:style w:type="paragraph" w:customStyle="1" w:styleId="Paragraph">
    <w:name w:val="Paragraph"/>
    <w:basedOn w:val="Normal"/>
    <w:rsid w:val="001F5C75"/>
    <w:pPr>
      <w:numPr>
        <w:ilvl w:val="12"/>
      </w:numPr>
      <w:spacing w:before="240" w:after="0" w:line="240" w:lineRule="auto"/>
    </w:pPr>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0A0D7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D77"/>
    <w:rPr>
      <w:rFonts w:ascii="Times New Roman" w:eastAsia="Calibri" w:hAnsi="Times New Roman" w:cs="Times New Roman"/>
      <w:b/>
      <w:bCs/>
      <w:sz w:val="20"/>
      <w:szCs w:val="20"/>
    </w:rPr>
  </w:style>
  <w:style w:type="paragraph" w:styleId="ListParagraph">
    <w:name w:val="List Paragraph"/>
    <w:basedOn w:val="Normal"/>
    <w:link w:val="ListParagraphChar"/>
    <w:uiPriority w:val="34"/>
    <w:qFormat/>
    <w:rsid w:val="003B5823"/>
    <w:pPr>
      <w:ind w:left="720"/>
      <w:contextualSpacing/>
    </w:pPr>
  </w:style>
  <w:style w:type="paragraph" w:customStyle="1" w:styleId="Celltext">
    <w:name w:val="Cell text"/>
    <w:basedOn w:val="Normal"/>
    <w:link w:val="CelltextChar"/>
    <w:rsid w:val="00805B3C"/>
    <w:pPr>
      <w:spacing w:before="12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3B25E9"/>
    <w:pPr>
      <w:spacing w:after="0" w:line="240" w:lineRule="auto"/>
    </w:pPr>
  </w:style>
  <w:style w:type="paragraph" w:customStyle="1" w:styleId="notedraft">
    <w:name w:val="note(draft)"/>
    <w:aliases w:val="nd"/>
    <w:basedOn w:val="Normal"/>
    <w:uiPriority w:val="99"/>
    <w:rsid w:val="00AC49A6"/>
    <w:pPr>
      <w:spacing w:before="240" w:after="0" w:line="240" w:lineRule="auto"/>
      <w:ind w:left="284" w:hanging="284"/>
    </w:pPr>
    <w:rPr>
      <w:rFonts w:ascii="Times New Roman" w:hAnsi="Times New Roman" w:cs="Times New Roman"/>
      <w:i/>
      <w:iCs/>
      <w:sz w:val="24"/>
      <w:szCs w:val="24"/>
      <w:lang w:eastAsia="en-AU"/>
    </w:rPr>
  </w:style>
  <w:style w:type="character" w:customStyle="1" w:styleId="ListParagraphChar">
    <w:name w:val="List Paragraph Char"/>
    <w:basedOn w:val="DefaultParagraphFont"/>
    <w:link w:val="ListParagraph"/>
    <w:uiPriority w:val="34"/>
    <w:locked/>
    <w:rsid w:val="00CD64DD"/>
  </w:style>
  <w:style w:type="character" w:customStyle="1" w:styleId="CelltextChar">
    <w:name w:val="Cell text Char"/>
    <w:basedOn w:val="DefaultParagraphFont"/>
    <w:link w:val="Celltext"/>
    <w:rsid w:val="002C4539"/>
    <w:rPr>
      <w:rFonts w:ascii="Times New Roman" w:eastAsia="Times New Roman" w:hAnsi="Times New Roman" w:cs="Times New Roman"/>
      <w:sz w:val="24"/>
      <w:szCs w:val="20"/>
      <w:lang w:eastAsia="en-AU"/>
    </w:rPr>
  </w:style>
  <w:style w:type="character" w:customStyle="1" w:styleId="apple-converted-space">
    <w:name w:val="apple-converted-space"/>
    <w:basedOn w:val="DefaultParagraphFont"/>
    <w:rsid w:val="007E001A"/>
  </w:style>
  <w:style w:type="character" w:styleId="Hyperlink">
    <w:name w:val="Hyperlink"/>
    <w:basedOn w:val="DefaultParagraphFont"/>
    <w:uiPriority w:val="99"/>
    <w:unhideWhenUsed/>
    <w:rsid w:val="006F15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C72"/>
    <w:rPr>
      <w:sz w:val="16"/>
      <w:szCs w:val="16"/>
    </w:rPr>
  </w:style>
  <w:style w:type="paragraph" w:styleId="CommentText">
    <w:name w:val="annotation text"/>
    <w:basedOn w:val="Normal"/>
    <w:link w:val="CommentTextChar"/>
    <w:uiPriority w:val="99"/>
    <w:unhideWhenUsed/>
    <w:rsid w:val="00CA7C72"/>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A7C7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CA7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72"/>
    <w:rPr>
      <w:rFonts w:ascii="Tahoma" w:hAnsi="Tahoma" w:cs="Tahoma"/>
      <w:sz w:val="16"/>
      <w:szCs w:val="16"/>
    </w:rPr>
  </w:style>
  <w:style w:type="paragraph" w:customStyle="1" w:styleId="Paragraph">
    <w:name w:val="Paragraph"/>
    <w:basedOn w:val="Normal"/>
    <w:rsid w:val="001F5C75"/>
    <w:pPr>
      <w:numPr>
        <w:ilvl w:val="12"/>
      </w:numPr>
      <w:spacing w:before="240" w:after="0" w:line="240" w:lineRule="auto"/>
    </w:pPr>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0A0D7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D77"/>
    <w:rPr>
      <w:rFonts w:ascii="Times New Roman" w:eastAsia="Calibri" w:hAnsi="Times New Roman" w:cs="Times New Roman"/>
      <w:b/>
      <w:bCs/>
      <w:sz w:val="20"/>
      <w:szCs w:val="20"/>
    </w:rPr>
  </w:style>
  <w:style w:type="paragraph" w:styleId="ListParagraph">
    <w:name w:val="List Paragraph"/>
    <w:basedOn w:val="Normal"/>
    <w:link w:val="ListParagraphChar"/>
    <w:uiPriority w:val="34"/>
    <w:qFormat/>
    <w:rsid w:val="003B5823"/>
    <w:pPr>
      <w:ind w:left="720"/>
      <w:contextualSpacing/>
    </w:pPr>
  </w:style>
  <w:style w:type="paragraph" w:customStyle="1" w:styleId="Celltext">
    <w:name w:val="Cell text"/>
    <w:basedOn w:val="Normal"/>
    <w:link w:val="CelltextChar"/>
    <w:rsid w:val="00805B3C"/>
    <w:pPr>
      <w:spacing w:before="12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3B25E9"/>
    <w:pPr>
      <w:spacing w:after="0" w:line="240" w:lineRule="auto"/>
    </w:pPr>
  </w:style>
  <w:style w:type="paragraph" w:customStyle="1" w:styleId="notedraft">
    <w:name w:val="note(draft)"/>
    <w:aliases w:val="nd"/>
    <w:basedOn w:val="Normal"/>
    <w:uiPriority w:val="99"/>
    <w:rsid w:val="00AC49A6"/>
    <w:pPr>
      <w:spacing w:before="240" w:after="0" w:line="240" w:lineRule="auto"/>
      <w:ind w:left="284" w:hanging="284"/>
    </w:pPr>
    <w:rPr>
      <w:rFonts w:ascii="Times New Roman" w:hAnsi="Times New Roman" w:cs="Times New Roman"/>
      <w:i/>
      <w:iCs/>
      <w:sz w:val="24"/>
      <w:szCs w:val="24"/>
      <w:lang w:eastAsia="en-AU"/>
    </w:rPr>
  </w:style>
  <w:style w:type="character" w:customStyle="1" w:styleId="ListParagraphChar">
    <w:name w:val="List Paragraph Char"/>
    <w:basedOn w:val="DefaultParagraphFont"/>
    <w:link w:val="ListParagraph"/>
    <w:uiPriority w:val="34"/>
    <w:locked/>
    <w:rsid w:val="00CD64DD"/>
  </w:style>
  <w:style w:type="character" w:customStyle="1" w:styleId="CelltextChar">
    <w:name w:val="Cell text Char"/>
    <w:basedOn w:val="DefaultParagraphFont"/>
    <w:link w:val="Celltext"/>
    <w:rsid w:val="002C4539"/>
    <w:rPr>
      <w:rFonts w:ascii="Times New Roman" w:eastAsia="Times New Roman" w:hAnsi="Times New Roman" w:cs="Times New Roman"/>
      <w:sz w:val="24"/>
      <w:szCs w:val="20"/>
      <w:lang w:eastAsia="en-AU"/>
    </w:rPr>
  </w:style>
  <w:style w:type="character" w:customStyle="1" w:styleId="apple-converted-space">
    <w:name w:val="apple-converted-space"/>
    <w:basedOn w:val="DefaultParagraphFont"/>
    <w:rsid w:val="007E001A"/>
  </w:style>
  <w:style w:type="character" w:styleId="Hyperlink">
    <w:name w:val="Hyperlink"/>
    <w:basedOn w:val="DefaultParagraphFont"/>
    <w:uiPriority w:val="99"/>
    <w:unhideWhenUsed/>
    <w:rsid w:val="006F15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49">
      <w:bodyDiv w:val="1"/>
      <w:marLeft w:val="0"/>
      <w:marRight w:val="0"/>
      <w:marTop w:val="0"/>
      <w:marBottom w:val="0"/>
      <w:divBdr>
        <w:top w:val="none" w:sz="0" w:space="0" w:color="auto"/>
        <w:left w:val="none" w:sz="0" w:space="0" w:color="auto"/>
        <w:bottom w:val="none" w:sz="0" w:space="0" w:color="auto"/>
        <w:right w:val="none" w:sz="0" w:space="0" w:color="auto"/>
      </w:divBdr>
    </w:div>
    <w:div w:id="167066820">
      <w:bodyDiv w:val="1"/>
      <w:marLeft w:val="0"/>
      <w:marRight w:val="0"/>
      <w:marTop w:val="0"/>
      <w:marBottom w:val="0"/>
      <w:divBdr>
        <w:top w:val="none" w:sz="0" w:space="0" w:color="auto"/>
        <w:left w:val="none" w:sz="0" w:space="0" w:color="auto"/>
        <w:bottom w:val="none" w:sz="0" w:space="0" w:color="auto"/>
        <w:right w:val="none" w:sz="0" w:space="0" w:color="auto"/>
      </w:divBdr>
    </w:div>
    <w:div w:id="206643383">
      <w:bodyDiv w:val="1"/>
      <w:marLeft w:val="0"/>
      <w:marRight w:val="0"/>
      <w:marTop w:val="0"/>
      <w:marBottom w:val="0"/>
      <w:divBdr>
        <w:top w:val="none" w:sz="0" w:space="0" w:color="auto"/>
        <w:left w:val="none" w:sz="0" w:space="0" w:color="auto"/>
        <w:bottom w:val="none" w:sz="0" w:space="0" w:color="auto"/>
        <w:right w:val="none" w:sz="0" w:space="0" w:color="auto"/>
      </w:divBdr>
    </w:div>
    <w:div w:id="249318327">
      <w:bodyDiv w:val="1"/>
      <w:marLeft w:val="0"/>
      <w:marRight w:val="0"/>
      <w:marTop w:val="0"/>
      <w:marBottom w:val="0"/>
      <w:divBdr>
        <w:top w:val="none" w:sz="0" w:space="0" w:color="auto"/>
        <w:left w:val="none" w:sz="0" w:space="0" w:color="auto"/>
        <w:bottom w:val="none" w:sz="0" w:space="0" w:color="auto"/>
        <w:right w:val="none" w:sz="0" w:space="0" w:color="auto"/>
      </w:divBdr>
    </w:div>
    <w:div w:id="333414263">
      <w:bodyDiv w:val="1"/>
      <w:marLeft w:val="0"/>
      <w:marRight w:val="0"/>
      <w:marTop w:val="0"/>
      <w:marBottom w:val="0"/>
      <w:divBdr>
        <w:top w:val="none" w:sz="0" w:space="0" w:color="auto"/>
        <w:left w:val="none" w:sz="0" w:space="0" w:color="auto"/>
        <w:bottom w:val="none" w:sz="0" w:space="0" w:color="auto"/>
        <w:right w:val="none" w:sz="0" w:space="0" w:color="auto"/>
      </w:divBdr>
    </w:div>
    <w:div w:id="401803610">
      <w:bodyDiv w:val="1"/>
      <w:marLeft w:val="0"/>
      <w:marRight w:val="0"/>
      <w:marTop w:val="0"/>
      <w:marBottom w:val="0"/>
      <w:divBdr>
        <w:top w:val="none" w:sz="0" w:space="0" w:color="auto"/>
        <w:left w:val="none" w:sz="0" w:space="0" w:color="auto"/>
        <w:bottom w:val="none" w:sz="0" w:space="0" w:color="auto"/>
        <w:right w:val="none" w:sz="0" w:space="0" w:color="auto"/>
      </w:divBdr>
    </w:div>
    <w:div w:id="477915221">
      <w:bodyDiv w:val="1"/>
      <w:marLeft w:val="0"/>
      <w:marRight w:val="0"/>
      <w:marTop w:val="0"/>
      <w:marBottom w:val="0"/>
      <w:divBdr>
        <w:top w:val="none" w:sz="0" w:space="0" w:color="auto"/>
        <w:left w:val="none" w:sz="0" w:space="0" w:color="auto"/>
        <w:bottom w:val="none" w:sz="0" w:space="0" w:color="auto"/>
        <w:right w:val="none" w:sz="0" w:space="0" w:color="auto"/>
      </w:divBdr>
    </w:div>
    <w:div w:id="668557245">
      <w:bodyDiv w:val="1"/>
      <w:marLeft w:val="0"/>
      <w:marRight w:val="0"/>
      <w:marTop w:val="0"/>
      <w:marBottom w:val="0"/>
      <w:divBdr>
        <w:top w:val="none" w:sz="0" w:space="0" w:color="auto"/>
        <w:left w:val="none" w:sz="0" w:space="0" w:color="auto"/>
        <w:bottom w:val="none" w:sz="0" w:space="0" w:color="auto"/>
        <w:right w:val="none" w:sz="0" w:space="0" w:color="auto"/>
      </w:divBdr>
    </w:div>
    <w:div w:id="783230382">
      <w:bodyDiv w:val="1"/>
      <w:marLeft w:val="0"/>
      <w:marRight w:val="0"/>
      <w:marTop w:val="0"/>
      <w:marBottom w:val="0"/>
      <w:divBdr>
        <w:top w:val="none" w:sz="0" w:space="0" w:color="auto"/>
        <w:left w:val="none" w:sz="0" w:space="0" w:color="auto"/>
        <w:bottom w:val="none" w:sz="0" w:space="0" w:color="auto"/>
        <w:right w:val="none" w:sz="0" w:space="0" w:color="auto"/>
      </w:divBdr>
    </w:div>
    <w:div w:id="1064983446">
      <w:bodyDiv w:val="1"/>
      <w:marLeft w:val="0"/>
      <w:marRight w:val="0"/>
      <w:marTop w:val="0"/>
      <w:marBottom w:val="0"/>
      <w:divBdr>
        <w:top w:val="none" w:sz="0" w:space="0" w:color="auto"/>
        <w:left w:val="none" w:sz="0" w:space="0" w:color="auto"/>
        <w:bottom w:val="none" w:sz="0" w:space="0" w:color="auto"/>
        <w:right w:val="none" w:sz="0" w:space="0" w:color="auto"/>
      </w:divBdr>
    </w:div>
    <w:div w:id="1086264773">
      <w:bodyDiv w:val="1"/>
      <w:marLeft w:val="0"/>
      <w:marRight w:val="0"/>
      <w:marTop w:val="0"/>
      <w:marBottom w:val="0"/>
      <w:divBdr>
        <w:top w:val="none" w:sz="0" w:space="0" w:color="auto"/>
        <w:left w:val="none" w:sz="0" w:space="0" w:color="auto"/>
        <w:bottom w:val="none" w:sz="0" w:space="0" w:color="auto"/>
        <w:right w:val="none" w:sz="0" w:space="0" w:color="auto"/>
      </w:divBdr>
    </w:div>
    <w:div w:id="1934047596">
      <w:bodyDiv w:val="1"/>
      <w:marLeft w:val="0"/>
      <w:marRight w:val="0"/>
      <w:marTop w:val="0"/>
      <w:marBottom w:val="0"/>
      <w:divBdr>
        <w:top w:val="none" w:sz="0" w:space="0" w:color="auto"/>
        <w:left w:val="none" w:sz="0" w:space="0" w:color="auto"/>
        <w:bottom w:val="none" w:sz="0" w:space="0" w:color="auto"/>
        <w:right w:val="none" w:sz="0" w:space="0" w:color="auto"/>
      </w:divBdr>
      <w:divsChild>
        <w:div w:id="847136337">
          <w:marLeft w:val="0"/>
          <w:marRight w:val="0"/>
          <w:marTop w:val="0"/>
          <w:marBottom w:val="0"/>
          <w:divBdr>
            <w:top w:val="none" w:sz="0" w:space="0" w:color="auto"/>
            <w:left w:val="none" w:sz="0" w:space="0" w:color="auto"/>
            <w:bottom w:val="none" w:sz="0" w:space="0" w:color="auto"/>
            <w:right w:val="none" w:sz="0" w:space="0" w:color="auto"/>
          </w:divBdr>
          <w:divsChild>
            <w:div w:id="1842507088">
              <w:marLeft w:val="0"/>
              <w:marRight w:val="0"/>
              <w:marTop w:val="0"/>
              <w:marBottom w:val="225"/>
              <w:divBdr>
                <w:top w:val="none" w:sz="0" w:space="0" w:color="auto"/>
                <w:left w:val="none" w:sz="0" w:space="0" w:color="auto"/>
                <w:bottom w:val="none" w:sz="0" w:space="0" w:color="auto"/>
                <w:right w:val="none" w:sz="0" w:space="0" w:color="auto"/>
              </w:divBdr>
            </w:div>
          </w:divsChild>
        </w:div>
        <w:div w:id="855539544">
          <w:marLeft w:val="0"/>
          <w:marRight w:val="0"/>
          <w:marTop w:val="0"/>
          <w:marBottom w:val="0"/>
          <w:divBdr>
            <w:top w:val="none" w:sz="0" w:space="0" w:color="auto"/>
            <w:left w:val="none" w:sz="0" w:space="0" w:color="auto"/>
            <w:bottom w:val="none" w:sz="0" w:space="0" w:color="auto"/>
            <w:right w:val="none" w:sz="0" w:space="0" w:color="auto"/>
          </w:divBdr>
        </w:div>
      </w:divsChild>
    </w:div>
    <w:div w:id="19347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87517135351424493EECD9AE63FB421" ma:contentTypeVersion="" ma:contentTypeDescription="PDMS Document Site Content Type" ma:contentTypeScope="" ma:versionID="e069b9be9e4f44144add0069739770a7">
  <xsd:schema xmlns:xsd="http://www.w3.org/2001/XMLSchema" xmlns:xs="http://www.w3.org/2001/XMLSchema" xmlns:p="http://schemas.microsoft.com/office/2006/metadata/properties" xmlns:ns2="2F7755C9-FD94-4DAE-B460-CC9C5FA8CA0F" targetNamespace="http://schemas.microsoft.com/office/2006/metadata/properties" ma:root="true" ma:fieldsID="2e56388ba37f2a10aba1f4e5c4a2bdb8" ns2:_="">
    <xsd:import namespace="2F7755C9-FD94-4DAE-B460-CC9C5FA8CA0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55C9-FD94-4DAE-B460-CC9C5FA8CA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F7755C9-FD94-4DAE-B460-CC9C5FA8CA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BAB3-3678-4086-ABF0-77EBC2AC3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55C9-FD94-4DAE-B460-CC9C5FA8C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21014-9E74-4B91-A1DA-53BA511513DA}">
  <ds:schemaRefs>
    <ds:schemaRef ds:uri="http://schemas.microsoft.com/sharepoint/v3/contenttype/forms"/>
  </ds:schemaRefs>
</ds:datastoreItem>
</file>

<file path=customXml/itemProps3.xml><?xml version="1.0" encoding="utf-8"?>
<ds:datastoreItem xmlns:ds="http://schemas.openxmlformats.org/officeDocument/2006/customXml" ds:itemID="{992F0D25-4D98-423B-9F6B-1FB2F7BF2192}">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2F7755C9-FD94-4DAE-B460-CC9C5FA8CA0F"/>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44F85F2-A325-4C96-919B-209586FA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14778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stewas</dc:creator>
  <cp:lastModifiedBy>fangda</cp:lastModifiedBy>
  <cp:revision>2</cp:revision>
  <cp:lastPrinted>2019-03-20T02:57:00Z</cp:lastPrinted>
  <dcterms:created xsi:type="dcterms:W3CDTF">2019-04-04T23:51:00Z</dcterms:created>
  <dcterms:modified xsi:type="dcterms:W3CDTF">2019-04-04T23:51:00Z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0x010100266966F133664895A6EE3632470D45F500687517135351424493EECD9AE63FB421</vt:lpwstr>
  </property>
</Properties>
</file>