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67789" w14:textId="77777777" w:rsidR="00431566" w:rsidRPr="00F8782D" w:rsidRDefault="00431566" w:rsidP="007E7211">
      <w:pPr>
        <w:pStyle w:val="Title"/>
        <w:pBdr>
          <w:bottom w:val="single" w:sz="4" w:space="4" w:color="auto"/>
        </w:pBdr>
        <w:spacing w:before="0" w:after="300"/>
        <w:contextualSpacing/>
        <w:rPr>
          <w:rFonts w:eastAsia="Times New Roman"/>
          <w:spacing w:val="5"/>
          <w:kern w:val="28"/>
          <w:sz w:val="28"/>
          <w:szCs w:val="52"/>
          <w:lang w:eastAsia="en-AU"/>
        </w:rPr>
      </w:pPr>
      <w:r w:rsidRPr="00F8782D">
        <w:rPr>
          <w:rFonts w:eastAsia="Times New Roman"/>
          <w:spacing w:val="5"/>
          <w:kern w:val="28"/>
          <w:sz w:val="28"/>
          <w:szCs w:val="52"/>
          <w:lang w:eastAsia="en-AU"/>
        </w:rPr>
        <w:t>Explanatory Statement</w:t>
      </w:r>
    </w:p>
    <w:p w14:paraId="6AE2C97B" w14:textId="6714BE74" w:rsidR="00C712D3" w:rsidRDefault="00C712D3" w:rsidP="007E7211">
      <w:pPr>
        <w:pStyle w:val="Title"/>
        <w:keepNext/>
        <w:keepLines/>
        <w:spacing w:before="0"/>
        <w:rPr>
          <w:szCs w:val="24"/>
        </w:rPr>
      </w:pPr>
    </w:p>
    <w:p w14:paraId="19585CE3" w14:textId="77777777" w:rsidR="00C712D3" w:rsidRPr="00C712D3" w:rsidRDefault="00C712D3" w:rsidP="007E7211">
      <w:pPr>
        <w:spacing w:before="100" w:beforeAutospacing="1" w:after="100" w:afterAutospacing="1"/>
        <w:jc w:val="center"/>
        <w:rPr>
          <w:rFonts w:eastAsia="Times New Roman"/>
          <w:szCs w:val="24"/>
          <w:lang w:val="en-US" w:eastAsia="en-AU"/>
        </w:rPr>
      </w:pPr>
      <w:r w:rsidRPr="00C712D3">
        <w:rPr>
          <w:rFonts w:eastAsia="Times New Roman"/>
          <w:szCs w:val="24"/>
          <w:lang w:eastAsia="en-AU"/>
        </w:rPr>
        <w:t>Issued by the authority of the Attorney-General</w:t>
      </w:r>
    </w:p>
    <w:p w14:paraId="240259A5" w14:textId="5908C3A6" w:rsidR="00DD15FB" w:rsidRDefault="00C712D3" w:rsidP="007E7211">
      <w:pPr>
        <w:keepLines/>
        <w:spacing w:before="0" w:after="240"/>
        <w:jc w:val="center"/>
        <w:rPr>
          <w:rFonts w:eastAsia="Times New Roman"/>
          <w:szCs w:val="24"/>
          <w:lang w:eastAsia="en-AU"/>
        </w:rPr>
      </w:pPr>
      <w:r w:rsidRPr="008629A5">
        <w:rPr>
          <w:rFonts w:eastAsia="Times New Roman"/>
          <w:i/>
          <w:szCs w:val="24"/>
          <w:lang w:eastAsia="en-AU"/>
        </w:rPr>
        <w:t>Administrative Appeals Tribunal Act 1975</w:t>
      </w:r>
    </w:p>
    <w:p w14:paraId="30C224AC" w14:textId="0467FA84" w:rsidR="009E1763" w:rsidRPr="00DD15FB" w:rsidRDefault="009E1763" w:rsidP="007E7211">
      <w:pPr>
        <w:keepLines/>
        <w:spacing w:before="0" w:after="240"/>
        <w:jc w:val="center"/>
        <w:rPr>
          <w:rFonts w:eastAsia="Times New Roman"/>
          <w:i/>
          <w:szCs w:val="24"/>
          <w:lang w:eastAsia="en-AU"/>
        </w:rPr>
      </w:pPr>
      <w:r w:rsidRPr="00DD15FB">
        <w:rPr>
          <w:rFonts w:eastAsia="Times New Roman"/>
          <w:i/>
          <w:szCs w:val="24"/>
          <w:lang w:eastAsia="en-AU"/>
        </w:rPr>
        <w:t>Administrative Appeals Tribunal Amendment (Family Assistance Law Review Fees) Regulations 201</w:t>
      </w:r>
      <w:r w:rsidR="00931F2C" w:rsidRPr="00DD15FB">
        <w:rPr>
          <w:rFonts w:eastAsia="Times New Roman"/>
          <w:i/>
          <w:szCs w:val="24"/>
          <w:lang w:eastAsia="en-AU"/>
        </w:rPr>
        <w:t>9</w:t>
      </w:r>
    </w:p>
    <w:p w14:paraId="2305A8F0" w14:textId="77777777" w:rsidR="00211FBC" w:rsidRPr="00F8782D" w:rsidRDefault="00D62D95" w:rsidP="007E7211">
      <w:pPr>
        <w:keepLines/>
        <w:spacing w:before="0" w:after="240"/>
        <w:rPr>
          <w:b/>
          <w:sz w:val="26"/>
          <w:szCs w:val="26"/>
        </w:rPr>
      </w:pPr>
      <w:r w:rsidRPr="00D62D95">
        <w:rPr>
          <w:b/>
          <w:sz w:val="26"/>
          <w:szCs w:val="26"/>
        </w:rPr>
        <w:t>Authority</w:t>
      </w:r>
    </w:p>
    <w:p w14:paraId="2B2EB97C" w14:textId="3F849322" w:rsidR="00211FBC" w:rsidRDefault="00211FBC" w:rsidP="007E7211">
      <w:pPr>
        <w:keepLines/>
        <w:spacing w:before="0" w:after="240"/>
        <w:rPr>
          <w:szCs w:val="24"/>
        </w:rPr>
      </w:pPr>
      <w:r w:rsidRPr="00F8782D">
        <w:rPr>
          <w:szCs w:val="24"/>
        </w:rPr>
        <w:t>The</w:t>
      </w:r>
      <w:r w:rsidR="009E1763" w:rsidRPr="009E1763">
        <w:rPr>
          <w:rFonts w:eastAsia="Calibri"/>
          <w:i/>
          <w:sz w:val="22"/>
        </w:rPr>
        <w:t xml:space="preserve"> </w:t>
      </w:r>
      <w:r w:rsidR="009E1763" w:rsidRPr="009E1763">
        <w:rPr>
          <w:i/>
          <w:szCs w:val="24"/>
        </w:rPr>
        <w:t>Administrative Appeals Tribunal Amendment (Family Assistance Law Review Fees) Regulations 201</w:t>
      </w:r>
      <w:r w:rsidR="00931F2C">
        <w:rPr>
          <w:i/>
          <w:szCs w:val="24"/>
        </w:rPr>
        <w:t>9</w:t>
      </w:r>
      <w:r w:rsidRPr="00F8782D">
        <w:rPr>
          <w:szCs w:val="24"/>
        </w:rPr>
        <w:t xml:space="preserve"> </w:t>
      </w:r>
      <w:r w:rsidR="00A274E3">
        <w:rPr>
          <w:szCs w:val="24"/>
        </w:rPr>
        <w:t>(the Amendment Regulation) is</w:t>
      </w:r>
      <w:r w:rsidRPr="00F8782D">
        <w:rPr>
          <w:szCs w:val="24"/>
        </w:rPr>
        <w:t xml:space="preserve"> made under </w:t>
      </w:r>
      <w:r w:rsidR="00476D98">
        <w:rPr>
          <w:szCs w:val="24"/>
        </w:rPr>
        <w:t xml:space="preserve">section 70 of the </w:t>
      </w:r>
      <w:r w:rsidR="009E1763" w:rsidRPr="009E1763">
        <w:rPr>
          <w:i/>
          <w:szCs w:val="24"/>
        </w:rPr>
        <w:t>Administrative Appeals Tribunal Act 1975</w:t>
      </w:r>
      <w:r w:rsidR="00476D98">
        <w:rPr>
          <w:i/>
          <w:szCs w:val="24"/>
        </w:rPr>
        <w:t xml:space="preserve"> </w:t>
      </w:r>
      <w:r w:rsidR="00476D98">
        <w:rPr>
          <w:szCs w:val="24"/>
        </w:rPr>
        <w:t>(AAT Act)</w:t>
      </w:r>
      <w:r w:rsidR="002619B2" w:rsidRPr="00F8782D">
        <w:rPr>
          <w:szCs w:val="24"/>
        </w:rPr>
        <w:t>.</w:t>
      </w:r>
      <w:r w:rsidRPr="00F8782D">
        <w:rPr>
          <w:szCs w:val="24"/>
        </w:rPr>
        <w:t xml:space="preserve"> </w:t>
      </w:r>
    </w:p>
    <w:p w14:paraId="3A8E89A9" w14:textId="77777777" w:rsidR="002C524B" w:rsidRPr="002C524B" w:rsidRDefault="002C524B" w:rsidP="007E7211">
      <w:pPr>
        <w:keepLines/>
        <w:spacing w:before="0" w:after="240"/>
        <w:rPr>
          <w:szCs w:val="24"/>
        </w:rPr>
      </w:pPr>
      <w:r w:rsidRPr="002C524B">
        <w:rPr>
          <w:szCs w:val="24"/>
        </w:rPr>
        <w:t xml:space="preserve">Under subsection 33(3) of the </w:t>
      </w:r>
      <w:r w:rsidRPr="002C524B">
        <w:rPr>
          <w:i/>
          <w:iCs/>
          <w:szCs w:val="24"/>
        </w:rPr>
        <w:t>Acts Interpretation Act 1901</w:t>
      </w:r>
      <w:r w:rsidRPr="002C524B">
        <w:rPr>
          <w:szCs w:val="24"/>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0943FA68" w14:textId="57FFD3E1" w:rsidR="002C524B" w:rsidRPr="002C524B" w:rsidRDefault="002C524B" w:rsidP="007E7211">
      <w:pPr>
        <w:keepLines/>
        <w:spacing w:before="0" w:after="240"/>
        <w:rPr>
          <w:szCs w:val="24"/>
        </w:rPr>
      </w:pPr>
      <w:r w:rsidRPr="002C524B">
        <w:rPr>
          <w:szCs w:val="24"/>
        </w:rPr>
        <w:t>Th</w:t>
      </w:r>
      <w:r w:rsidR="00A274E3">
        <w:rPr>
          <w:szCs w:val="24"/>
        </w:rPr>
        <w:t>e Amendment Regulation</w:t>
      </w:r>
      <w:r>
        <w:rPr>
          <w:i/>
          <w:szCs w:val="24"/>
        </w:rPr>
        <w:t xml:space="preserve"> </w:t>
      </w:r>
      <w:r w:rsidR="00476D98">
        <w:rPr>
          <w:szCs w:val="24"/>
        </w:rPr>
        <w:t>is</w:t>
      </w:r>
      <w:r w:rsidRPr="002C524B">
        <w:rPr>
          <w:szCs w:val="24"/>
        </w:rPr>
        <w:t xml:space="preserve"> a legislative instrument for the purposes of </w:t>
      </w:r>
      <w:r w:rsidR="00476D98">
        <w:rPr>
          <w:szCs w:val="24"/>
        </w:rPr>
        <w:t>subsection 8(</w:t>
      </w:r>
      <w:r w:rsidR="00BD00DB">
        <w:rPr>
          <w:szCs w:val="24"/>
        </w:rPr>
        <w:t>5</w:t>
      </w:r>
      <w:r w:rsidR="00476D98">
        <w:rPr>
          <w:szCs w:val="24"/>
        </w:rPr>
        <w:t>) of the</w:t>
      </w:r>
      <w:r w:rsidR="00476D98">
        <w:rPr>
          <w:i/>
          <w:szCs w:val="24"/>
        </w:rPr>
        <w:t xml:space="preserve"> Legislation</w:t>
      </w:r>
      <w:r w:rsidRPr="002C524B">
        <w:rPr>
          <w:i/>
          <w:szCs w:val="24"/>
        </w:rPr>
        <w:t xml:space="preserve"> Act 2003</w:t>
      </w:r>
      <w:r w:rsidRPr="002C524B">
        <w:rPr>
          <w:szCs w:val="24"/>
        </w:rPr>
        <w:t>.</w:t>
      </w:r>
    </w:p>
    <w:p w14:paraId="0FEA0B60" w14:textId="30C15B48" w:rsidR="00D62D95" w:rsidRDefault="00D62D95" w:rsidP="007E7211">
      <w:pPr>
        <w:spacing w:before="240"/>
        <w:ind w:right="91"/>
        <w:rPr>
          <w:b/>
        </w:rPr>
      </w:pPr>
      <w:r w:rsidRPr="00503414">
        <w:rPr>
          <w:b/>
        </w:rPr>
        <w:t>Legislative background</w:t>
      </w:r>
      <w:r w:rsidR="00DD15FB">
        <w:rPr>
          <w:b/>
        </w:rPr>
        <w:br/>
      </w:r>
    </w:p>
    <w:p w14:paraId="20C32011" w14:textId="081B8ECC" w:rsidR="006A6F1A" w:rsidRDefault="00476D98" w:rsidP="007E7211">
      <w:pPr>
        <w:keepLines/>
        <w:spacing w:before="0" w:after="240"/>
        <w:rPr>
          <w:szCs w:val="24"/>
        </w:rPr>
      </w:pPr>
      <w:r>
        <w:rPr>
          <w:szCs w:val="24"/>
        </w:rPr>
        <w:t xml:space="preserve">The Administrative Appeals Tribunal (AAT) was established by the AAT Act </w:t>
      </w:r>
      <w:r w:rsidR="00745C82">
        <w:rPr>
          <w:szCs w:val="24"/>
        </w:rPr>
        <w:t xml:space="preserve">and commenced operations on 1 July </w:t>
      </w:r>
      <w:r>
        <w:rPr>
          <w:szCs w:val="24"/>
        </w:rPr>
        <w:t xml:space="preserve">1976 as a general tribunal to engage in </w:t>
      </w:r>
      <w:r w:rsidR="00745C82">
        <w:rPr>
          <w:szCs w:val="24"/>
        </w:rPr>
        <w:t xml:space="preserve">independent merits </w:t>
      </w:r>
      <w:r w:rsidR="004C6F72">
        <w:rPr>
          <w:szCs w:val="24"/>
        </w:rPr>
        <w:t xml:space="preserve">review of </w:t>
      </w:r>
      <w:r w:rsidR="00745C82">
        <w:rPr>
          <w:szCs w:val="24"/>
        </w:rPr>
        <w:t xml:space="preserve">administrative </w:t>
      </w:r>
      <w:r>
        <w:rPr>
          <w:szCs w:val="24"/>
        </w:rPr>
        <w:t>decisions</w:t>
      </w:r>
      <w:r w:rsidR="00745C82">
        <w:rPr>
          <w:szCs w:val="24"/>
        </w:rPr>
        <w:t xml:space="preserve"> under Commonwealth legislation</w:t>
      </w:r>
      <w:r w:rsidR="001C7F38">
        <w:rPr>
          <w:szCs w:val="24"/>
        </w:rPr>
        <w:t xml:space="preserve">. </w:t>
      </w:r>
      <w:r w:rsidR="00745C82">
        <w:rPr>
          <w:szCs w:val="24"/>
        </w:rPr>
        <w:t xml:space="preserve">The AAT Act and the </w:t>
      </w:r>
      <w:r w:rsidR="00745C82" w:rsidRPr="008629A5">
        <w:rPr>
          <w:i/>
          <w:szCs w:val="24"/>
        </w:rPr>
        <w:t>Administrat</w:t>
      </w:r>
      <w:r w:rsidR="001F7482">
        <w:rPr>
          <w:i/>
          <w:szCs w:val="24"/>
        </w:rPr>
        <w:t>ive Appeals Tribunal Regulation</w:t>
      </w:r>
      <w:r w:rsidR="00745C82" w:rsidRPr="008629A5">
        <w:rPr>
          <w:i/>
          <w:szCs w:val="24"/>
        </w:rPr>
        <w:t xml:space="preserve"> </w:t>
      </w:r>
      <w:r w:rsidR="001F7482">
        <w:rPr>
          <w:i/>
          <w:szCs w:val="24"/>
        </w:rPr>
        <w:t>2015</w:t>
      </w:r>
      <w:r w:rsidR="00745C82">
        <w:rPr>
          <w:szCs w:val="24"/>
        </w:rPr>
        <w:t xml:space="preserve"> (the Principal Regulation) sets out the AAT’s functions, powers and procedures. </w:t>
      </w:r>
      <w:r w:rsidR="001C7F38">
        <w:rPr>
          <w:szCs w:val="24"/>
        </w:rPr>
        <w:t xml:space="preserve">To make a valid application for review, the AAT must have the jurisdiction to review the matter and the person who makes the application, or on whose behalf the application is made, must be eligible to apply to the AAT. </w:t>
      </w:r>
    </w:p>
    <w:p w14:paraId="78B1FCDF" w14:textId="5968E3D3" w:rsidR="006A6F1A" w:rsidRDefault="00476D98" w:rsidP="007E7211">
      <w:pPr>
        <w:keepLines/>
        <w:spacing w:before="0" w:after="240"/>
        <w:rPr>
          <w:szCs w:val="24"/>
        </w:rPr>
      </w:pPr>
      <w:r>
        <w:rPr>
          <w:szCs w:val="24"/>
        </w:rPr>
        <w:t>Certain applications for review</w:t>
      </w:r>
      <w:r w:rsidR="0033646B">
        <w:rPr>
          <w:szCs w:val="24"/>
        </w:rPr>
        <w:t xml:space="preserve"> of </w:t>
      </w:r>
      <w:r w:rsidR="00F85989">
        <w:rPr>
          <w:szCs w:val="24"/>
        </w:rPr>
        <w:t xml:space="preserve">a </w:t>
      </w:r>
      <w:r w:rsidR="0033646B">
        <w:rPr>
          <w:szCs w:val="24"/>
        </w:rPr>
        <w:t>decision</w:t>
      </w:r>
      <w:r>
        <w:rPr>
          <w:szCs w:val="24"/>
        </w:rPr>
        <w:t xml:space="preserve"> have prescribed fees associated with the application</w:t>
      </w:r>
      <w:r w:rsidR="00A274E3">
        <w:rPr>
          <w:szCs w:val="24"/>
        </w:rPr>
        <w:t xml:space="preserve"> as set out in </w:t>
      </w:r>
      <w:r w:rsidR="0033646B">
        <w:rPr>
          <w:szCs w:val="24"/>
        </w:rPr>
        <w:t xml:space="preserve">Part 6 </w:t>
      </w:r>
      <w:r w:rsidR="00745C82">
        <w:rPr>
          <w:szCs w:val="24"/>
        </w:rPr>
        <w:t xml:space="preserve">of </w:t>
      </w:r>
      <w:r w:rsidR="00A274E3">
        <w:rPr>
          <w:szCs w:val="24"/>
        </w:rPr>
        <w:t xml:space="preserve">the </w:t>
      </w:r>
      <w:r w:rsidR="000256E6">
        <w:rPr>
          <w:szCs w:val="24"/>
        </w:rPr>
        <w:t>Principal Regulation</w:t>
      </w:r>
      <w:r>
        <w:rPr>
          <w:szCs w:val="24"/>
        </w:rPr>
        <w:t xml:space="preserve">. </w:t>
      </w:r>
      <w:r w:rsidR="006A6F1A">
        <w:rPr>
          <w:szCs w:val="24"/>
        </w:rPr>
        <w:t xml:space="preserve">Under regulation 21 of the </w:t>
      </w:r>
      <w:r w:rsidR="000256E6">
        <w:rPr>
          <w:szCs w:val="24"/>
        </w:rPr>
        <w:t>Principal Regulation</w:t>
      </w:r>
      <w:r w:rsidR="006A6F1A">
        <w:rPr>
          <w:szCs w:val="24"/>
        </w:rPr>
        <w:t xml:space="preserve">, the application fee may be subject to a concession where certain circumstances apply. </w:t>
      </w:r>
      <w:r w:rsidR="0012427F">
        <w:rPr>
          <w:szCs w:val="24"/>
        </w:rPr>
        <w:t xml:space="preserve">Particular applicants are exempt from paying a fee or are eligible to pay a reduced fee. These include applications in the social security, </w:t>
      </w:r>
      <w:r w:rsidR="00F27089">
        <w:rPr>
          <w:szCs w:val="24"/>
        </w:rPr>
        <w:t>veterans</w:t>
      </w:r>
      <w:r w:rsidR="0012427F">
        <w:rPr>
          <w:szCs w:val="24"/>
        </w:rPr>
        <w:t>’ affairs and workers</w:t>
      </w:r>
      <w:r w:rsidR="00255D54">
        <w:rPr>
          <w:szCs w:val="24"/>
        </w:rPr>
        <w:t>’</w:t>
      </w:r>
      <w:r w:rsidR="0012427F">
        <w:rPr>
          <w:szCs w:val="24"/>
        </w:rPr>
        <w:t xml:space="preserve"> compensation </w:t>
      </w:r>
      <w:proofErr w:type="gramStart"/>
      <w:r w:rsidR="0012427F">
        <w:rPr>
          <w:szCs w:val="24"/>
        </w:rPr>
        <w:t>jurisdiction which</w:t>
      </w:r>
      <w:proofErr w:type="gramEnd"/>
      <w:r w:rsidR="0012427F">
        <w:rPr>
          <w:szCs w:val="24"/>
        </w:rPr>
        <w:t xml:space="preserve"> are fee exempt. The standard application fee can be reduced to $100 if </w:t>
      </w:r>
      <w:r w:rsidR="00C712D3">
        <w:rPr>
          <w:szCs w:val="24"/>
        </w:rPr>
        <w:t>an</w:t>
      </w:r>
      <w:r w:rsidR="0012427F">
        <w:rPr>
          <w:szCs w:val="24"/>
        </w:rPr>
        <w:t xml:space="preserve"> applicant has been granted legal aid, holds a health card or other card that certifies entitlement to Commonwealth health concessions, is in gaol or otherwise lawfully detained, is under 18 years of age or is receiving youth allowance</w:t>
      </w:r>
      <w:r w:rsidR="00C712D3">
        <w:rPr>
          <w:szCs w:val="24"/>
        </w:rPr>
        <w:t xml:space="preserve"> or other</w:t>
      </w:r>
      <w:r w:rsidR="00F27089">
        <w:rPr>
          <w:szCs w:val="24"/>
        </w:rPr>
        <w:t xml:space="preserve"> student support</w:t>
      </w:r>
      <w:r w:rsidR="0012427F">
        <w:rPr>
          <w:szCs w:val="24"/>
        </w:rPr>
        <w:t xml:space="preserve"> benefits or the AAT is satisfied that paying the full fee would cause the applicant financial hardship (</w:t>
      </w:r>
      <w:r w:rsidR="00DD15FB">
        <w:rPr>
          <w:szCs w:val="24"/>
        </w:rPr>
        <w:t>r</w:t>
      </w:r>
      <w:r w:rsidR="00F27089">
        <w:rPr>
          <w:szCs w:val="24"/>
        </w:rPr>
        <w:t>egulation 21(h)</w:t>
      </w:r>
      <w:r w:rsidR="0012427F">
        <w:rPr>
          <w:szCs w:val="24"/>
        </w:rPr>
        <w:t>)</w:t>
      </w:r>
      <w:r w:rsidR="00F27089">
        <w:rPr>
          <w:szCs w:val="24"/>
        </w:rPr>
        <w:t>.</w:t>
      </w:r>
    </w:p>
    <w:p w14:paraId="43F030F2" w14:textId="1690D218" w:rsidR="00125AAF" w:rsidRDefault="0012427F" w:rsidP="007E7211">
      <w:pPr>
        <w:keepLines/>
        <w:spacing w:before="0" w:after="240"/>
        <w:rPr>
          <w:szCs w:val="24"/>
        </w:rPr>
      </w:pPr>
      <w:r>
        <w:rPr>
          <w:szCs w:val="24"/>
        </w:rPr>
        <w:lastRenderedPageBreak/>
        <w:t>Where an application fee is payable, the application cannot proceed until the fee is paid</w:t>
      </w:r>
      <w:r w:rsidR="00476D98">
        <w:rPr>
          <w:szCs w:val="24"/>
        </w:rPr>
        <w:t xml:space="preserve">. </w:t>
      </w:r>
      <w:r w:rsidR="00C94991">
        <w:rPr>
          <w:szCs w:val="24"/>
        </w:rPr>
        <w:t>The AAT</w:t>
      </w:r>
      <w:r w:rsidR="00476D98">
        <w:rPr>
          <w:szCs w:val="24"/>
        </w:rPr>
        <w:t xml:space="preserve"> may</w:t>
      </w:r>
      <w:r w:rsidR="00C94991">
        <w:rPr>
          <w:szCs w:val="24"/>
        </w:rPr>
        <w:t xml:space="preserve"> also</w:t>
      </w:r>
      <w:r w:rsidR="00476D98">
        <w:rPr>
          <w:szCs w:val="24"/>
        </w:rPr>
        <w:t xml:space="preserve"> dismiss an application for review </w:t>
      </w:r>
      <w:r w:rsidR="00C94991">
        <w:rPr>
          <w:szCs w:val="24"/>
        </w:rPr>
        <w:t>w</w:t>
      </w:r>
      <w:r w:rsidR="00476D98">
        <w:rPr>
          <w:szCs w:val="24"/>
        </w:rPr>
        <w:t xml:space="preserve">here the prescribed application fee is not paid within the </w:t>
      </w:r>
      <w:r w:rsidR="00C94991">
        <w:rPr>
          <w:szCs w:val="24"/>
        </w:rPr>
        <w:t xml:space="preserve">specified time. However, for certain </w:t>
      </w:r>
      <w:r>
        <w:rPr>
          <w:szCs w:val="24"/>
        </w:rPr>
        <w:t>administrative</w:t>
      </w:r>
      <w:r w:rsidR="00C94991">
        <w:rPr>
          <w:szCs w:val="24"/>
        </w:rPr>
        <w:t xml:space="preserve"> decisions, no fee is prescribed in relation to an application for review with the AAT. Th</w:t>
      </w:r>
      <w:r w:rsidR="00C712D3">
        <w:rPr>
          <w:szCs w:val="24"/>
        </w:rPr>
        <w:t>ese administrative decisions</w:t>
      </w:r>
      <w:r w:rsidR="00C94991">
        <w:rPr>
          <w:szCs w:val="24"/>
        </w:rPr>
        <w:t xml:space="preserve"> include certain decisions</w:t>
      </w:r>
      <w:r w:rsidR="008F5C60">
        <w:rPr>
          <w:szCs w:val="24"/>
        </w:rPr>
        <w:t xml:space="preserve"> made</w:t>
      </w:r>
      <w:r w:rsidR="00C94991">
        <w:rPr>
          <w:szCs w:val="24"/>
        </w:rPr>
        <w:t xml:space="preserve"> </w:t>
      </w:r>
      <w:r w:rsidR="00DE751F" w:rsidRPr="00DE751F">
        <w:rPr>
          <w:szCs w:val="24"/>
        </w:rPr>
        <w:t xml:space="preserve">under the family assistance law within the meaning of the </w:t>
      </w:r>
      <w:r w:rsidR="00DE751F" w:rsidRPr="006A6F1A">
        <w:rPr>
          <w:i/>
          <w:szCs w:val="24"/>
        </w:rPr>
        <w:t xml:space="preserve">A New Tax System (Family Assistance) (Administration) Act </w:t>
      </w:r>
      <w:bookmarkStart w:id="0" w:name="opcRefBookmark"/>
      <w:r w:rsidR="00DE751F" w:rsidRPr="006A6F1A">
        <w:rPr>
          <w:i/>
          <w:szCs w:val="24"/>
        </w:rPr>
        <w:t>1</w:t>
      </w:r>
      <w:bookmarkEnd w:id="0"/>
      <w:r w:rsidR="00DE751F" w:rsidRPr="006A6F1A">
        <w:rPr>
          <w:i/>
          <w:szCs w:val="24"/>
        </w:rPr>
        <w:t>999</w:t>
      </w:r>
      <w:r w:rsidR="00D51412" w:rsidRPr="004C6F72">
        <w:rPr>
          <w:szCs w:val="24"/>
        </w:rPr>
        <w:t xml:space="preserve"> </w:t>
      </w:r>
      <w:r w:rsidR="00D51412" w:rsidRPr="006A6F1A">
        <w:rPr>
          <w:szCs w:val="24"/>
        </w:rPr>
        <w:t>(Administration Act)</w:t>
      </w:r>
      <w:r w:rsidR="00C94991" w:rsidRPr="004C6F72">
        <w:rPr>
          <w:szCs w:val="24"/>
        </w:rPr>
        <w:t>.</w:t>
      </w:r>
      <w:r w:rsidR="00DE751F" w:rsidRPr="004C6F72">
        <w:rPr>
          <w:szCs w:val="24"/>
        </w:rPr>
        <w:t xml:space="preserve"> </w:t>
      </w:r>
    </w:p>
    <w:p w14:paraId="7092941F" w14:textId="77777777" w:rsidR="00501820" w:rsidRDefault="00501820" w:rsidP="007E7211">
      <w:pPr>
        <w:keepLines/>
        <w:spacing w:before="0" w:after="240"/>
        <w:rPr>
          <w:b/>
          <w:iCs/>
          <w:szCs w:val="24"/>
        </w:rPr>
      </w:pPr>
      <w:r w:rsidRPr="00501820">
        <w:rPr>
          <w:b/>
          <w:iCs/>
          <w:szCs w:val="24"/>
        </w:rPr>
        <w:t>Purpose and operation of amendments</w:t>
      </w:r>
    </w:p>
    <w:p w14:paraId="42494BCB" w14:textId="557B7D2C" w:rsidR="0012427F" w:rsidRDefault="000256E6" w:rsidP="007E7211">
      <w:pPr>
        <w:keepLines/>
        <w:spacing w:before="0" w:after="240"/>
        <w:rPr>
          <w:szCs w:val="24"/>
        </w:rPr>
      </w:pPr>
      <w:r>
        <w:rPr>
          <w:iCs/>
          <w:szCs w:val="24"/>
        </w:rPr>
        <w:t>The Amendment Regulation amend</w:t>
      </w:r>
      <w:r w:rsidR="00596C12">
        <w:rPr>
          <w:iCs/>
          <w:szCs w:val="24"/>
        </w:rPr>
        <w:t>s</w:t>
      </w:r>
      <w:r>
        <w:rPr>
          <w:iCs/>
          <w:szCs w:val="24"/>
        </w:rPr>
        <w:t xml:space="preserve"> the Principal Regulation to </w:t>
      </w:r>
      <w:r w:rsidR="0012427F">
        <w:rPr>
          <w:iCs/>
          <w:szCs w:val="24"/>
        </w:rPr>
        <w:t>expressly clarify</w:t>
      </w:r>
      <w:r>
        <w:rPr>
          <w:iCs/>
          <w:szCs w:val="24"/>
        </w:rPr>
        <w:t xml:space="preserve"> </w:t>
      </w:r>
      <w:r>
        <w:rPr>
          <w:szCs w:val="24"/>
        </w:rPr>
        <w:t xml:space="preserve">that a fee </w:t>
      </w:r>
      <w:r w:rsidR="003C1723">
        <w:rPr>
          <w:szCs w:val="24"/>
        </w:rPr>
        <w:t>is</w:t>
      </w:r>
      <w:r>
        <w:rPr>
          <w:szCs w:val="24"/>
        </w:rPr>
        <w:t xml:space="preserve"> payable in relation to an application to the AAT for ‘AAT single review’</w:t>
      </w:r>
      <w:r w:rsidR="004C6F72">
        <w:rPr>
          <w:szCs w:val="24"/>
        </w:rPr>
        <w:t>, as defined under section 138 of the Administration Act,</w:t>
      </w:r>
      <w:r>
        <w:rPr>
          <w:szCs w:val="24"/>
        </w:rPr>
        <w:t xml:space="preserve"> of a decision made under family assistance law. </w:t>
      </w:r>
      <w:r w:rsidR="00044C53">
        <w:rPr>
          <w:szCs w:val="24"/>
        </w:rPr>
        <w:t>‘</w:t>
      </w:r>
      <w:r w:rsidR="00044C53">
        <w:t>AAT single review’ decisions refer to those decisions, predominantly affecting child care service and provider approval, specified in subsection 138(</w:t>
      </w:r>
      <w:r w:rsidR="00706285">
        <w:t>1</w:t>
      </w:r>
      <w:r w:rsidR="00044C53">
        <w:t xml:space="preserve">) of the Administration Act that have been internally reviewed. </w:t>
      </w:r>
    </w:p>
    <w:p w14:paraId="58ECB84C" w14:textId="51FE5FA7" w:rsidR="008D06A5" w:rsidRDefault="000256E6" w:rsidP="007E7211">
      <w:pPr>
        <w:keepLines/>
        <w:spacing w:before="0" w:after="240"/>
      </w:pPr>
      <w:r>
        <w:rPr>
          <w:szCs w:val="24"/>
        </w:rPr>
        <w:t xml:space="preserve">A fee </w:t>
      </w:r>
      <w:r w:rsidR="003C1723">
        <w:rPr>
          <w:szCs w:val="24"/>
        </w:rPr>
        <w:t>is</w:t>
      </w:r>
      <w:r>
        <w:rPr>
          <w:szCs w:val="24"/>
        </w:rPr>
        <w:t xml:space="preserve"> not </w:t>
      </w:r>
      <w:r w:rsidR="006F4BC1">
        <w:rPr>
          <w:szCs w:val="24"/>
        </w:rPr>
        <w:t xml:space="preserve">be </w:t>
      </w:r>
      <w:r>
        <w:rPr>
          <w:szCs w:val="24"/>
        </w:rPr>
        <w:t xml:space="preserve">payable in relation to </w:t>
      </w:r>
      <w:r w:rsidR="00DC288E">
        <w:rPr>
          <w:szCs w:val="24"/>
        </w:rPr>
        <w:t xml:space="preserve">an </w:t>
      </w:r>
      <w:r>
        <w:rPr>
          <w:szCs w:val="24"/>
        </w:rPr>
        <w:t>application to the AAT for ‘AAT first review</w:t>
      </w:r>
      <w:r w:rsidR="00C712D3">
        <w:rPr>
          <w:szCs w:val="24"/>
        </w:rPr>
        <w:t>’</w:t>
      </w:r>
      <w:r w:rsidR="004C6F72">
        <w:rPr>
          <w:szCs w:val="24"/>
        </w:rPr>
        <w:t>,</w:t>
      </w:r>
      <w:r w:rsidR="004C6F72" w:rsidRPr="004C6F72">
        <w:rPr>
          <w:szCs w:val="24"/>
        </w:rPr>
        <w:t xml:space="preserve"> </w:t>
      </w:r>
      <w:r w:rsidR="004C6F72">
        <w:rPr>
          <w:szCs w:val="24"/>
        </w:rPr>
        <w:t xml:space="preserve">as defined under section 111 of the Administration Act, or ‘AAT second review’, as defined under section 128 of the Administration Act. </w:t>
      </w:r>
      <w:r w:rsidR="00C91EB8">
        <w:rPr>
          <w:szCs w:val="24"/>
        </w:rPr>
        <w:t>‘</w:t>
      </w:r>
      <w:r w:rsidR="00044C53">
        <w:t xml:space="preserve">AAT </w:t>
      </w:r>
      <w:r w:rsidR="00835135">
        <w:t>first</w:t>
      </w:r>
      <w:r w:rsidR="00044C53">
        <w:t xml:space="preserve"> review</w:t>
      </w:r>
      <w:r w:rsidR="00C91EB8">
        <w:t>’</w:t>
      </w:r>
      <w:r w:rsidR="00044C53">
        <w:t xml:space="preserve"> and </w:t>
      </w:r>
      <w:r w:rsidR="00C91EB8">
        <w:t>‘</w:t>
      </w:r>
      <w:r w:rsidR="00044C53">
        <w:t>AAT second review</w:t>
      </w:r>
      <w:r w:rsidR="00C91EB8">
        <w:t>’</w:t>
      </w:r>
      <w:r w:rsidR="00044C53">
        <w:t xml:space="preserve"> reflect </w:t>
      </w:r>
      <w:r w:rsidR="00C712D3">
        <w:t xml:space="preserve">the merits </w:t>
      </w:r>
      <w:r w:rsidR="00044C53">
        <w:t xml:space="preserve">review model of the former </w:t>
      </w:r>
      <w:r w:rsidR="00C712D3">
        <w:t>S</w:t>
      </w:r>
      <w:r w:rsidR="00044C53">
        <w:t xml:space="preserve">ocial </w:t>
      </w:r>
      <w:r w:rsidR="00C712D3">
        <w:t>S</w:t>
      </w:r>
      <w:r w:rsidR="00044C53">
        <w:t xml:space="preserve">ecurity </w:t>
      </w:r>
      <w:r w:rsidR="00C712D3">
        <w:t>A</w:t>
      </w:r>
      <w:r w:rsidR="00044C53">
        <w:t xml:space="preserve">ppeals </w:t>
      </w:r>
      <w:r w:rsidR="00C712D3">
        <w:t>T</w:t>
      </w:r>
      <w:r w:rsidR="00044C53">
        <w:t>ribunal</w:t>
      </w:r>
      <w:r w:rsidR="006F4BC1">
        <w:t xml:space="preserve"> (SSAT)</w:t>
      </w:r>
      <w:r w:rsidR="00044C53">
        <w:t xml:space="preserve"> before its amalgamation into the general administrative division of the AAT</w:t>
      </w:r>
      <w:r w:rsidR="006F4BC1">
        <w:t xml:space="preserve"> where SSAT appeals could be made to the AAT</w:t>
      </w:r>
      <w:r w:rsidR="00044C53">
        <w:t>.</w:t>
      </w:r>
      <w:r w:rsidR="00C712D3">
        <w:t xml:space="preserve"> </w:t>
      </w:r>
      <w:r w:rsidR="00DD15FB">
        <w:t>‘</w:t>
      </w:r>
      <w:r w:rsidR="009A4340">
        <w:t>AAT first</w:t>
      </w:r>
      <w:r w:rsidR="00DD15FB">
        <w:t xml:space="preserve"> review’</w:t>
      </w:r>
      <w:r w:rsidR="009A4340">
        <w:t xml:space="preserve"> and </w:t>
      </w:r>
      <w:r w:rsidR="00D3485E">
        <w:t>‘</w:t>
      </w:r>
      <w:r w:rsidR="009A4340">
        <w:t>AAT second</w:t>
      </w:r>
      <w:r w:rsidR="00DD15FB">
        <w:t xml:space="preserve"> review’</w:t>
      </w:r>
      <w:r w:rsidR="009A4340">
        <w:t xml:space="preserve"> </w:t>
      </w:r>
      <w:r w:rsidR="006F4BC1">
        <w:t xml:space="preserve">is available for review of </w:t>
      </w:r>
      <w:r w:rsidR="002B79D4">
        <w:t xml:space="preserve">decisions </w:t>
      </w:r>
      <w:r w:rsidR="006F4BC1">
        <w:t>that do not relate to the approval framework for child care service providers. These classes of decision</w:t>
      </w:r>
      <w:r w:rsidR="002B79D4">
        <w:t xml:space="preserve"> are and will remain application fee exempt</w:t>
      </w:r>
      <w:r w:rsidR="009A4340">
        <w:t xml:space="preserve">. </w:t>
      </w:r>
      <w:r w:rsidR="006F4BC1">
        <w:t>As relevant to child care payments</w:t>
      </w:r>
      <w:r w:rsidR="00B317A6">
        <w:t>, these</w:t>
      </w:r>
      <w:r w:rsidR="009A4340">
        <w:t xml:space="preserve"> are</w:t>
      </w:r>
      <w:r w:rsidR="006F4BC1">
        <w:t xml:space="preserve"> largely</w:t>
      </w:r>
      <w:r w:rsidR="009A4340">
        <w:t xml:space="preserve"> </w:t>
      </w:r>
      <w:r w:rsidR="002B79D4">
        <w:t xml:space="preserve">decisions </w:t>
      </w:r>
      <w:r w:rsidR="006F4BC1">
        <w:t xml:space="preserve">relating to the entitlement of individuals to family assistance, including child care subsidy. </w:t>
      </w:r>
    </w:p>
    <w:p w14:paraId="51509C85" w14:textId="16345DD0" w:rsidR="00044C53" w:rsidRDefault="00044C53" w:rsidP="007E7211">
      <w:pPr>
        <w:keepLines/>
        <w:spacing w:before="0" w:after="240"/>
        <w:rPr>
          <w:sz w:val="16"/>
          <w:szCs w:val="16"/>
        </w:rPr>
      </w:pPr>
      <w:r>
        <w:rPr>
          <w:szCs w:val="24"/>
        </w:rPr>
        <w:t xml:space="preserve">The </w:t>
      </w:r>
      <w:r w:rsidR="00C712D3">
        <w:rPr>
          <w:szCs w:val="24"/>
        </w:rPr>
        <w:t>measure</w:t>
      </w:r>
      <w:r>
        <w:rPr>
          <w:szCs w:val="24"/>
        </w:rPr>
        <w:t xml:space="preserve"> simply gives effect to the general </w:t>
      </w:r>
      <w:r w:rsidR="00D53451">
        <w:rPr>
          <w:szCs w:val="24"/>
        </w:rPr>
        <w:t>intention</w:t>
      </w:r>
      <w:r>
        <w:rPr>
          <w:szCs w:val="24"/>
        </w:rPr>
        <w:t xml:space="preserve"> of</w:t>
      </w:r>
      <w:r w:rsidR="006F4BC1">
        <w:rPr>
          <w:szCs w:val="24"/>
        </w:rPr>
        <w:t xml:space="preserve"> the exemption that applies to family assistance matters</w:t>
      </w:r>
      <w:r w:rsidR="00D53451">
        <w:rPr>
          <w:szCs w:val="24"/>
        </w:rPr>
        <w:t xml:space="preserve"> as it relates to individuals (typically parents) seeking review of their family assistance entitlement. The fee exemption was not intended to provide an exemption to child care service providers seeking review of decisions relating to their approval</w:t>
      </w:r>
      <w:r w:rsidR="004B4347">
        <w:rPr>
          <w:szCs w:val="24"/>
        </w:rPr>
        <w:t xml:space="preserve">. The intent of the </w:t>
      </w:r>
      <w:r>
        <w:rPr>
          <w:szCs w:val="24"/>
        </w:rPr>
        <w:t xml:space="preserve">application fee exemption in </w:t>
      </w:r>
      <w:r w:rsidR="00C712D3">
        <w:rPr>
          <w:szCs w:val="24"/>
        </w:rPr>
        <w:t xml:space="preserve">relation to decisions made under the Administration Act </w:t>
      </w:r>
      <w:r>
        <w:rPr>
          <w:szCs w:val="24"/>
        </w:rPr>
        <w:t>was not to inadvertently provide special dispensation to sole traders, private businesses and proprietary limited companies (the typical applicants in single review proceedings</w:t>
      </w:r>
      <w:r w:rsidR="00640F20">
        <w:rPr>
          <w:szCs w:val="24"/>
        </w:rPr>
        <w:t xml:space="preserve"> </w:t>
      </w:r>
      <w:r w:rsidR="00C712D3">
        <w:rPr>
          <w:szCs w:val="24"/>
        </w:rPr>
        <w:t>seeking review of decisions to cancel child care subsidy approval</w:t>
      </w:r>
      <w:r w:rsidR="00640F20">
        <w:rPr>
          <w:szCs w:val="24"/>
        </w:rPr>
        <w:t>)</w:t>
      </w:r>
      <w:r>
        <w:rPr>
          <w:szCs w:val="24"/>
        </w:rPr>
        <w:t xml:space="preserve"> with capacity to pay an application fee. </w:t>
      </w:r>
    </w:p>
    <w:p w14:paraId="1C9173EF" w14:textId="64DDD728" w:rsidR="000256E6" w:rsidRDefault="00044C53" w:rsidP="007E7211">
      <w:pPr>
        <w:keepLines/>
        <w:spacing w:before="0" w:after="240"/>
        <w:rPr>
          <w:szCs w:val="24"/>
        </w:rPr>
      </w:pPr>
      <w:r>
        <w:rPr>
          <w:szCs w:val="24"/>
        </w:rPr>
        <w:t xml:space="preserve">The types of applications which </w:t>
      </w:r>
      <w:r w:rsidR="0033646B">
        <w:rPr>
          <w:szCs w:val="24"/>
        </w:rPr>
        <w:t>the measure clarifies are not</w:t>
      </w:r>
      <w:r>
        <w:rPr>
          <w:szCs w:val="24"/>
        </w:rPr>
        <w:t xml:space="preserve"> fee exempt relate only to child care service </w:t>
      </w:r>
      <w:r w:rsidR="00D53451">
        <w:rPr>
          <w:szCs w:val="24"/>
        </w:rPr>
        <w:t>providers</w:t>
      </w:r>
      <w:r>
        <w:rPr>
          <w:szCs w:val="24"/>
        </w:rPr>
        <w:t xml:space="preserve"> seeking merits review of </w:t>
      </w:r>
      <w:r w:rsidR="00D53451">
        <w:rPr>
          <w:szCs w:val="24"/>
        </w:rPr>
        <w:t>decisions relating to their approval, including decision to cancel their approval and decisions to refuse an application for initial approval.</w:t>
      </w:r>
      <w:r>
        <w:rPr>
          <w:szCs w:val="24"/>
        </w:rPr>
        <w:t xml:space="preserve"> In </w:t>
      </w:r>
      <w:r w:rsidR="00D53451">
        <w:rPr>
          <w:szCs w:val="24"/>
        </w:rPr>
        <w:t>most of</w:t>
      </w:r>
      <w:r>
        <w:rPr>
          <w:szCs w:val="24"/>
        </w:rPr>
        <w:t xml:space="preserve"> these matters, the applicants are legally represented, some have amicus or lay representatives assisting them and in a number of </w:t>
      </w:r>
      <w:r w:rsidR="00C712D3">
        <w:rPr>
          <w:szCs w:val="24"/>
        </w:rPr>
        <w:t>such matters before the AAT</w:t>
      </w:r>
      <w:r>
        <w:rPr>
          <w:szCs w:val="24"/>
        </w:rPr>
        <w:t>, applicants have retained junior counsel. The</w:t>
      </w:r>
      <w:r w:rsidR="0033646B">
        <w:rPr>
          <w:szCs w:val="24"/>
        </w:rPr>
        <w:t xml:space="preserve"> general</w:t>
      </w:r>
      <w:r>
        <w:rPr>
          <w:szCs w:val="24"/>
        </w:rPr>
        <w:t xml:space="preserve"> profile of these applicants is either as directors of corporate entities, joint or sole traders in private business arrangements (non-incorporated entities) </w:t>
      </w:r>
      <w:r w:rsidR="00446377">
        <w:rPr>
          <w:szCs w:val="24"/>
        </w:rPr>
        <w:t>who</w:t>
      </w:r>
      <w:r>
        <w:rPr>
          <w:szCs w:val="24"/>
        </w:rPr>
        <w:t xml:space="preserve"> have the resources to engage and retain legal representation </w:t>
      </w:r>
      <w:r w:rsidR="0033646B">
        <w:rPr>
          <w:szCs w:val="24"/>
        </w:rPr>
        <w:t>including</w:t>
      </w:r>
      <w:r>
        <w:rPr>
          <w:szCs w:val="24"/>
        </w:rPr>
        <w:t xml:space="preserve"> counsel at each stage of the proceedings before the Tribunal (even at the pre-hearing conference levels and interlocutory stages). </w:t>
      </w:r>
    </w:p>
    <w:p w14:paraId="6598DD30" w14:textId="607638DD" w:rsidR="003F13C3" w:rsidRPr="003F13C3" w:rsidRDefault="003F13C3" w:rsidP="007E7211">
      <w:pPr>
        <w:keepLines/>
        <w:spacing w:before="0" w:after="240"/>
        <w:rPr>
          <w:rFonts w:eastAsia="Times New Roman"/>
          <w:lang w:eastAsia="en-AU"/>
        </w:rPr>
      </w:pPr>
      <w:r w:rsidRPr="003F13C3">
        <w:rPr>
          <w:rFonts w:eastAsia="Times New Roman"/>
          <w:lang w:eastAsia="en-AU"/>
        </w:rPr>
        <w:lastRenderedPageBreak/>
        <w:t xml:space="preserve">The measure gives effect to the general intention of the fee exemption. The fee exemption was not intended to provide an exemption to child care service providers. The types of </w:t>
      </w:r>
      <w:proofErr w:type="gramStart"/>
      <w:r w:rsidRPr="003F13C3">
        <w:rPr>
          <w:rFonts w:eastAsia="Times New Roman"/>
          <w:lang w:eastAsia="en-AU"/>
        </w:rPr>
        <w:t>applications which the measure clarifies</w:t>
      </w:r>
      <w:proofErr w:type="gramEnd"/>
      <w:r w:rsidRPr="003F13C3">
        <w:rPr>
          <w:rFonts w:eastAsia="Times New Roman"/>
          <w:lang w:eastAsia="en-AU"/>
        </w:rPr>
        <w:t xml:space="preserve"> are not fee exempt are child care service providers seeking merits review decisions relating to their approval under the family assistance law. Notably, child care service providers can still avail themselves of fee waiver provisions if applicable to their circumstances.</w:t>
      </w:r>
    </w:p>
    <w:p w14:paraId="3271E37F" w14:textId="7DD96ECD" w:rsidR="00501820" w:rsidRPr="00501820" w:rsidRDefault="00501820" w:rsidP="007E7211">
      <w:pPr>
        <w:keepLines/>
        <w:spacing w:before="240" w:after="240"/>
        <w:rPr>
          <w:b/>
          <w:szCs w:val="24"/>
        </w:rPr>
      </w:pPr>
      <w:r w:rsidRPr="00501820">
        <w:rPr>
          <w:b/>
          <w:szCs w:val="24"/>
        </w:rPr>
        <w:t>Regulation Impact Statement (RIS)</w:t>
      </w:r>
    </w:p>
    <w:p w14:paraId="56315B99" w14:textId="77777777" w:rsidR="00501820" w:rsidRPr="00501820" w:rsidRDefault="00501820" w:rsidP="007E7211">
      <w:pPr>
        <w:keepLines/>
        <w:spacing w:before="240" w:after="240"/>
        <w:rPr>
          <w:szCs w:val="24"/>
          <w:lang w:val="en-US"/>
        </w:rPr>
      </w:pPr>
      <w:r w:rsidRPr="00501820">
        <w:rPr>
          <w:szCs w:val="24"/>
          <w:lang w:val="en-US"/>
        </w:rPr>
        <w:t xml:space="preserve">The Office of Best Practice Regulation has agreed a RIS is not required for the Amendment Regulation (OBPR ID </w:t>
      </w:r>
      <w:r w:rsidRPr="00501820">
        <w:rPr>
          <w:szCs w:val="24"/>
        </w:rPr>
        <w:t>24479</w:t>
      </w:r>
      <w:r>
        <w:rPr>
          <w:szCs w:val="24"/>
        </w:rPr>
        <w:t>)</w:t>
      </w:r>
      <w:r w:rsidR="00A274E3">
        <w:rPr>
          <w:szCs w:val="24"/>
        </w:rPr>
        <w:t>.</w:t>
      </w:r>
    </w:p>
    <w:p w14:paraId="3E93DBF7" w14:textId="77777777" w:rsidR="00501820" w:rsidRPr="00501820" w:rsidRDefault="00501820" w:rsidP="007E7211">
      <w:pPr>
        <w:keepNext/>
        <w:keepLines/>
        <w:spacing w:before="240" w:after="240"/>
        <w:rPr>
          <w:b/>
          <w:szCs w:val="24"/>
        </w:rPr>
      </w:pPr>
      <w:r w:rsidRPr="00501820">
        <w:rPr>
          <w:b/>
          <w:szCs w:val="24"/>
        </w:rPr>
        <w:t>Commencement</w:t>
      </w:r>
    </w:p>
    <w:p w14:paraId="14243F95" w14:textId="5B9F41E0" w:rsidR="00446377" w:rsidRPr="00DD15FB" w:rsidRDefault="00501820" w:rsidP="007E7211">
      <w:pPr>
        <w:keepNext/>
        <w:keepLines/>
        <w:spacing w:before="240" w:after="240"/>
        <w:rPr>
          <w:szCs w:val="24"/>
        </w:rPr>
      </w:pPr>
      <w:bookmarkStart w:id="1" w:name="OLE_LINK1"/>
      <w:bookmarkStart w:id="2" w:name="OLE_LINK2"/>
      <w:r w:rsidRPr="00501820">
        <w:rPr>
          <w:szCs w:val="24"/>
        </w:rPr>
        <w:t>The Amendment Regulation commences on the day after it is registered on the Federal Register of Legislation.</w:t>
      </w:r>
      <w:bookmarkEnd w:id="1"/>
      <w:bookmarkEnd w:id="2"/>
    </w:p>
    <w:p w14:paraId="4DA7FAB7" w14:textId="77777777" w:rsidR="00501820" w:rsidRPr="00501820" w:rsidRDefault="00501820" w:rsidP="007E7211">
      <w:pPr>
        <w:keepLines/>
        <w:spacing w:before="240" w:after="240"/>
        <w:rPr>
          <w:b/>
          <w:szCs w:val="24"/>
        </w:rPr>
      </w:pPr>
      <w:r w:rsidRPr="00501820">
        <w:rPr>
          <w:b/>
          <w:szCs w:val="24"/>
        </w:rPr>
        <w:t>Consultation</w:t>
      </w:r>
    </w:p>
    <w:p w14:paraId="404A122D" w14:textId="412D6E5A" w:rsidR="00501820" w:rsidRPr="008629A5" w:rsidRDefault="00501820" w:rsidP="007E7211">
      <w:pPr>
        <w:keepLines/>
        <w:spacing w:before="240" w:after="240"/>
        <w:rPr>
          <w:b/>
          <w:szCs w:val="24"/>
        </w:rPr>
      </w:pPr>
      <w:r w:rsidRPr="00BD00DB">
        <w:rPr>
          <w:szCs w:val="24"/>
        </w:rPr>
        <w:t xml:space="preserve">The Attorney-General has consulted with the </w:t>
      </w:r>
      <w:r w:rsidR="000D0777" w:rsidRPr="00BD00DB">
        <w:rPr>
          <w:szCs w:val="24"/>
        </w:rPr>
        <w:t xml:space="preserve">Minister for Education the Hon Dan Tehan MP </w:t>
      </w:r>
      <w:r w:rsidR="00A13BD9" w:rsidRPr="00BD00DB">
        <w:rPr>
          <w:szCs w:val="24"/>
        </w:rPr>
        <w:t xml:space="preserve">in developing the Amendment Regulation. The </w:t>
      </w:r>
      <w:r w:rsidR="00DD15FB">
        <w:rPr>
          <w:szCs w:val="24"/>
        </w:rPr>
        <w:t>AAT</w:t>
      </w:r>
      <w:r w:rsidR="00A13BD9" w:rsidRPr="00BD00DB">
        <w:rPr>
          <w:szCs w:val="24"/>
        </w:rPr>
        <w:t xml:space="preserve"> </w:t>
      </w:r>
      <w:proofErr w:type="gramStart"/>
      <w:r w:rsidR="00A13BD9" w:rsidRPr="00BD00DB">
        <w:rPr>
          <w:szCs w:val="24"/>
        </w:rPr>
        <w:t>has also been consulted</w:t>
      </w:r>
      <w:proofErr w:type="gramEnd"/>
      <w:r w:rsidR="00A13BD9" w:rsidRPr="008629A5">
        <w:t xml:space="preserve"> on the measure and the pending change to its jurisdiction. The </w:t>
      </w:r>
      <w:r w:rsidR="00DD15FB">
        <w:t>AAT</w:t>
      </w:r>
      <w:r w:rsidR="00A13BD9" w:rsidRPr="008629A5">
        <w:t xml:space="preserve"> has indicated that any consequential operational changes</w:t>
      </w:r>
      <w:r w:rsidR="00446377" w:rsidRPr="008629A5">
        <w:t xml:space="preserve"> associated with the measure</w:t>
      </w:r>
      <w:r w:rsidR="00A13BD9" w:rsidRPr="008629A5">
        <w:t xml:space="preserve"> are easily implemented </w:t>
      </w:r>
      <w:r w:rsidR="0033646B" w:rsidRPr="008629A5">
        <w:t>from the Tribunal’s operational perspective</w:t>
      </w:r>
      <w:r w:rsidR="00A13BD9" w:rsidRPr="008629A5">
        <w:t xml:space="preserve">. </w:t>
      </w:r>
      <w:r w:rsidR="00A13BD9" w:rsidRPr="00BD00DB">
        <w:rPr>
          <w:szCs w:val="24"/>
        </w:rPr>
        <w:t xml:space="preserve"> </w:t>
      </w:r>
    </w:p>
    <w:p w14:paraId="74A81E10" w14:textId="77777777" w:rsidR="00BA706A" w:rsidRDefault="00BA706A" w:rsidP="007E7211">
      <w:pPr>
        <w:spacing w:before="0" w:after="200" w:line="276" w:lineRule="auto"/>
        <w:rPr>
          <w:b/>
          <w:szCs w:val="24"/>
        </w:rPr>
      </w:pPr>
      <w:r>
        <w:rPr>
          <w:b/>
          <w:szCs w:val="24"/>
        </w:rPr>
        <w:br w:type="page"/>
      </w:r>
    </w:p>
    <w:p w14:paraId="3FD0A87A" w14:textId="0BAF0D8E" w:rsidR="00F52902" w:rsidRDefault="00F52902" w:rsidP="007E7211">
      <w:pPr>
        <w:ind w:right="-285"/>
        <w:rPr>
          <w:b/>
        </w:rPr>
      </w:pPr>
    </w:p>
    <w:p w14:paraId="42DC18ED" w14:textId="77777777" w:rsidR="00EC79A7" w:rsidRDefault="00EC79A7" w:rsidP="007E7211">
      <w:pPr>
        <w:spacing w:after="200" w:line="276" w:lineRule="auto"/>
        <w:rPr>
          <w:b/>
        </w:rPr>
      </w:pPr>
    </w:p>
    <w:p w14:paraId="10B51651" w14:textId="77777777" w:rsidR="00EC79A7" w:rsidRPr="0049659F" w:rsidRDefault="00EC79A7" w:rsidP="007E7211">
      <w:pPr>
        <w:spacing w:before="240"/>
        <w:ind w:right="91"/>
        <w:rPr>
          <w:b/>
        </w:rPr>
      </w:pPr>
      <w:r w:rsidRPr="0049659F">
        <w:rPr>
          <w:b/>
        </w:rPr>
        <w:t xml:space="preserve">Detailed explanation of the </w:t>
      </w:r>
      <w:r w:rsidRPr="006F0023">
        <w:rPr>
          <w:b/>
        </w:rPr>
        <w:t>Amendment Regulation</w:t>
      </w:r>
      <w:r w:rsidRPr="0049659F">
        <w:rPr>
          <w:b/>
        </w:rPr>
        <w:t xml:space="preserve"> provisions</w:t>
      </w:r>
    </w:p>
    <w:p w14:paraId="0E25C937" w14:textId="77777777" w:rsidR="00EC79A7" w:rsidRDefault="00EC79A7" w:rsidP="007E7211">
      <w:pPr>
        <w:spacing w:before="240"/>
        <w:ind w:right="91"/>
        <w:rPr>
          <w:bCs/>
          <w:u w:val="single"/>
        </w:rPr>
      </w:pPr>
      <w:r w:rsidRPr="008E089B">
        <w:rPr>
          <w:bCs/>
          <w:u w:val="single"/>
        </w:rPr>
        <w:t>Section 1 – Name of Amendment Regulation</w:t>
      </w:r>
    </w:p>
    <w:p w14:paraId="5AA507C3" w14:textId="51E30834" w:rsidR="00EC79A7" w:rsidRPr="00DF1D45" w:rsidRDefault="00EC79A7" w:rsidP="007E7211">
      <w:pPr>
        <w:spacing w:before="240"/>
        <w:ind w:right="91"/>
        <w:rPr>
          <w:bCs/>
          <w:u w:val="single"/>
        </w:rPr>
      </w:pPr>
      <w:r w:rsidRPr="00DF1D45">
        <w:t>This section provides that the title of the Amendment Regulation</w:t>
      </w:r>
      <w:r w:rsidRPr="00DF1D45" w:rsidDel="004541E9">
        <w:t xml:space="preserve"> </w:t>
      </w:r>
      <w:r w:rsidRPr="00DF1D45">
        <w:t xml:space="preserve">is the </w:t>
      </w:r>
      <w:r w:rsidR="00F55C26" w:rsidRPr="008275FE">
        <w:rPr>
          <w:i/>
          <w:iCs/>
        </w:rPr>
        <w:t>Administrative Appeals Tribunal Amendment (Family Assistance Law Review Fees) Regulations 201</w:t>
      </w:r>
      <w:r w:rsidR="00D6690E">
        <w:rPr>
          <w:i/>
          <w:iCs/>
        </w:rPr>
        <w:t>9</w:t>
      </w:r>
      <w:r w:rsidRPr="00DF1D45">
        <w:rPr>
          <w:i/>
          <w:iCs/>
        </w:rPr>
        <w:t>.</w:t>
      </w:r>
    </w:p>
    <w:p w14:paraId="0827BA4E" w14:textId="77777777" w:rsidR="00EC79A7" w:rsidRPr="00E03308" w:rsidRDefault="00EC79A7" w:rsidP="007E7211">
      <w:pPr>
        <w:spacing w:before="240"/>
        <w:ind w:right="91"/>
        <w:rPr>
          <w:bCs/>
          <w:u w:val="single"/>
        </w:rPr>
      </w:pPr>
      <w:r w:rsidRPr="00E03308">
        <w:rPr>
          <w:bCs/>
          <w:u w:val="single"/>
        </w:rPr>
        <w:t>Section 2 – Commencement</w:t>
      </w:r>
    </w:p>
    <w:p w14:paraId="7722FC7A" w14:textId="3894F6DC" w:rsidR="00EC79A7" w:rsidRPr="00E03308" w:rsidRDefault="00EC79A7" w:rsidP="007E7211">
      <w:pPr>
        <w:spacing w:before="240"/>
        <w:ind w:right="91"/>
      </w:pPr>
      <w:r w:rsidRPr="00E03308">
        <w:t xml:space="preserve">This section provides </w:t>
      </w:r>
      <w:r w:rsidR="004C6F72">
        <w:t xml:space="preserve">for the </w:t>
      </w:r>
      <w:r w:rsidRPr="00E03308">
        <w:t xml:space="preserve">Amendment Regulation </w:t>
      </w:r>
      <w:r w:rsidR="0009343F">
        <w:t>to</w:t>
      </w:r>
      <w:r w:rsidR="004C6F72">
        <w:t xml:space="preserve"> </w:t>
      </w:r>
      <w:r w:rsidRPr="00E03308">
        <w:t>commence on the day after the Amendment Regulation is registered on the Federal Register of Legislation.</w:t>
      </w:r>
    </w:p>
    <w:p w14:paraId="143CD2BA" w14:textId="77777777" w:rsidR="00EC79A7" w:rsidRPr="00E03308" w:rsidRDefault="00EC79A7" w:rsidP="007E7211">
      <w:pPr>
        <w:spacing w:before="240"/>
        <w:ind w:right="91"/>
        <w:rPr>
          <w:bCs/>
          <w:u w:val="single"/>
        </w:rPr>
      </w:pPr>
      <w:r w:rsidRPr="00E03308">
        <w:rPr>
          <w:bCs/>
          <w:u w:val="single"/>
        </w:rPr>
        <w:t>Section 3 – Authority</w:t>
      </w:r>
    </w:p>
    <w:p w14:paraId="7C6CED87" w14:textId="1B29F040" w:rsidR="00EC79A7" w:rsidRPr="00220C01" w:rsidRDefault="00EC79A7" w:rsidP="007E7211">
      <w:pPr>
        <w:spacing w:before="240"/>
        <w:ind w:right="91"/>
      </w:pPr>
      <w:r w:rsidRPr="00E03308">
        <w:t xml:space="preserve">This section provides that the Amendment Regulation </w:t>
      </w:r>
      <w:proofErr w:type="gramStart"/>
      <w:r w:rsidR="003C1723">
        <w:t>is</w:t>
      </w:r>
      <w:proofErr w:type="gramEnd"/>
      <w:r w:rsidR="004C6F72">
        <w:t xml:space="preserve"> </w:t>
      </w:r>
      <w:r w:rsidRPr="00E03308">
        <w:t xml:space="preserve">made under </w:t>
      </w:r>
      <w:r w:rsidR="006C5AB6">
        <w:t xml:space="preserve">section 70 </w:t>
      </w:r>
      <w:r w:rsidR="00525B7E">
        <w:t xml:space="preserve">of </w:t>
      </w:r>
      <w:r w:rsidR="004C6F72">
        <w:t>the</w:t>
      </w:r>
      <w:r w:rsidR="00F55C26">
        <w:t xml:space="preserve"> </w:t>
      </w:r>
      <w:r w:rsidR="00F55C26" w:rsidRPr="00DA3941">
        <w:rPr>
          <w:i/>
        </w:rPr>
        <w:t>Administrative Appeals Tribunal Act 1975</w:t>
      </w:r>
      <w:r>
        <w:t>.</w:t>
      </w:r>
    </w:p>
    <w:p w14:paraId="79E14A94" w14:textId="77777777" w:rsidR="00EC79A7" w:rsidRPr="00180F60" w:rsidRDefault="00EC79A7" w:rsidP="007E7211">
      <w:pPr>
        <w:spacing w:before="240"/>
        <w:ind w:right="91"/>
        <w:rPr>
          <w:u w:val="single"/>
        </w:rPr>
      </w:pPr>
      <w:r>
        <w:rPr>
          <w:u w:val="single"/>
        </w:rPr>
        <w:t>Section</w:t>
      </w:r>
      <w:r w:rsidRPr="00180F60">
        <w:rPr>
          <w:u w:val="single"/>
        </w:rPr>
        <w:t xml:space="preserve"> 4 – Schedules</w:t>
      </w:r>
      <w:r>
        <w:rPr>
          <w:u w:val="single"/>
        </w:rPr>
        <w:br/>
      </w:r>
    </w:p>
    <w:p w14:paraId="52F6F764" w14:textId="372A2C8C" w:rsidR="00EC79A7" w:rsidRPr="00180F60" w:rsidRDefault="00EC79A7" w:rsidP="007E7211">
      <w:pPr>
        <w:ind w:right="91"/>
      </w:pPr>
      <w:r>
        <w:t xml:space="preserve">This section provides that </w:t>
      </w:r>
      <w:r w:rsidRPr="00180F60">
        <w:t>each instrument that</w:t>
      </w:r>
      <w:r w:rsidR="00EA1FAD">
        <w:t xml:space="preserve"> is</w:t>
      </w:r>
      <w:r w:rsidRPr="00180F60">
        <w:t xml:space="preserve"> specified in a Schedule to th</w:t>
      </w:r>
      <w:r w:rsidR="00EA1FAD">
        <w:t>is</w:t>
      </w:r>
      <w:r w:rsidRPr="00180F60">
        <w:t xml:space="preserve"> instrument </w:t>
      </w:r>
      <w:r w:rsidR="00267533">
        <w:t xml:space="preserve">is </w:t>
      </w:r>
      <w:r w:rsidRPr="00180F60">
        <w:t>amended or repealed as set out in the applicable items in the Schedule concerned, and any other item in a Schedule to th</w:t>
      </w:r>
      <w:r w:rsidR="00EA1FAD">
        <w:t>is</w:t>
      </w:r>
      <w:r w:rsidRPr="00180F60">
        <w:t xml:space="preserve"> instrument has effect according to its terms.</w:t>
      </w:r>
    </w:p>
    <w:p w14:paraId="677D9942" w14:textId="77777777" w:rsidR="00EC79A7" w:rsidRPr="00180F60" w:rsidRDefault="00EC79A7" w:rsidP="007E7211">
      <w:pPr>
        <w:spacing w:before="240"/>
        <w:ind w:right="91"/>
        <w:rPr>
          <w:u w:val="single"/>
        </w:rPr>
      </w:pPr>
      <w:r w:rsidRPr="00180F60">
        <w:rPr>
          <w:u w:val="single"/>
        </w:rPr>
        <w:t xml:space="preserve">Schedule 1 </w:t>
      </w:r>
      <w:r>
        <w:rPr>
          <w:u w:val="single"/>
        </w:rPr>
        <w:t>–</w:t>
      </w:r>
      <w:r w:rsidRPr="00180F60">
        <w:rPr>
          <w:u w:val="single"/>
        </w:rPr>
        <w:t xml:space="preserve"> Amendments</w:t>
      </w:r>
    </w:p>
    <w:p w14:paraId="586D6253" w14:textId="77777777" w:rsidR="00EA1FAD" w:rsidRDefault="00EA1FAD" w:rsidP="007E7211">
      <w:pPr>
        <w:rPr>
          <w:b/>
        </w:rPr>
      </w:pPr>
    </w:p>
    <w:p w14:paraId="7761F2D3" w14:textId="77777777" w:rsidR="00EC79A7" w:rsidRPr="008629A5" w:rsidRDefault="00EA1FAD" w:rsidP="007E7211">
      <w:pPr>
        <w:rPr>
          <w:b/>
          <w:sz w:val="16"/>
          <w:szCs w:val="16"/>
        </w:rPr>
      </w:pPr>
      <w:r>
        <w:rPr>
          <w:b/>
        </w:rPr>
        <w:t>Item 1</w:t>
      </w:r>
      <w:r w:rsidR="00267533">
        <w:rPr>
          <w:b/>
        </w:rPr>
        <w:br/>
      </w:r>
    </w:p>
    <w:p w14:paraId="03AD7F58" w14:textId="654F484F" w:rsidR="00EA1FAD" w:rsidRDefault="00596C12" w:rsidP="007E7211">
      <w:pPr>
        <w:keepLines/>
        <w:spacing w:before="0" w:after="240"/>
        <w:rPr>
          <w:szCs w:val="24"/>
        </w:rPr>
      </w:pPr>
      <w:r>
        <w:rPr>
          <w:szCs w:val="24"/>
        </w:rPr>
        <w:t>I</w:t>
      </w:r>
      <w:r w:rsidR="00EA1FAD">
        <w:rPr>
          <w:szCs w:val="24"/>
        </w:rPr>
        <w:t xml:space="preserve">tem </w:t>
      </w:r>
      <w:proofErr w:type="gramStart"/>
      <w:r w:rsidR="00EA1FAD">
        <w:rPr>
          <w:szCs w:val="24"/>
        </w:rPr>
        <w:t>1</w:t>
      </w:r>
      <w:proofErr w:type="gramEnd"/>
      <w:r w:rsidR="00EA1FAD">
        <w:rPr>
          <w:szCs w:val="24"/>
        </w:rPr>
        <w:t xml:space="preserve"> repeal</w:t>
      </w:r>
      <w:r w:rsidR="003C1723">
        <w:rPr>
          <w:szCs w:val="24"/>
        </w:rPr>
        <w:t>s</w:t>
      </w:r>
      <w:r w:rsidR="0009343F">
        <w:rPr>
          <w:szCs w:val="24"/>
        </w:rPr>
        <w:t xml:space="preserve"> and replace</w:t>
      </w:r>
      <w:r w:rsidR="003C1723">
        <w:rPr>
          <w:szCs w:val="24"/>
        </w:rPr>
        <w:t>s</w:t>
      </w:r>
      <w:r w:rsidR="00EA1FAD">
        <w:rPr>
          <w:szCs w:val="24"/>
        </w:rPr>
        <w:t xml:space="preserve"> table item 3 </w:t>
      </w:r>
      <w:r w:rsidR="00267533">
        <w:rPr>
          <w:szCs w:val="24"/>
        </w:rPr>
        <w:t xml:space="preserve">to </w:t>
      </w:r>
      <w:r w:rsidR="00016089">
        <w:rPr>
          <w:szCs w:val="24"/>
        </w:rPr>
        <w:t>regulation</w:t>
      </w:r>
      <w:r w:rsidR="00EA1FAD">
        <w:rPr>
          <w:szCs w:val="24"/>
        </w:rPr>
        <w:t xml:space="preserve"> 22 of the Principal Regulation with new table item 3 </w:t>
      </w:r>
      <w:r w:rsidR="00267533">
        <w:rPr>
          <w:szCs w:val="24"/>
        </w:rPr>
        <w:t>to</w:t>
      </w:r>
      <w:r w:rsidR="00EA1FAD">
        <w:rPr>
          <w:szCs w:val="24"/>
        </w:rPr>
        <w:t xml:space="preserve"> </w:t>
      </w:r>
      <w:r w:rsidR="00016089">
        <w:rPr>
          <w:szCs w:val="24"/>
        </w:rPr>
        <w:t>regulation</w:t>
      </w:r>
      <w:r w:rsidR="00EA1FAD">
        <w:rPr>
          <w:szCs w:val="24"/>
        </w:rPr>
        <w:t xml:space="preserve"> 22 of the Principal Regulation.</w:t>
      </w:r>
    </w:p>
    <w:p w14:paraId="31FAFBA8" w14:textId="4C6E5F2A" w:rsidR="00EA1FAD" w:rsidRDefault="00EA1FAD" w:rsidP="007E7211">
      <w:pPr>
        <w:keepLines/>
        <w:spacing w:before="0" w:after="240"/>
        <w:rPr>
          <w:szCs w:val="24"/>
        </w:rPr>
      </w:pPr>
      <w:r>
        <w:rPr>
          <w:szCs w:val="24"/>
        </w:rPr>
        <w:t xml:space="preserve">New table item 3 of </w:t>
      </w:r>
      <w:r w:rsidR="00B10F31">
        <w:rPr>
          <w:szCs w:val="24"/>
        </w:rPr>
        <w:t>regulation</w:t>
      </w:r>
      <w:r>
        <w:rPr>
          <w:szCs w:val="24"/>
        </w:rPr>
        <w:t xml:space="preserve"> 22 of the Principal Regulation would provide</w:t>
      </w:r>
      <w:r w:rsidR="00267533">
        <w:rPr>
          <w:szCs w:val="24"/>
        </w:rPr>
        <w:t xml:space="preserve"> that</w:t>
      </w:r>
      <w:r>
        <w:rPr>
          <w:szCs w:val="24"/>
        </w:rPr>
        <w:t xml:space="preserve"> “</w:t>
      </w:r>
      <w:r w:rsidR="00267533">
        <w:rPr>
          <w:szCs w:val="24"/>
        </w:rPr>
        <w:t>[a]</w:t>
      </w:r>
      <w:r>
        <w:rPr>
          <w:szCs w:val="24"/>
        </w:rPr>
        <w:t xml:space="preserve"> decision under the family assistance law within the meaning of the </w:t>
      </w:r>
      <w:r>
        <w:rPr>
          <w:i/>
          <w:szCs w:val="24"/>
        </w:rPr>
        <w:t xml:space="preserve">A New Tax System (Family Assistance) (Administration) Act 1999 </w:t>
      </w:r>
      <w:r>
        <w:rPr>
          <w:szCs w:val="24"/>
        </w:rPr>
        <w:t>for which application is made for AAT first review or AAT second review within the meaning of that Act.”</w:t>
      </w:r>
    </w:p>
    <w:p w14:paraId="15730205" w14:textId="38BAA66C" w:rsidR="00902F52" w:rsidRDefault="00DD15FB" w:rsidP="007E7211">
      <w:pPr>
        <w:keepLines/>
        <w:spacing w:before="0" w:after="240"/>
      </w:pPr>
      <w:r>
        <w:rPr>
          <w:szCs w:val="24"/>
        </w:rPr>
        <w:t>The purpose of i</w:t>
      </w:r>
      <w:r w:rsidR="00EA1FAD">
        <w:rPr>
          <w:szCs w:val="24"/>
        </w:rPr>
        <w:t xml:space="preserve">tem 1 is to make clear that no fee is payable in relation to an application for review of a decision under family assistance law, where the application is made for ‘AAT first review’, as defined under section 111 of the Administration Act, or ‘AAT second review’, as defined under section 128 of the Administration Act. </w:t>
      </w:r>
    </w:p>
    <w:p w14:paraId="78213322" w14:textId="78D26188" w:rsidR="00EA1FAD" w:rsidRPr="00A00A25" w:rsidRDefault="00DB69B6" w:rsidP="007E7211">
      <w:pPr>
        <w:ind w:right="-45"/>
        <w:rPr>
          <w:b/>
          <w:sz w:val="18"/>
          <w:szCs w:val="18"/>
        </w:rPr>
      </w:pPr>
      <w:r>
        <w:rPr>
          <w:b/>
        </w:rPr>
        <w:t xml:space="preserve">Item 2 </w:t>
      </w:r>
      <w:r w:rsidR="00A00A25">
        <w:rPr>
          <w:b/>
        </w:rPr>
        <w:br/>
      </w:r>
    </w:p>
    <w:p w14:paraId="2CB39DD5" w14:textId="451C75BD" w:rsidR="00EA1FAD" w:rsidRDefault="00EA1FAD" w:rsidP="007E7211">
      <w:pPr>
        <w:keepLines/>
        <w:spacing w:before="0" w:after="240"/>
        <w:rPr>
          <w:szCs w:val="24"/>
        </w:rPr>
      </w:pPr>
      <w:r>
        <w:rPr>
          <w:szCs w:val="24"/>
        </w:rPr>
        <w:t>Item 2 insert</w:t>
      </w:r>
      <w:r w:rsidR="003C1723">
        <w:rPr>
          <w:szCs w:val="24"/>
        </w:rPr>
        <w:t>s</w:t>
      </w:r>
      <w:r>
        <w:rPr>
          <w:szCs w:val="24"/>
        </w:rPr>
        <w:t xml:space="preserve"> a note at the end of </w:t>
      </w:r>
      <w:r w:rsidR="00016089">
        <w:rPr>
          <w:szCs w:val="24"/>
        </w:rPr>
        <w:t>regulation</w:t>
      </w:r>
      <w:r>
        <w:rPr>
          <w:szCs w:val="24"/>
        </w:rPr>
        <w:t xml:space="preserve"> 22 of the Principal Regulation.</w:t>
      </w:r>
    </w:p>
    <w:p w14:paraId="01BABF3D" w14:textId="63704C18" w:rsidR="00EA1FAD" w:rsidRDefault="00EA1FAD" w:rsidP="007E7211">
      <w:pPr>
        <w:keepLines/>
        <w:spacing w:before="0" w:after="240"/>
        <w:rPr>
          <w:szCs w:val="24"/>
        </w:rPr>
      </w:pPr>
      <w:r>
        <w:rPr>
          <w:szCs w:val="24"/>
        </w:rPr>
        <w:t xml:space="preserve">The new note at the end of </w:t>
      </w:r>
      <w:r w:rsidR="00016089">
        <w:rPr>
          <w:szCs w:val="24"/>
        </w:rPr>
        <w:t>regulation</w:t>
      </w:r>
      <w:r>
        <w:rPr>
          <w:szCs w:val="24"/>
        </w:rPr>
        <w:t xml:space="preserve"> 22 provide</w:t>
      </w:r>
      <w:r w:rsidR="003C1723">
        <w:rPr>
          <w:szCs w:val="24"/>
        </w:rPr>
        <w:t>s</w:t>
      </w:r>
      <w:r>
        <w:rPr>
          <w:szCs w:val="24"/>
        </w:rPr>
        <w:t xml:space="preserve"> that “Item 3 does not cover a decision under the family assistance law within the meaning of the </w:t>
      </w:r>
      <w:r>
        <w:rPr>
          <w:i/>
          <w:szCs w:val="24"/>
        </w:rPr>
        <w:t xml:space="preserve">A New Tax System (Family Assistance) (Administration) Act 1999 </w:t>
      </w:r>
      <w:r>
        <w:rPr>
          <w:szCs w:val="24"/>
        </w:rPr>
        <w:t>for which application is made for AAT single review within the meaning of that Act.”</w:t>
      </w:r>
    </w:p>
    <w:p w14:paraId="744725E1" w14:textId="187D7AAF" w:rsidR="00EA1FAD" w:rsidRDefault="00EA1FAD" w:rsidP="007E7211">
      <w:pPr>
        <w:ind w:right="-45"/>
        <w:rPr>
          <w:szCs w:val="24"/>
        </w:rPr>
      </w:pPr>
      <w:r>
        <w:rPr>
          <w:szCs w:val="24"/>
        </w:rPr>
        <w:lastRenderedPageBreak/>
        <w:t xml:space="preserve">The purpose of the note at the end of </w:t>
      </w:r>
      <w:r w:rsidR="00016089">
        <w:rPr>
          <w:szCs w:val="24"/>
        </w:rPr>
        <w:t>regulation</w:t>
      </w:r>
      <w:r>
        <w:rPr>
          <w:szCs w:val="24"/>
        </w:rPr>
        <w:t xml:space="preserve"> 22 is to make clear that a fee is payable in relation to an application to the AAT for ‘AAT single review’, as defined under section 138 of the</w:t>
      </w:r>
      <w:r w:rsidR="00DD15FB">
        <w:rPr>
          <w:i/>
          <w:szCs w:val="24"/>
        </w:rPr>
        <w:t xml:space="preserve"> </w:t>
      </w:r>
      <w:r w:rsidR="00DD15FB" w:rsidRPr="00DD15FB">
        <w:rPr>
          <w:szCs w:val="24"/>
        </w:rPr>
        <w:t>Administration Act</w:t>
      </w:r>
      <w:r w:rsidRPr="00DD15FB">
        <w:rPr>
          <w:szCs w:val="24"/>
        </w:rPr>
        <w:t>. The intention</w:t>
      </w:r>
      <w:r w:rsidR="0009343F">
        <w:rPr>
          <w:szCs w:val="24"/>
        </w:rPr>
        <w:t xml:space="preserve"> of this measure</w:t>
      </w:r>
      <w:r>
        <w:rPr>
          <w:szCs w:val="24"/>
        </w:rPr>
        <w:t xml:space="preserve"> is</w:t>
      </w:r>
      <w:r w:rsidR="0009343F">
        <w:rPr>
          <w:szCs w:val="24"/>
        </w:rPr>
        <w:t xml:space="preserve"> to clarify</w:t>
      </w:r>
      <w:r>
        <w:rPr>
          <w:szCs w:val="24"/>
        </w:rPr>
        <w:t xml:space="preserve"> that child care service providers seeking ‘AAT single review’ of a decision under family assistance law that would affect their approval </w:t>
      </w:r>
      <w:r w:rsidR="0009343F">
        <w:rPr>
          <w:szCs w:val="24"/>
        </w:rPr>
        <w:t>are required to</w:t>
      </w:r>
      <w:r>
        <w:rPr>
          <w:szCs w:val="24"/>
        </w:rPr>
        <w:t xml:space="preserve"> pay the standard application fee, as provided by sub</w:t>
      </w:r>
      <w:r w:rsidR="0009343F">
        <w:rPr>
          <w:szCs w:val="24"/>
        </w:rPr>
        <w:t>-</w:t>
      </w:r>
      <w:r>
        <w:rPr>
          <w:szCs w:val="24"/>
        </w:rPr>
        <w:t xml:space="preserve">regulation 20(1) of the Principal Regulation. The exception would be where a concessional circumstance, under regulation 21 of the Principal Regulation, applies.  </w:t>
      </w:r>
    </w:p>
    <w:p w14:paraId="54787125" w14:textId="77777777" w:rsidR="00EC79A7" w:rsidRPr="00DF1D45" w:rsidRDefault="00EC79A7" w:rsidP="007E7211">
      <w:pPr>
        <w:ind w:right="-45"/>
      </w:pPr>
    </w:p>
    <w:p w14:paraId="2B9968EA" w14:textId="77777777" w:rsidR="00EA1FAD" w:rsidRDefault="00660B24" w:rsidP="007E7211">
      <w:pPr>
        <w:keepNext/>
        <w:keepLines/>
        <w:spacing w:before="0" w:after="240"/>
        <w:rPr>
          <w:b/>
        </w:rPr>
      </w:pPr>
      <w:r>
        <w:rPr>
          <w:b/>
        </w:rPr>
        <w:t xml:space="preserve">Item 3 </w:t>
      </w:r>
    </w:p>
    <w:p w14:paraId="375AB5FF" w14:textId="5302889F" w:rsidR="00EA1FAD" w:rsidRDefault="00EA1FAD" w:rsidP="007E7211">
      <w:pPr>
        <w:keepLines/>
        <w:spacing w:before="0" w:after="240"/>
        <w:rPr>
          <w:szCs w:val="24"/>
        </w:rPr>
      </w:pPr>
      <w:r>
        <w:rPr>
          <w:szCs w:val="24"/>
        </w:rPr>
        <w:t>Item 3 insert</w:t>
      </w:r>
      <w:r w:rsidR="00596C12">
        <w:rPr>
          <w:szCs w:val="24"/>
        </w:rPr>
        <w:t>s</w:t>
      </w:r>
      <w:r>
        <w:rPr>
          <w:szCs w:val="24"/>
        </w:rPr>
        <w:t xml:space="preserve"> new regulation 34 </w:t>
      </w:r>
      <w:r w:rsidR="0009343F">
        <w:rPr>
          <w:szCs w:val="24"/>
        </w:rPr>
        <w:t xml:space="preserve">in Part </w:t>
      </w:r>
      <w:proofErr w:type="gramStart"/>
      <w:r w:rsidR="0009343F">
        <w:rPr>
          <w:szCs w:val="24"/>
        </w:rPr>
        <w:t>8</w:t>
      </w:r>
      <w:proofErr w:type="gramEnd"/>
      <w:r w:rsidR="0009343F">
        <w:rPr>
          <w:szCs w:val="24"/>
        </w:rPr>
        <w:t xml:space="preserve"> of</w:t>
      </w:r>
      <w:r>
        <w:rPr>
          <w:szCs w:val="24"/>
        </w:rPr>
        <w:t xml:space="preserve"> the Principal Regulation.</w:t>
      </w:r>
    </w:p>
    <w:p w14:paraId="2E04BB13" w14:textId="617276FA" w:rsidR="00114F7C" w:rsidRDefault="00EA1FAD" w:rsidP="007E7211">
      <w:pPr>
        <w:keepLines/>
        <w:spacing w:before="0" w:after="240"/>
        <w:rPr>
          <w:szCs w:val="24"/>
        </w:rPr>
      </w:pPr>
      <w:r>
        <w:rPr>
          <w:szCs w:val="24"/>
        </w:rPr>
        <w:t xml:space="preserve">New regulation 34 </w:t>
      </w:r>
      <w:proofErr w:type="gramStart"/>
      <w:r w:rsidR="003C1723">
        <w:rPr>
          <w:szCs w:val="24"/>
        </w:rPr>
        <w:t xml:space="preserve">is </w:t>
      </w:r>
      <w:r>
        <w:rPr>
          <w:szCs w:val="24"/>
        </w:rPr>
        <w:t>titled</w:t>
      </w:r>
      <w:proofErr w:type="gramEnd"/>
      <w:r>
        <w:rPr>
          <w:szCs w:val="24"/>
        </w:rPr>
        <w:t xml:space="preserve"> “Administrative Appeals Tribunal Amendment (Family Assistance Law Review Fees) Regulations 201</w:t>
      </w:r>
      <w:r w:rsidR="00835135">
        <w:rPr>
          <w:szCs w:val="24"/>
        </w:rPr>
        <w:t>9</w:t>
      </w:r>
      <w:r>
        <w:rPr>
          <w:szCs w:val="24"/>
        </w:rPr>
        <w:t xml:space="preserve">—application”. </w:t>
      </w:r>
    </w:p>
    <w:p w14:paraId="06898DAA" w14:textId="79206D16" w:rsidR="00EA1FAD" w:rsidRDefault="00EA1FAD" w:rsidP="007E7211">
      <w:pPr>
        <w:keepLines/>
        <w:spacing w:before="0" w:after="240"/>
        <w:rPr>
          <w:szCs w:val="24"/>
        </w:rPr>
      </w:pPr>
      <w:r>
        <w:rPr>
          <w:szCs w:val="24"/>
        </w:rPr>
        <w:t>New regulation 34 would provide that “</w:t>
      </w:r>
      <w:r w:rsidR="00114F7C">
        <w:rPr>
          <w:szCs w:val="24"/>
        </w:rPr>
        <w:t>[t]</w:t>
      </w:r>
      <w:r>
        <w:rPr>
          <w:szCs w:val="24"/>
        </w:rPr>
        <w:t xml:space="preserve">he amendments made by the </w:t>
      </w:r>
      <w:r>
        <w:rPr>
          <w:i/>
          <w:szCs w:val="24"/>
        </w:rPr>
        <w:t>Administrative Appeals Tribunal Amendment (Family Assistance Law Review Fees) Regulations 201</w:t>
      </w:r>
      <w:r w:rsidR="00835135">
        <w:rPr>
          <w:i/>
          <w:szCs w:val="24"/>
        </w:rPr>
        <w:t>9</w:t>
      </w:r>
      <w:r>
        <w:rPr>
          <w:i/>
          <w:szCs w:val="24"/>
        </w:rPr>
        <w:t xml:space="preserve"> </w:t>
      </w:r>
      <w:r>
        <w:rPr>
          <w:szCs w:val="24"/>
        </w:rPr>
        <w:t xml:space="preserve">apply in relation to application to the Tribunal made on or after the day this section commences for review of a decision under the family assistance law within the meaning of </w:t>
      </w:r>
      <w:r>
        <w:rPr>
          <w:i/>
          <w:szCs w:val="24"/>
        </w:rPr>
        <w:t>A New Tax System (Family Assistance) (Administration) Act 1999.</w:t>
      </w:r>
      <w:r>
        <w:rPr>
          <w:szCs w:val="24"/>
        </w:rPr>
        <w:t>”</w:t>
      </w:r>
    </w:p>
    <w:p w14:paraId="5FA42EFA" w14:textId="06339644" w:rsidR="008629A5" w:rsidRDefault="00EA1FAD" w:rsidP="007E7211">
      <w:pPr>
        <w:pBdr>
          <w:bottom w:val="single" w:sz="4" w:space="4" w:color="000000" w:themeColor="text1"/>
        </w:pBdr>
        <w:spacing w:before="0" w:after="300"/>
        <w:contextualSpacing/>
        <w:rPr>
          <w:szCs w:val="24"/>
        </w:rPr>
      </w:pPr>
      <w:r>
        <w:rPr>
          <w:szCs w:val="24"/>
        </w:rPr>
        <w:t xml:space="preserve">The purpose of new regulation 34 is to make clear that the Amendment Regulation applies to applications to the AAT for review of decisions made under family assistance law that are made on or after the day new regulation 34 commences.  </w:t>
      </w:r>
    </w:p>
    <w:p w14:paraId="73EBF4BA" w14:textId="77777777" w:rsidR="008629A5" w:rsidRDefault="008629A5" w:rsidP="007E7211">
      <w:pPr>
        <w:spacing w:before="0" w:after="200" w:line="276" w:lineRule="auto"/>
        <w:rPr>
          <w:szCs w:val="24"/>
        </w:rPr>
      </w:pPr>
      <w:r>
        <w:rPr>
          <w:szCs w:val="24"/>
        </w:rPr>
        <w:br w:type="page"/>
      </w:r>
    </w:p>
    <w:p w14:paraId="402DF5C2" w14:textId="77777777" w:rsidR="008629A5" w:rsidRDefault="008629A5" w:rsidP="006B3DB4">
      <w:pPr>
        <w:ind w:right="-285"/>
        <w:jc w:val="center"/>
        <w:rPr>
          <w:rFonts w:cs="Arial"/>
          <w:b/>
          <w:u w:val="single"/>
        </w:rPr>
      </w:pPr>
      <w:r w:rsidRPr="00875C7C">
        <w:rPr>
          <w:rFonts w:cs="Arial"/>
          <w:b/>
          <w:u w:val="single"/>
        </w:rPr>
        <w:lastRenderedPageBreak/>
        <w:t>Statement of Compatibility with Human Rights</w:t>
      </w:r>
    </w:p>
    <w:p w14:paraId="3E39FAE1" w14:textId="77777777" w:rsidR="008629A5" w:rsidRPr="00E4135E" w:rsidRDefault="008629A5" w:rsidP="006B3DB4">
      <w:pPr>
        <w:spacing w:before="240" w:after="120"/>
        <w:jc w:val="center"/>
      </w:pPr>
      <w:r w:rsidRPr="00FD400D">
        <w:t>Prepared in accordance with Part 3 of the</w:t>
      </w:r>
      <w:r w:rsidRPr="00E4135E">
        <w:rPr>
          <w:i/>
        </w:rPr>
        <w:t xml:space="preserve"> Human Rights (Parliamentary Scrutiny) Act 2011</w:t>
      </w:r>
    </w:p>
    <w:p w14:paraId="515A56B0" w14:textId="0E4D6CA3" w:rsidR="008629A5" w:rsidRPr="00EC79A7" w:rsidRDefault="008629A5" w:rsidP="006B3DB4">
      <w:pPr>
        <w:spacing w:before="240" w:after="120"/>
        <w:jc w:val="center"/>
        <w:rPr>
          <w:i/>
          <w:iCs/>
        </w:rPr>
      </w:pPr>
      <w:r w:rsidRPr="00EC79A7">
        <w:rPr>
          <w:i/>
          <w:iCs/>
        </w:rPr>
        <w:t>Administrative Appeals Tribunal Amendment (Family Assistance Law Review Fees) Regulations 201</w:t>
      </w:r>
      <w:r w:rsidR="00835135">
        <w:rPr>
          <w:i/>
          <w:iCs/>
        </w:rPr>
        <w:t>9</w:t>
      </w:r>
    </w:p>
    <w:p w14:paraId="11BC8CAF" w14:textId="77777777" w:rsidR="008629A5" w:rsidRPr="00E4135E" w:rsidRDefault="008629A5" w:rsidP="007E7211">
      <w:pPr>
        <w:spacing w:before="240" w:after="120"/>
      </w:pPr>
      <w:r w:rsidRPr="00E4135E">
        <w:t xml:space="preserve">This Legislative Instrument is compatible with the human rights and freedoms recognised or </w:t>
      </w:r>
      <w:r w:rsidRPr="00E03308">
        <w:t>declared in the international instrumen</w:t>
      </w:r>
      <w:bookmarkStart w:id="3" w:name="_GoBack"/>
      <w:bookmarkEnd w:id="3"/>
      <w:r w:rsidRPr="00E03308">
        <w:t xml:space="preserve">ts listed in section 3 of the </w:t>
      </w:r>
      <w:r w:rsidRPr="00E03308">
        <w:rPr>
          <w:i/>
        </w:rPr>
        <w:t>Human Rights (Parliamentary Scrutiny) Act 2011</w:t>
      </w:r>
      <w:r w:rsidRPr="00E03308">
        <w:t>.</w:t>
      </w:r>
    </w:p>
    <w:p w14:paraId="096DDAE3" w14:textId="77777777" w:rsidR="008629A5" w:rsidRDefault="008629A5" w:rsidP="007E7211">
      <w:pPr>
        <w:spacing w:before="240" w:after="120"/>
        <w:rPr>
          <w:b/>
        </w:rPr>
      </w:pPr>
      <w:r w:rsidRPr="00E4135E">
        <w:rPr>
          <w:b/>
        </w:rPr>
        <w:t>Overview of the Legislative Instrument</w:t>
      </w:r>
    </w:p>
    <w:p w14:paraId="15E1D5AF" w14:textId="2176AAAB" w:rsidR="004C610B" w:rsidRDefault="008629A5" w:rsidP="007E7211">
      <w:pPr>
        <w:ind w:right="-45"/>
      </w:pPr>
      <w:proofErr w:type="gramStart"/>
      <w:r w:rsidRPr="00DF1D45">
        <w:t xml:space="preserve">The purpose of the </w:t>
      </w:r>
      <w:r w:rsidRPr="00DA3941">
        <w:rPr>
          <w:i/>
        </w:rPr>
        <w:t>Administrative Appeals Tribunal Amendment (Family Assistance Law Review Fees) Regulations 201</w:t>
      </w:r>
      <w:r w:rsidR="00835135">
        <w:rPr>
          <w:i/>
        </w:rPr>
        <w:t>9</w:t>
      </w:r>
      <w:r>
        <w:rPr>
          <w:i/>
        </w:rPr>
        <w:t xml:space="preserve"> </w:t>
      </w:r>
      <w:r>
        <w:t>(the Amendment Regulation)</w:t>
      </w:r>
      <w:r>
        <w:rPr>
          <w:i/>
        </w:rPr>
        <w:t xml:space="preserve"> </w:t>
      </w:r>
      <w:r w:rsidRPr="00DF1D45">
        <w:t xml:space="preserve">is to amend the </w:t>
      </w:r>
      <w:r w:rsidR="00016089" w:rsidRPr="008629A5">
        <w:rPr>
          <w:i/>
          <w:szCs w:val="24"/>
        </w:rPr>
        <w:t>Administrat</w:t>
      </w:r>
      <w:r w:rsidR="003C61E8">
        <w:rPr>
          <w:i/>
          <w:szCs w:val="24"/>
        </w:rPr>
        <w:t>ive Appeals Tribunal Regulation</w:t>
      </w:r>
      <w:r w:rsidR="00016089" w:rsidRPr="008629A5">
        <w:rPr>
          <w:i/>
          <w:szCs w:val="24"/>
        </w:rPr>
        <w:t xml:space="preserve"> </w:t>
      </w:r>
      <w:r w:rsidR="001F7482">
        <w:rPr>
          <w:i/>
          <w:szCs w:val="24"/>
        </w:rPr>
        <w:t>2015</w:t>
      </w:r>
      <w:r>
        <w:t xml:space="preserve"> (</w:t>
      </w:r>
      <w:r w:rsidRPr="00DF1D45">
        <w:t>Principal Regulation</w:t>
      </w:r>
      <w:r>
        <w:t>)</w:t>
      </w:r>
      <w:r w:rsidRPr="00DF1D45">
        <w:t xml:space="preserve"> to </w:t>
      </w:r>
      <w:r>
        <w:t xml:space="preserve">make clear that </w:t>
      </w:r>
      <w:r>
        <w:rPr>
          <w:szCs w:val="24"/>
        </w:rPr>
        <w:t xml:space="preserve">that a fee </w:t>
      </w:r>
      <w:r w:rsidR="003C1723">
        <w:rPr>
          <w:szCs w:val="24"/>
        </w:rPr>
        <w:t>is</w:t>
      </w:r>
      <w:r>
        <w:rPr>
          <w:szCs w:val="24"/>
        </w:rPr>
        <w:t xml:space="preserve"> payable in relation to an application to the </w:t>
      </w:r>
      <w:r w:rsidR="00A00A25">
        <w:rPr>
          <w:szCs w:val="24"/>
        </w:rPr>
        <w:t>Administrative Appeals Tribunal (</w:t>
      </w:r>
      <w:r>
        <w:rPr>
          <w:szCs w:val="24"/>
        </w:rPr>
        <w:t>AAT</w:t>
      </w:r>
      <w:r w:rsidR="00A00A25">
        <w:rPr>
          <w:szCs w:val="24"/>
        </w:rPr>
        <w:t>)</w:t>
      </w:r>
      <w:r>
        <w:rPr>
          <w:szCs w:val="24"/>
        </w:rPr>
        <w:t xml:space="preserve"> for ‘AAT single review’ of a decision made under family assistance law, however, a fee </w:t>
      </w:r>
      <w:r w:rsidR="003C1723">
        <w:rPr>
          <w:szCs w:val="24"/>
        </w:rPr>
        <w:t>is</w:t>
      </w:r>
      <w:r>
        <w:rPr>
          <w:szCs w:val="24"/>
        </w:rPr>
        <w:t xml:space="preserve"> not</w:t>
      </w:r>
      <w:r w:rsidR="00525B7E">
        <w:rPr>
          <w:szCs w:val="24"/>
        </w:rPr>
        <w:t xml:space="preserve"> be</w:t>
      </w:r>
      <w:r>
        <w:rPr>
          <w:szCs w:val="24"/>
        </w:rPr>
        <w:t xml:space="preserve"> payable in relation to application to the AAT for ‘AAT first review’ or ‘AAT second review’ of a decision made under family assistance law.</w:t>
      </w:r>
      <w:proofErr w:type="gramEnd"/>
      <w:r>
        <w:rPr>
          <w:szCs w:val="24"/>
        </w:rPr>
        <w:t xml:space="preserve"> </w:t>
      </w:r>
      <w:r w:rsidR="00DC3999">
        <w:rPr>
          <w:szCs w:val="24"/>
        </w:rPr>
        <w:br/>
      </w:r>
      <w:r w:rsidR="004C610B">
        <w:br/>
        <w:t xml:space="preserve">‘AAT first review’ and ‘AAT second review’ is available for review of decisions that do not relate to the approval framework for </w:t>
      </w:r>
      <w:proofErr w:type="gramStart"/>
      <w:r w:rsidR="004C610B">
        <w:t>child care</w:t>
      </w:r>
      <w:proofErr w:type="gramEnd"/>
      <w:r w:rsidR="004C610B">
        <w:t xml:space="preserve"> service providers. These classes of decision are and will remain application fee exempt. As relevant to child care payments</w:t>
      </w:r>
      <w:r w:rsidR="00DC3999">
        <w:t>, these decisions</w:t>
      </w:r>
      <w:r w:rsidR="004C610B">
        <w:t xml:space="preserve"> are largely decisions relating to the entitlement of individuals to family assistance, including child care subsidy. </w:t>
      </w:r>
      <w:r w:rsidR="006633F6">
        <w:br/>
      </w:r>
    </w:p>
    <w:p w14:paraId="68CF5199" w14:textId="2C0A57EF" w:rsidR="004C610B" w:rsidRPr="004C610B" w:rsidRDefault="004C610B" w:rsidP="007E7211">
      <w:pPr>
        <w:keepLines/>
        <w:spacing w:before="0" w:after="240"/>
        <w:rPr>
          <w:sz w:val="16"/>
          <w:szCs w:val="16"/>
        </w:rPr>
      </w:pPr>
      <w:r>
        <w:rPr>
          <w:szCs w:val="24"/>
        </w:rPr>
        <w:t xml:space="preserve">The measure simply gives effect to the general intention of the exemption that applies to family assistance matters as it relates to individuals (typically parents) seeking review of their family assistance entitlement. The fee exemption was not intended to provide an exemption to child care service providers seeking review of decisions relating to their approval. </w:t>
      </w:r>
      <w:r w:rsidR="00DC3999">
        <w:rPr>
          <w:szCs w:val="24"/>
        </w:rPr>
        <w:br/>
      </w:r>
      <w:r w:rsidR="00DC3999">
        <w:rPr>
          <w:szCs w:val="24"/>
        </w:rPr>
        <w:br/>
      </w:r>
      <w:r>
        <w:rPr>
          <w:szCs w:val="24"/>
        </w:rPr>
        <w:t xml:space="preserve">The intent of application fee exemption in relation to decisions made under the Administration Act was not to inadvertently provide special dispensation to sole traders, private businesses and proprietary limited companies (the typical applicants in single review proceedings seeking review of decisions to cancel child care subsidy approval) with capacity to pay an application fee. </w:t>
      </w:r>
    </w:p>
    <w:p w14:paraId="119F7310" w14:textId="77777777" w:rsidR="008629A5" w:rsidRPr="00DF1D45" w:rsidRDefault="008629A5" w:rsidP="007E7211">
      <w:pPr>
        <w:spacing w:before="240" w:after="120"/>
        <w:rPr>
          <w:b/>
        </w:rPr>
      </w:pPr>
      <w:r w:rsidRPr="00DF1D45">
        <w:rPr>
          <w:b/>
        </w:rPr>
        <w:t>Human rights implications</w:t>
      </w:r>
    </w:p>
    <w:p w14:paraId="2D0DE11D" w14:textId="77777777" w:rsidR="008629A5" w:rsidRPr="004C6F72" w:rsidRDefault="008629A5" w:rsidP="007E7211">
      <w:pPr>
        <w:spacing w:before="240" w:after="120"/>
        <w:rPr>
          <w:u w:val="single"/>
        </w:rPr>
      </w:pPr>
      <w:r>
        <w:rPr>
          <w:u w:val="single"/>
        </w:rPr>
        <w:t xml:space="preserve">Right to an effective remedy - Article 2(3) of the </w:t>
      </w:r>
      <w:r w:rsidRPr="004C6F72">
        <w:rPr>
          <w:u w:val="single"/>
        </w:rPr>
        <w:t>International Covenant on Civil and Political Rights (ICCPR)</w:t>
      </w:r>
    </w:p>
    <w:p w14:paraId="0881E723" w14:textId="77777777" w:rsidR="008629A5" w:rsidRDefault="008629A5" w:rsidP="007E7211">
      <w:pPr>
        <w:spacing w:before="120" w:after="120"/>
      </w:pPr>
      <w:r w:rsidRPr="00D9575E">
        <w:t>This</w:t>
      </w:r>
      <w:r>
        <w:t xml:space="preserve"> Legislative</w:t>
      </w:r>
      <w:r w:rsidRPr="00D9575E">
        <w:t xml:space="preserve"> Instrument engages the right to access to justice, w</w:t>
      </w:r>
      <w:r>
        <w:t xml:space="preserve">hich is implied in the right to </w:t>
      </w:r>
      <w:r w:rsidRPr="00D9575E">
        <w:t>effective remedy under Article 2(3) of</w:t>
      </w:r>
      <w:r>
        <w:t xml:space="preserve"> the</w:t>
      </w:r>
      <w:r w:rsidRPr="00D9575E">
        <w:t xml:space="preserve"> </w:t>
      </w:r>
      <w:r>
        <w:t>ICCPR</w:t>
      </w:r>
      <w:r w:rsidRPr="00D9575E">
        <w:t xml:space="preserve">.  </w:t>
      </w:r>
    </w:p>
    <w:p w14:paraId="7A8CD5C5" w14:textId="7954ED5D" w:rsidR="008629A5" w:rsidRPr="00D239A6" w:rsidRDefault="008629A5" w:rsidP="007E7211">
      <w:pPr>
        <w:spacing w:line="240" w:lineRule="atLeast"/>
        <w:rPr>
          <w:szCs w:val="24"/>
        </w:rPr>
      </w:pPr>
      <w:r w:rsidRPr="00D9575E">
        <w:t xml:space="preserve">Article 2(3) of the ICCPR protects the right to effective remedy for violation of rights or freedoms recognised by the ICCPR, and provides for a person’s right to be determined by </w:t>
      </w:r>
      <w:r w:rsidRPr="00525B7E">
        <w:t>competent judicial authorities, by administrative or legislative authorities, or by any other competent authority provided for by the legal system of the State. </w:t>
      </w:r>
      <w:r w:rsidRPr="00525B7E">
        <w:rPr>
          <w:szCs w:val="24"/>
        </w:rPr>
        <w:t xml:space="preserve">This Legislative Instrument clarifies that a fee is payable for an application for ‘AAT single review’ of a decision made under family assistance law within the meaning of the </w:t>
      </w:r>
      <w:r w:rsidRPr="00525B7E">
        <w:rPr>
          <w:i/>
          <w:szCs w:val="24"/>
        </w:rPr>
        <w:t xml:space="preserve">A New Tax System (Family Assistance) </w:t>
      </w:r>
      <w:r w:rsidRPr="00525B7E">
        <w:rPr>
          <w:i/>
          <w:szCs w:val="24"/>
        </w:rPr>
        <w:lastRenderedPageBreak/>
        <w:t>(Administration) Act 1999</w:t>
      </w:r>
      <w:r w:rsidRPr="00525B7E">
        <w:rPr>
          <w:szCs w:val="24"/>
        </w:rPr>
        <w:t xml:space="preserve"> (Administration Act).  The purpose of the measure is to reflect </w:t>
      </w:r>
      <w:r w:rsidR="00016089" w:rsidRPr="00525B7E">
        <w:rPr>
          <w:szCs w:val="24"/>
        </w:rPr>
        <w:t xml:space="preserve">accurately </w:t>
      </w:r>
      <w:r w:rsidRPr="00525B7E">
        <w:rPr>
          <w:szCs w:val="24"/>
        </w:rPr>
        <w:t xml:space="preserve">the policy intent that applications made by childcare service </w:t>
      </w:r>
      <w:r w:rsidR="003F13C3">
        <w:rPr>
          <w:szCs w:val="24"/>
        </w:rPr>
        <w:t>providers</w:t>
      </w:r>
      <w:r w:rsidRPr="00525B7E">
        <w:rPr>
          <w:szCs w:val="24"/>
        </w:rPr>
        <w:t xml:space="preserve"> seeking review of decisions affecting their approval on “single review” under the family assistance law be subject to the standard application fee as set out in </w:t>
      </w:r>
      <w:r w:rsidR="00B66648" w:rsidRPr="00525B7E">
        <w:rPr>
          <w:szCs w:val="24"/>
        </w:rPr>
        <w:t xml:space="preserve">regulation </w:t>
      </w:r>
      <w:r w:rsidRPr="00525B7E">
        <w:rPr>
          <w:szCs w:val="24"/>
        </w:rPr>
        <w:t xml:space="preserve">20 of the </w:t>
      </w:r>
      <w:r w:rsidR="00B66648" w:rsidRPr="00525B7E">
        <w:t>Principal Regulation</w:t>
      </w:r>
      <w:r w:rsidRPr="00525B7E">
        <w:rPr>
          <w:szCs w:val="24"/>
        </w:rPr>
        <w:t>.</w:t>
      </w:r>
    </w:p>
    <w:p w14:paraId="07F1DF48" w14:textId="77777777" w:rsidR="008629A5" w:rsidRDefault="008629A5" w:rsidP="007E7211">
      <w:pPr>
        <w:spacing w:before="120" w:after="120"/>
        <w:rPr>
          <w:szCs w:val="24"/>
        </w:rPr>
      </w:pPr>
      <w:r>
        <w:rPr>
          <w:szCs w:val="24"/>
        </w:rPr>
        <w:t xml:space="preserve">The Legislative Instrument maintains the existing position that no fee is payable for an application for ‘AAT first review’ or ‘AAT second review’ of a decision made under family assistance law within the meaning of the Administration Act. </w:t>
      </w:r>
    </w:p>
    <w:p w14:paraId="650F723E" w14:textId="61DEEF76" w:rsidR="008629A5" w:rsidRPr="00060B7A" w:rsidRDefault="008629A5" w:rsidP="007E7211">
      <w:pPr>
        <w:pStyle w:val="DJRbody"/>
        <w:rPr>
          <w:rFonts w:ascii="Times New Roman" w:eastAsia="SimSun" w:hAnsi="Times New Roman" w:cs="Times New Roman"/>
          <w:sz w:val="24"/>
          <w:szCs w:val="24"/>
        </w:rPr>
      </w:pPr>
      <w:r w:rsidRPr="00060B7A">
        <w:rPr>
          <w:rFonts w:ascii="Times New Roman" w:eastAsia="SimSun" w:hAnsi="Times New Roman" w:cs="Times New Roman"/>
          <w:sz w:val="24"/>
          <w:szCs w:val="24"/>
        </w:rPr>
        <w:t xml:space="preserve">The measure supports and confirms the existing application fee </w:t>
      </w:r>
      <w:proofErr w:type="gramStart"/>
      <w:r w:rsidRPr="00060B7A">
        <w:rPr>
          <w:rFonts w:ascii="Times New Roman" w:eastAsia="SimSun" w:hAnsi="Times New Roman" w:cs="Times New Roman"/>
          <w:sz w:val="24"/>
          <w:szCs w:val="24"/>
        </w:rPr>
        <w:t>model which</w:t>
      </w:r>
      <w:proofErr w:type="gramEnd"/>
      <w:r w:rsidRPr="00060B7A">
        <w:rPr>
          <w:rFonts w:ascii="Times New Roman" w:eastAsia="SimSun" w:hAnsi="Times New Roman" w:cs="Times New Roman"/>
          <w:sz w:val="24"/>
          <w:szCs w:val="24"/>
        </w:rPr>
        <w:t xml:space="preserve"> reflects the principle that those fee payers with the ability to pay more should do so, and conversely, those without the ability to pay should still be able to seek access to justice</w:t>
      </w:r>
      <w:r>
        <w:rPr>
          <w:rFonts w:ascii="Times New Roman" w:eastAsia="SimSun" w:hAnsi="Times New Roman" w:cs="Times New Roman"/>
          <w:sz w:val="24"/>
          <w:szCs w:val="24"/>
        </w:rPr>
        <w:t xml:space="preserve"> and remedial relief</w:t>
      </w:r>
      <w:r w:rsidRPr="00060B7A">
        <w:rPr>
          <w:rFonts w:ascii="Times New Roman" w:eastAsia="SimSun" w:hAnsi="Times New Roman" w:cs="Times New Roman"/>
          <w:sz w:val="24"/>
          <w:szCs w:val="24"/>
        </w:rPr>
        <w:t>. Applying the standard fee to child care service providers seeking review of decision</w:t>
      </w:r>
      <w:r>
        <w:rPr>
          <w:rFonts w:ascii="Times New Roman" w:eastAsia="SimSun" w:hAnsi="Times New Roman" w:cs="Times New Roman"/>
          <w:sz w:val="24"/>
          <w:szCs w:val="24"/>
        </w:rPr>
        <w:t>s</w:t>
      </w:r>
      <w:r w:rsidRPr="00060B7A">
        <w:rPr>
          <w:rFonts w:ascii="Times New Roman" w:eastAsia="SimSun" w:hAnsi="Times New Roman" w:cs="Times New Roman"/>
          <w:sz w:val="24"/>
          <w:szCs w:val="24"/>
        </w:rPr>
        <w:t xml:space="preserve"> to cancel their child care subsidy approval aim</w:t>
      </w:r>
      <w:r>
        <w:rPr>
          <w:rFonts w:ascii="Times New Roman" w:eastAsia="SimSun" w:hAnsi="Times New Roman" w:cs="Times New Roman"/>
          <w:sz w:val="24"/>
          <w:szCs w:val="24"/>
        </w:rPr>
        <w:t>s</w:t>
      </w:r>
      <w:r w:rsidRPr="00060B7A">
        <w:rPr>
          <w:rFonts w:ascii="Times New Roman" w:eastAsia="SimSun" w:hAnsi="Times New Roman" w:cs="Times New Roman"/>
          <w:sz w:val="24"/>
          <w:szCs w:val="24"/>
        </w:rPr>
        <w:t xml:space="preserve"> to maximise cost recovery from business owners and corporate entity users, while maintaining the status quo on fee exemption in the social security context </w:t>
      </w:r>
      <w:r>
        <w:rPr>
          <w:rFonts w:ascii="Times New Roman" w:eastAsia="SimSun" w:hAnsi="Times New Roman" w:cs="Times New Roman"/>
          <w:sz w:val="24"/>
          <w:szCs w:val="24"/>
        </w:rPr>
        <w:t>thereby</w:t>
      </w:r>
      <w:r w:rsidRPr="00060B7A">
        <w:rPr>
          <w:rFonts w:ascii="Times New Roman" w:eastAsia="SimSun" w:hAnsi="Times New Roman" w:cs="Times New Roman"/>
          <w:sz w:val="24"/>
          <w:szCs w:val="24"/>
        </w:rPr>
        <w:t xml:space="preserve"> mitigat</w:t>
      </w:r>
      <w:r>
        <w:rPr>
          <w:rFonts w:ascii="Times New Roman" w:eastAsia="SimSun" w:hAnsi="Times New Roman" w:cs="Times New Roman"/>
          <w:sz w:val="24"/>
          <w:szCs w:val="24"/>
        </w:rPr>
        <w:t>ing</w:t>
      </w:r>
      <w:r w:rsidRPr="00060B7A">
        <w:rPr>
          <w:rFonts w:ascii="Times New Roman" w:eastAsia="SimSun" w:hAnsi="Times New Roman" w:cs="Times New Roman"/>
          <w:sz w:val="24"/>
          <w:szCs w:val="24"/>
        </w:rPr>
        <w:t xml:space="preserve"> any barrier to justice for </w:t>
      </w:r>
      <w:r>
        <w:rPr>
          <w:rFonts w:ascii="Times New Roman" w:eastAsia="SimSun" w:hAnsi="Times New Roman" w:cs="Times New Roman"/>
          <w:sz w:val="24"/>
          <w:szCs w:val="24"/>
        </w:rPr>
        <w:t>those</w:t>
      </w:r>
      <w:r w:rsidRPr="00060B7A">
        <w:rPr>
          <w:rFonts w:ascii="Times New Roman" w:eastAsia="SimSun" w:hAnsi="Times New Roman" w:cs="Times New Roman"/>
          <w:sz w:val="24"/>
          <w:szCs w:val="24"/>
        </w:rPr>
        <w:t xml:space="preserve"> users. Introducing a filing fee for this category of applicant reflects the full, efficient cost of the Tribunal’s activities in providing </w:t>
      </w:r>
      <w:r>
        <w:rPr>
          <w:rFonts w:ascii="Times New Roman" w:eastAsia="SimSun" w:hAnsi="Times New Roman" w:cs="Times New Roman"/>
          <w:sz w:val="24"/>
          <w:szCs w:val="24"/>
        </w:rPr>
        <w:t>merits review</w:t>
      </w:r>
      <w:r w:rsidRPr="00060B7A">
        <w:rPr>
          <w:rFonts w:ascii="Times New Roman" w:eastAsia="SimSun" w:hAnsi="Times New Roman" w:cs="Times New Roman"/>
          <w:sz w:val="24"/>
          <w:szCs w:val="24"/>
        </w:rPr>
        <w:t xml:space="preserve"> services (with exemptions and fee waivers still available where necessary to safeguard access to justice). </w:t>
      </w:r>
    </w:p>
    <w:p w14:paraId="1C9EB15B" w14:textId="06A09E26" w:rsidR="008629A5" w:rsidRPr="00060B7A" w:rsidRDefault="008629A5" w:rsidP="007E7211">
      <w:pPr>
        <w:pStyle w:val="DJRbody"/>
        <w:rPr>
          <w:rFonts w:ascii="Times New Roman" w:eastAsia="SimSun" w:hAnsi="Times New Roman" w:cs="Times New Roman"/>
          <w:sz w:val="24"/>
          <w:szCs w:val="24"/>
        </w:rPr>
      </w:pPr>
      <w:r w:rsidRPr="00060B7A">
        <w:rPr>
          <w:rFonts w:ascii="Times New Roman" w:eastAsia="SimSun" w:hAnsi="Times New Roman" w:cs="Times New Roman"/>
          <w:sz w:val="24"/>
          <w:szCs w:val="24"/>
        </w:rPr>
        <w:t xml:space="preserve">Fee waivers will continue to apply, permitting the waiver of fees for applicants, including </w:t>
      </w:r>
      <w:r>
        <w:rPr>
          <w:rFonts w:ascii="Times New Roman" w:eastAsia="SimSun" w:hAnsi="Times New Roman" w:cs="Times New Roman"/>
          <w:sz w:val="24"/>
          <w:szCs w:val="24"/>
        </w:rPr>
        <w:t>child care service providers</w:t>
      </w:r>
      <w:r w:rsidRPr="00060B7A">
        <w:rPr>
          <w:rFonts w:ascii="Times New Roman" w:eastAsia="SimSun" w:hAnsi="Times New Roman" w:cs="Times New Roman"/>
          <w:sz w:val="24"/>
          <w:szCs w:val="24"/>
        </w:rPr>
        <w:t xml:space="preserve"> to which the standard fee applies</w:t>
      </w:r>
      <w:r>
        <w:rPr>
          <w:rFonts w:ascii="Times New Roman" w:eastAsia="SimSun" w:hAnsi="Times New Roman" w:cs="Times New Roman"/>
          <w:sz w:val="24"/>
          <w:szCs w:val="24"/>
        </w:rPr>
        <w:t>,</w:t>
      </w:r>
      <w:r w:rsidRPr="00060B7A">
        <w:rPr>
          <w:rFonts w:ascii="Times New Roman" w:eastAsia="SimSun" w:hAnsi="Times New Roman" w:cs="Times New Roman"/>
          <w:sz w:val="24"/>
          <w:szCs w:val="24"/>
        </w:rPr>
        <w:t xml:space="preserve"> on grounds of financial hardship, with the additional provision of automatic waivers to certain categories of </w:t>
      </w:r>
      <w:r>
        <w:rPr>
          <w:rFonts w:ascii="Times New Roman" w:eastAsia="SimSun" w:hAnsi="Times New Roman" w:cs="Times New Roman"/>
          <w:sz w:val="24"/>
          <w:szCs w:val="24"/>
        </w:rPr>
        <w:t>applicant</w:t>
      </w:r>
      <w:r w:rsidR="00A00A25">
        <w:rPr>
          <w:rFonts w:ascii="Times New Roman" w:eastAsia="SimSun" w:hAnsi="Times New Roman" w:cs="Times New Roman"/>
          <w:sz w:val="24"/>
          <w:szCs w:val="24"/>
        </w:rPr>
        <w:t>s</w:t>
      </w:r>
      <w:r w:rsidRPr="00060B7A">
        <w:rPr>
          <w:rFonts w:ascii="Times New Roman" w:eastAsia="SimSun" w:hAnsi="Times New Roman" w:cs="Times New Roman"/>
          <w:sz w:val="24"/>
          <w:szCs w:val="24"/>
        </w:rPr>
        <w:t>.</w:t>
      </w:r>
    </w:p>
    <w:p w14:paraId="0F06BB11" w14:textId="77777777" w:rsidR="008629A5" w:rsidRDefault="008629A5" w:rsidP="007E7211">
      <w:pPr>
        <w:spacing w:before="240" w:after="120"/>
        <w:rPr>
          <w:szCs w:val="24"/>
        </w:rPr>
      </w:pPr>
      <w:r>
        <w:rPr>
          <w:szCs w:val="24"/>
        </w:rPr>
        <w:t>Imposing an application fee for applicants seeking AAT single review strikes an appropriate balance between access to justice and user pays principles. It is reasonable to require those who are seeking a commercial benefit and have capacity to pay for Tribunal services to contribute to the cost of those services. Notably, the imposition of a fee for this defined category of case would not preclude applicants who nominally fall within this category but do not have the resources to pay the application fee from applying for a waiver of that fee on grounds of financial hardship. Such waiver will be granted if the Registrar, a District Registrar or a Deputy Registrar, having regard to the income, day to day living expenses, liabilities and assets of the person liable to pay the fee, forms the opinion that payment of the fee would cause financial hardship to the person.</w:t>
      </w:r>
    </w:p>
    <w:p w14:paraId="104327D6" w14:textId="77777777" w:rsidR="008629A5" w:rsidRDefault="008629A5" w:rsidP="007E7211">
      <w:pPr>
        <w:spacing w:before="240" w:after="120"/>
        <w:rPr>
          <w:u w:val="single"/>
        </w:rPr>
      </w:pPr>
      <w:r w:rsidRPr="008629A5">
        <w:rPr>
          <w:u w:val="single"/>
        </w:rPr>
        <w:t xml:space="preserve">Right to a fair hearing - Article 14 of the </w:t>
      </w:r>
      <w:r w:rsidRPr="008629A5">
        <w:rPr>
          <w:rFonts w:eastAsia="Times New Roman"/>
          <w:szCs w:val="24"/>
          <w:u w:val="single"/>
          <w:lang w:val="en" w:eastAsia="en-AU"/>
        </w:rPr>
        <w:t xml:space="preserve">International Covenant on Civil and Political Rights </w:t>
      </w:r>
      <w:r w:rsidRPr="008629A5">
        <w:rPr>
          <w:u w:val="single"/>
        </w:rPr>
        <w:t>ICCPR</w:t>
      </w:r>
    </w:p>
    <w:p w14:paraId="7B5BFA1B" w14:textId="77777777" w:rsidR="008629A5" w:rsidRPr="00BD00DB" w:rsidRDefault="008629A5" w:rsidP="007E7211">
      <w:pPr>
        <w:spacing w:before="120" w:after="120"/>
      </w:pPr>
      <w:r w:rsidRPr="00D9575E">
        <w:t>This</w:t>
      </w:r>
      <w:r>
        <w:t xml:space="preserve"> Legislative</w:t>
      </w:r>
      <w:r w:rsidRPr="00D9575E">
        <w:t xml:space="preserve"> Instrument engages the right to </w:t>
      </w:r>
      <w:r>
        <w:t xml:space="preserve">a fair hearing </w:t>
      </w:r>
      <w:r w:rsidRPr="00D9575E">
        <w:t xml:space="preserve">under Article </w:t>
      </w:r>
      <w:r>
        <w:t>14</w:t>
      </w:r>
      <w:r w:rsidRPr="00D9575E">
        <w:t xml:space="preserve"> of</w:t>
      </w:r>
      <w:r>
        <w:t xml:space="preserve"> the</w:t>
      </w:r>
      <w:r w:rsidRPr="00D9575E">
        <w:t xml:space="preserve"> </w:t>
      </w:r>
      <w:r>
        <w:t>ICCPR</w:t>
      </w:r>
      <w:r w:rsidRPr="00D9575E">
        <w:t xml:space="preserve">.  </w:t>
      </w:r>
    </w:p>
    <w:p w14:paraId="1296D4F3" w14:textId="77777777" w:rsidR="008629A5" w:rsidRPr="008629A5" w:rsidRDefault="008629A5" w:rsidP="007E7211">
      <w:pPr>
        <w:spacing w:before="120" w:after="120"/>
        <w:rPr>
          <w:rFonts w:eastAsia="Times New Roman"/>
          <w:szCs w:val="24"/>
          <w:lang w:val="en" w:eastAsia="en-AU"/>
        </w:rPr>
      </w:pPr>
      <w:r>
        <w:rPr>
          <w:rFonts w:eastAsia="Times New Roman"/>
          <w:szCs w:val="24"/>
          <w:lang w:val="en" w:eastAsia="en-AU"/>
        </w:rPr>
        <w:t xml:space="preserve">The right to a fair hearing is protected by Article 14 of the ICCPR. The right applies to both criminal and civil proceedings, to cases before both courts and tribunals and to military disciplinary hearings. The right to a fair hearing is concerned with procedural fairness, and encompasses notions of equality in proceedings, the right to a public hearing and the requirement that hearings are conducted by an independent and impartial body. The right also relevantly encompasses the right to have equal access to the courts, regardless of citizenship or other status including that no one is to be barred from accessing courts or tribunals (subject to limited exceptions based on objective and reasonable grounds such as, for example, the prevention of vexatious litigation). Effective realisation of this right may extend to the </w:t>
      </w:r>
      <w:r>
        <w:rPr>
          <w:rFonts w:eastAsia="Times New Roman"/>
          <w:szCs w:val="24"/>
          <w:lang w:val="en" w:eastAsia="en-AU"/>
        </w:rPr>
        <w:lastRenderedPageBreak/>
        <w:t>regulation of fees or costs associated with accessing a curial or administrative forum that could indiscriminately prevent access to justice.</w:t>
      </w:r>
    </w:p>
    <w:p w14:paraId="3F741A8F" w14:textId="736E4930" w:rsidR="008629A5" w:rsidRPr="008629A5" w:rsidRDefault="008629A5" w:rsidP="007E7211">
      <w:pPr>
        <w:pStyle w:val="DJRbody"/>
        <w:spacing w:before="120" w:line="240" w:lineRule="auto"/>
        <w:rPr>
          <w:rFonts w:eastAsia="Times New Roman"/>
          <w:szCs w:val="24"/>
          <w:lang w:val="en" w:eastAsia="en-AU"/>
        </w:rPr>
      </w:pPr>
      <w:r w:rsidRPr="008629A5">
        <w:rPr>
          <w:rFonts w:ascii="Times New Roman" w:eastAsia="Times New Roman" w:hAnsi="Times New Roman" w:cs="Times New Roman"/>
          <w:sz w:val="24"/>
          <w:szCs w:val="24"/>
          <w:lang w:val="en" w:eastAsia="en-AU"/>
        </w:rPr>
        <w:t>The measure is expositional only. It does not impose an additional or new fee on applicants</w:t>
      </w:r>
      <w:r>
        <w:rPr>
          <w:rFonts w:ascii="Times New Roman" w:eastAsia="Times New Roman" w:hAnsi="Times New Roman" w:cs="Times New Roman"/>
          <w:sz w:val="24"/>
          <w:szCs w:val="24"/>
          <w:lang w:val="en" w:eastAsia="en-AU"/>
        </w:rPr>
        <w:t xml:space="preserve"> seeking review of decisions by the AAT</w:t>
      </w:r>
      <w:r w:rsidRPr="008629A5">
        <w:rPr>
          <w:rFonts w:ascii="Times New Roman" w:eastAsia="Times New Roman" w:hAnsi="Times New Roman" w:cs="Times New Roman"/>
          <w:sz w:val="24"/>
          <w:szCs w:val="24"/>
          <w:lang w:val="en" w:eastAsia="en-AU"/>
        </w:rPr>
        <w:t xml:space="preserve">. </w:t>
      </w:r>
      <w:r>
        <w:rPr>
          <w:rFonts w:ascii="Times New Roman" w:eastAsia="Times New Roman" w:hAnsi="Times New Roman" w:cs="Times New Roman"/>
          <w:sz w:val="24"/>
          <w:szCs w:val="24"/>
          <w:lang w:val="en" w:eastAsia="en-AU"/>
        </w:rPr>
        <w:t>The existing</w:t>
      </w:r>
      <w:r w:rsidRPr="008629A5">
        <w:rPr>
          <w:rFonts w:ascii="Times New Roman" w:eastAsia="Times New Roman" w:hAnsi="Times New Roman" w:cs="Times New Roman"/>
          <w:sz w:val="24"/>
          <w:szCs w:val="24"/>
          <w:lang w:val="en" w:eastAsia="en-AU"/>
        </w:rPr>
        <w:t xml:space="preserve"> application fee for certain categories of applicant does not deny access to justice in violation of Article 14, </w:t>
      </w:r>
      <w:r>
        <w:rPr>
          <w:rFonts w:ascii="Times New Roman" w:eastAsia="Times New Roman" w:hAnsi="Times New Roman" w:cs="Times New Roman"/>
          <w:sz w:val="24"/>
          <w:szCs w:val="24"/>
          <w:lang w:val="en" w:eastAsia="en-AU"/>
        </w:rPr>
        <w:t xml:space="preserve">and </w:t>
      </w:r>
      <w:r w:rsidRPr="008629A5">
        <w:rPr>
          <w:rFonts w:ascii="Times New Roman" w:eastAsia="Times New Roman" w:hAnsi="Times New Roman" w:cs="Times New Roman"/>
          <w:sz w:val="24"/>
          <w:szCs w:val="24"/>
          <w:lang w:val="en" w:eastAsia="en-AU"/>
        </w:rPr>
        <w:t>is reasonable</w:t>
      </w:r>
      <w:r>
        <w:rPr>
          <w:rFonts w:ascii="Times New Roman" w:eastAsia="Times New Roman" w:hAnsi="Times New Roman" w:cs="Times New Roman"/>
          <w:sz w:val="24"/>
          <w:szCs w:val="24"/>
          <w:lang w:val="en" w:eastAsia="en-AU"/>
        </w:rPr>
        <w:t>,</w:t>
      </w:r>
      <w:r w:rsidRPr="008629A5">
        <w:rPr>
          <w:rFonts w:ascii="Times New Roman" w:eastAsia="Times New Roman" w:hAnsi="Times New Roman" w:cs="Times New Roman"/>
          <w:sz w:val="24"/>
          <w:szCs w:val="24"/>
          <w:lang w:val="en" w:eastAsia="en-AU"/>
        </w:rPr>
        <w:t xml:space="preserve"> proportionate and directed to a legitimate policy purpose. The imposition of application fees for applicants seeking first review of decision under the family assistance law who predominantly fall into the category of private business owners and corporate entities w</w:t>
      </w:r>
      <w:r>
        <w:rPr>
          <w:rFonts w:ascii="Times New Roman" w:eastAsia="Times New Roman" w:hAnsi="Times New Roman" w:cs="Times New Roman"/>
          <w:sz w:val="24"/>
          <w:szCs w:val="24"/>
          <w:lang w:val="en" w:eastAsia="en-AU"/>
        </w:rPr>
        <w:t>ith</w:t>
      </w:r>
      <w:r w:rsidRPr="008629A5">
        <w:rPr>
          <w:rFonts w:ascii="Times New Roman" w:eastAsia="Times New Roman" w:hAnsi="Times New Roman" w:cs="Times New Roman"/>
          <w:sz w:val="24"/>
          <w:szCs w:val="24"/>
          <w:lang w:val="en" w:eastAsia="en-AU"/>
        </w:rPr>
        <w:t xml:space="preserve"> clear capacity to pay is consistent with the general philosophy of the fee framework in the Tribunal</w:t>
      </w:r>
      <w:r>
        <w:rPr>
          <w:rFonts w:ascii="Times New Roman" w:eastAsia="Times New Roman" w:hAnsi="Times New Roman" w:cs="Times New Roman"/>
          <w:sz w:val="24"/>
          <w:szCs w:val="24"/>
          <w:lang w:val="en" w:eastAsia="en-AU"/>
        </w:rPr>
        <w:t xml:space="preserve">. This fee framework is designed </w:t>
      </w:r>
      <w:r w:rsidRPr="008629A5">
        <w:rPr>
          <w:rFonts w:ascii="Times New Roman" w:eastAsia="Times New Roman" w:hAnsi="Times New Roman" w:cs="Times New Roman"/>
          <w:sz w:val="24"/>
          <w:szCs w:val="24"/>
          <w:lang w:val="en" w:eastAsia="en-AU"/>
        </w:rPr>
        <w:t xml:space="preserve">to ensure that those who do not face apparent access to justice barriers pay an application fee while ensuring there is no pecuniary impediment placed in the way of disadvantaged or vulnerable applicants seeking review of an administrative decision. Importantly, </w:t>
      </w:r>
      <w:r w:rsidRPr="00BD00DB">
        <w:rPr>
          <w:rFonts w:ascii="Times New Roman" w:eastAsia="Times New Roman" w:hAnsi="Times New Roman" w:cs="Times New Roman"/>
          <w:sz w:val="24"/>
          <w:szCs w:val="24"/>
          <w:lang w:val="en" w:eastAsia="en-AU"/>
        </w:rPr>
        <w:t>existing fee waiver provisions</w:t>
      </w:r>
      <w:r w:rsidRPr="008629A5">
        <w:rPr>
          <w:rFonts w:ascii="Times New Roman" w:eastAsia="Times New Roman" w:hAnsi="Times New Roman" w:cs="Times New Roman"/>
          <w:sz w:val="24"/>
          <w:szCs w:val="24"/>
          <w:lang w:val="en" w:eastAsia="en-AU"/>
        </w:rPr>
        <w:t xml:space="preserve"> will continue to apply, permitting the waiver of fees for applicants, including </w:t>
      </w:r>
      <w:r>
        <w:rPr>
          <w:rFonts w:ascii="Times New Roman" w:eastAsia="Times New Roman" w:hAnsi="Times New Roman" w:cs="Times New Roman"/>
          <w:sz w:val="24"/>
          <w:szCs w:val="24"/>
          <w:lang w:val="en" w:eastAsia="en-AU"/>
        </w:rPr>
        <w:t>those seeking AAT single review,</w:t>
      </w:r>
      <w:r w:rsidRPr="008629A5">
        <w:rPr>
          <w:rFonts w:ascii="Times New Roman" w:eastAsia="Times New Roman" w:hAnsi="Times New Roman" w:cs="Times New Roman"/>
          <w:sz w:val="24"/>
          <w:szCs w:val="24"/>
          <w:lang w:val="en" w:eastAsia="en-AU"/>
        </w:rPr>
        <w:t xml:space="preserve"> on grounds of financial hardship, with the additional provision of automatic waivers to certain categories of </w:t>
      </w:r>
      <w:r>
        <w:rPr>
          <w:rFonts w:ascii="Times New Roman" w:eastAsia="Times New Roman" w:hAnsi="Times New Roman" w:cs="Times New Roman"/>
          <w:sz w:val="24"/>
          <w:szCs w:val="24"/>
          <w:lang w:val="en" w:eastAsia="en-AU"/>
        </w:rPr>
        <w:t>applicant</w:t>
      </w:r>
      <w:r w:rsidRPr="008629A5">
        <w:rPr>
          <w:rFonts w:ascii="Times New Roman" w:eastAsia="Times New Roman" w:hAnsi="Times New Roman" w:cs="Times New Roman"/>
          <w:sz w:val="24"/>
          <w:szCs w:val="24"/>
          <w:lang w:val="en" w:eastAsia="en-AU"/>
        </w:rPr>
        <w:t>.</w:t>
      </w:r>
    </w:p>
    <w:p w14:paraId="642BC733" w14:textId="77777777" w:rsidR="008629A5" w:rsidRPr="008A47D9" w:rsidRDefault="008629A5" w:rsidP="007E7211">
      <w:pPr>
        <w:keepNext/>
        <w:keepLines/>
        <w:spacing w:before="100" w:beforeAutospacing="1" w:after="100" w:afterAutospacing="1"/>
        <w:rPr>
          <w:color w:val="000000"/>
        </w:rPr>
      </w:pPr>
      <w:r w:rsidRPr="009A2724">
        <w:rPr>
          <w:b/>
        </w:rPr>
        <w:t>Conclusion</w:t>
      </w:r>
    </w:p>
    <w:p w14:paraId="7E85D4E7" w14:textId="77777777" w:rsidR="008629A5" w:rsidRDefault="008629A5" w:rsidP="007E7211">
      <w:pPr>
        <w:spacing w:after="200"/>
      </w:pPr>
      <w:r w:rsidRPr="00345BC7">
        <w:t xml:space="preserve">The </w:t>
      </w:r>
      <w:r w:rsidRPr="008275FE">
        <w:rPr>
          <w:i/>
          <w:iCs/>
        </w:rPr>
        <w:t>Administrative Appeals Tribunal Amendment (Family Assistance Law Review Fees) Regulations 201</w:t>
      </w:r>
      <w:r>
        <w:rPr>
          <w:i/>
          <w:iCs/>
        </w:rPr>
        <w:t xml:space="preserve">9 </w:t>
      </w:r>
      <w:r w:rsidRPr="00345BC7">
        <w:t xml:space="preserve">is compatible with </w:t>
      </w:r>
      <w:r>
        <w:t xml:space="preserve">the human rights and freedoms recognised or declared in the international instruments listed in section 3 of the </w:t>
      </w:r>
      <w:r w:rsidRPr="008629A5">
        <w:rPr>
          <w:i/>
        </w:rPr>
        <w:t xml:space="preserve">Human Rights (Parliamentary Scrutiny) Act 2011 </w:t>
      </w:r>
      <w:r>
        <w:t>and, to the extent that it may limit human rights, those limitations are reasonable, necessary and proportionate.</w:t>
      </w:r>
    </w:p>
    <w:p w14:paraId="6F4598E7" w14:textId="4A0A5BD7" w:rsidR="008629A5" w:rsidRPr="008629A5" w:rsidRDefault="008629A5" w:rsidP="007E7211">
      <w:r w:rsidRPr="008629A5">
        <w:t>Christian Porter</w:t>
      </w:r>
      <w:r>
        <w:t xml:space="preserve"> </w:t>
      </w:r>
    </w:p>
    <w:p w14:paraId="2053CE34" w14:textId="18C3B220" w:rsidR="00806086" w:rsidRPr="0097044C" w:rsidRDefault="008629A5" w:rsidP="007E7211">
      <w:pPr>
        <w:spacing w:before="0" w:after="200" w:line="276" w:lineRule="auto"/>
      </w:pPr>
      <w:r w:rsidRPr="008629A5">
        <w:t>Attorney-General</w:t>
      </w:r>
      <w:r w:rsidRPr="00B953FD">
        <w:rPr>
          <w:b/>
        </w:rPr>
        <w:t xml:space="preserve"> </w:t>
      </w:r>
    </w:p>
    <w:sectPr w:rsidR="00806086" w:rsidRPr="0097044C" w:rsidSect="00043CC3">
      <w:headerReference w:type="even" r:id="rId11"/>
      <w:headerReference w:type="default" r:id="rId12"/>
      <w:footerReference w:type="default" r:id="rId13"/>
      <w:headerReference w:type="first" r:id="rId14"/>
      <w:footerReference w:type="first" r:id="rId15"/>
      <w:pgSz w:w="11907" w:h="16840" w:code="9"/>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78958" w14:textId="77777777" w:rsidR="00B27184" w:rsidRDefault="00B27184" w:rsidP="00211FBC">
      <w:pPr>
        <w:spacing w:before="0" w:after="0"/>
      </w:pPr>
      <w:r>
        <w:separator/>
      </w:r>
    </w:p>
  </w:endnote>
  <w:endnote w:type="continuationSeparator" w:id="0">
    <w:p w14:paraId="11A18EDF" w14:textId="77777777" w:rsidR="00B27184" w:rsidRDefault="00B27184" w:rsidP="00211F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048128"/>
      <w:docPartObj>
        <w:docPartGallery w:val="Page Numbers (Bottom of Page)"/>
        <w:docPartUnique/>
      </w:docPartObj>
    </w:sdtPr>
    <w:sdtEndPr>
      <w:rPr>
        <w:noProof/>
      </w:rPr>
    </w:sdtEndPr>
    <w:sdtContent>
      <w:p w14:paraId="6111EA0A" w14:textId="7003082A" w:rsidR="004C6F72" w:rsidRDefault="004C6F72">
        <w:pPr>
          <w:pStyle w:val="Footer"/>
          <w:jc w:val="center"/>
        </w:pPr>
        <w:r>
          <w:fldChar w:fldCharType="begin"/>
        </w:r>
        <w:r>
          <w:instrText xml:space="preserve"> PAGE   \* MERGEFORMAT </w:instrText>
        </w:r>
        <w:r>
          <w:fldChar w:fldCharType="separate"/>
        </w:r>
        <w:r w:rsidR="006B3DB4">
          <w:rPr>
            <w:noProof/>
          </w:rPr>
          <w:t>8</w:t>
        </w:r>
        <w:r>
          <w:rPr>
            <w:noProof/>
          </w:rPr>
          <w:fldChar w:fldCharType="end"/>
        </w:r>
      </w:p>
    </w:sdtContent>
  </w:sdt>
  <w:p w14:paraId="074C5B2D" w14:textId="77777777" w:rsidR="004C6F72" w:rsidRDefault="004C6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087279"/>
      <w:docPartObj>
        <w:docPartGallery w:val="Page Numbers (Bottom of Page)"/>
        <w:docPartUnique/>
      </w:docPartObj>
    </w:sdtPr>
    <w:sdtEndPr>
      <w:rPr>
        <w:noProof/>
      </w:rPr>
    </w:sdtEndPr>
    <w:sdtContent>
      <w:p w14:paraId="37954E02" w14:textId="70CD4C7F" w:rsidR="004C6F72" w:rsidRDefault="004C6F72">
        <w:pPr>
          <w:pStyle w:val="Footer"/>
          <w:jc w:val="center"/>
        </w:pPr>
        <w:r>
          <w:fldChar w:fldCharType="begin"/>
        </w:r>
        <w:r>
          <w:instrText xml:space="preserve"> PAGE   \* MERGEFORMAT </w:instrText>
        </w:r>
        <w:r>
          <w:fldChar w:fldCharType="separate"/>
        </w:r>
        <w:r w:rsidR="007E7211">
          <w:rPr>
            <w:noProof/>
          </w:rPr>
          <w:t>1</w:t>
        </w:r>
        <w:r>
          <w:rPr>
            <w:noProof/>
          </w:rPr>
          <w:fldChar w:fldCharType="end"/>
        </w:r>
      </w:p>
    </w:sdtContent>
  </w:sdt>
  <w:p w14:paraId="75DE7465" w14:textId="77777777" w:rsidR="004C6F72" w:rsidRDefault="004C6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EA235" w14:textId="77777777" w:rsidR="00B27184" w:rsidRDefault="00B27184" w:rsidP="00211FBC">
      <w:pPr>
        <w:spacing w:before="0" w:after="0"/>
      </w:pPr>
      <w:r>
        <w:separator/>
      </w:r>
    </w:p>
  </w:footnote>
  <w:footnote w:type="continuationSeparator" w:id="0">
    <w:p w14:paraId="5E86CE75" w14:textId="77777777" w:rsidR="00B27184" w:rsidRDefault="00B27184" w:rsidP="00211FB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2395" w14:textId="4676161C" w:rsidR="004C6F72" w:rsidRDefault="004C6F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6452C160" w14:textId="77777777" w:rsidR="004C6F72" w:rsidRDefault="004C6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6F187" w14:textId="3B3B1D0B" w:rsidR="004C6F72" w:rsidRDefault="004C6F72">
    <w:pPr>
      <w:pStyle w:val="Header"/>
      <w:framePr w:wrap="around" w:vAnchor="text" w:hAnchor="margin" w:xAlign="center" w:y="1"/>
      <w:pBdr>
        <w:bottom w:val="none" w:sz="0" w:space="0" w:color="auto"/>
      </w:pBdr>
      <w:rPr>
        <w:rStyle w:val="PageNumber"/>
      </w:rPr>
    </w:pPr>
  </w:p>
  <w:p w14:paraId="487CA421" w14:textId="77777777" w:rsidR="004C6F72" w:rsidRDefault="004C6F72">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E0C50" w14:textId="75B1F0F6" w:rsidR="004C6F72" w:rsidRDefault="004C6F72" w:rsidP="00431566">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3A6FEB2"/>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B54002BC"/>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F0A0C1C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EE6077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5007E88"/>
    <w:multiLevelType w:val="hybridMultilevel"/>
    <w:tmpl w:val="465ED606"/>
    <w:lvl w:ilvl="0" w:tplc="38162412">
      <w:start w:val="2"/>
      <w:numFmt w:val="lowerLetter"/>
      <w:lvlText w:val="(%1)"/>
      <w:lvlJc w:val="left"/>
      <w:pPr>
        <w:ind w:left="720" w:hanging="360"/>
      </w:pPr>
      <w:rPr>
        <w:rFonts w:ascii="Times New Roman" w:hAnsi="Times New Roman" w:cs="Times New Roman"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D838F4"/>
    <w:multiLevelType w:val="hybridMultilevel"/>
    <w:tmpl w:val="3E361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AF6869"/>
    <w:multiLevelType w:val="hybridMultilevel"/>
    <w:tmpl w:val="9378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E94249"/>
    <w:multiLevelType w:val="hybridMultilevel"/>
    <w:tmpl w:val="35B6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2771F"/>
    <w:multiLevelType w:val="hybridMultilevel"/>
    <w:tmpl w:val="63BCA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4B6D26"/>
    <w:multiLevelType w:val="hybridMultilevel"/>
    <w:tmpl w:val="4710C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8C4319"/>
    <w:multiLevelType w:val="hybridMultilevel"/>
    <w:tmpl w:val="D4569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E06FA7"/>
    <w:multiLevelType w:val="hybridMultilevel"/>
    <w:tmpl w:val="545CD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AE2860"/>
    <w:multiLevelType w:val="hybridMultilevel"/>
    <w:tmpl w:val="66926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6F1FEF"/>
    <w:multiLevelType w:val="hybridMultilevel"/>
    <w:tmpl w:val="F84C2F76"/>
    <w:lvl w:ilvl="0" w:tplc="DC8476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2B326799"/>
    <w:multiLevelType w:val="hybridMultilevel"/>
    <w:tmpl w:val="48E4C00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2D50045C"/>
    <w:multiLevelType w:val="hybridMultilevel"/>
    <w:tmpl w:val="E0ACC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3EF158E"/>
    <w:multiLevelType w:val="hybridMultilevel"/>
    <w:tmpl w:val="4AAE5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A6263"/>
    <w:multiLevelType w:val="hybridMultilevel"/>
    <w:tmpl w:val="EEAAA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DB45D44"/>
    <w:multiLevelType w:val="hybridMultilevel"/>
    <w:tmpl w:val="82602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AA5606"/>
    <w:multiLevelType w:val="hybridMultilevel"/>
    <w:tmpl w:val="F76699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4A33F79"/>
    <w:multiLevelType w:val="hybridMultilevel"/>
    <w:tmpl w:val="883E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3F71A0"/>
    <w:multiLevelType w:val="hybridMultilevel"/>
    <w:tmpl w:val="CA303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435EFD"/>
    <w:multiLevelType w:val="hybridMultilevel"/>
    <w:tmpl w:val="D6BEE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2E030F"/>
    <w:multiLevelType w:val="hybridMultilevel"/>
    <w:tmpl w:val="F4CCEF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28731EA"/>
    <w:multiLevelType w:val="hybridMultilevel"/>
    <w:tmpl w:val="21EE11A0"/>
    <w:lvl w:ilvl="0" w:tplc="514A08E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31C7E61"/>
    <w:multiLevelType w:val="multilevel"/>
    <w:tmpl w:val="D058450A"/>
    <w:lvl w:ilvl="0">
      <w:start w:val="1"/>
      <w:numFmt w:val="decimal"/>
      <w:pStyle w:val="Heading1"/>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080"/>
        </w:tabs>
        <w:ind w:left="720" w:hanging="720"/>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6" w15:restartNumberingAfterBreak="0">
    <w:nsid w:val="67376A5C"/>
    <w:multiLevelType w:val="hybridMultilevel"/>
    <w:tmpl w:val="3E14F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851AB4"/>
    <w:multiLevelType w:val="hybridMultilevel"/>
    <w:tmpl w:val="3C980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B630492"/>
    <w:multiLevelType w:val="hybridMultilevel"/>
    <w:tmpl w:val="2CA29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543BC"/>
    <w:multiLevelType w:val="hybridMultilevel"/>
    <w:tmpl w:val="99D6153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72881147"/>
    <w:multiLevelType w:val="multilevel"/>
    <w:tmpl w:val="F9ACB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F150F1"/>
    <w:multiLevelType w:val="hybridMultilevel"/>
    <w:tmpl w:val="C876E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2"/>
  </w:num>
  <w:num w:numId="4">
    <w:abstractNumId w:val="1"/>
  </w:num>
  <w:num w:numId="5">
    <w:abstractNumId w:val="0"/>
  </w:num>
  <w:num w:numId="6">
    <w:abstractNumId w:val="26"/>
  </w:num>
  <w:num w:numId="7">
    <w:abstractNumId w:val="16"/>
  </w:num>
  <w:num w:numId="8">
    <w:abstractNumId w:val="19"/>
  </w:num>
  <w:num w:numId="9">
    <w:abstractNumId w:val="12"/>
  </w:num>
  <w:num w:numId="10">
    <w:abstractNumId w:val="4"/>
  </w:num>
  <w:num w:numId="11">
    <w:abstractNumId w:val="18"/>
  </w:num>
  <w:num w:numId="12">
    <w:abstractNumId w:val="6"/>
  </w:num>
  <w:num w:numId="13">
    <w:abstractNumId w:val="29"/>
  </w:num>
  <w:num w:numId="14">
    <w:abstractNumId w:val="10"/>
  </w:num>
  <w:num w:numId="15">
    <w:abstractNumId w:val="20"/>
  </w:num>
  <w:num w:numId="16">
    <w:abstractNumId w:val="22"/>
  </w:num>
  <w:num w:numId="17">
    <w:abstractNumId w:val="5"/>
  </w:num>
  <w:num w:numId="18">
    <w:abstractNumId w:val="15"/>
  </w:num>
  <w:num w:numId="19">
    <w:abstractNumId w:val="11"/>
  </w:num>
  <w:num w:numId="20">
    <w:abstractNumId w:val="28"/>
  </w:num>
  <w:num w:numId="21">
    <w:abstractNumId w:val="23"/>
  </w:num>
  <w:num w:numId="22">
    <w:abstractNumId w:val="21"/>
  </w:num>
  <w:num w:numId="23">
    <w:abstractNumId w:val="9"/>
  </w:num>
  <w:num w:numId="24">
    <w:abstractNumId w:val="14"/>
  </w:num>
  <w:num w:numId="25">
    <w:abstractNumId w:val="31"/>
  </w:num>
  <w:num w:numId="26">
    <w:abstractNumId w:val="27"/>
  </w:num>
  <w:num w:numId="27">
    <w:abstractNumId w:val="7"/>
  </w:num>
  <w:num w:numId="28">
    <w:abstractNumId w:val="13"/>
  </w:num>
  <w:num w:numId="29">
    <w:abstractNumId w:val="8"/>
  </w:num>
  <w:num w:numId="30">
    <w:abstractNumId w:val="17"/>
  </w:num>
  <w:num w:numId="31">
    <w:abstractNumId w:val="24"/>
  </w:num>
  <w:num w:numId="32">
    <w:abstractNumId w:val="3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FBC"/>
    <w:rsid w:val="00001F8C"/>
    <w:rsid w:val="00002308"/>
    <w:rsid w:val="00002862"/>
    <w:rsid w:val="00005A15"/>
    <w:rsid w:val="00014EE1"/>
    <w:rsid w:val="00016089"/>
    <w:rsid w:val="00022602"/>
    <w:rsid w:val="00025522"/>
    <w:rsid w:val="000256E6"/>
    <w:rsid w:val="00027331"/>
    <w:rsid w:val="00032C56"/>
    <w:rsid w:val="00036068"/>
    <w:rsid w:val="000410CD"/>
    <w:rsid w:val="00043CC3"/>
    <w:rsid w:val="00043DCC"/>
    <w:rsid w:val="00044C53"/>
    <w:rsid w:val="00051075"/>
    <w:rsid w:val="000522EE"/>
    <w:rsid w:val="00055302"/>
    <w:rsid w:val="00055E3B"/>
    <w:rsid w:val="0005682D"/>
    <w:rsid w:val="000631CA"/>
    <w:rsid w:val="00065B90"/>
    <w:rsid w:val="000671F7"/>
    <w:rsid w:val="000703A7"/>
    <w:rsid w:val="00070938"/>
    <w:rsid w:val="00071659"/>
    <w:rsid w:val="0007577E"/>
    <w:rsid w:val="00077D39"/>
    <w:rsid w:val="00082218"/>
    <w:rsid w:val="00092AA7"/>
    <w:rsid w:val="0009343F"/>
    <w:rsid w:val="00095F5A"/>
    <w:rsid w:val="0009704F"/>
    <w:rsid w:val="000A12AB"/>
    <w:rsid w:val="000A2DAF"/>
    <w:rsid w:val="000A2FD6"/>
    <w:rsid w:val="000A60F6"/>
    <w:rsid w:val="000C7EE5"/>
    <w:rsid w:val="000D0777"/>
    <w:rsid w:val="000D4A1E"/>
    <w:rsid w:val="000E00B9"/>
    <w:rsid w:val="000F4FF8"/>
    <w:rsid w:val="000F6B16"/>
    <w:rsid w:val="0010227F"/>
    <w:rsid w:val="00114F7C"/>
    <w:rsid w:val="001203DE"/>
    <w:rsid w:val="0012427F"/>
    <w:rsid w:val="00124A73"/>
    <w:rsid w:val="00125AAF"/>
    <w:rsid w:val="00126EA8"/>
    <w:rsid w:val="001304D6"/>
    <w:rsid w:val="0013067C"/>
    <w:rsid w:val="00132BD2"/>
    <w:rsid w:val="0013459F"/>
    <w:rsid w:val="00135C0F"/>
    <w:rsid w:val="00135F06"/>
    <w:rsid w:val="001374AC"/>
    <w:rsid w:val="00137778"/>
    <w:rsid w:val="00140004"/>
    <w:rsid w:val="001424B5"/>
    <w:rsid w:val="00145A54"/>
    <w:rsid w:val="00151299"/>
    <w:rsid w:val="00155B35"/>
    <w:rsid w:val="00161D84"/>
    <w:rsid w:val="00166FCB"/>
    <w:rsid w:val="0016714F"/>
    <w:rsid w:val="00170D5A"/>
    <w:rsid w:val="00173148"/>
    <w:rsid w:val="00174F97"/>
    <w:rsid w:val="00177A8F"/>
    <w:rsid w:val="001809A7"/>
    <w:rsid w:val="00181FF8"/>
    <w:rsid w:val="00183A4A"/>
    <w:rsid w:val="00190E3F"/>
    <w:rsid w:val="00191567"/>
    <w:rsid w:val="00196790"/>
    <w:rsid w:val="001A5886"/>
    <w:rsid w:val="001A6260"/>
    <w:rsid w:val="001B5D1C"/>
    <w:rsid w:val="001B7770"/>
    <w:rsid w:val="001C12B0"/>
    <w:rsid w:val="001C175D"/>
    <w:rsid w:val="001C1B77"/>
    <w:rsid w:val="001C1F9B"/>
    <w:rsid w:val="001C5455"/>
    <w:rsid w:val="001C7F38"/>
    <w:rsid w:val="001D3945"/>
    <w:rsid w:val="001D557F"/>
    <w:rsid w:val="001D631D"/>
    <w:rsid w:val="001E3811"/>
    <w:rsid w:val="001E5A04"/>
    <w:rsid w:val="001E742C"/>
    <w:rsid w:val="001F6BE9"/>
    <w:rsid w:val="001F7482"/>
    <w:rsid w:val="001F7B7F"/>
    <w:rsid w:val="00202763"/>
    <w:rsid w:val="002062EE"/>
    <w:rsid w:val="00206DBD"/>
    <w:rsid w:val="00211173"/>
    <w:rsid w:val="002119C7"/>
    <w:rsid w:val="00211FBC"/>
    <w:rsid w:val="00215FFA"/>
    <w:rsid w:val="0021708E"/>
    <w:rsid w:val="00220A61"/>
    <w:rsid w:val="00233419"/>
    <w:rsid w:val="002343CB"/>
    <w:rsid w:val="00235A69"/>
    <w:rsid w:val="00243584"/>
    <w:rsid w:val="0024399D"/>
    <w:rsid w:val="00247206"/>
    <w:rsid w:val="00254751"/>
    <w:rsid w:val="00254EE6"/>
    <w:rsid w:val="00255D54"/>
    <w:rsid w:val="002619B2"/>
    <w:rsid w:val="00267120"/>
    <w:rsid w:val="00267533"/>
    <w:rsid w:val="00271A55"/>
    <w:rsid w:val="00272BCC"/>
    <w:rsid w:val="00274914"/>
    <w:rsid w:val="002751D7"/>
    <w:rsid w:val="00276C9D"/>
    <w:rsid w:val="002773FB"/>
    <w:rsid w:val="0028554E"/>
    <w:rsid w:val="00286436"/>
    <w:rsid w:val="00286A8C"/>
    <w:rsid w:val="00287062"/>
    <w:rsid w:val="00290B87"/>
    <w:rsid w:val="0029103C"/>
    <w:rsid w:val="00291D3B"/>
    <w:rsid w:val="002A0125"/>
    <w:rsid w:val="002A2A77"/>
    <w:rsid w:val="002A7057"/>
    <w:rsid w:val="002B0A79"/>
    <w:rsid w:val="002B4283"/>
    <w:rsid w:val="002B4E61"/>
    <w:rsid w:val="002B5234"/>
    <w:rsid w:val="002B6C35"/>
    <w:rsid w:val="002B79D4"/>
    <w:rsid w:val="002C0BF8"/>
    <w:rsid w:val="002C524B"/>
    <w:rsid w:val="002D0E89"/>
    <w:rsid w:val="002D353A"/>
    <w:rsid w:val="002E0284"/>
    <w:rsid w:val="002E1D88"/>
    <w:rsid w:val="002E517A"/>
    <w:rsid w:val="002E5FE7"/>
    <w:rsid w:val="002E62E5"/>
    <w:rsid w:val="002E73E4"/>
    <w:rsid w:val="002F3B4F"/>
    <w:rsid w:val="002F6FB9"/>
    <w:rsid w:val="0030121A"/>
    <w:rsid w:val="00301225"/>
    <w:rsid w:val="003063CC"/>
    <w:rsid w:val="00310B82"/>
    <w:rsid w:val="00311B39"/>
    <w:rsid w:val="00312E19"/>
    <w:rsid w:val="00317D76"/>
    <w:rsid w:val="00325039"/>
    <w:rsid w:val="00330CE8"/>
    <w:rsid w:val="00333B40"/>
    <w:rsid w:val="0033646B"/>
    <w:rsid w:val="00336C0D"/>
    <w:rsid w:val="00343036"/>
    <w:rsid w:val="00345986"/>
    <w:rsid w:val="00345BC7"/>
    <w:rsid w:val="00345D0E"/>
    <w:rsid w:val="00347982"/>
    <w:rsid w:val="00355CF4"/>
    <w:rsid w:val="00356D10"/>
    <w:rsid w:val="00361230"/>
    <w:rsid w:val="00366C79"/>
    <w:rsid w:val="00367FB4"/>
    <w:rsid w:val="003713FC"/>
    <w:rsid w:val="003729B7"/>
    <w:rsid w:val="00372A77"/>
    <w:rsid w:val="00376F8D"/>
    <w:rsid w:val="003847EC"/>
    <w:rsid w:val="00384830"/>
    <w:rsid w:val="00385E81"/>
    <w:rsid w:val="00390AAC"/>
    <w:rsid w:val="003916F2"/>
    <w:rsid w:val="003A28BA"/>
    <w:rsid w:val="003B2C1D"/>
    <w:rsid w:val="003B4602"/>
    <w:rsid w:val="003B7A19"/>
    <w:rsid w:val="003C146D"/>
    <w:rsid w:val="003C1723"/>
    <w:rsid w:val="003C2A0D"/>
    <w:rsid w:val="003C61E8"/>
    <w:rsid w:val="003C689E"/>
    <w:rsid w:val="003D3A6A"/>
    <w:rsid w:val="003D562B"/>
    <w:rsid w:val="003E0416"/>
    <w:rsid w:val="003E087C"/>
    <w:rsid w:val="003E2672"/>
    <w:rsid w:val="003E7105"/>
    <w:rsid w:val="003F033F"/>
    <w:rsid w:val="003F13C3"/>
    <w:rsid w:val="003F3325"/>
    <w:rsid w:val="00401F9C"/>
    <w:rsid w:val="00404485"/>
    <w:rsid w:val="004070EE"/>
    <w:rsid w:val="00410C49"/>
    <w:rsid w:val="00413456"/>
    <w:rsid w:val="00420278"/>
    <w:rsid w:val="00421395"/>
    <w:rsid w:val="0042405F"/>
    <w:rsid w:val="00425E37"/>
    <w:rsid w:val="00427022"/>
    <w:rsid w:val="00430EF8"/>
    <w:rsid w:val="00431566"/>
    <w:rsid w:val="00432875"/>
    <w:rsid w:val="00433A07"/>
    <w:rsid w:val="00433CA0"/>
    <w:rsid w:val="00437411"/>
    <w:rsid w:val="00440E62"/>
    <w:rsid w:val="00442A30"/>
    <w:rsid w:val="00442BA5"/>
    <w:rsid w:val="00446377"/>
    <w:rsid w:val="00447E53"/>
    <w:rsid w:val="00450F8E"/>
    <w:rsid w:val="0045560F"/>
    <w:rsid w:val="00456501"/>
    <w:rsid w:val="00467688"/>
    <w:rsid w:val="004706B7"/>
    <w:rsid w:val="00471381"/>
    <w:rsid w:val="0047360C"/>
    <w:rsid w:val="00475E3E"/>
    <w:rsid w:val="00476D98"/>
    <w:rsid w:val="00480495"/>
    <w:rsid w:val="0048168B"/>
    <w:rsid w:val="00481CBC"/>
    <w:rsid w:val="00487312"/>
    <w:rsid w:val="00487C21"/>
    <w:rsid w:val="00490E34"/>
    <w:rsid w:val="00494563"/>
    <w:rsid w:val="00496460"/>
    <w:rsid w:val="004A0C46"/>
    <w:rsid w:val="004A494A"/>
    <w:rsid w:val="004A5DBA"/>
    <w:rsid w:val="004B21EC"/>
    <w:rsid w:val="004B4347"/>
    <w:rsid w:val="004B5478"/>
    <w:rsid w:val="004B75E9"/>
    <w:rsid w:val="004C610B"/>
    <w:rsid w:val="004C6AE4"/>
    <w:rsid w:val="004C6F72"/>
    <w:rsid w:val="004D1FAE"/>
    <w:rsid w:val="004D55AD"/>
    <w:rsid w:val="004E09D4"/>
    <w:rsid w:val="004E24FE"/>
    <w:rsid w:val="004E4E28"/>
    <w:rsid w:val="004F3ED6"/>
    <w:rsid w:val="004F4450"/>
    <w:rsid w:val="004F74F1"/>
    <w:rsid w:val="004F7726"/>
    <w:rsid w:val="00501227"/>
    <w:rsid w:val="00501820"/>
    <w:rsid w:val="0050378F"/>
    <w:rsid w:val="00503F16"/>
    <w:rsid w:val="00505C6C"/>
    <w:rsid w:val="00506A92"/>
    <w:rsid w:val="0051033D"/>
    <w:rsid w:val="0051088B"/>
    <w:rsid w:val="005109C8"/>
    <w:rsid w:val="0051217F"/>
    <w:rsid w:val="0051246A"/>
    <w:rsid w:val="00517490"/>
    <w:rsid w:val="00525B7E"/>
    <w:rsid w:val="0052627D"/>
    <w:rsid w:val="00526EEF"/>
    <w:rsid w:val="005305AF"/>
    <w:rsid w:val="00530FF1"/>
    <w:rsid w:val="00531EBA"/>
    <w:rsid w:val="005370A4"/>
    <w:rsid w:val="00540E59"/>
    <w:rsid w:val="0054140C"/>
    <w:rsid w:val="00547A4D"/>
    <w:rsid w:val="00547B43"/>
    <w:rsid w:val="00547EBF"/>
    <w:rsid w:val="00550F9F"/>
    <w:rsid w:val="00552C61"/>
    <w:rsid w:val="0055568F"/>
    <w:rsid w:val="005625DC"/>
    <w:rsid w:val="0056364D"/>
    <w:rsid w:val="0056516A"/>
    <w:rsid w:val="005664EF"/>
    <w:rsid w:val="00566808"/>
    <w:rsid w:val="005711A1"/>
    <w:rsid w:val="00574523"/>
    <w:rsid w:val="00576F49"/>
    <w:rsid w:val="005871BB"/>
    <w:rsid w:val="00587716"/>
    <w:rsid w:val="00591F2A"/>
    <w:rsid w:val="00596C12"/>
    <w:rsid w:val="005A28E9"/>
    <w:rsid w:val="005A5A00"/>
    <w:rsid w:val="005A66EC"/>
    <w:rsid w:val="005A79F4"/>
    <w:rsid w:val="005A7DCC"/>
    <w:rsid w:val="005B6191"/>
    <w:rsid w:val="005B7697"/>
    <w:rsid w:val="005C3208"/>
    <w:rsid w:val="005D0B52"/>
    <w:rsid w:val="005D1969"/>
    <w:rsid w:val="005D2335"/>
    <w:rsid w:val="005D2E70"/>
    <w:rsid w:val="005D42FA"/>
    <w:rsid w:val="005D4590"/>
    <w:rsid w:val="005D4CCA"/>
    <w:rsid w:val="005E3BB2"/>
    <w:rsid w:val="005E41D4"/>
    <w:rsid w:val="005E66B4"/>
    <w:rsid w:val="005F2654"/>
    <w:rsid w:val="005F2B74"/>
    <w:rsid w:val="00600A90"/>
    <w:rsid w:val="00601524"/>
    <w:rsid w:val="0060264E"/>
    <w:rsid w:val="00603281"/>
    <w:rsid w:val="00606F4F"/>
    <w:rsid w:val="006126A9"/>
    <w:rsid w:val="006131C3"/>
    <w:rsid w:val="006214F4"/>
    <w:rsid w:val="00623878"/>
    <w:rsid w:val="00626754"/>
    <w:rsid w:val="00627127"/>
    <w:rsid w:val="00636EE8"/>
    <w:rsid w:val="00640A53"/>
    <w:rsid w:val="00640F20"/>
    <w:rsid w:val="00643075"/>
    <w:rsid w:val="00645155"/>
    <w:rsid w:val="00645A0C"/>
    <w:rsid w:val="00646C53"/>
    <w:rsid w:val="00647837"/>
    <w:rsid w:val="00650A3F"/>
    <w:rsid w:val="00651404"/>
    <w:rsid w:val="006540D0"/>
    <w:rsid w:val="00660B24"/>
    <w:rsid w:val="006618D4"/>
    <w:rsid w:val="0066253E"/>
    <w:rsid w:val="006633F6"/>
    <w:rsid w:val="006642F8"/>
    <w:rsid w:val="0066483D"/>
    <w:rsid w:val="006652B9"/>
    <w:rsid w:val="006710F7"/>
    <w:rsid w:val="00671DEA"/>
    <w:rsid w:val="006767F5"/>
    <w:rsid w:val="0068293A"/>
    <w:rsid w:val="0068424B"/>
    <w:rsid w:val="00684CFF"/>
    <w:rsid w:val="00690EDE"/>
    <w:rsid w:val="006942CC"/>
    <w:rsid w:val="0069678A"/>
    <w:rsid w:val="006A1C42"/>
    <w:rsid w:val="006A3124"/>
    <w:rsid w:val="006A396A"/>
    <w:rsid w:val="006A3A19"/>
    <w:rsid w:val="006A3C2E"/>
    <w:rsid w:val="006A4B29"/>
    <w:rsid w:val="006A6F1A"/>
    <w:rsid w:val="006B329D"/>
    <w:rsid w:val="006B3DB4"/>
    <w:rsid w:val="006B7D3C"/>
    <w:rsid w:val="006C5AB6"/>
    <w:rsid w:val="006C5D53"/>
    <w:rsid w:val="006D0BFE"/>
    <w:rsid w:val="006D2BA6"/>
    <w:rsid w:val="006D7BBD"/>
    <w:rsid w:val="006E1083"/>
    <w:rsid w:val="006E13DE"/>
    <w:rsid w:val="006E57F2"/>
    <w:rsid w:val="006E693B"/>
    <w:rsid w:val="006F4BC1"/>
    <w:rsid w:val="006F72FA"/>
    <w:rsid w:val="006F7388"/>
    <w:rsid w:val="00701BF4"/>
    <w:rsid w:val="007038DF"/>
    <w:rsid w:val="00706285"/>
    <w:rsid w:val="00711531"/>
    <w:rsid w:val="00713236"/>
    <w:rsid w:val="0071477C"/>
    <w:rsid w:val="007206A0"/>
    <w:rsid w:val="00721292"/>
    <w:rsid w:val="007233C9"/>
    <w:rsid w:val="00723C59"/>
    <w:rsid w:val="007316F7"/>
    <w:rsid w:val="00734B65"/>
    <w:rsid w:val="00740495"/>
    <w:rsid w:val="00744E5B"/>
    <w:rsid w:val="00745C82"/>
    <w:rsid w:val="0074657D"/>
    <w:rsid w:val="00753180"/>
    <w:rsid w:val="007568B5"/>
    <w:rsid w:val="007741C2"/>
    <w:rsid w:val="00781672"/>
    <w:rsid w:val="00784FF1"/>
    <w:rsid w:val="00785F8D"/>
    <w:rsid w:val="00785F96"/>
    <w:rsid w:val="007901CF"/>
    <w:rsid w:val="007905D8"/>
    <w:rsid w:val="007927A4"/>
    <w:rsid w:val="0079307F"/>
    <w:rsid w:val="007B4AD1"/>
    <w:rsid w:val="007B6E2B"/>
    <w:rsid w:val="007B727B"/>
    <w:rsid w:val="007C1134"/>
    <w:rsid w:val="007C2173"/>
    <w:rsid w:val="007D34A3"/>
    <w:rsid w:val="007D39D2"/>
    <w:rsid w:val="007D6617"/>
    <w:rsid w:val="007D7406"/>
    <w:rsid w:val="007E12D5"/>
    <w:rsid w:val="007E2B26"/>
    <w:rsid w:val="007E7211"/>
    <w:rsid w:val="007E773B"/>
    <w:rsid w:val="007F43A5"/>
    <w:rsid w:val="007F52EA"/>
    <w:rsid w:val="007F5D7C"/>
    <w:rsid w:val="007F7123"/>
    <w:rsid w:val="008000DA"/>
    <w:rsid w:val="00803565"/>
    <w:rsid w:val="00806086"/>
    <w:rsid w:val="00813FE9"/>
    <w:rsid w:val="00816122"/>
    <w:rsid w:val="00816A40"/>
    <w:rsid w:val="00822196"/>
    <w:rsid w:val="00822BE6"/>
    <w:rsid w:val="008275FE"/>
    <w:rsid w:val="0083411F"/>
    <w:rsid w:val="00835135"/>
    <w:rsid w:val="00837319"/>
    <w:rsid w:val="0084345B"/>
    <w:rsid w:val="0085535B"/>
    <w:rsid w:val="00857A69"/>
    <w:rsid w:val="00860FD9"/>
    <w:rsid w:val="00862017"/>
    <w:rsid w:val="008629A5"/>
    <w:rsid w:val="008639ED"/>
    <w:rsid w:val="00870936"/>
    <w:rsid w:val="00872113"/>
    <w:rsid w:val="00874001"/>
    <w:rsid w:val="00886972"/>
    <w:rsid w:val="008A170A"/>
    <w:rsid w:val="008A37CF"/>
    <w:rsid w:val="008A4C3B"/>
    <w:rsid w:val="008A505A"/>
    <w:rsid w:val="008A50D2"/>
    <w:rsid w:val="008B105D"/>
    <w:rsid w:val="008D06A5"/>
    <w:rsid w:val="008D4CA3"/>
    <w:rsid w:val="008D4DD4"/>
    <w:rsid w:val="008E42DF"/>
    <w:rsid w:val="008F0FB6"/>
    <w:rsid w:val="008F11B3"/>
    <w:rsid w:val="008F14E0"/>
    <w:rsid w:val="008F2E8E"/>
    <w:rsid w:val="008F589F"/>
    <w:rsid w:val="008F5C60"/>
    <w:rsid w:val="008F5F73"/>
    <w:rsid w:val="008F7C52"/>
    <w:rsid w:val="008F7F6B"/>
    <w:rsid w:val="00900964"/>
    <w:rsid w:val="00902F52"/>
    <w:rsid w:val="00903E3A"/>
    <w:rsid w:val="00906429"/>
    <w:rsid w:val="00906E30"/>
    <w:rsid w:val="009105A4"/>
    <w:rsid w:val="00916B33"/>
    <w:rsid w:val="00916D5C"/>
    <w:rsid w:val="00917E3E"/>
    <w:rsid w:val="00920567"/>
    <w:rsid w:val="00920684"/>
    <w:rsid w:val="00921BAF"/>
    <w:rsid w:val="00922AD2"/>
    <w:rsid w:val="00922F57"/>
    <w:rsid w:val="00925F67"/>
    <w:rsid w:val="00931F2C"/>
    <w:rsid w:val="0093396F"/>
    <w:rsid w:val="00934BEB"/>
    <w:rsid w:val="0093606A"/>
    <w:rsid w:val="00940112"/>
    <w:rsid w:val="00940534"/>
    <w:rsid w:val="0094143E"/>
    <w:rsid w:val="0094478A"/>
    <w:rsid w:val="00944C23"/>
    <w:rsid w:val="009455D2"/>
    <w:rsid w:val="009564C5"/>
    <w:rsid w:val="00956D84"/>
    <w:rsid w:val="0096283F"/>
    <w:rsid w:val="009650F2"/>
    <w:rsid w:val="00966574"/>
    <w:rsid w:val="0097044C"/>
    <w:rsid w:val="009725C3"/>
    <w:rsid w:val="00974F96"/>
    <w:rsid w:val="00980BEF"/>
    <w:rsid w:val="009837FD"/>
    <w:rsid w:val="0098605F"/>
    <w:rsid w:val="009867CD"/>
    <w:rsid w:val="0098695C"/>
    <w:rsid w:val="00987CE6"/>
    <w:rsid w:val="0099092B"/>
    <w:rsid w:val="00990CD8"/>
    <w:rsid w:val="0099109C"/>
    <w:rsid w:val="00991A1B"/>
    <w:rsid w:val="009928EF"/>
    <w:rsid w:val="009A071B"/>
    <w:rsid w:val="009A141E"/>
    <w:rsid w:val="009A4340"/>
    <w:rsid w:val="009A7138"/>
    <w:rsid w:val="009B4A74"/>
    <w:rsid w:val="009B6D51"/>
    <w:rsid w:val="009C093E"/>
    <w:rsid w:val="009C1CA3"/>
    <w:rsid w:val="009D415C"/>
    <w:rsid w:val="009D52B7"/>
    <w:rsid w:val="009D5534"/>
    <w:rsid w:val="009E1763"/>
    <w:rsid w:val="009E6599"/>
    <w:rsid w:val="009E708A"/>
    <w:rsid w:val="009E7D1C"/>
    <w:rsid w:val="009F01FF"/>
    <w:rsid w:val="009F0A74"/>
    <w:rsid w:val="009F2603"/>
    <w:rsid w:val="00A00A25"/>
    <w:rsid w:val="00A06C89"/>
    <w:rsid w:val="00A07269"/>
    <w:rsid w:val="00A10988"/>
    <w:rsid w:val="00A13BD9"/>
    <w:rsid w:val="00A17933"/>
    <w:rsid w:val="00A2135D"/>
    <w:rsid w:val="00A274E3"/>
    <w:rsid w:val="00A35977"/>
    <w:rsid w:val="00A41248"/>
    <w:rsid w:val="00A432C8"/>
    <w:rsid w:val="00A512FE"/>
    <w:rsid w:val="00A52489"/>
    <w:rsid w:val="00A52C73"/>
    <w:rsid w:val="00A532CC"/>
    <w:rsid w:val="00A55965"/>
    <w:rsid w:val="00A57662"/>
    <w:rsid w:val="00A577E2"/>
    <w:rsid w:val="00A607D8"/>
    <w:rsid w:val="00A6175C"/>
    <w:rsid w:val="00A6783B"/>
    <w:rsid w:val="00A72AE2"/>
    <w:rsid w:val="00A72E9D"/>
    <w:rsid w:val="00A734B0"/>
    <w:rsid w:val="00A752D3"/>
    <w:rsid w:val="00A766C2"/>
    <w:rsid w:val="00A76FFD"/>
    <w:rsid w:val="00A837AF"/>
    <w:rsid w:val="00A83BCE"/>
    <w:rsid w:val="00A91475"/>
    <w:rsid w:val="00A92D29"/>
    <w:rsid w:val="00AA1E5A"/>
    <w:rsid w:val="00AA2FB8"/>
    <w:rsid w:val="00AB0DBD"/>
    <w:rsid w:val="00AB0F91"/>
    <w:rsid w:val="00AB763A"/>
    <w:rsid w:val="00AC0DAD"/>
    <w:rsid w:val="00AC1742"/>
    <w:rsid w:val="00AC1BD5"/>
    <w:rsid w:val="00AC778A"/>
    <w:rsid w:val="00AD0133"/>
    <w:rsid w:val="00AD16B2"/>
    <w:rsid w:val="00AD3C7E"/>
    <w:rsid w:val="00AD4AC3"/>
    <w:rsid w:val="00AD4C17"/>
    <w:rsid w:val="00AD6AD8"/>
    <w:rsid w:val="00AD7E81"/>
    <w:rsid w:val="00AE1EC3"/>
    <w:rsid w:val="00AE2A9C"/>
    <w:rsid w:val="00AE424F"/>
    <w:rsid w:val="00AE4BA5"/>
    <w:rsid w:val="00AE69DA"/>
    <w:rsid w:val="00AE6C6A"/>
    <w:rsid w:val="00AF07E1"/>
    <w:rsid w:val="00AF14BF"/>
    <w:rsid w:val="00AF5240"/>
    <w:rsid w:val="00AF54D3"/>
    <w:rsid w:val="00AF57B7"/>
    <w:rsid w:val="00B05297"/>
    <w:rsid w:val="00B10F31"/>
    <w:rsid w:val="00B1105B"/>
    <w:rsid w:val="00B12E43"/>
    <w:rsid w:val="00B13071"/>
    <w:rsid w:val="00B13A8E"/>
    <w:rsid w:val="00B14171"/>
    <w:rsid w:val="00B20615"/>
    <w:rsid w:val="00B21112"/>
    <w:rsid w:val="00B21555"/>
    <w:rsid w:val="00B21ED5"/>
    <w:rsid w:val="00B23D49"/>
    <w:rsid w:val="00B27184"/>
    <w:rsid w:val="00B302F5"/>
    <w:rsid w:val="00B3119D"/>
    <w:rsid w:val="00B317A6"/>
    <w:rsid w:val="00B379B0"/>
    <w:rsid w:val="00B44C18"/>
    <w:rsid w:val="00B45233"/>
    <w:rsid w:val="00B55269"/>
    <w:rsid w:val="00B60D18"/>
    <w:rsid w:val="00B66648"/>
    <w:rsid w:val="00B71BBC"/>
    <w:rsid w:val="00B8416F"/>
    <w:rsid w:val="00B854AE"/>
    <w:rsid w:val="00B870D8"/>
    <w:rsid w:val="00B87748"/>
    <w:rsid w:val="00B91BC1"/>
    <w:rsid w:val="00B93D7E"/>
    <w:rsid w:val="00B94F50"/>
    <w:rsid w:val="00B96656"/>
    <w:rsid w:val="00B96D27"/>
    <w:rsid w:val="00BA4431"/>
    <w:rsid w:val="00BA45CA"/>
    <w:rsid w:val="00BA5A34"/>
    <w:rsid w:val="00BA706A"/>
    <w:rsid w:val="00BB015F"/>
    <w:rsid w:val="00BB2D5D"/>
    <w:rsid w:val="00BC7960"/>
    <w:rsid w:val="00BD00DB"/>
    <w:rsid w:val="00BD50A8"/>
    <w:rsid w:val="00BD6458"/>
    <w:rsid w:val="00BD7444"/>
    <w:rsid w:val="00BE0DB9"/>
    <w:rsid w:val="00BE2A13"/>
    <w:rsid w:val="00BE6B13"/>
    <w:rsid w:val="00BE7416"/>
    <w:rsid w:val="00BF2918"/>
    <w:rsid w:val="00BF39C2"/>
    <w:rsid w:val="00BF573F"/>
    <w:rsid w:val="00C012A8"/>
    <w:rsid w:val="00C01EBD"/>
    <w:rsid w:val="00C06A07"/>
    <w:rsid w:val="00C07BEA"/>
    <w:rsid w:val="00C14C65"/>
    <w:rsid w:val="00C154E1"/>
    <w:rsid w:val="00C22D77"/>
    <w:rsid w:val="00C2337A"/>
    <w:rsid w:val="00C306DD"/>
    <w:rsid w:val="00C309BA"/>
    <w:rsid w:val="00C3201D"/>
    <w:rsid w:val="00C35DBD"/>
    <w:rsid w:val="00C36987"/>
    <w:rsid w:val="00C376CA"/>
    <w:rsid w:val="00C44CFE"/>
    <w:rsid w:val="00C44F60"/>
    <w:rsid w:val="00C55F98"/>
    <w:rsid w:val="00C5629A"/>
    <w:rsid w:val="00C576E5"/>
    <w:rsid w:val="00C63CA3"/>
    <w:rsid w:val="00C64054"/>
    <w:rsid w:val="00C712D3"/>
    <w:rsid w:val="00C71F6A"/>
    <w:rsid w:val="00C8096A"/>
    <w:rsid w:val="00C82C84"/>
    <w:rsid w:val="00C83712"/>
    <w:rsid w:val="00C84A73"/>
    <w:rsid w:val="00C84EA4"/>
    <w:rsid w:val="00C851F4"/>
    <w:rsid w:val="00C91EB8"/>
    <w:rsid w:val="00C92519"/>
    <w:rsid w:val="00C94991"/>
    <w:rsid w:val="00CA1B2C"/>
    <w:rsid w:val="00CB0000"/>
    <w:rsid w:val="00CB0F5C"/>
    <w:rsid w:val="00CB2CF6"/>
    <w:rsid w:val="00CB40E2"/>
    <w:rsid w:val="00CB41E3"/>
    <w:rsid w:val="00CB447E"/>
    <w:rsid w:val="00CB4656"/>
    <w:rsid w:val="00CC0BAE"/>
    <w:rsid w:val="00CC32D4"/>
    <w:rsid w:val="00CC3C4A"/>
    <w:rsid w:val="00CC3DBA"/>
    <w:rsid w:val="00CC50F4"/>
    <w:rsid w:val="00CC7338"/>
    <w:rsid w:val="00CD386F"/>
    <w:rsid w:val="00CD510B"/>
    <w:rsid w:val="00CE15F8"/>
    <w:rsid w:val="00CE4E6E"/>
    <w:rsid w:val="00CE6C43"/>
    <w:rsid w:val="00CE6E23"/>
    <w:rsid w:val="00CF0163"/>
    <w:rsid w:val="00CF38DF"/>
    <w:rsid w:val="00CF4DD3"/>
    <w:rsid w:val="00CF6F62"/>
    <w:rsid w:val="00D01DA0"/>
    <w:rsid w:val="00D04B3B"/>
    <w:rsid w:val="00D07BB5"/>
    <w:rsid w:val="00D11FF6"/>
    <w:rsid w:val="00D13ED8"/>
    <w:rsid w:val="00D21553"/>
    <w:rsid w:val="00D22DCC"/>
    <w:rsid w:val="00D33250"/>
    <w:rsid w:val="00D3485E"/>
    <w:rsid w:val="00D36B94"/>
    <w:rsid w:val="00D41A5F"/>
    <w:rsid w:val="00D434EB"/>
    <w:rsid w:val="00D51412"/>
    <w:rsid w:val="00D52F11"/>
    <w:rsid w:val="00D53451"/>
    <w:rsid w:val="00D62D95"/>
    <w:rsid w:val="00D656EF"/>
    <w:rsid w:val="00D6690E"/>
    <w:rsid w:val="00D70578"/>
    <w:rsid w:val="00D828EB"/>
    <w:rsid w:val="00D9042E"/>
    <w:rsid w:val="00D932A1"/>
    <w:rsid w:val="00D94416"/>
    <w:rsid w:val="00D9575E"/>
    <w:rsid w:val="00D96AD6"/>
    <w:rsid w:val="00DA0F04"/>
    <w:rsid w:val="00DA3941"/>
    <w:rsid w:val="00DA4900"/>
    <w:rsid w:val="00DB0D92"/>
    <w:rsid w:val="00DB0F53"/>
    <w:rsid w:val="00DB1BEC"/>
    <w:rsid w:val="00DB4949"/>
    <w:rsid w:val="00DB4FFC"/>
    <w:rsid w:val="00DB58FD"/>
    <w:rsid w:val="00DB59A3"/>
    <w:rsid w:val="00DB59C2"/>
    <w:rsid w:val="00DB69B6"/>
    <w:rsid w:val="00DC016E"/>
    <w:rsid w:val="00DC07E8"/>
    <w:rsid w:val="00DC184B"/>
    <w:rsid w:val="00DC1941"/>
    <w:rsid w:val="00DC2801"/>
    <w:rsid w:val="00DC288E"/>
    <w:rsid w:val="00DC3999"/>
    <w:rsid w:val="00DC5F82"/>
    <w:rsid w:val="00DD09EC"/>
    <w:rsid w:val="00DD1103"/>
    <w:rsid w:val="00DD15FB"/>
    <w:rsid w:val="00DD65A1"/>
    <w:rsid w:val="00DE393C"/>
    <w:rsid w:val="00DE7124"/>
    <w:rsid w:val="00DE751F"/>
    <w:rsid w:val="00DF677C"/>
    <w:rsid w:val="00E05E33"/>
    <w:rsid w:val="00E06A7F"/>
    <w:rsid w:val="00E10114"/>
    <w:rsid w:val="00E2402C"/>
    <w:rsid w:val="00E330EC"/>
    <w:rsid w:val="00E33353"/>
    <w:rsid w:val="00E43EA2"/>
    <w:rsid w:val="00E44D56"/>
    <w:rsid w:val="00E456AD"/>
    <w:rsid w:val="00E51444"/>
    <w:rsid w:val="00E53E0D"/>
    <w:rsid w:val="00E54398"/>
    <w:rsid w:val="00E55189"/>
    <w:rsid w:val="00E57E2B"/>
    <w:rsid w:val="00E71039"/>
    <w:rsid w:val="00E73104"/>
    <w:rsid w:val="00E75A00"/>
    <w:rsid w:val="00E76346"/>
    <w:rsid w:val="00E84C10"/>
    <w:rsid w:val="00E851EE"/>
    <w:rsid w:val="00E920AA"/>
    <w:rsid w:val="00EA1FAD"/>
    <w:rsid w:val="00EA270D"/>
    <w:rsid w:val="00EA50FC"/>
    <w:rsid w:val="00EA5158"/>
    <w:rsid w:val="00EA570A"/>
    <w:rsid w:val="00EA5E8C"/>
    <w:rsid w:val="00EA6580"/>
    <w:rsid w:val="00EB0AE1"/>
    <w:rsid w:val="00EB0CB0"/>
    <w:rsid w:val="00EB0EB5"/>
    <w:rsid w:val="00EB1424"/>
    <w:rsid w:val="00EB45BE"/>
    <w:rsid w:val="00EB499B"/>
    <w:rsid w:val="00EB522B"/>
    <w:rsid w:val="00EB5E29"/>
    <w:rsid w:val="00EB5E47"/>
    <w:rsid w:val="00EB7692"/>
    <w:rsid w:val="00EC2EC3"/>
    <w:rsid w:val="00EC4C83"/>
    <w:rsid w:val="00EC79A7"/>
    <w:rsid w:val="00ED3AE6"/>
    <w:rsid w:val="00ED6445"/>
    <w:rsid w:val="00EE2605"/>
    <w:rsid w:val="00EF3404"/>
    <w:rsid w:val="00EF415E"/>
    <w:rsid w:val="00F14147"/>
    <w:rsid w:val="00F204E1"/>
    <w:rsid w:val="00F21E58"/>
    <w:rsid w:val="00F2343F"/>
    <w:rsid w:val="00F25486"/>
    <w:rsid w:val="00F27089"/>
    <w:rsid w:val="00F27273"/>
    <w:rsid w:val="00F302A8"/>
    <w:rsid w:val="00F36BF7"/>
    <w:rsid w:val="00F40068"/>
    <w:rsid w:val="00F4163B"/>
    <w:rsid w:val="00F43823"/>
    <w:rsid w:val="00F46B72"/>
    <w:rsid w:val="00F4709B"/>
    <w:rsid w:val="00F50468"/>
    <w:rsid w:val="00F516AA"/>
    <w:rsid w:val="00F52902"/>
    <w:rsid w:val="00F545DB"/>
    <w:rsid w:val="00F55C26"/>
    <w:rsid w:val="00F56CE5"/>
    <w:rsid w:val="00F56E61"/>
    <w:rsid w:val="00F60C4C"/>
    <w:rsid w:val="00F67F53"/>
    <w:rsid w:val="00F70793"/>
    <w:rsid w:val="00F74403"/>
    <w:rsid w:val="00F74636"/>
    <w:rsid w:val="00F83DEA"/>
    <w:rsid w:val="00F83ECC"/>
    <w:rsid w:val="00F8536B"/>
    <w:rsid w:val="00F85989"/>
    <w:rsid w:val="00F869F0"/>
    <w:rsid w:val="00F8782D"/>
    <w:rsid w:val="00F92A05"/>
    <w:rsid w:val="00F93C72"/>
    <w:rsid w:val="00F97609"/>
    <w:rsid w:val="00F97D65"/>
    <w:rsid w:val="00FA1815"/>
    <w:rsid w:val="00FA3418"/>
    <w:rsid w:val="00FA3A84"/>
    <w:rsid w:val="00FA7E62"/>
    <w:rsid w:val="00FB16A5"/>
    <w:rsid w:val="00FB2656"/>
    <w:rsid w:val="00FB35D5"/>
    <w:rsid w:val="00FB3F28"/>
    <w:rsid w:val="00FB5F13"/>
    <w:rsid w:val="00FB6965"/>
    <w:rsid w:val="00FB7F03"/>
    <w:rsid w:val="00FB7F13"/>
    <w:rsid w:val="00FC058B"/>
    <w:rsid w:val="00FC1F00"/>
    <w:rsid w:val="00FC449C"/>
    <w:rsid w:val="00FD1A69"/>
    <w:rsid w:val="00FD2B9B"/>
    <w:rsid w:val="00FD5318"/>
    <w:rsid w:val="00FD564B"/>
    <w:rsid w:val="00FE0F5A"/>
    <w:rsid w:val="00FE44CA"/>
    <w:rsid w:val="00FE7E84"/>
    <w:rsid w:val="00FF4739"/>
    <w:rsid w:val="00FF4E03"/>
    <w:rsid w:val="00FF566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BC7EE3D"/>
  <w15:docId w15:val="{C59B2FFF-FFA9-43AF-82B2-CB34DAFC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1FBC"/>
    <w:pPr>
      <w:spacing w:before="60" w:after="60" w:line="240" w:lineRule="auto"/>
    </w:pPr>
    <w:rPr>
      <w:rFonts w:ascii="Times New Roman" w:eastAsia="SimSun" w:hAnsi="Times New Roman" w:cs="Times New Roman"/>
      <w:sz w:val="24"/>
      <w:szCs w:val="20"/>
    </w:rPr>
  </w:style>
  <w:style w:type="paragraph" w:styleId="Heading1">
    <w:name w:val="heading 1"/>
    <w:basedOn w:val="Normal"/>
    <w:next w:val="NormalIndent"/>
    <w:link w:val="Heading1Char"/>
    <w:qFormat/>
    <w:rsid w:val="00211FBC"/>
    <w:pPr>
      <w:keepNext/>
      <w:numPr>
        <w:numId w:val="1"/>
      </w:numPr>
      <w:spacing w:before="240"/>
      <w:outlineLvl w:val="0"/>
    </w:pPr>
    <w:rPr>
      <w:rFonts w:ascii="Arial" w:hAnsi="Arial"/>
      <w:b/>
      <w:kern w:val="28"/>
      <w:sz w:val="28"/>
    </w:rPr>
  </w:style>
  <w:style w:type="paragraph" w:styleId="Heading2">
    <w:name w:val="heading 2"/>
    <w:basedOn w:val="Normal"/>
    <w:next w:val="NormalIndent"/>
    <w:link w:val="Heading2Char"/>
    <w:uiPriority w:val="9"/>
    <w:qFormat/>
    <w:rsid w:val="00211FBC"/>
    <w:pPr>
      <w:keepNext/>
      <w:spacing w:before="240"/>
      <w:outlineLvl w:val="1"/>
    </w:pPr>
    <w:rPr>
      <w:rFonts w:ascii="Arial" w:hAnsi="Arial"/>
      <w:b/>
      <w:sz w:val="26"/>
    </w:rPr>
  </w:style>
  <w:style w:type="paragraph" w:styleId="Heading3">
    <w:name w:val="heading 3"/>
    <w:basedOn w:val="Normal"/>
    <w:next w:val="NormalIndent"/>
    <w:link w:val="Heading3Char"/>
    <w:qFormat/>
    <w:rsid w:val="00211FBC"/>
    <w:pPr>
      <w:keepNext/>
      <w:numPr>
        <w:ilvl w:val="2"/>
        <w:numId w:val="1"/>
      </w:numPr>
      <w:spacing w:before="240"/>
      <w:outlineLvl w:val="2"/>
    </w:pPr>
    <w:rPr>
      <w:rFonts w:ascii="Arial" w:hAnsi="Arial"/>
      <w:b/>
    </w:rPr>
  </w:style>
  <w:style w:type="paragraph" w:styleId="Heading4">
    <w:name w:val="heading 4"/>
    <w:basedOn w:val="Normal"/>
    <w:next w:val="NormalIndent"/>
    <w:link w:val="Heading4Char"/>
    <w:qFormat/>
    <w:rsid w:val="00211FBC"/>
    <w:pPr>
      <w:keepNext/>
      <w:numPr>
        <w:ilvl w:val="3"/>
        <w:numId w:val="1"/>
      </w:numPr>
      <w:spacing w:before="240"/>
      <w:outlineLvl w:val="3"/>
    </w:pPr>
    <w:rPr>
      <w:rFonts w:ascii="Arial" w:hAnsi="Arial"/>
      <w:b/>
      <w:sz w:val="22"/>
    </w:rPr>
  </w:style>
  <w:style w:type="paragraph" w:styleId="Heading5">
    <w:name w:val="heading 5"/>
    <w:basedOn w:val="Normal"/>
    <w:next w:val="Normal"/>
    <w:link w:val="Heading5Char"/>
    <w:qFormat/>
    <w:rsid w:val="00211FBC"/>
    <w:pPr>
      <w:numPr>
        <w:ilvl w:val="4"/>
        <w:numId w:val="1"/>
      </w:numPr>
      <w:spacing w:before="240"/>
      <w:outlineLvl w:val="4"/>
    </w:pPr>
    <w:rPr>
      <w:sz w:val="22"/>
    </w:rPr>
  </w:style>
  <w:style w:type="paragraph" w:styleId="Heading6">
    <w:name w:val="heading 6"/>
    <w:basedOn w:val="Normal"/>
    <w:next w:val="Normal"/>
    <w:link w:val="Heading6Char"/>
    <w:qFormat/>
    <w:rsid w:val="00211FBC"/>
    <w:pPr>
      <w:numPr>
        <w:ilvl w:val="5"/>
        <w:numId w:val="1"/>
      </w:numPr>
      <w:spacing w:before="240"/>
      <w:outlineLvl w:val="5"/>
    </w:pPr>
    <w:rPr>
      <w:i/>
      <w:sz w:val="22"/>
    </w:rPr>
  </w:style>
  <w:style w:type="paragraph" w:styleId="Heading7">
    <w:name w:val="heading 7"/>
    <w:basedOn w:val="Normal"/>
    <w:next w:val="Normal"/>
    <w:link w:val="Heading7Char"/>
    <w:qFormat/>
    <w:rsid w:val="00211FBC"/>
    <w:pPr>
      <w:numPr>
        <w:ilvl w:val="6"/>
        <w:numId w:val="1"/>
      </w:numPr>
      <w:spacing w:before="240"/>
      <w:outlineLvl w:val="6"/>
    </w:pPr>
    <w:rPr>
      <w:rFonts w:ascii="Arial" w:hAnsi="Arial"/>
      <w:sz w:val="20"/>
    </w:rPr>
  </w:style>
  <w:style w:type="paragraph" w:styleId="Heading8">
    <w:name w:val="heading 8"/>
    <w:basedOn w:val="Normal"/>
    <w:next w:val="Normal"/>
    <w:link w:val="Heading8Char"/>
    <w:qFormat/>
    <w:rsid w:val="00211FBC"/>
    <w:pPr>
      <w:numPr>
        <w:ilvl w:val="7"/>
        <w:numId w:val="1"/>
      </w:numPr>
      <w:spacing w:before="240"/>
      <w:outlineLvl w:val="7"/>
    </w:pPr>
    <w:rPr>
      <w:rFonts w:ascii="Arial" w:hAnsi="Arial"/>
      <w:i/>
      <w:sz w:val="20"/>
    </w:rPr>
  </w:style>
  <w:style w:type="paragraph" w:styleId="Heading9">
    <w:name w:val="heading 9"/>
    <w:basedOn w:val="Normal"/>
    <w:next w:val="Normal"/>
    <w:link w:val="Heading9Char"/>
    <w:qFormat/>
    <w:rsid w:val="00211FBC"/>
    <w:pPr>
      <w:numPr>
        <w:ilvl w:val="8"/>
        <w:numId w:val="1"/>
      </w:numPr>
      <w:spacing w:before="24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FBC"/>
    <w:rPr>
      <w:rFonts w:ascii="Arial" w:eastAsia="SimSun" w:hAnsi="Arial" w:cs="Times New Roman"/>
      <w:b/>
      <w:kern w:val="28"/>
      <w:sz w:val="28"/>
      <w:szCs w:val="20"/>
    </w:rPr>
  </w:style>
  <w:style w:type="character" w:customStyle="1" w:styleId="Heading2Char">
    <w:name w:val="Heading 2 Char"/>
    <w:basedOn w:val="DefaultParagraphFont"/>
    <w:link w:val="Heading2"/>
    <w:uiPriority w:val="9"/>
    <w:rsid w:val="00211FBC"/>
    <w:rPr>
      <w:rFonts w:ascii="Arial" w:eastAsia="SimSun" w:hAnsi="Arial" w:cs="Times New Roman"/>
      <w:b/>
      <w:sz w:val="26"/>
      <w:szCs w:val="20"/>
    </w:rPr>
  </w:style>
  <w:style w:type="character" w:customStyle="1" w:styleId="Heading3Char">
    <w:name w:val="Heading 3 Char"/>
    <w:basedOn w:val="DefaultParagraphFont"/>
    <w:link w:val="Heading3"/>
    <w:rsid w:val="00211FBC"/>
    <w:rPr>
      <w:rFonts w:ascii="Arial" w:eastAsia="SimSun" w:hAnsi="Arial" w:cs="Times New Roman"/>
      <w:b/>
      <w:sz w:val="24"/>
      <w:szCs w:val="20"/>
    </w:rPr>
  </w:style>
  <w:style w:type="character" w:customStyle="1" w:styleId="Heading4Char">
    <w:name w:val="Heading 4 Char"/>
    <w:basedOn w:val="DefaultParagraphFont"/>
    <w:link w:val="Heading4"/>
    <w:rsid w:val="00211FBC"/>
    <w:rPr>
      <w:rFonts w:ascii="Arial" w:eastAsia="SimSun" w:hAnsi="Arial" w:cs="Times New Roman"/>
      <w:b/>
      <w:szCs w:val="20"/>
    </w:rPr>
  </w:style>
  <w:style w:type="character" w:customStyle="1" w:styleId="Heading5Char">
    <w:name w:val="Heading 5 Char"/>
    <w:basedOn w:val="DefaultParagraphFont"/>
    <w:link w:val="Heading5"/>
    <w:rsid w:val="00211FBC"/>
    <w:rPr>
      <w:rFonts w:ascii="Times New Roman" w:eastAsia="SimSun" w:hAnsi="Times New Roman" w:cs="Times New Roman"/>
      <w:szCs w:val="20"/>
    </w:rPr>
  </w:style>
  <w:style w:type="character" w:customStyle="1" w:styleId="Heading6Char">
    <w:name w:val="Heading 6 Char"/>
    <w:basedOn w:val="DefaultParagraphFont"/>
    <w:link w:val="Heading6"/>
    <w:rsid w:val="00211FBC"/>
    <w:rPr>
      <w:rFonts w:ascii="Times New Roman" w:eastAsia="SimSun" w:hAnsi="Times New Roman" w:cs="Times New Roman"/>
      <w:i/>
      <w:szCs w:val="20"/>
    </w:rPr>
  </w:style>
  <w:style w:type="character" w:customStyle="1" w:styleId="Heading7Char">
    <w:name w:val="Heading 7 Char"/>
    <w:basedOn w:val="DefaultParagraphFont"/>
    <w:link w:val="Heading7"/>
    <w:rsid w:val="00211FBC"/>
    <w:rPr>
      <w:rFonts w:ascii="Arial" w:eastAsia="SimSun" w:hAnsi="Arial" w:cs="Times New Roman"/>
      <w:sz w:val="20"/>
      <w:szCs w:val="20"/>
    </w:rPr>
  </w:style>
  <w:style w:type="character" w:customStyle="1" w:styleId="Heading8Char">
    <w:name w:val="Heading 8 Char"/>
    <w:basedOn w:val="DefaultParagraphFont"/>
    <w:link w:val="Heading8"/>
    <w:rsid w:val="00211FBC"/>
    <w:rPr>
      <w:rFonts w:ascii="Arial" w:eastAsia="SimSun" w:hAnsi="Arial" w:cs="Times New Roman"/>
      <w:i/>
      <w:sz w:val="20"/>
      <w:szCs w:val="20"/>
    </w:rPr>
  </w:style>
  <w:style w:type="character" w:customStyle="1" w:styleId="Heading9Char">
    <w:name w:val="Heading 9 Char"/>
    <w:basedOn w:val="DefaultParagraphFont"/>
    <w:link w:val="Heading9"/>
    <w:rsid w:val="00211FBC"/>
    <w:rPr>
      <w:rFonts w:ascii="Arial" w:eastAsia="SimSun" w:hAnsi="Arial" w:cs="Times New Roman"/>
      <w:b/>
      <w:i/>
      <w:sz w:val="18"/>
      <w:szCs w:val="20"/>
    </w:rPr>
  </w:style>
  <w:style w:type="paragraph" w:styleId="NormalIndent">
    <w:name w:val="Normal Indent"/>
    <w:basedOn w:val="Normal"/>
    <w:semiHidden/>
    <w:rsid w:val="00211FBC"/>
    <w:pPr>
      <w:ind w:left="720"/>
    </w:pPr>
  </w:style>
  <w:style w:type="paragraph" w:styleId="Header">
    <w:name w:val="header"/>
    <w:basedOn w:val="Normal"/>
    <w:link w:val="HeaderChar"/>
    <w:semiHidden/>
    <w:rsid w:val="00211FBC"/>
    <w:pPr>
      <w:pBdr>
        <w:bottom w:val="single" w:sz="4" w:space="1" w:color="auto"/>
      </w:pBdr>
      <w:tabs>
        <w:tab w:val="center" w:pos="4153"/>
        <w:tab w:val="right" w:pos="8987"/>
      </w:tabs>
    </w:pPr>
    <w:rPr>
      <w:sz w:val="22"/>
    </w:rPr>
  </w:style>
  <w:style w:type="character" w:customStyle="1" w:styleId="HeaderChar">
    <w:name w:val="Header Char"/>
    <w:basedOn w:val="DefaultParagraphFont"/>
    <w:link w:val="Header"/>
    <w:semiHidden/>
    <w:rsid w:val="00211FBC"/>
    <w:rPr>
      <w:rFonts w:ascii="Times New Roman" w:eastAsia="SimSun" w:hAnsi="Times New Roman" w:cs="Times New Roman"/>
      <w:szCs w:val="20"/>
    </w:rPr>
  </w:style>
  <w:style w:type="paragraph" w:styleId="Footer">
    <w:name w:val="footer"/>
    <w:basedOn w:val="Normal"/>
    <w:link w:val="FooterChar"/>
    <w:uiPriority w:val="99"/>
    <w:rsid w:val="00211FBC"/>
    <w:pPr>
      <w:pBdr>
        <w:top w:val="single" w:sz="4" w:space="1" w:color="auto"/>
      </w:pBdr>
      <w:tabs>
        <w:tab w:val="center" w:pos="4153"/>
        <w:tab w:val="right" w:pos="8987"/>
      </w:tabs>
    </w:pPr>
    <w:rPr>
      <w:sz w:val="22"/>
    </w:rPr>
  </w:style>
  <w:style w:type="character" w:customStyle="1" w:styleId="FooterChar">
    <w:name w:val="Footer Char"/>
    <w:basedOn w:val="DefaultParagraphFont"/>
    <w:link w:val="Footer"/>
    <w:uiPriority w:val="99"/>
    <w:rsid w:val="00211FBC"/>
    <w:rPr>
      <w:rFonts w:ascii="Times New Roman" w:eastAsia="SimSun" w:hAnsi="Times New Roman" w:cs="Times New Roman"/>
      <w:szCs w:val="20"/>
    </w:rPr>
  </w:style>
  <w:style w:type="paragraph" w:styleId="ListBullet">
    <w:name w:val="List Bullet"/>
    <w:basedOn w:val="NormalIndent"/>
    <w:autoRedefine/>
    <w:semiHidden/>
    <w:rsid w:val="00211FBC"/>
    <w:pPr>
      <w:numPr>
        <w:numId w:val="2"/>
      </w:numPr>
    </w:pPr>
  </w:style>
  <w:style w:type="paragraph" w:styleId="ListBullet2">
    <w:name w:val="List Bullet 2"/>
    <w:basedOn w:val="NormalIndent"/>
    <w:autoRedefine/>
    <w:semiHidden/>
    <w:rsid w:val="00211FBC"/>
    <w:pPr>
      <w:numPr>
        <w:numId w:val="3"/>
      </w:numPr>
    </w:pPr>
  </w:style>
  <w:style w:type="paragraph" w:styleId="ListBullet3">
    <w:name w:val="List Bullet 3"/>
    <w:basedOn w:val="NormalIndent"/>
    <w:autoRedefine/>
    <w:semiHidden/>
    <w:rsid w:val="00211FBC"/>
    <w:pPr>
      <w:numPr>
        <w:numId w:val="4"/>
      </w:numPr>
    </w:pPr>
  </w:style>
  <w:style w:type="paragraph" w:styleId="ListBullet4">
    <w:name w:val="List Bullet 4"/>
    <w:basedOn w:val="NormalIndent"/>
    <w:autoRedefine/>
    <w:semiHidden/>
    <w:rsid w:val="00211FBC"/>
    <w:pPr>
      <w:numPr>
        <w:numId w:val="5"/>
      </w:numPr>
    </w:pPr>
  </w:style>
  <w:style w:type="paragraph" w:styleId="BodyText">
    <w:name w:val="Body Text"/>
    <w:basedOn w:val="Normal"/>
    <w:link w:val="BodyTextChar"/>
    <w:semiHidden/>
    <w:rsid w:val="00211FBC"/>
    <w:pPr>
      <w:jc w:val="center"/>
    </w:pPr>
    <w:rPr>
      <w:b/>
    </w:rPr>
  </w:style>
  <w:style w:type="character" w:customStyle="1" w:styleId="BodyTextChar">
    <w:name w:val="Body Text Char"/>
    <w:basedOn w:val="DefaultParagraphFont"/>
    <w:link w:val="BodyText"/>
    <w:semiHidden/>
    <w:rsid w:val="00211FBC"/>
    <w:rPr>
      <w:rFonts w:ascii="Times New Roman" w:eastAsia="SimSun" w:hAnsi="Times New Roman" w:cs="Times New Roman"/>
      <w:b/>
      <w:sz w:val="24"/>
      <w:szCs w:val="20"/>
    </w:rPr>
  </w:style>
  <w:style w:type="character" w:styleId="PageNumber">
    <w:name w:val="page number"/>
    <w:basedOn w:val="DefaultParagraphFont"/>
    <w:semiHidden/>
    <w:rsid w:val="00211FBC"/>
  </w:style>
  <w:style w:type="paragraph" w:styleId="Title">
    <w:name w:val="Title"/>
    <w:basedOn w:val="Normal"/>
    <w:link w:val="TitleChar"/>
    <w:uiPriority w:val="10"/>
    <w:qFormat/>
    <w:rsid w:val="00211FBC"/>
    <w:pPr>
      <w:spacing w:after="240"/>
      <w:jc w:val="center"/>
    </w:pPr>
    <w:rPr>
      <w:b/>
    </w:rPr>
  </w:style>
  <w:style w:type="character" w:customStyle="1" w:styleId="TitleChar">
    <w:name w:val="Title Char"/>
    <w:basedOn w:val="DefaultParagraphFont"/>
    <w:link w:val="Title"/>
    <w:uiPriority w:val="10"/>
    <w:rsid w:val="00211FBC"/>
    <w:rPr>
      <w:rFonts w:ascii="Times New Roman" w:eastAsia="SimSun" w:hAnsi="Times New Roman" w:cs="Times New Roman"/>
      <w:b/>
      <w:sz w:val="24"/>
      <w:szCs w:val="20"/>
    </w:rPr>
  </w:style>
  <w:style w:type="paragraph" w:styleId="BodyText2">
    <w:name w:val="Body Text 2"/>
    <w:basedOn w:val="Normal"/>
    <w:link w:val="BodyText2Char"/>
    <w:semiHidden/>
    <w:rsid w:val="00211FBC"/>
    <w:pPr>
      <w:spacing w:before="0" w:after="240"/>
      <w:jc w:val="both"/>
    </w:pPr>
  </w:style>
  <w:style w:type="character" w:customStyle="1" w:styleId="BodyText2Char">
    <w:name w:val="Body Text 2 Char"/>
    <w:basedOn w:val="DefaultParagraphFont"/>
    <w:link w:val="BodyText2"/>
    <w:semiHidden/>
    <w:rsid w:val="00211FBC"/>
    <w:rPr>
      <w:rFonts w:ascii="Times New Roman" w:eastAsia="SimSun" w:hAnsi="Times New Roman" w:cs="Times New Roman"/>
      <w:sz w:val="24"/>
      <w:szCs w:val="20"/>
    </w:rPr>
  </w:style>
  <w:style w:type="character" w:styleId="CommentReference">
    <w:name w:val="annotation reference"/>
    <w:uiPriority w:val="99"/>
    <w:unhideWhenUsed/>
    <w:rsid w:val="00211FBC"/>
    <w:rPr>
      <w:sz w:val="16"/>
      <w:szCs w:val="16"/>
    </w:rPr>
  </w:style>
  <w:style w:type="paragraph" w:styleId="CommentText">
    <w:name w:val="annotation text"/>
    <w:basedOn w:val="Normal"/>
    <w:link w:val="CommentTextChar"/>
    <w:uiPriority w:val="99"/>
    <w:unhideWhenUsed/>
    <w:rsid w:val="00211FBC"/>
    <w:rPr>
      <w:sz w:val="20"/>
    </w:rPr>
  </w:style>
  <w:style w:type="character" w:customStyle="1" w:styleId="CommentTextChar">
    <w:name w:val="Comment Text Char"/>
    <w:basedOn w:val="DefaultParagraphFont"/>
    <w:link w:val="CommentText"/>
    <w:uiPriority w:val="99"/>
    <w:rsid w:val="00211FBC"/>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11FBC"/>
    <w:rPr>
      <w:b/>
      <w:bCs/>
    </w:rPr>
  </w:style>
  <w:style w:type="character" w:customStyle="1" w:styleId="CommentSubjectChar">
    <w:name w:val="Comment Subject Char"/>
    <w:basedOn w:val="CommentTextChar"/>
    <w:link w:val="CommentSubject"/>
    <w:uiPriority w:val="99"/>
    <w:semiHidden/>
    <w:rsid w:val="00211FBC"/>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211FB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FBC"/>
    <w:rPr>
      <w:rFonts w:ascii="Tahoma" w:eastAsia="SimSun" w:hAnsi="Tahoma" w:cs="Tahoma"/>
      <w:sz w:val="16"/>
      <w:szCs w:val="16"/>
    </w:rPr>
  </w:style>
  <w:style w:type="character" w:styleId="Hyperlink">
    <w:name w:val="Hyperlink"/>
    <w:uiPriority w:val="99"/>
    <w:unhideWhenUsed/>
    <w:rsid w:val="00211FBC"/>
    <w:rPr>
      <w:color w:val="0000FF"/>
      <w:u w:val="single"/>
    </w:rPr>
  </w:style>
  <w:style w:type="character" w:styleId="BookTitle">
    <w:name w:val="Book Title"/>
    <w:uiPriority w:val="33"/>
    <w:qFormat/>
    <w:rsid w:val="00211FBC"/>
  </w:style>
  <w:style w:type="paragraph" w:styleId="Revision">
    <w:name w:val="Revision"/>
    <w:hidden/>
    <w:uiPriority w:val="99"/>
    <w:semiHidden/>
    <w:rsid w:val="00211FBC"/>
    <w:pPr>
      <w:spacing w:after="0" w:line="240" w:lineRule="auto"/>
    </w:pPr>
    <w:rPr>
      <w:rFonts w:ascii="Times New Roman" w:eastAsia="SimSun" w:hAnsi="Times New Roman" w:cs="Times New Roman"/>
      <w:sz w:val="24"/>
      <w:szCs w:val="20"/>
    </w:rPr>
  </w:style>
  <w:style w:type="paragraph" w:customStyle="1" w:styleId="paragraph">
    <w:name w:val="paragraph"/>
    <w:aliases w:val="a"/>
    <w:basedOn w:val="Normal"/>
    <w:link w:val="paragraphChar"/>
    <w:rsid w:val="00211FBC"/>
    <w:pPr>
      <w:spacing w:before="100" w:beforeAutospacing="1" w:after="100" w:afterAutospacing="1"/>
    </w:pPr>
    <w:rPr>
      <w:szCs w:val="24"/>
      <w:lang w:eastAsia="en-AU"/>
    </w:rPr>
  </w:style>
  <w:style w:type="paragraph" w:styleId="ListParagraph">
    <w:name w:val="List Paragraph"/>
    <w:aliases w:val="Bullet point,List Paragraph Number,List Paragraph1,List Paragraph11,Recommendation,L,Bullet Point,List Bullet 1,Body Bullets 1,Bulleted Para,NFP GP Bulleted List,bullet point list,Bullet points,Content descriptions,List Paragraph2"/>
    <w:basedOn w:val="Normal"/>
    <w:link w:val="ListParagraphChar"/>
    <w:uiPriority w:val="34"/>
    <w:qFormat/>
    <w:rsid w:val="00211FBC"/>
    <w:pPr>
      <w:spacing w:before="0" w:after="200" w:line="276" w:lineRule="auto"/>
      <w:ind w:left="720"/>
      <w:contextualSpacing/>
    </w:pPr>
    <w:rPr>
      <w:rFonts w:ascii="Calibri" w:eastAsia="Calibri" w:hAnsi="Calibri"/>
      <w:sz w:val="22"/>
      <w:szCs w:val="22"/>
    </w:rPr>
  </w:style>
  <w:style w:type="character" w:customStyle="1" w:styleId="ListParagraphChar">
    <w:name w:val="List Paragraph Char"/>
    <w:aliases w:val="Bullet point Char,List Paragraph Number Char,List Paragraph1 Char,List Paragraph11 Char,Recommendation Char,L Char,Bullet Point Char,List Bullet 1 Char,Body Bullets 1 Char,Bulleted Para Char,NFP GP Bulleted List Char"/>
    <w:link w:val="ListParagraph"/>
    <w:uiPriority w:val="34"/>
    <w:locked/>
    <w:rsid w:val="00211FBC"/>
    <w:rPr>
      <w:rFonts w:ascii="Calibri" w:eastAsia="Calibri" w:hAnsi="Calibri" w:cs="Times New Roman"/>
    </w:rPr>
  </w:style>
  <w:style w:type="paragraph" w:customStyle="1" w:styleId="Tabletext">
    <w:name w:val="Tabletext"/>
    <w:aliases w:val="tt"/>
    <w:basedOn w:val="Normal"/>
    <w:rsid w:val="00211FBC"/>
    <w:pPr>
      <w:spacing w:after="0" w:line="240" w:lineRule="atLeast"/>
    </w:pPr>
    <w:rPr>
      <w:rFonts w:eastAsia="Times New Roman"/>
      <w:sz w:val="20"/>
      <w:lang w:eastAsia="en-AU"/>
    </w:rPr>
  </w:style>
  <w:style w:type="paragraph" w:customStyle="1" w:styleId="ActHead8">
    <w:name w:val="ActHead 8"/>
    <w:aliases w:val="ad"/>
    <w:basedOn w:val="Normal"/>
    <w:next w:val="Normal"/>
    <w:qFormat/>
    <w:rsid w:val="00211FBC"/>
    <w:pPr>
      <w:keepNext/>
      <w:keepLines/>
      <w:spacing w:before="240" w:after="0"/>
      <w:ind w:left="1134" w:hanging="1134"/>
      <w:outlineLvl w:val="7"/>
    </w:pPr>
    <w:rPr>
      <w:rFonts w:ascii="Arial" w:eastAsia="Times New Roman" w:hAnsi="Arial"/>
      <w:b/>
      <w:kern w:val="28"/>
      <w:sz w:val="26"/>
      <w:lang w:eastAsia="en-AU"/>
    </w:rPr>
  </w:style>
  <w:style w:type="paragraph" w:customStyle="1" w:styleId="subsection">
    <w:name w:val="subsection"/>
    <w:aliases w:val="ss"/>
    <w:basedOn w:val="Normal"/>
    <w:link w:val="subsectionChar"/>
    <w:rsid w:val="00211FBC"/>
    <w:pPr>
      <w:tabs>
        <w:tab w:val="right" w:pos="1021"/>
      </w:tabs>
      <w:spacing w:before="180" w:after="0"/>
      <w:ind w:left="1134" w:hanging="1134"/>
    </w:pPr>
    <w:rPr>
      <w:rFonts w:eastAsia="Times New Roman"/>
      <w:sz w:val="22"/>
      <w:lang w:eastAsia="en-AU"/>
    </w:rPr>
  </w:style>
  <w:style w:type="character" w:customStyle="1" w:styleId="subsectionChar">
    <w:name w:val="subsection Char"/>
    <w:aliases w:val="ss Char"/>
    <w:link w:val="subsection"/>
    <w:locked/>
    <w:rsid w:val="00211FBC"/>
    <w:rPr>
      <w:rFonts w:ascii="Times New Roman" w:eastAsia="Times New Roman" w:hAnsi="Times New Roman" w:cs="Times New Roman"/>
      <w:szCs w:val="20"/>
      <w:lang w:eastAsia="en-AU"/>
    </w:rPr>
  </w:style>
  <w:style w:type="paragraph" w:customStyle="1" w:styleId="p1">
    <w:name w:val="p1"/>
    <w:basedOn w:val="Normal"/>
    <w:rsid w:val="00211FBC"/>
    <w:pPr>
      <w:spacing w:before="100" w:beforeAutospacing="1" w:after="100" w:afterAutospacing="1"/>
    </w:pPr>
    <w:rPr>
      <w:rFonts w:eastAsia="Times New Roman"/>
      <w:szCs w:val="24"/>
      <w:lang w:eastAsia="en-AU"/>
    </w:rPr>
  </w:style>
  <w:style w:type="character" w:customStyle="1" w:styleId="CharDivNo">
    <w:name w:val="CharDivNo"/>
    <w:uiPriority w:val="1"/>
    <w:qFormat/>
    <w:rsid w:val="00211FBC"/>
  </w:style>
  <w:style w:type="character" w:customStyle="1" w:styleId="paragraphChar">
    <w:name w:val="paragraph Char"/>
    <w:aliases w:val="a Char"/>
    <w:link w:val="paragraph"/>
    <w:locked/>
    <w:rsid w:val="0051246A"/>
    <w:rPr>
      <w:rFonts w:ascii="Times New Roman" w:eastAsia="SimSun" w:hAnsi="Times New Roman" w:cs="Times New Roman"/>
      <w:sz w:val="24"/>
      <w:szCs w:val="24"/>
      <w:lang w:eastAsia="en-AU"/>
    </w:rPr>
  </w:style>
  <w:style w:type="paragraph" w:customStyle="1" w:styleId="paragraphsub">
    <w:name w:val="paragraphsub"/>
    <w:basedOn w:val="Normal"/>
    <w:rsid w:val="00FA7E62"/>
    <w:pPr>
      <w:spacing w:before="100" w:beforeAutospacing="1" w:after="100" w:afterAutospacing="1"/>
    </w:pPr>
    <w:rPr>
      <w:rFonts w:eastAsia="Times New Roman"/>
      <w:szCs w:val="24"/>
      <w:lang w:eastAsia="en-AU"/>
    </w:rPr>
  </w:style>
  <w:style w:type="paragraph" w:customStyle="1" w:styleId="acthead5">
    <w:name w:val="acthead5"/>
    <w:basedOn w:val="Normal"/>
    <w:rsid w:val="00FA7E62"/>
    <w:pPr>
      <w:spacing w:before="100" w:beforeAutospacing="1" w:after="100" w:afterAutospacing="1"/>
    </w:pPr>
    <w:rPr>
      <w:rFonts w:eastAsia="Times New Roman"/>
      <w:szCs w:val="24"/>
      <w:lang w:eastAsia="en-AU"/>
    </w:rPr>
  </w:style>
  <w:style w:type="character" w:customStyle="1" w:styleId="charsectno">
    <w:name w:val="charsectno"/>
    <w:basedOn w:val="DefaultParagraphFont"/>
    <w:rsid w:val="00FA7E62"/>
  </w:style>
  <w:style w:type="paragraph" w:styleId="NormalWeb">
    <w:name w:val="Normal (Web)"/>
    <w:basedOn w:val="Normal"/>
    <w:uiPriority w:val="99"/>
    <w:semiHidden/>
    <w:unhideWhenUsed/>
    <w:rsid w:val="0071477C"/>
    <w:rPr>
      <w:szCs w:val="24"/>
    </w:rPr>
  </w:style>
  <w:style w:type="paragraph" w:customStyle="1" w:styleId="DJRbody">
    <w:name w:val="DJR body"/>
    <w:basedOn w:val="Normal"/>
    <w:uiPriority w:val="99"/>
    <w:semiHidden/>
    <w:rsid w:val="00987CE6"/>
    <w:pPr>
      <w:spacing w:before="0" w:after="120" w:line="250" w:lineRule="atLeast"/>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33671">
      <w:bodyDiv w:val="1"/>
      <w:marLeft w:val="0"/>
      <w:marRight w:val="0"/>
      <w:marTop w:val="0"/>
      <w:marBottom w:val="0"/>
      <w:divBdr>
        <w:top w:val="none" w:sz="0" w:space="0" w:color="auto"/>
        <w:left w:val="none" w:sz="0" w:space="0" w:color="auto"/>
        <w:bottom w:val="none" w:sz="0" w:space="0" w:color="auto"/>
        <w:right w:val="none" w:sz="0" w:space="0" w:color="auto"/>
      </w:divBdr>
      <w:divsChild>
        <w:div w:id="341859027">
          <w:marLeft w:val="0"/>
          <w:marRight w:val="0"/>
          <w:marTop w:val="0"/>
          <w:marBottom w:val="0"/>
          <w:divBdr>
            <w:top w:val="none" w:sz="0" w:space="0" w:color="auto"/>
            <w:left w:val="none" w:sz="0" w:space="0" w:color="auto"/>
            <w:bottom w:val="none" w:sz="0" w:space="0" w:color="auto"/>
            <w:right w:val="none" w:sz="0" w:space="0" w:color="auto"/>
          </w:divBdr>
          <w:divsChild>
            <w:div w:id="2143493890">
              <w:marLeft w:val="0"/>
              <w:marRight w:val="0"/>
              <w:marTop w:val="0"/>
              <w:marBottom w:val="0"/>
              <w:divBdr>
                <w:top w:val="none" w:sz="0" w:space="0" w:color="auto"/>
                <w:left w:val="none" w:sz="0" w:space="0" w:color="auto"/>
                <w:bottom w:val="none" w:sz="0" w:space="0" w:color="auto"/>
                <w:right w:val="none" w:sz="0" w:space="0" w:color="auto"/>
              </w:divBdr>
              <w:divsChild>
                <w:div w:id="850878904">
                  <w:marLeft w:val="0"/>
                  <w:marRight w:val="0"/>
                  <w:marTop w:val="0"/>
                  <w:marBottom w:val="0"/>
                  <w:divBdr>
                    <w:top w:val="none" w:sz="0" w:space="0" w:color="auto"/>
                    <w:left w:val="none" w:sz="0" w:space="0" w:color="auto"/>
                    <w:bottom w:val="none" w:sz="0" w:space="0" w:color="auto"/>
                    <w:right w:val="none" w:sz="0" w:space="0" w:color="auto"/>
                  </w:divBdr>
                  <w:divsChild>
                    <w:div w:id="284195847">
                      <w:marLeft w:val="0"/>
                      <w:marRight w:val="0"/>
                      <w:marTop w:val="0"/>
                      <w:marBottom w:val="0"/>
                      <w:divBdr>
                        <w:top w:val="none" w:sz="0" w:space="0" w:color="auto"/>
                        <w:left w:val="none" w:sz="0" w:space="0" w:color="auto"/>
                        <w:bottom w:val="none" w:sz="0" w:space="0" w:color="auto"/>
                        <w:right w:val="none" w:sz="0" w:space="0" w:color="auto"/>
                      </w:divBdr>
                      <w:divsChild>
                        <w:div w:id="424616172">
                          <w:marLeft w:val="0"/>
                          <w:marRight w:val="0"/>
                          <w:marTop w:val="0"/>
                          <w:marBottom w:val="0"/>
                          <w:divBdr>
                            <w:top w:val="none" w:sz="0" w:space="0" w:color="auto"/>
                            <w:left w:val="none" w:sz="0" w:space="0" w:color="auto"/>
                            <w:bottom w:val="none" w:sz="0" w:space="0" w:color="auto"/>
                            <w:right w:val="none" w:sz="0" w:space="0" w:color="auto"/>
                          </w:divBdr>
                          <w:divsChild>
                            <w:div w:id="525681326">
                              <w:marLeft w:val="0"/>
                              <w:marRight w:val="0"/>
                              <w:marTop w:val="0"/>
                              <w:marBottom w:val="0"/>
                              <w:divBdr>
                                <w:top w:val="none" w:sz="0" w:space="0" w:color="auto"/>
                                <w:left w:val="none" w:sz="0" w:space="0" w:color="auto"/>
                                <w:bottom w:val="none" w:sz="0" w:space="0" w:color="auto"/>
                                <w:right w:val="none" w:sz="0" w:space="0" w:color="auto"/>
                              </w:divBdr>
                              <w:divsChild>
                                <w:div w:id="2120487831">
                                  <w:marLeft w:val="0"/>
                                  <w:marRight w:val="0"/>
                                  <w:marTop w:val="0"/>
                                  <w:marBottom w:val="0"/>
                                  <w:divBdr>
                                    <w:top w:val="none" w:sz="0" w:space="0" w:color="auto"/>
                                    <w:left w:val="none" w:sz="0" w:space="0" w:color="auto"/>
                                    <w:bottom w:val="none" w:sz="0" w:space="0" w:color="auto"/>
                                    <w:right w:val="none" w:sz="0" w:space="0" w:color="auto"/>
                                  </w:divBdr>
                                  <w:divsChild>
                                    <w:div w:id="1272202868">
                                      <w:marLeft w:val="0"/>
                                      <w:marRight w:val="0"/>
                                      <w:marTop w:val="0"/>
                                      <w:marBottom w:val="0"/>
                                      <w:divBdr>
                                        <w:top w:val="none" w:sz="0" w:space="0" w:color="auto"/>
                                        <w:left w:val="none" w:sz="0" w:space="0" w:color="auto"/>
                                        <w:bottom w:val="none" w:sz="0" w:space="0" w:color="auto"/>
                                        <w:right w:val="none" w:sz="0" w:space="0" w:color="auto"/>
                                      </w:divBdr>
                                      <w:divsChild>
                                        <w:div w:id="71973807">
                                          <w:marLeft w:val="0"/>
                                          <w:marRight w:val="0"/>
                                          <w:marTop w:val="0"/>
                                          <w:marBottom w:val="0"/>
                                          <w:divBdr>
                                            <w:top w:val="none" w:sz="0" w:space="0" w:color="auto"/>
                                            <w:left w:val="none" w:sz="0" w:space="0" w:color="auto"/>
                                            <w:bottom w:val="none" w:sz="0" w:space="0" w:color="auto"/>
                                            <w:right w:val="none" w:sz="0" w:space="0" w:color="auto"/>
                                          </w:divBdr>
                                          <w:divsChild>
                                            <w:div w:id="2103526018">
                                              <w:marLeft w:val="0"/>
                                              <w:marRight w:val="0"/>
                                              <w:marTop w:val="0"/>
                                              <w:marBottom w:val="0"/>
                                              <w:divBdr>
                                                <w:top w:val="none" w:sz="0" w:space="0" w:color="auto"/>
                                                <w:left w:val="none" w:sz="0" w:space="0" w:color="auto"/>
                                                <w:bottom w:val="none" w:sz="0" w:space="0" w:color="auto"/>
                                                <w:right w:val="none" w:sz="0" w:space="0" w:color="auto"/>
                                              </w:divBdr>
                                              <w:divsChild>
                                                <w:div w:id="1957173800">
                                                  <w:marLeft w:val="0"/>
                                                  <w:marRight w:val="0"/>
                                                  <w:marTop w:val="0"/>
                                                  <w:marBottom w:val="0"/>
                                                  <w:divBdr>
                                                    <w:top w:val="none" w:sz="0" w:space="0" w:color="auto"/>
                                                    <w:left w:val="none" w:sz="0" w:space="0" w:color="auto"/>
                                                    <w:bottom w:val="none" w:sz="0" w:space="0" w:color="auto"/>
                                                    <w:right w:val="none" w:sz="0" w:space="0" w:color="auto"/>
                                                  </w:divBdr>
                                                  <w:divsChild>
                                                    <w:div w:id="1610509299">
                                                      <w:marLeft w:val="0"/>
                                                      <w:marRight w:val="0"/>
                                                      <w:marTop w:val="0"/>
                                                      <w:marBottom w:val="0"/>
                                                      <w:divBdr>
                                                        <w:top w:val="none" w:sz="0" w:space="0" w:color="auto"/>
                                                        <w:left w:val="none" w:sz="0" w:space="0" w:color="auto"/>
                                                        <w:bottom w:val="none" w:sz="0" w:space="0" w:color="auto"/>
                                                        <w:right w:val="none" w:sz="0" w:space="0" w:color="auto"/>
                                                      </w:divBdr>
                                                      <w:divsChild>
                                                        <w:div w:id="8449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367500">
      <w:bodyDiv w:val="1"/>
      <w:marLeft w:val="0"/>
      <w:marRight w:val="0"/>
      <w:marTop w:val="0"/>
      <w:marBottom w:val="0"/>
      <w:divBdr>
        <w:top w:val="none" w:sz="0" w:space="0" w:color="auto"/>
        <w:left w:val="none" w:sz="0" w:space="0" w:color="auto"/>
        <w:bottom w:val="none" w:sz="0" w:space="0" w:color="auto"/>
        <w:right w:val="none" w:sz="0" w:space="0" w:color="auto"/>
      </w:divBdr>
    </w:div>
    <w:div w:id="204952454">
      <w:bodyDiv w:val="1"/>
      <w:marLeft w:val="0"/>
      <w:marRight w:val="0"/>
      <w:marTop w:val="0"/>
      <w:marBottom w:val="0"/>
      <w:divBdr>
        <w:top w:val="none" w:sz="0" w:space="0" w:color="auto"/>
        <w:left w:val="none" w:sz="0" w:space="0" w:color="auto"/>
        <w:bottom w:val="none" w:sz="0" w:space="0" w:color="auto"/>
        <w:right w:val="none" w:sz="0" w:space="0" w:color="auto"/>
      </w:divBdr>
      <w:divsChild>
        <w:div w:id="1293101509">
          <w:marLeft w:val="0"/>
          <w:marRight w:val="0"/>
          <w:marTop w:val="0"/>
          <w:marBottom w:val="0"/>
          <w:divBdr>
            <w:top w:val="none" w:sz="0" w:space="0" w:color="auto"/>
            <w:left w:val="none" w:sz="0" w:space="0" w:color="auto"/>
            <w:bottom w:val="none" w:sz="0" w:space="0" w:color="auto"/>
            <w:right w:val="none" w:sz="0" w:space="0" w:color="auto"/>
          </w:divBdr>
          <w:divsChild>
            <w:div w:id="934903122">
              <w:marLeft w:val="0"/>
              <w:marRight w:val="0"/>
              <w:marTop w:val="0"/>
              <w:marBottom w:val="0"/>
              <w:divBdr>
                <w:top w:val="none" w:sz="0" w:space="0" w:color="auto"/>
                <w:left w:val="none" w:sz="0" w:space="0" w:color="auto"/>
                <w:bottom w:val="none" w:sz="0" w:space="0" w:color="auto"/>
                <w:right w:val="none" w:sz="0" w:space="0" w:color="auto"/>
              </w:divBdr>
              <w:divsChild>
                <w:div w:id="1592355125">
                  <w:marLeft w:val="0"/>
                  <w:marRight w:val="0"/>
                  <w:marTop w:val="0"/>
                  <w:marBottom w:val="0"/>
                  <w:divBdr>
                    <w:top w:val="none" w:sz="0" w:space="0" w:color="auto"/>
                    <w:left w:val="none" w:sz="0" w:space="0" w:color="auto"/>
                    <w:bottom w:val="none" w:sz="0" w:space="0" w:color="auto"/>
                    <w:right w:val="none" w:sz="0" w:space="0" w:color="auto"/>
                  </w:divBdr>
                  <w:divsChild>
                    <w:div w:id="1504977481">
                      <w:marLeft w:val="0"/>
                      <w:marRight w:val="0"/>
                      <w:marTop w:val="0"/>
                      <w:marBottom w:val="0"/>
                      <w:divBdr>
                        <w:top w:val="none" w:sz="0" w:space="0" w:color="auto"/>
                        <w:left w:val="none" w:sz="0" w:space="0" w:color="auto"/>
                        <w:bottom w:val="none" w:sz="0" w:space="0" w:color="auto"/>
                        <w:right w:val="none" w:sz="0" w:space="0" w:color="auto"/>
                      </w:divBdr>
                      <w:divsChild>
                        <w:div w:id="134879970">
                          <w:marLeft w:val="0"/>
                          <w:marRight w:val="0"/>
                          <w:marTop w:val="0"/>
                          <w:marBottom w:val="0"/>
                          <w:divBdr>
                            <w:top w:val="none" w:sz="0" w:space="0" w:color="auto"/>
                            <w:left w:val="none" w:sz="0" w:space="0" w:color="auto"/>
                            <w:bottom w:val="none" w:sz="0" w:space="0" w:color="auto"/>
                            <w:right w:val="none" w:sz="0" w:space="0" w:color="auto"/>
                          </w:divBdr>
                          <w:divsChild>
                            <w:div w:id="1257788052">
                              <w:marLeft w:val="0"/>
                              <w:marRight w:val="0"/>
                              <w:marTop w:val="0"/>
                              <w:marBottom w:val="0"/>
                              <w:divBdr>
                                <w:top w:val="none" w:sz="0" w:space="0" w:color="auto"/>
                                <w:left w:val="none" w:sz="0" w:space="0" w:color="auto"/>
                                <w:bottom w:val="none" w:sz="0" w:space="0" w:color="auto"/>
                                <w:right w:val="none" w:sz="0" w:space="0" w:color="auto"/>
                              </w:divBdr>
                              <w:divsChild>
                                <w:div w:id="1880778050">
                                  <w:marLeft w:val="0"/>
                                  <w:marRight w:val="0"/>
                                  <w:marTop w:val="0"/>
                                  <w:marBottom w:val="0"/>
                                  <w:divBdr>
                                    <w:top w:val="none" w:sz="0" w:space="0" w:color="auto"/>
                                    <w:left w:val="none" w:sz="0" w:space="0" w:color="auto"/>
                                    <w:bottom w:val="none" w:sz="0" w:space="0" w:color="auto"/>
                                    <w:right w:val="none" w:sz="0" w:space="0" w:color="auto"/>
                                  </w:divBdr>
                                  <w:divsChild>
                                    <w:div w:id="518735473">
                                      <w:marLeft w:val="0"/>
                                      <w:marRight w:val="0"/>
                                      <w:marTop w:val="0"/>
                                      <w:marBottom w:val="0"/>
                                      <w:divBdr>
                                        <w:top w:val="none" w:sz="0" w:space="0" w:color="auto"/>
                                        <w:left w:val="none" w:sz="0" w:space="0" w:color="auto"/>
                                        <w:bottom w:val="none" w:sz="0" w:space="0" w:color="auto"/>
                                        <w:right w:val="none" w:sz="0" w:space="0" w:color="auto"/>
                                      </w:divBdr>
                                      <w:divsChild>
                                        <w:div w:id="1322613946">
                                          <w:marLeft w:val="0"/>
                                          <w:marRight w:val="0"/>
                                          <w:marTop w:val="0"/>
                                          <w:marBottom w:val="0"/>
                                          <w:divBdr>
                                            <w:top w:val="none" w:sz="0" w:space="0" w:color="auto"/>
                                            <w:left w:val="none" w:sz="0" w:space="0" w:color="auto"/>
                                            <w:bottom w:val="none" w:sz="0" w:space="0" w:color="auto"/>
                                            <w:right w:val="none" w:sz="0" w:space="0" w:color="auto"/>
                                          </w:divBdr>
                                          <w:divsChild>
                                            <w:div w:id="1437797312">
                                              <w:marLeft w:val="0"/>
                                              <w:marRight w:val="0"/>
                                              <w:marTop w:val="0"/>
                                              <w:marBottom w:val="0"/>
                                              <w:divBdr>
                                                <w:top w:val="none" w:sz="0" w:space="0" w:color="auto"/>
                                                <w:left w:val="none" w:sz="0" w:space="0" w:color="auto"/>
                                                <w:bottom w:val="none" w:sz="0" w:space="0" w:color="auto"/>
                                                <w:right w:val="none" w:sz="0" w:space="0" w:color="auto"/>
                                              </w:divBdr>
                                              <w:divsChild>
                                                <w:div w:id="334766078">
                                                  <w:marLeft w:val="0"/>
                                                  <w:marRight w:val="0"/>
                                                  <w:marTop w:val="0"/>
                                                  <w:marBottom w:val="0"/>
                                                  <w:divBdr>
                                                    <w:top w:val="none" w:sz="0" w:space="0" w:color="auto"/>
                                                    <w:left w:val="none" w:sz="0" w:space="0" w:color="auto"/>
                                                    <w:bottom w:val="none" w:sz="0" w:space="0" w:color="auto"/>
                                                    <w:right w:val="none" w:sz="0" w:space="0" w:color="auto"/>
                                                  </w:divBdr>
                                                  <w:divsChild>
                                                    <w:div w:id="659119321">
                                                      <w:marLeft w:val="0"/>
                                                      <w:marRight w:val="0"/>
                                                      <w:marTop w:val="0"/>
                                                      <w:marBottom w:val="0"/>
                                                      <w:divBdr>
                                                        <w:top w:val="none" w:sz="0" w:space="0" w:color="auto"/>
                                                        <w:left w:val="none" w:sz="0" w:space="0" w:color="auto"/>
                                                        <w:bottom w:val="none" w:sz="0" w:space="0" w:color="auto"/>
                                                        <w:right w:val="none" w:sz="0" w:space="0" w:color="auto"/>
                                                      </w:divBdr>
                                                      <w:divsChild>
                                                        <w:div w:id="18357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08094">
      <w:bodyDiv w:val="1"/>
      <w:marLeft w:val="0"/>
      <w:marRight w:val="0"/>
      <w:marTop w:val="0"/>
      <w:marBottom w:val="0"/>
      <w:divBdr>
        <w:top w:val="none" w:sz="0" w:space="0" w:color="auto"/>
        <w:left w:val="none" w:sz="0" w:space="0" w:color="auto"/>
        <w:bottom w:val="none" w:sz="0" w:space="0" w:color="auto"/>
        <w:right w:val="none" w:sz="0" w:space="0" w:color="auto"/>
      </w:divBdr>
      <w:divsChild>
        <w:div w:id="1139375030">
          <w:marLeft w:val="0"/>
          <w:marRight w:val="0"/>
          <w:marTop w:val="0"/>
          <w:marBottom w:val="0"/>
          <w:divBdr>
            <w:top w:val="none" w:sz="0" w:space="0" w:color="auto"/>
            <w:left w:val="none" w:sz="0" w:space="0" w:color="auto"/>
            <w:bottom w:val="none" w:sz="0" w:space="0" w:color="auto"/>
            <w:right w:val="none" w:sz="0" w:space="0" w:color="auto"/>
          </w:divBdr>
          <w:divsChild>
            <w:div w:id="995571811">
              <w:marLeft w:val="0"/>
              <w:marRight w:val="0"/>
              <w:marTop w:val="0"/>
              <w:marBottom w:val="0"/>
              <w:divBdr>
                <w:top w:val="none" w:sz="0" w:space="0" w:color="auto"/>
                <w:left w:val="none" w:sz="0" w:space="0" w:color="auto"/>
                <w:bottom w:val="none" w:sz="0" w:space="0" w:color="auto"/>
                <w:right w:val="none" w:sz="0" w:space="0" w:color="auto"/>
              </w:divBdr>
              <w:divsChild>
                <w:div w:id="1230654217">
                  <w:marLeft w:val="0"/>
                  <w:marRight w:val="0"/>
                  <w:marTop w:val="0"/>
                  <w:marBottom w:val="0"/>
                  <w:divBdr>
                    <w:top w:val="none" w:sz="0" w:space="0" w:color="auto"/>
                    <w:left w:val="none" w:sz="0" w:space="0" w:color="auto"/>
                    <w:bottom w:val="none" w:sz="0" w:space="0" w:color="auto"/>
                    <w:right w:val="none" w:sz="0" w:space="0" w:color="auto"/>
                  </w:divBdr>
                  <w:divsChild>
                    <w:div w:id="1422948045">
                      <w:marLeft w:val="0"/>
                      <w:marRight w:val="0"/>
                      <w:marTop w:val="0"/>
                      <w:marBottom w:val="0"/>
                      <w:divBdr>
                        <w:top w:val="none" w:sz="0" w:space="0" w:color="auto"/>
                        <w:left w:val="none" w:sz="0" w:space="0" w:color="auto"/>
                        <w:bottom w:val="none" w:sz="0" w:space="0" w:color="auto"/>
                        <w:right w:val="none" w:sz="0" w:space="0" w:color="auto"/>
                      </w:divBdr>
                      <w:divsChild>
                        <w:div w:id="2110391242">
                          <w:marLeft w:val="0"/>
                          <w:marRight w:val="0"/>
                          <w:marTop w:val="0"/>
                          <w:marBottom w:val="0"/>
                          <w:divBdr>
                            <w:top w:val="none" w:sz="0" w:space="0" w:color="auto"/>
                            <w:left w:val="none" w:sz="0" w:space="0" w:color="auto"/>
                            <w:bottom w:val="none" w:sz="0" w:space="0" w:color="auto"/>
                            <w:right w:val="none" w:sz="0" w:space="0" w:color="auto"/>
                          </w:divBdr>
                          <w:divsChild>
                            <w:div w:id="755243877">
                              <w:marLeft w:val="0"/>
                              <w:marRight w:val="0"/>
                              <w:marTop w:val="0"/>
                              <w:marBottom w:val="0"/>
                              <w:divBdr>
                                <w:top w:val="none" w:sz="0" w:space="0" w:color="auto"/>
                                <w:left w:val="none" w:sz="0" w:space="0" w:color="auto"/>
                                <w:bottom w:val="none" w:sz="0" w:space="0" w:color="auto"/>
                                <w:right w:val="none" w:sz="0" w:space="0" w:color="auto"/>
                              </w:divBdr>
                              <w:divsChild>
                                <w:div w:id="1060061340">
                                  <w:marLeft w:val="0"/>
                                  <w:marRight w:val="0"/>
                                  <w:marTop w:val="0"/>
                                  <w:marBottom w:val="0"/>
                                  <w:divBdr>
                                    <w:top w:val="none" w:sz="0" w:space="0" w:color="auto"/>
                                    <w:left w:val="none" w:sz="0" w:space="0" w:color="auto"/>
                                    <w:bottom w:val="none" w:sz="0" w:space="0" w:color="auto"/>
                                    <w:right w:val="none" w:sz="0" w:space="0" w:color="auto"/>
                                  </w:divBdr>
                                  <w:divsChild>
                                    <w:div w:id="1580404719">
                                      <w:marLeft w:val="0"/>
                                      <w:marRight w:val="0"/>
                                      <w:marTop w:val="0"/>
                                      <w:marBottom w:val="0"/>
                                      <w:divBdr>
                                        <w:top w:val="none" w:sz="0" w:space="0" w:color="auto"/>
                                        <w:left w:val="none" w:sz="0" w:space="0" w:color="auto"/>
                                        <w:bottom w:val="none" w:sz="0" w:space="0" w:color="auto"/>
                                        <w:right w:val="none" w:sz="0" w:space="0" w:color="auto"/>
                                      </w:divBdr>
                                      <w:divsChild>
                                        <w:div w:id="700984185">
                                          <w:marLeft w:val="0"/>
                                          <w:marRight w:val="0"/>
                                          <w:marTop w:val="0"/>
                                          <w:marBottom w:val="0"/>
                                          <w:divBdr>
                                            <w:top w:val="none" w:sz="0" w:space="0" w:color="auto"/>
                                            <w:left w:val="none" w:sz="0" w:space="0" w:color="auto"/>
                                            <w:bottom w:val="none" w:sz="0" w:space="0" w:color="auto"/>
                                            <w:right w:val="none" w:sz="0" w:space="0" w:color="auto"/>
                                          </w:divBdr>
                                          <w:divsChild>
                                            <w:div w:id="852767058">
                                              <w:marLeft w:val="0"/>
                                              <w:marRight w:val="0"/>
                                              <w:marTop w:val="0"/>
                                              <w:marBottom w:val="0"/>
                                              <w:divBdr>
                                                <w:top w:val="none" w:sz="0" w:space="0" w:color="auto"/>
                                                <w:left w:val="none" w:sz="0" w:space="0" w:color="auto"/>
                                                <w:bottom w:val="none" w:sz="0" w:space="0" w:color="auto"/>
                                                <w:right w:val="none" w:sz="0" w:space="0" w:color="auto"/>
                                              </w:divBdr>
                                              <w:divsChild>
                                                <w:div w:id="227420531">
                                                  <w:marLeft w:val="0"/>
                                                  <w:marRight w:val="0"/>
                                                  <w:marTop w:val="0"/>
                                                  <w:marBottom w:val="0"/>
                                                  <w:divBdr>
                                                    <w:top w:val="none" w:sz="0" w:space="0" w:color="auto"/>
                                                    <w:left w:val="none" w:sz="0" w:space="0" w:color="auto"/>
                                                    <w:bottom w:val="none" w:sz="0" w:space="0" w:color="auto"/>
                                                    <w:right w:val="none" w:sz="0" w:space="0" w:color="auto"/>
                                                  </w:divBdr>
                                                  <w:divsChild>
                                                    <w:div w:id="700519552">
                                                      <w:marLeft w:val="0"/>
                                                      <w:marRight w:val="0"/>
                                                      <w:marTop w:val="0"/>
                                                      <w:marBottom w:val="0"/>
                                                      <w:divBdr>
                                                        <w:top w:val="none" w:sz="0" w:space="0" w:color="auto"/>
                                                        <w:left w:val="none" w:sz="0" w:space="0" w:color="auto"/>
                                                        <w:bottom w:val="none" w:sz="0" w:space="0" w:color="auto"/>
                                                        <w:right w:val="none" w:sz="0" w:space="0" w:color="auto"/>
                                                      </w:divBdr>
                                                      <w:divsChild>
                                                        <w:div w:id="195128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9776929">
      <w:bodyDiv w:val="1"/>
      <w:marLeft w:val="0"/>
      <w:marRight w:val="0"/>
      <w:marTop w:val="0"/>
      <w:marBottom w:val="0"/>
      <w:divBdr>
        <w:top w:val="none" w:sz="0" w:space="0" w:color="auto"/>
        <w:left w:val="none" w:sz="0" w:space="0" w:color="auto"/>
        <w:bottom w:val="none" w:sz="0" w:space="0" w:color="auto"/>
        <w:right w:val="none" w:sz="0" w:space="0" w:color="auto"/>
      </w:divBdr>
    </w:div>
    <w:div w:id="637535432">
      <w:bodyDiv w:val="1"/>
      <w:marLeft w:val="0"/>
      <w:marRight w:val="0"/>
      <w:marTop w:val="0"/>
      <w:marBottom w:val="0"/>
      <w:divBdr>
        <w:top w:val="none" w:sz="0" w:space="0" w:color="auto"/>
        <w:left w:val="none" w:sz="0" w:space="0" w:color="auto"/>
        <w:bottom w:val="none" w:sz="0" w:space="0" w:color="auto"/>
        <w:right w:val="none" w:sz="0" w:space="0" w:color="auto"/>
      </w:divBdr>
    </w:div>
    <w:div w:id="653686587">
      <w:bodyDiv w:val="1"/>
      <w:marLeft w:val="0"/>
      <w:marRight w:val="0"/>
      <w:marTop w:val="0"/>
      <w:marBottom w:val="0"/>
      <w:divBdr>
        <w:top w:val="none" w:sz="0" w:space="0" w:color="auto"/>
        <w:left w:val="none" w:sz="0" w:space="0" w:color="auto"/>
        <w:bottom w:val="none" w:sz="0" w:space="0" w:color="auto"/>
        <w:right w:val="none" w:sz="0" w:space="0" w:color="auto"/>
      </w:divBdr>
      <w:divsChild>
        <w:div w:id="732049979">
          <w:marLeft w:val="0"/>
          <w:marRight w:val="0"/>
          <w:marTop w:val="0"/>
          <w:marBottom w:val="0"/>
          <w:divBdr>
            <w:top w:val="none" w:sz="0" w:space="0" w:color="auto"/>
            <w:left w:val="none" w:sz="0" w:space="0" w:color="auto"/>
            <w:bottom w:val="none" w:sz="0" w:space="0" w:color="auto"/>
            <w:right w:val="none" w:sz="0" w:space="0" w:color="auto"/>
          </w:divBdr>
          <w:divsChild>
            <w:div w:id="921840808">
              <w:marLeft w:val="0"/>
              <w:marRight w:val="0"/>
              <w:marTop w:val="0"/>
              <w:marBottom w:val="0"/>
              <w:divBdr>
                <w:top w:val="none" w:sz="0" w:space="0" w:color="auto"/>
                <w:left w:val="none" w:sz="0" w:space="0" w:color="auto"/>
                <w:bottom w:val="none" w:sz="0" w:space="0" w:color="auto"/>
                <w:right w:val="none" w:sz="0" w:space="0" w:color="auto"/>
              </w:divBdr>
              <w:divsChild>
                <w:div w:id="180170023">
                  <w:marLeft w:val="0"/>
                  <w:marRight w:val="0"/>
                  <w:marTop w:val="100"/>
                  <w:marBottom w:val="100"/>
                  <w:divBdr>
                    <w:top w:val="none" w:sz="0" w:space="0" w:color="auto"/>
                    <w:left w:val="none" w:sz="0" w:space="0" w:color="auto"/>
                    <w:bottom w:val="none" w:sz="0" w:space="0" w:color="auto"/>
                    <w:right w:val="none" w:sz="0" w:space="0" w:color="auto"/>
                  </w:divBdr>
                  <w:divsChild>
                    <w:div w:id="564726601">
                      <w:marLeft w:val="0"/>
                      <w:marRight w:val="0"/>
                      <w:marTop w:val="0"/>
                      <w:marBottom w:val="0"/>
                      <w:divBdr>
                        <w:top w:val="none" w:sz="0" w:space="0" w:color="auto"/>
                        <w:left w:val="none" w:sz="0" w:space="0" w:color="auto"/>
                        <w:bottom w:val="none" w:sz="0" w:space="0" w:color="auto"/>
                        <w:right w:val="none" w:sz="0" w:space="0" w:color="auto"/>
                      </w:divBdr>
                      <w:divsChild>
                        <w:div w:id="222066080">
                          <w:marLeft w:val="0"/>
                          <w:marRight w:val="0"/>
                          <w:marTop w:val="0"/>
                          <w:marBottom w:val="0"/>
                          <w:divBdr>
                            <w:top w:val="none" w:sz="0" w:space="0" w:color="auto"/>
                            <w:left w:val="none" w:sz="0" w:space="0" w:color="auto"/>
                            <w:bottom w:val="none" w:sz="0" w:space="0" w:color="auto"/>
                            <w:right w:val="none" w:sz="0" w:space="0" w:color="auto"/>
                          </w:divBdr>
                          <w:divsChild>
                            <w:div w:id="1164583969">
                              <w:marLeft w:val="0"/>
                              <w:marRight w:val="0"/>
                              <w:marTop w:val="0"/>
                              <w:marBottom w:val="0"/>
                              <w:divBdr>
                                <w:top w:val="none" w:sz="0" w:space="0" w:color="auto"/>
                                <w:left w:val="none" w:sz="0" w:space="0" w:color="auto"/>
                                <w:bottom w:val="none" w:sz="0" w:space="0" w:color="auto"/>
                                <w:right w:val="none" w:sz="0" w:space="0" w:color="auto"/>
                              </w:divBdr>
                              <w:divsChild>
                                <w:div w:id="1310935794">
                                  <w:marLeft w:val="0"/>
                                  <w:marRight w:val="0"/>
                                  <w:marTop w:val="0"/>
                                  <w:marBottom w:val="0"/>
                                  <w:divBdr>
                                    <w:top w:val="none" w:sz="0" w:space="0" w:color="auto"/>
                                    <w:left w:val="none" w:sz="0" w:space="0" w:color="auto"/>
                                    <w:bottom w:val="none" w:sz="0" w:space="0" w:color="auto"/>
                                    <w:right w:val="none" w:sz="0" w:space="0" w:color="auto"/>
                                  </w:divBdr>
                                  <w:divsChild>
                                    <w:div w:id="1712463519">
                                      <w:marLeft w:val="0"/>
                                      <w:marRight w:val="0"/>
                                      <w:marTop w:val="0"/>
                                      <w:marBottom w:val="0"/>
                                      <w:divBdr>
                                        <w:top w:val="none" w:sz="0" w:space="0" w:color="auto"/>
                                        <w:left w:val="none" w:sz="0" w:space="0" w:color="auto"/>
                                        <w:bottom w:val="none" w:sz="0" w:space="0" w:color="auto"/>
                                        <w:right w:val="none" w:sz="0" w:space="0" w:color="auto"/>
                                      </w:divBdr>
                                      <w:divsChild>
                                        <w:div w:id="678191090">
                                          <w:marLeft w:val="0"/>
                                          <w:marRight w:val="0"/>
                                          <w:marTop w:val="0"/>
                                          <w:marBottom w:val="360"/>
                                          <w:divBdr>
                                            <w:top w:val="none" w:sz="0" w:space="0" w:color="auto"/>
                                            <w:left w:val="none" w:sz="0" w:space="0" w:color="auto"/>
                                            <w:bottom w:val="none" w:sz="0" w:space="0" w:color="auto"/>
                                            <w:right w:val="none" w:sz="0" w:space="0" w:color="auto"/>
                                          </w:divBdr>
                                          <w:divsChild>
                                            <w:div w:id="1640307188">
                                              <w:marLeft w:val="0"/>
                                              <w:marRight w:val="0"/>
                                              <w:marTop w:val="0"/>
                                              <w:marBottom w:val="0"/>
                                              <w:divBdr>
                                                <w:top w:val="none" w:sz="0" w:space="0" w:color="auto"/>
                                                <w:left w:val="none" w:sz="0" w:space="0" w:color="auto"/>
                                                <w:bottom w:val="none" w:sz="0" w:space="0" w:color="auto"/>
                                                <w:right w:val="none" w:sz="0" w:space="0" w:color="auto"/>
                                              </w:divBdr>
                                              <w:divsChild>
                                                <w:div w:id="1017583647">
                                                  <w:marLeft w:val="0"/>
                                                  <w:marRight w:val="0"/>
                                                  <w:marTop w:val="0"/>
                                                  <w:marBottom w:val="0"/>
                                                  <w:divBdr>
                                                    <w:top w:val="none" w:sz="0" w:space="0" w:color="auto"/>
                                                    <w:left w:val="none" w:sz="0" w:space="0" w:color="auto"/>
                                                    <w:bottom w:val="none" w:sz="0" w:space="0" w:color="auto"/>
                                                    <w:right w:val="none" w:sz="0" w:space="0" w:color="auto"/>
                                                  </w:divBdr>
                                                  <w:divsChild>
                                                    <w:div w:id="1394620668">
                                                      <w:marLeft w:val="5370"/>
                                                      <w:marRight w:val="0"/>
                                                      <w:marTop w:val="120"/>
                                                      <w:marBottom w:val="0"/>
                                                      <w:divBdr>
                                                        <w:top w:val="none" w:sz="0" w:space="0" w:color="auto"/>
                                                        <w:left w:val="none" w:sz="0" w:space="0" w:color="auto"/>
                                                        <w:bottom w:val="none" w:sz="0" w:space="0" w:color="auto"/>
                                                        <w:right w:val="none" w:sz="0" w:space="0" w:color="auto"/>
                                                      </w:divBdr>
                                                      <w:divsChild>
                                                        <w:div w:id="10864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5181726">
      <w:bodyDiv w:val="1"/>
      <w:marLeft w:val="0"/>
      <w:marRight w:val="0"/>
      <w:marTop w:val="0"/>
      <w:marBottom w:val="0"/>
      <w:divBdr>
        <w:top w:val="none" w:sz="0" w:space="0" w:color="auto"/>
        <w:left w:val="none" w:sz="0" w:space="0" w:color="auto"/>
        <w:bottom w:val="none" w:sz="0" w:space="0" w:color="auto"/>
        <w:right w:val="none" w:sz="0" w:space="0" w:color="auto"/>
      </w:divBdr>
    </w:div>
    <w:div w:id="854080276">
      <w:bodyDiv w:val="1"/>
      <w:marLeft w:val="0"/>
      <w:marRight w:val="0"/>
      <w:marTop w:val="0"/>
      <w:marBottom w:val="0"/>
      <w:divBdr>
        <w:top w:val="none" w:sz="0" w:space="0" w:color="auto"/>
        <w:left w:val="none" w:sz="0" w:space="0" w:color="auto"/>
        <w:bottom w:val="none" w:sz="0" w:space="0" w:color="auto"/>
        <w:right w:val="none" w:sz="0" w:space="0" w:color="auto"/>
      </w:divBdr>
    </w:div>
    <w:div w:id="994332464">
      <w:bodyDiv w:val="1"/>
      <w:marLeft w:val="0"/>
      <w:marRight w:val="0"/>
      <w:marTop w:val="0"/>
      <w:marBottom w:val="0"/>
      <w:divBdr>
        <w:top w:val="none" w:sz="0" w:space="0" w:color="auto"/>
        <w:left w:val="none" w:sz="0" w:space="0" w:color="auto"/>
        <w:bottom w:val="none" w:sz="0" w:space="0" w:color="auto"/>
        <w:right w:val="none" w:sz="0" w:space="0" w:color="auto"/>
      </w:divBdr>
      <w:divsChild>
        <w:div w:id="868182996">
          <w:marLeft w:val="0"/>
          <w:marRight w:val="0"/>
          <w:marTop w:val="0"/>
          <w:marBottom w:val="0"/>
          <w:divBdr>
            <w:top w:val="none" w:sz="0" w:space="0" w:color="auto"/>
            <w:left w:val="none" w:sz="0" w:space="0" w:color="auto"/>
            <w:bottom w:val="none" w:sz="0" w:space="0" w:color="auto"/>
            <w:right w:val="none" w:sz="0" w:space="0" w:color="auto"/>
          </w:divBdr>
          <w:divsChild>
            <w:div w:id="1015234075">
              <w:marLeft w:val="0"/>
              <w:marRight w:val="0"/>
              <w:marTop w:val="0"/>
              <w:marBottom w:val="0"/>
              <w:divBdr>
                <w:top w:val="none" w:sz="0" w:space="0" w:color="auto"/>
                <w:left w:val="none" w:sz="0" w:space="0" w:color="auto"/>
                <w:bottom w:val="none" w:sz="0" w:space="0" w:color="auto"/>
                <w:right w:val="none" w:sz="0" w:space="0" w:color="auto"/>
              </w:divBdr>
              <w:divsChild>
                <w:div w:id="887107689">
                  <w:marLeft w:val="0"/>
                  <w:marRight w:val="0"/>
                  <w:marTop w:val="100"/>
                  <w:marBottom w:val="100"/>
                  <w:divBdr>
                    <w:top w:val="none" w:sz="0" w:space="0" w:color="auto"/>
                    <w:left w:val="none" w:sz="0" w:space="0" w:color="auto"/>
                    <w:bottom w:val="none" w:sz="0" w:space="0" w:color="auto"/>
                    <w:right w:val="none" w:sz="0" w:space="0" w:color="auto"/>
                  </w:divBdr>
                  <w:divsChild>
                    <w:div w:id="1048532966">
                      <w:marLeft w:val="0"/>
                      <w:marRight w:val="0"/>
                      <w:marTop w:val="0"/>
                      <w:marBottom w:val="0"/>
                      <w:divBdr>
                        <w:top w:val="none" w:sz="0" w:space="0" w:color="auto"/>
                        <w:left w:val="none" w:sz="0" w:space="0" w:color="auto"/>
                        <w:bottom w:val="none" w:sz="0" w:space="0" w:color="auto"/>
                        <w:right w:val="none" w:sz="0" w:space="0" w:color="auto"/>
                      </w:divBdr>
                      <w:divsChild>
                        <w:div w:id="581065596">
                          <w:marLeft w:val="0"/>
                          <w:marRight w:val="0"/>
                          <w:marTop w:val="0"/>
                          <w:marBottom w:val="0"/>
                          <w:divBdr>
                            <w:top w:val="none" w:sz="0" w:space="0" w:color="auto"/>
                            <w:left w:val="none" w:sz="0" w:space="0" w:color="auto"/>
                            <w:bottom w:val="none" w:sz="0" w:space="0" w:color="auto"/>
                            <w:right w:val="none" w:sz="0" w:space="0" w:color="auto"/>
                          </w:divBdr>
                          <w:divsChild>
                            <w:div w:id="1654213978">
                              <w:marLeft w:val="0"/>
                              <w:marRight w:val="0"/>
                              <w:marTop w:val="0"/>
                              <w:marBottom w:val="0"/>
                              <w:divBdr>
                                <w:top w:val="none" w:sz="0" w:space="0" w:color="auto"/>
                                <w:left w:val="none" w:sz="0" w:space="0" w:color="auto"/>
                                <w:bottom w:val="none" w:sz="0" w:space="0" w:color="auto"/>
                                <w:right w:val="none" w:sz="0" w:space="0" w:color="auto"/>
                              </w:divBdr>
                              <w:divsChild>
                                <w:div w:id="240142397">
                                  <w:marLeft w:val="0"/>
                                  <w:marRight w:val="0"/>
                                  <w:marTop w:val="0"/>
                                  <w:marBottom w:val="0"/>
                                  <w:divBdr>
                                    <w:top w:val="none" w:sz="0" w:space="0" w:color="auto"/>
                                    <w:left w:val="none" w:sz="0" w:space="0" w:color="auto"/>
                                    <w:bottom w:val="none" w:sz="0" w:space="0" w:color="auto"/>
                                    <w:right w:val="none" w:sz="0" w:space="0" w:color="auto"/>
                                  </w:divBdr>
                                  <w:divsChild>
                                    <w:div w:id="1087730606">
                                      <w:marLeft w:val="0"/>
                                      <w:marRight w:val="0"/>
                                      <w:marTop w:val="0"/>
                                      <w:marBottom w:val="0"/>
                                      <w:divBdr>
                                        <w:top w:val="none" w:sz="0" w:space="0" w:color="auto"/>
                                        <w:left w:val="none" w:sz="0" w:space="0" w:color="auto"/>
                                        <w:bottom w:val="none" w:sz="0" w:space="0" w:color="auto"/>
                                        <w:right w:val="none" w:sz="0" w:space="0" w:color="auto"/>
                                      </w:divBdr>
                                      <w:divsChild>
                                        <w:div w:id="1180513158">
                                          <w:marLeft w:val="0"/>
                                          <w:marRight w:val="0"/>
                                          <w:marTop w:val="0"/>
                                          <w:marBottom w:val="360"/>
                                          <w:divBdr>
                                            <w:top w:val="none" w:sz="0" w:space="0" w:color="auto"/>
                                            <w:left w:val="none" w:sz="0" w:space="0" w:color="auto"/>
                                            <w:bottom w:val="none" w:sz="0" w:space="0" w:color="auto"/>
                                            <w:right w:val="none" w:sz="0" w:space="0" w:color="auto"/>
                                          </w:divBdr>
                                          <w:divsChild>
                                            <w:div w:id="2121796714">
                                              <w:marLeft w:val="0"/>
                                              <w:marRight w:val="0"/>
                                              <w:marTop w:val="0"/>
                                              <w:marBottom w:val="0"/>
                                              <w:divBdr>
                                                <w:top w:val="none" w:sz="0" w:space="0" w:color="auto"/>
                                                <w:left w:val="none" w:sz="0" w:space="0" w:color="auto"/>
                                                <w:bottom w:val="none" w:sz="0" w:space="0" w:color="auto"/>
                                                <w:right w:val="none" w:sz="0" w:space="0" w:color="auto"/>
                                              </w:divBdr>
                                              <w:divsChild>
                                                <w:div w:id="1265726185">
                                                  <w:marLeft w:val="0"/>
                                                  <w:marRight w:val="0"/>
                                                  <w:marTop w:val="0"/>
                                                  <w:marBottom w:val="0"/>
                                                  <w:divBdr>
                                                    <w:top w:val="none" w:sz="0" w:space="0" w:color="auto"/>
                                                    <w:left w:val="none" w:sz="0" w:space="0" w:color="auto"/>
                                                    <w:bottom w:val="none" w:sz="0" w:space="0" w:color="auto"/>
                                                    <w:right w:val="none" w:sz="0" w:space="0" w:color="auto"/>
                                                  </w:divBdr>
                                                  <w:divsChild>
                                                    <w:div w:id="1838688431">
                                                      <w:marLeft w:val="5370"/>
                                                      <w:marRight w:val="0"/>
                                                      <w:marTop w:val="120"/>
                                                      <w:marBottom w:val="0"/>
                                                      <w:divBdr>
                                                        <w:top w:val="none" w:sz="0" w:space="0" w:color="auto"/>
                                                        <w:left w:val="none" w:sz="0" w:space="0" w:color="auto"/>
                                                        <w:bottom w:val="none" w:sz="0" w:space="0" w:color="auto"/>
                                                        <w:right w:val="none" w:sz="0" w:space="0" w:color="auto"/>
                                                      </w:divBdr>
                                                      <w:divsChild>
                                                        <w:div w:id="91759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6760984">
      <w:bodyDiv w:val="1"/>
      <w:marLeft w:val="0"/>
      <w:marRight w:val="0"/>
      <w:marTop w:val="0"/>
      <w:marBottom w:val="0"/>
      <w:divBdr>
        <w:top w:val="none" w:sz="0" w:space="0" w:color="auto"/>
        <w:left w:val="none" w:sz="0" w:space="0" w:color="auto"/>
        <w:bottom w:val="none" w:sz="0" w:space="0" w:color="auto"/>
        <w:right w:val="none" w:sz="0" w:space="0" w:color="auto"/>
      </w:divBdr>
    </w:div>
    <w:div w:id="1129785812">
      <w:bodyDiv w:val="1"/>
      <w:marLeft w:val="0"/>
      <w:marRight w:val="0"/>
      <w:marTop w:val="0"/>
      <w:marBottom w:val="0"/>
      <w:divBdr>
        <w:top w:val="none" w:sz="0" w:space="0" w:color="auto"/>
        <w:left w:val="none" w:sz="0" w:space="0" w:color="auto"/>
        <w:bottom w:val="none" w:sz="0" w:space="0" w:color="auto"/>
        <w:right w:val="none" w:sz="0" w:space="0" w:color="auto"/>
      </w:divBdr>
      <w:divsChild>
        <w:div w:id="1169561213">
          <w:marLeft w:val="0"/>
          <w:marRight w:val="0"/>
          <w:marTop w:val="0"/>
          <w:marBottom w:val="0"/>
          <w:divBdr>
            <w:top w:val="none" w:sz="0" w:space="0" w:color="auto"/>
            <w:left w:val="none" w:sz="0" w:space="0" w:color="auto"/>
            <w:bottom w:val="none" w:sz="0" w:space="0" w:color="auto"/>
            <w:right w:val="none" w:sz="0" w:space="0" w:color="auto"/>
          </w:divBdr>
          <w:divsChild>
            <w:div w:id="958875354">
              <w:marLeft w:val="0"/>
              <w:marRight w:val="0"/>
              <w:marTop w:val="0"/>
              <w:marBottom w:val="0"/>
              <w:divBdr>
                <w:top w:val="none" w:sz="0" w:space="0" w:color="auto"/>
                <w:left w:val="none" w:sz="0" w:space="0" w:color="auto"/>
                <w:bottom w:val="none" w:sz="0" w:space="0" w:color="auto"/>
                <w:right w:val="none" w:sz="0" w:space="0" w:color="auto"/>
              </w:divBdr>
              <w:divsChild>
                <w:div w:id="1376079065">
                  <w:marLeft w:val="0"/>
                  <w:marRight w:val="0"/>
                  <w:marTop w:val="0"/>
                  <w:marBottom w:val="0"/>
                  <w:divBdr>
                    <w:top w:val="none" w:sz="0" w:space="0" w:color="auto"/>
                    <w:left w:val="none" w:sz="0" w:space="0" w:color="auto"/>
                    <w:bottom w:val="none" w:sz="0" w:space="0" w:color="auto"/>
                    <w:right w:val="none" w:sz="0" w:space="0" w:color="auto"/>
                  </w:divBdr>
                  <w:divsChild>
                    <w:div w:id="1994603943">
                      <w:marLeft w:val="0"/>
                      <w:marRight w:val="0"/>
                      <w:marTop w:val="0"/>
                      <w:marBottom w:val="0"/>
                      <w:divBdr>
                        <w:top w:val="none" w:sz="0" w:space="0" w:color="auto"/>
                        <w:left w:val="none" w:sz="0" w:space="0" w:color="auto"/>
                        <w:bottom w:val="none" w:sz="0" w:space="0" w:color="auto"/>
                        <w:right w:val="none" w:sz="0" w:space="0" w:color="auto"/>
                      </w:divBdr>
                      <w:divsChild>
                        <w:div w:id="576205253">
                          <w:marLeft w:val="0"/>
                          <w:marRight w:val="0"/>
                          <w:marTop w:val="0"/>
                          <w:marBottom w:val="0"/>
                          <w:divBdr>
                            <w:top w:val="none" w:sz="0" w:space="0" w:color="auto"/>
                            <w:left w:val="none" w:sz="0" w:space="0" w:color="auto"/>
                            <w:bottom w:val="none" w:sz="0" w:space="0" w:color="auto"/>
                            <w:right w:val="none" w:sz="0" w:space="0" w:color="auto"/>
                          </w:divBdr>
                          <w:divsChild>
                            <w:div w:id="2048676424">
                              <w:marLeft w:val="0"/>
                              <w:marRight w:val="0"/>
                              <w:marTop w:val="0"/>
                              <w:marBottom w:val="0"/>
                              <w:divBdr>
                                <w:top w:val="none" w:sz="0" w:space="0" w:color="auto"/>
                                <w:left w:val="none" w:sz="0" w:space="0" w:color="auto"/>
                                <w:bottom w:val="none" w:sz="0" w:space="0" w:color="auto"/>
                                <w:right w:val="none" w:sz="0" w:space="0" w:color="auto"/>
                              </w:divBdr>
                              <w:divsChild>
                                <w:div w:id="1841192780">
                                  <w:marLeft w:val="0"/>
                                  <w:marRight w:val="0"/>
                                  <w:marTop w:val="0"/>
                                  <w:marBottom w:val="0"/>
                                  <w:divBdr>
                                    <w:top w:val="none" w:sz="0" w:space="0" w:color="auto"/>
                                    <w:left w:val="none" w:sz="0" w:space="0" w:color="auto"/>
                                    <w:bottom w:val="none" w:sz="0" w:space="0" w:color="auto"/>
                                    <w:right w:val="none" w:sz="0" w:space="0" w:color="auto"/>
                                  </w:divBdr>
                                  <w:divsChild>
                                    <w:div w:id="1195145974">
                                      <w:marLeft w:val="0"/>
                                      <w:marRight w:val="0"/>
                                      <w:marTop w:val="0"/>
                                      <w:marBottom w:val="0"/>
                                      <w:divBdr>
                                        <w:top w:val="none" w:sz="0" w:space="0" w:color="auto"/>
                                        <w:left w:val="none" w:sz="0" w:space="0" w:color="auto"/>
                                        <w:bottom w:val="none" w:sz="0" w:space="0" w:color="auto"/>
                                        <w:right w:val="none" w:sz="0" w:space="0" w:color="auto"/>
                                      </w:divBdr>
                                      <w:divsChild>
                                        <w:div w:id="198782407">
                                          <w:marLeft w:val="0"/>
                                          <w:marRight w:val="0"/>
                                          <w:marTop w:val="0"/>
                                          <w:marBottom w:val="0"/>
                                          <w:divBdr>
                                            <w:top w:val="none" w:sz="0" w:space="0" w:color="auto"/>
                                            <w:left w:val="none" w:sz="0" w:space="0" w:color="auto"/>
                                            <w:bottom w:val="none" w:sz="0" w:space="0" w:color="auto"/>
                                            <w:right w:val="none" w:sz="0" w:space="0" w:color="auto"/>
                                          </w:divBdr>
                                          <w:divsChild>
                                            <w:div w:id="1585265014">
                                              <w:marLeft w:val="0"/>
                                              <w:marRight w:val="0"/>
                                              <w:marTop w:val="0"/>
                                              <w:marBottom w:val="0"/>
                                              <w:divBdr>
                                                <w:top w:val="none" w:sz="0" w:space="0" w:color="auto"/>
                                                <w:left w:val="none" w:sz="0" w:space="0" w:color="auto"/>
                                                <w:bottom w:val="none" w:sz="0" w:space="0" w:color="auto"/>
                                                <w:right w:val="none" w:sz="0" w:space="0" w:color="auto"/>
                                              </w:divBdr>
                                              <w:divsChild>
                                                <w:div w:id="1282692498">
                                                  <w:marLeft w:val="0"/>
                                                  <w:marRight w:val="0"/>
                                                  <w:marTop w:val="0"/>
                                                  <w:marBottom w:val="0"/>
                                                  <w:divBdr>
                                                    <w:top w:val="none" w:sz="0" w:space="0" w:color="auto"/>
                                                    <w:left w:val="none" w:sz="0" w:space="0" w:color="auto"/>
                                                    <w:bottom w:val="none" w:sz="0" w:space="0" w:color="auto"/>
                                                    <w:right w:val="none" w:sz="0" w:space="0" w:color="auto"/>
                                                  </w:divBdr>
                                                  <w:divsChild>
                                                    <w:div w:id="757169223">
                                                      <w:marLeft w:val="0"/>
                                                      <w:marRight w:val="0"/>
                                                      <w:marTop w:val="0"/>
                                                      <w:marBottom w:val="0"/>
                                                      <w:divBdr>
                                                        <w:top w:val="none" w:sz="0" w:space="0" w:color="auto"/>
                                                        <w:left w:val="none" w:sz="0" w:space="0" w:color="auto"/>
                                                        <w:bottom w:val="none" w:sz="0" w:space="0" w:color="auto"/>
                                                        <w:right w:val="none" w:sz="0" w:space="0" w:color="auto"/>
                                                      </w:divBdr>
                                                      <w:divsChild>
                                                        <w:div w:id="200207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253112">
      <w:bodyDiv w:val="1"/>
      <w:marLeft w:val="0"/>
      <w:marRight w:val="0"/>
      <w:marTop w:val="0"/>
      <w:marBottom w:val="0"/>
      <w:divBdr>
        <w:top w:val="none" w:sz="0" w:space="0" w:color="auto"/>
        <w:left w:val="none" w:sz="0" w:space="0" w:color="auto"/>
        <w:bottom w:val="none" w:sz="0" w:space="0" w:color="auto"/>
        <w:right w:val="none" w:sz="0" w:space="0" w:color="auto"/>
      </w:divBdr>
    </w:div>
    <w:div w:id="1160387712">
      <w:bodyDiv w:val="1"/>
      <w:marLeft w:val="0"/>
      <w:marRight w:val="0"/>
      <w:marTop w:val="0"/>
      <w:marBottom w:val="0"/>
      <w:divBdr>
        <w:top w:val="none" w:sz="0" w:space="0" w:color="auto"/>
        <w:left w:val="none" w:sz="0" w:space="0" w:color="auto"/>
        <w:bottom w:val="none" w:sz="0" w:space="0" w:color="auto"/>
        <w:right w:val="none" w:sz="0" w:space="0" w:color="auto"/>
      </w:divBdr>
      <w:divsChild>
        <w:div w:id="1194151429">
          <w:marLeft w:val="0"/>
          <w:marRight w:val="0"/>
          <w:marTop w:val="0"/>
          <w:marBottom w:val="0"/>
          <w:divBdr>
            <w:top w:val="none" w:sz="0" w:space="0" w:color="auto"/>
            <w:left w:val="none" w:sz="0" w:space="0" w:color="auto"/>
            <w:bottom w:val="none" w:sz="0" w:space="0" w:color="auto"/>
            <w:right w:val="none" w:sz="0" w:space="0" w:color="auto"/>
          </w:divBdr>
          <w:divsChild>
            <w:div w:id="140970280">
              <w:marLeft w:val="0"/>
              <w:marRight w:val="0"/>
              <w:marTop w:val="0"/>
              <w:marBottom w:val="0"/>
              <w:divBdr>
                <w:top w:val="none" w:sz="0" w:space="0" w:color="auto"/>
                <w:left w:val="none" w:sz="0" w:space="0" w:color="auto"/>
                <w:bottom w:val="none" w:sz="0" w:space="0" w:color="auto"/>
                <w:right w:val="none" w:sz="0" w:space="0" w:color="auto"/>
              </w:divBdr>
              <w:divsChild>
                <w:div w:id="361563440">
                  <w:marLeft w:val="0"/>
                  <w:marRight w:val="0"/>
                  <w:marTop w:val="0"/>
                  <w:marBottom w:val="0"/>
                  <w:divBdr>
                    <w:top w:val="none" w:sz="0" w:space="0" w:color="auto"/>
                    <w:left w:val="none" w:sz="0" w:space="0" w:color="auto"/>
                    <w:bottom w:val="none" w:sz="0" w:space="0" w:color="auto"/>
                    <w:right w:val="none" w:sz="0" w:space="0" w:color="auto"/>
                  </w:divBdr>
                  <w:divsChild>
                    <w:div w:id="328605752">
                      <w:marLeft w:val="0"/>
                      <w:marRight w:val="0"/>
                      <w:marTop w:val="0"/>
                      <w:marBottom w:val="0"/>
                      <w:divBdr>
                        <w:top w:val="none" w:sz="0" w:space="0" w:color="auto"/>
                        <w:left w:val="none" w:sz="0" w:space="0" w:color="auto"/>
                        <w:bottom w:val="none" w:sz="0" w:space="0" w:color="auto"/>
                        <w:right w:val="none" w:sz="0" w:space="0" w:color="auto"/>
                      </w:divBdr>
                      <w:divsChild>
                        <w:div w:id="838038076">
                          <w:marLeft w:val="0"/>
                          <w:marRight w:val="0"/>
                          <w:marTop w:val="0"/>
                          <w:marBottom w:val="0"/>
                          <w:divBdr>
                            <w:top w:val="none" w:sz="0" w:space="0" w:color="auto"/>
                            <w:left w:val="none" w:sz="0" w:space="0" w:color="auto"/>
                            <w:bottom w:val="none" w:sz="0" w:space="0" w:color="auto"/>
                            <w:right w:val="none" w:sz="0" w:space="0" w:color="auto"/>
                          </w:divBdr>
                          <w:divsChild>
                            <w:div w:id="425419047">
                              <w:marLeft w:val="0"/>
                              <w:marRight w:val="0"/>
                              <w:marTop w:val="0"/>
                              <w:marBottom w:val="0"/>
                              <w:divBdr>
                                <w:top w:val="none" w:sz="0" w:space="0" w:color="auto"/>
                                <w:left w:val="none" w:sz="0" w:space="0" w:color="auto"/>
                                <w:bottom w:val="none" w:sz="0" w:space="0" w:color="auto"/>
                                <w:right w:val="none" w:sz="0" w:space="0" w:color="auto"/>
                              </w:divBdr>
                              <w:divsChild>
                                <w:div w:id="183061383">
                                  <w:marLeft w:val="0"/>
                                  <w:marRight w:val="0"/>
                                  <w:marTop w:val="0"/>
                                  <w:marBottom w:val="0"/>
                                  <w:divBdr>
                                    <w:top w:val="none" w:sz="0" w:space="0" w:color="auto"/>
                                    <w:left w:val="none" w:sz="0" w:space="0" w:color="auto"/>
                                    <w:bottom w:val="none" w:sz="0" w:space="0" w:color="auto"/>
                                    <w:right w:val="none" w:sz="0" w:space="0" w:color="auto"/>
                                  </w:divBdr>
                                  <w:divsChild>
                                    <w:div w:id="1882354336">
                                      <w:marLeft w:val="0"/>
                                      <w:marRight w:val="0"/>
                                      <w:marTop w:val="0"/>
                                      <w:marBottom w:val="0"/>
                                      <w:divBdr>
                                        <w:top w:val="none" w:sz="0" w:space="0" w:color="auto"/>
                                        <w:left w:val="none" w:sz="0" w:space="0" w:color="auto"/>
                                        <w:bottom w:val="none" w:sz="0" w:space="0" w:color="auto"/>
                                        <w:right w:val="none" w:sz="0" w:space="0" w:color="auto"/>
                                      </w:divBdr>
                                      <w:divsChild>
                                        <w:div w:id="1905601402">
                                          <w:marLeft w:val="0"/>
                                          <w:marRight w:val="0"/>
                                          <w:marTop w:val="0"/>
                                          <w:marBottom w:val="0"/>
                                          <w:divBdr>
                                            <w:top w:val="none" w:sz="0" w:space="0" w:color="auto"/>
                                            <w:left w:val="none" w:sz="0" w:space="0" w:color="auto"/>
                                            <w:bottom w:val="none" w:sz="0" w:space="0" w:color="auto"/>
                                            <w:right w:val="none" w:sz="0" w:space="0" w:color="auto"/>
                                          </w:divBdr>
                                          <w:divsChild>
                                            <w:div w:id="1058632925">
                                              <w:marLeft w:val="0"/>
                                              <w:marRight w:val="0"/>
                                              <w:marTop w:val="0"/>
                                              <w:marBottom w:val="0"/>
                                              <w:divBdr>
                                                <w:top w:val="none" w:sz="0" w:space="0" w:color="auto"/>
                                                <w:left w:val="none" w:sz="0" w:space="0" w:color="auto"/>
                                                <w:bottom w:val="none" w:sz="0" w:space="0" w:color="auto"/>
                                                <w:right w:val="none" w:sz="0" w:space="0" w:color="auto"/>
                                              </w:divBdr>
                                              <w:divsChild>
                                                <w:div w:id="1722286131">
                                                  <w:marLeft w:val="0"/>
                                                  <w:marRight w:val="0"/>
                                                  <w:marTop w:val="0"/>
                                                  <w:marBottom w:val="0"/>
                                                  <w:divBdr>
                                                    <w:top w:val="none" w:sz="0" w:space="0" w:color="auto"/>
                                                    <w:left w:val="none" w:sz="0" w:space="0" w:color="auto"/>
                                                    <w:bottom w:val="none" w:sz="0" w:space="0" w:color="auto"/>
                                                    <w:right w:val="none" w:sz="0" w:space="0" w:color="auto"/>
                                                  </w:divBdr>
                                                  <w:divsChild>
                                                    <w:div w:id="253052942">
                                                      <w:marLeft w:val="0"/>
                                                      <w:marRight w:val="0"/>
                                                      <w:marTop w:val="0"/>
                                                      <w:marBottom w:val="0"/>
                                                      <w:divBdr>
                                                        <w:top w:val="none" w:sz="0" w:space="0" w:color="auto"/>
                                                        <w:left w:val="none" w:sz="0" w:space="0" w:color="auto"/>
                                                        <w:bottom w:val="none" w:sz="0" w:space="0" w:color="auto"/>
                                                        <w:right w:val="none" w:sz="0" w:space="0" w:color="auto"/>
                                                      </w:divBdr>
                                                      <w:divsChild>
                                                        <w:div w:id="200215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5171981">
      <w:bodyDiv w:val="1"/>
      <w:marLeft w:val="0"/>
      <w:marRight w:val="0"/>
      <w:marTop w:val="0"/>
      <w:marBottom w:val="0"/>
      <w:divBdr>
        <w:top w:val="none" w:sz="0" w:space="0" w:color="auto"/>
        <w:left w:val="none" w:sz="0" w:space="0" w:color="auto"/>
        <w:bottom w:val="none" w:sz="0" w:space="0" w:color="auto"/>
        <w:right w:val="none" w:sz="0" w:space="0" w:color="auto"/>
      </w:divBdr>
    </w:div>
    <w:div w:id="1310671811">
      <w:bodyDiv w:val="1"/>
      <w:marLeft w:val="0"/>
      <w:marRight w:val="0"/>
      <w:marTop w:val="0"/>
      <w:marBottom w:val="0"/>
      <w:divBdr>
        <w:top w:val="none" w:sz="0" w:space="0" w:color="auto"/>
        <w:left w:val="none" w:sz="0" w:space="0" w:color="auto"/>
        <w:bottom w:val="none" w:sz="0" w:space="0" w:color="auto"/>
        <w:right w:val="none" w:sz="0" w:space="0" w:color="auto"/>
      </w:divBdr>
    </w:div>
    <w:div w:id="1437285392">
      <w:bodyDiv w:val="1"/>
      <w:marLeft w:val="0"/>
      <w:marRight w:val="0"/>
      <w:marTop w:val="0"/>
      <w:marBottom w:val="0"/>
      <w:divBdr>
        <w:top w:val="none" w:sz="0" w:space="0" w:color="auto"/>
        <w:left w:val="none" w:sz="0" w:space="0" w:color="auto"/>
        <w:bottom w:val="none" w:sz="0" w:space="0" w:color="auto"/>
        <w:right w:val="none" w:sz="0" w:space="0" w:color="auto"/>
      </w:divBdr>
      <w:divsChild>
        <w:div w:id="901016943">
          <w:marLeft w:val="0"/>
          <w:marRight w:val="0"/>
          <w:marTop w:val="0"/>
          <w:marBottom w:val="0"/>
          <w:divBdr>
            <w:top w:val="none" w:sz="0" w:space="0" w:color="auto"/>
            <w:left w:val="none" w:sz="0" w:space="0" w:color="auto"/>
            <w:bottom w:val="none" w:sz="0" w:space="0" w:color="auto"/>
            <w:right w:val="none" w:sz="0" w:space="0" w:color="auto"/>
          </w:divBdr>
          <w:divsChild>
            <w:div w:id="1379740349">
              <w:marLeft w:val="0"/>
              <w:marRight w:val="0"/>
              <w:marTop w:val="0"/>
              <w:marBottom w:val="0"/>
              <w:divBdr>
                <w:top w:val="none" w:sz="0" w:space="0" w:color="auto"/>
                <w:left w:val="none" w:sz="0" w:space="0" w:color="auto"/>
                <w:bottom w:val="none" w:sz="0" w:space="0" w:color="auto"/>
                <w:right w:val="none" w:sz="0" w:space="0" w:color="auto"/>
              </w:divBdr>
              <w:divsChild>
                <w:div w:id="1493180834">
                  <w:marLeft w:val="0"/>
                  <w:marRight w:val="0"/>
                  <w:marTop w:val="0"/>
                  <w:marBottom w:val="0"/>
                  <w:divBdr>
                    <w:top w:val="none" w:sz="0" w:space="0" w:color="auto"/>
                    <w:left w:val="none" w:sz="0" w:space="0" w:color="auto"/>
                    <w:bottom w:val="none" w:sz="0" w:space="0" w:color="auto"/>
                    <w:right w:val="none" w:sz="0" w:space="0" w:color="auto"/>
                  </w:divBdr>
                  <w:divsChild>
                    <w:div w:id="536772242">
                      <w:marLeft w:val="0"/>
                      <w:marRight w:val="0"/>
                      <w:marTop w:val="0"/>
                      <w:marBottom w:val="0"/>
                      <w:divBdr>
                        <w:top w:val="none" w:sz="0" w:space="0" w:color="auto"/>
                        <w:left w:val="none" w:sz="0" w:space="0" w:color="auto"/>
                        <w:bottom w:val="none" w:sz="0" w:space="0" w:color="auto"/>
                        <w:right w:val="none" w:sz="0" w:space="0" w:color="auto"/>
                      </w:divBdr>
                      <w:divsChild>
                        <w:div w:id="260380641">
                          <w:marLeft w:val="0"/>
                          <w:marRight w:val="0"/>
                          <w:marTop w:val="0"/>
                          <w:marBottom w:val="0"/>
                          <w:divBdr>
                            <w:top w:val="none" w:sz="0" w:space="0" w:color="auto"/>
                            <w:left w:val="none" w:sz="0" w:space="0" w:color="auto"/>
                            <w:bottom w:val="none" w:sz="0" w:space="0" w:color="auto"/>
                            <w:right w:val="none" w:sz="0" w:space="0" w:color="auto"/>
                          </w:divBdr>
                          <w:divsChild>
                            <w:div w:id="62263801">
                              <w:marLeft w:val="0"/>
                              <w:marRight w:val="0"/>
                              <w:marTop w:val="0"/>
                              <w:marBottom w:val="0"/>
                              <w:divBdr>
                                <w:top w:val="none" w:sz="0" w:space="0" w:color="auto"/>
                                <w:left w:val="none" w:sz="0" w:space="0" w:color="auto"/>
                                <w:bottom w:val="none" w:sz="0" w:space="0" w:color="auto"/>
                                <w:right w:val="none" w:sz="0" w:space="0" w:color="auto"/>
                              </w:divBdr>
                              <w:divsChild>
                                <w:div w:id="176578320">
                                  <w:marLeft w:val="0"/>
                                  <w:marRight w:val="0"/>
                                  <w:marTop w:val="0"/>
                                  <w:marBottom w:val="0"/>
                                  <w:divBdr>
                                    <w:top w:val="none" w:sz="0" w:space="0" w:color="auto"/>
                                    <w:left w:val="none" w:sz="0" w:space="0" w:color="auto"/>
                                    <w:bottom w:val="none" w:sz="0" w:space="0" w:color="auto"/>
                                    <w:right w:val="none" w:sz="0" w:space="0" w:color="auto"/>
                                  </w:divBdr>
                                  <w:divsChild>
                                    <w:div w:id="1591155611">
                                      <w:marLeft w:val="0"/>
                                      <w:marRight w:val="0"/>
                                      <w:marTop w:val="0"/>
                                      <w:marBottom w:val="0"/>
                                      <w:divBdr>
                                        <w:top w:val="none" w:sz="0" w:space="0" w:color="auto"/>
                                        <w:left w:val="none" w:sz="0" w:space="0" w:color="auto"/>
                                        <w:bottom w:val="none" w:sz="0" w:space="0" w:color="auto"/>
                                        <w:right w:val="none" w:sz="0" w:space="0" w:color="auto"/>
                                      </w:divBdr>
                                      <w:divsChild>
                                        <w:div w:id="1444153530">
                                          <w:marLeft w:val="0"/>
                                          <w:marRight w:val="0"/>
                                          <w:marTop w:val="0"/>
                                          <w:marBottom w:val="0"/>
                                          <w:divBdr>
                                            <w:top w:val="none" w:sz="0" w:space="0" w:color="auto"/>
                                            <w:left w:val="none" w:sz="0" w:space="0" w:color="auto"/>
                                            <w:bottom w:val="none" w:sz="0" w:space="0" w:color="auto"/>
                                            <w:right w:val="none" w:sz="0" w:space="0" w:color="auto"/>
                                          </w:divBdr>
                                          <w:divsChild>
                                            <w:div w:id="1123962708">
                                              <w:marLeft w:val="0"/>
                                              <w:marRight w:val="0"/>
                                              <w:marTop w:val="0"/>
                                              <w:marBottom w:val="0"/>
                                              <w:divBdr>
                                                <w:top w:val="none" w:sz="0" w:space="0" w:color="auto"/>
                                                <w:left w:val="none" w:sz="0" w:space="0" w:color="auto"/>
                                                <w:bottom w:val="none" w:sz="0" w:space="0" w:color="auto"/>
                                                <w:right w:val="none" w:sz="0" w:space="0" w:color="auto"/>
                                              </w:divBdr>
                                              <w:divsChild>
                                                <w:div w:id="1975211059">
                                                  <w:marLeft w:val="0"/>
                                                  <w:marRight w:val="0"/>
                                                  <w:marTop w:val="0"/>
                                                  <w:marBottom w:val="0"/>
                                                  <w:divBdr>
                                                    <w:top w:val="none" w:sz="0" w:space="0" w:color="auto"/>
                                                    <w:left w:val="none" w:sz="0" w:space="0" w:color="auto"/>
                                                    <w:bottom w:val="none" w:sz="0" w:space="0" w:color="auto"/>
                                                    <w:right w:val="none" w:sz="0" w:space="0" w:color="auto"/>
                                                  </w:divBdr>
                                                  <w:divsChild>
                                                    <w:div w:id="1867867783">
                                                      <w:marLeft w:val="0"/>
                                                      <w:marRight w:val="0"/>
                                                      <w:marTop w:val="0"/>
                                                      <w:marBottom w:val="0"/>
                                                      <w:divBdr>
                                                        <w:top w:val="none" w:sz="0" w:space="0" w:color="auto"/>
                                                        <w:left w:val="none" w:sz="0" w:space="0" w:color="auto"/>
                                                        <w:bottom w:val="none" w:sz="0" w:space="0" w:color="auto"/>
                                                        <w:right w:val="none" w:sz="0" w:space="0" w:color="auto"/>
                                                      </w:divBdr>
                                                      <w:divsChild>
                                                        <w:div w:id="81463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5152427">
      <w:bodyDiv w:val="1"/>
      <w:marLeft w:val="0"/>
      <w:marRight w:val="0"/>
      <w:marTop w:val="0"/>
      <w:marBottom w:val="0"/>
      <w:divBdr>
        <w:top w:val="none" w:sz="0" w:space="0" w:color="auto"/>
        <w:left w:val="none" w:sz="0" w:space="0" w:color="auto"/>
        <w:bottom w:val="none" w:sz="0" w:space="0" w:color="auto"/>
        <w:right w:val="none" w:sz="0" w:space="0" w:color="auto"/>
      </w:divBdr>
      <w:divsChild>
        <w:div w:id="171259817">
          <w:marLeft w:val="0"/>
          <w:marRight w:val="0"/>
          <w:marTop w:val="0"/>
          <w:marBottom w:val="0"/>
          <w:divBdr>
            <w:top w:val="none" w:sz="0" w:space="0" w:color="auto"/>
            <w:left w:val="none" w:sz="0" w:space="0" w:color="auto"/>
            <w:bottom w:val="none" w:sz="0" w:space="0" w:color="auto"/>
            <w:right w:val="none" w:sz="0" w:space="0" w:color="auto"/>
          </w:divBdr>
          <w:divsChild>
            <w:div w:id="1399672978">
              <w:marLeft w:val="0"/>
              <w:marRight w:val="0"/>
              <w:marTop w:val="0"/>
              <w:marBottom w:val="0"/>
              <w:divBdr>
                <w:top w:val="none" w:sz="0" w:space="0" w:color="auto"/>
                <w:left w:val="none" w:sz="0" w:space="0" w:color="auto"/>
                <w:bottom w:val="none" w:sz="0" w:space="0" w:color="auto"/>
                <w:right w:val="none" w:sz="0" w:space="0" w:color="auto"/>
              </w:divBdr>
              <w:divsChild>
                <w:div w:id="109325714">
                  <w:marLeft w:val="0"/>
                  <w:marRight w:val="0"/>
                  <w:marTop w:val="0"/>
                  <w:marBottom w:val="0"/>
                  <w:divBdr>
                    <w:top w:val="none" w:sz="0" w:space="0" w:color="auto"/>
                    <w:left w:val="none" w:sz="0" w:space="0" w:color="auto"/>
                    <w:bottom w:val="none" w:sz="0" w:space="0" w:color="auto"/>
                    <w:right w:val="none" w:sz="0" w:space="0" w:color="auto"/>
                  </w:divBdr>
                  <w:divsChild>
                    <w:div w:id="1323894207">
                      <w:marLeft w:val="0"/>
                      <w:marRight w:val="0"/>
                      <w:marTop w:val="0"/>
                      <w:marBottom w:val="0"/>
                      <w:divBdr>
                        <w:top w:val="none" w:sz="0" w:space="0" w:color="auto"/>
                        <w:left w:val="none" w:sz="0" w:space="0" w:color="auto"/>
                        <w:bottom w:val="none" w:sz="0" w:space="0" w:color="auto"/>
                        <w:right w:val="none" w:sz="0" w:space="0" w:color="auto"/>
                      </w:divBdr>
                      <w:divsChild>
                        <w:div w:id="487208105">
                          <w:marLeft w:val="0"/>
                          <w:marRight w:val="0"/>
                          <w:marTop w:val="0"/>
                          <w:marBottom w:val="0"/>
                          <w:divBdr>
                            <w:top w:val="none" w:sz="0" w:space="0" w:color="auto"/>
                            <w:left w:val="none" w:sz="0" w:space="0" w:color="auto"/>
                            <w:bottom w:val="none" w:sz="0" w:space="0" w:color="auto"/>
                            <w:right w:val="none" w:sz="0" w:space="0" w:color="auto"/>
                          </w:divBdr>
                          <w:divsChild>
                            <w:div w:id="631516888">
                              <w:marLeft w:val="0"/>
                              <w:marRight w:val="0"/>
                              <w:marTop w:val="0"/>
                              <w:marBottom w:val="0"/>
                              <w:divBdr>
                                <w:top w:val="none" w:sz="0" w:space="0" w:color="auto"/>
                                <w:left w:val="none" w:sz="0" w:space="0" w:color="auto"/>
                                <w:bottom w:val="none" w:sz="0" w:space="0" w:color="auto"/>
                                <w:right w:val="none" w:sz="0" w:space="0" w:color="auto"/>
                              </w:divBdr>
                              <w:divsChild>
                                <w:div w:id="148980898">
                                  <w:marLeft w:val="0"/>
                                  <w:marRight w:val="0"/>
                                  <w:marTop w:val="0"/>
                                  <w:marBottom w:val="0"/>
                                  <w:divBdr>
                                    <w:top w:val="none" w:sz="0" w:space="0" w:color="auto"/>
                                    <w:left w:val="none" w:sz="0" w:space="0" w:color="auto"/>
                                    <w:bottom w:val="none" w:sz="0" w:space="0" w:color="auto"/>
                                    <w:right w:val="none" w:sz="0" w:space="0" w:color="auto"/>
                                  </w:divBdr>
                                  <w:divsChild>
                                    <w:div w:id="539898704">
                                      <w:marLeft w:val="0"/>
                                      <w:marRight w:val="0"/>
                                      <w:marTop w:val="0"/>
                                      <w:marBottom w:val="0"/>
                                      <w:divBdr>
                                        <w:top w:val="none" w:sz="0" w:space="0" w:color="auto"/>
                                        <w:left w:val="none" w:sz="0" w:space="0" w:color="auto"/>
                                        <w:bottom w:val="none" w:sz="0" w:space="0" w:color="auto"/>
                                        <w:right w:val="none" w:sz="0" w:space="0" w:color="auto"/>
                                      </w:divBdr>
                                      <w:divsChild>
                                        <w:div w:id="371880408">
                                          <w:marLeft w:val="0"/>
                                          <w:marRight w:val="0"/>
                                          <w:marTop w:val="0"/>
                                          <w:marBottom w:val="0"/>
                                          <w:divBdr>
                                            <w:top w:val="none" w:sz="0" w:space="0" w:color="auto"/>
                                            <w:left w:val="none" w:sz="0" w:space="0" w:color="auto"/>
                                            <w:bottom w:val="none" w:sz="0" w:space="0" w:color="auto"/>
                                            <w:right w:val="none" w:sz="0" w:space="0" w:color="auto"/>
                                          </w:divBdr>
                                          <w:divsChild>
                                            <w:div w:id="1585261875">
                                              <w:marLeft w:val="0"/>
                                              <w:marRight w:val="0"/>
                                              <w:marTop w:val="0"/>
                                              <w:marBottom w:val="0"/>
                                              <w:divBdr>
                                                <w:top w:val="none" w:sz="0" w:space="0" w:color="auto"/>
                                                <w:left w:val="none" w:sz="0" w:space="0" w:color="auto"/>
                                                <w:bottom w:val="none" w:sz="0" w:space="0" w:color="auto"/>
                                                <w:right w:val="none" w:sz="0" w:space="0" w:color="auto"/>
                                              </w:divBdr>
                                              <w:divsChild>
                                                <w:div w:id="1300456391">
                                                  <w:marLeft w:val="0"/>
                                                  <w:marRight w:val="0"/>
                                                  <w:marTop w:val="0"/>
                                                  <w:marBottom w:val="0"/>
                                                  <w:divBdr>
                                                    <w:top w:val="none" w:sz="0" w:space="0" w:color="auto"/>
                                                    <w:left w:val="none" w:sz="0" w:space="0" w:color="auto"/>
                                                    <w:bottom w:val="none" w:sz="0" w:space="0" w:color="auto"/>
                                                    <w:right w:val="none" w:sz="0" w:space="0" w:color="auto"/>
                                                  </w:divBdr>
                                                  <w:divsChild>
                                                    <w:div w:id="2080903298">
                                                      <w:marLeft w:val="0"/>
                                                      <w:marRight w:val="0"/>
                                                      <w:marTop w:val="0"/>
                                                      <w:marBottom w:val="0"/>
                                                      <w:divBdr>
                                                        <w:top w:val="none" w:sz="0" w:space="0" w:color="auto"/>
                                                        <w:left w:val="none" w:sz="0" w:space="0" w:color="auto"/>
                                                        <w:bottom w:val="none" w:sz="0" w:space="0" w:color="auto"/>
                                                        <w:right w:val="none" w:sz="0" w:space="0" w:color="auto"/>
                                                      </w:divBdr>
                                                      <w:divsChild>
                                                        <w:div w:id="1073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4881820">
      <w:bodyDiv w:val="1"/>
      <w:marLeft w:val="0"/>
      <w:marRight w:val="0"/>
      <w:marTop w:val="0"/>
      <w:marBottom w:val="0"/>
      <w:divBdr>
        <w:top w:val="none" w:sz="0" w:space="0" w:color="auto"/>
        <w:left w:val="none" w:sz="0" w:space="0" w:color="auto"/>
        <w:bottom w:val="none" w:sz="0" w:space="0" w:color="auto"/>
        <w:right w:val="none" w:sz="0" w:space="0" w:color="auto"/>
      </w:divBdr>
    </w:div>
    <w:div w:id="1781801395">
      <w:bodyDiv w:val="1"/>
      <w:marLeft w:val="0"/>
      <w:marRight w:val="0"/>
      <w:marTop w:val="0"/>
      <w:marBottom w:val="0"/>
      <w:divBdr>
        <w:top w:val="none" w:sz="0" w:space="0" w:color="auto"/>
        <w:left w:val="none" w:sz="0" w:space="0" w:color="auto"/>
        <w:bottom w:val="none" w:sz="0" w:space="0" w:color="auto"/>
        <w:right w:val="none" w:sz="0" w:space="0" w:color="auto"/>
      </w:divBdr>
    </w:div>
    <w:div w:id="1879118689">
      <w:bodyDiv w:val="1"/>
      <w:marLeft w:val="0"/>
      <w:marRight w:val="0"/>
      <w:marTop w:val="0"/>
      <w:marBottom w:val="0"/>
      <w:divBdr>
        <w:top w:val="none" w:sz="0" w:space="0" w:color="auto"/>
        <w:left w:val="none" w:sz="0" w:space="0" w:color="auto"/>
        <w:bottom w:val="none" w:sz="0" w:space="0" w:color="auto"/>
        <w:right w:val="none" w:sz="0" w:space="0" w:color="auto"/>
      </w:divBdr>
      <w:divsChild>
        <w:div w:id="1933279040">
          <w:marLeft w:val="0"/>
          <w:marRight w:val="0"/>
          <w:marTop w:val="0"/>
          <w:marBottom w:val="0"/>
          <w:divBdr>
            <w:top w:val="none" w:sz="0" w:space="0" w:color="auto"/>
            <w:left w:val="none" w:sz="0" w:space="0" w:color="auto"/>
            <w:bottom w:val="none" w:sz="0" w:space="0" w:color="auto"/>
            <w:right w:val="none" w:sz="0" w:space="0" w:color="auto"/>
          </w:divBdr>
        </w:div>
      </w:divsChild>
    </w:div>
    <w:div w:id="1884974040">
      <w:bodyDiv w:val="1"/>
      <w:marLeft w:val="0"/>
      <w:marRight w:val="0"/>
      <w:marTop w:val="0"/>
      <w:marBottom w:val="0"/>
      <w:divBdr>
        <w:top w:val="none" w:sz="0" w:space="0" w:color="auto"/>
        <w:left w:val="none" w:sz="0" w:space="0" w:color="auto"/>
        <w:bottom w:val="none" w:sz="0" w:space="0" w:color="auto"/>
        <w:right w:val="none" w:sz="0" w:space="0" w:color="auto"/>
      </w:divBdr>
      <w:divsChild>
        <w:div w:id="1484010469">
          <w:marLeft w:val="0"/>
          <w:marRight w:val="0"/>
          <w:marTop w:val="0"/>
          <w:marBottom w:val="0"/>
          <w:divBdr>
            <w:top w:val="none" w:sz="0" w:space="0" w:color="auto"/>
            <w:left w:val="none" w:sz="0" w:space="0" w:color="auto"/>
            <w:bottom w:val="none" w:sz="0" w:space="0" w:color="auto"/>
            <w:right w:val="none" w:sz="0" w:space="0" w:color="auto"/>
          </w:divBdr>
          <w:divsChild>
            <w:div w:id="1353188708">
              <w:marLeft w:val="0"/>
              <w:marRight w:val="0"/>
              <w:marTop w:val="0"/>
              <w:marBottom w:val="0"/>
              <w:divBdr>
                <w:top w:val="none" w:sz="0" w:space="0" w:color="auto"/>
                <w:left w:val="none" w:sz="0" w:space="0" w:color="auto"/>
                <w:bottom w:val="none" w:sz="0" w:space="0" w:color="auto"/>
                <w:right w:val="none" w:sz="0" w:space="0" w:color="auto"/>
              </w:divBdr>
              <w:divsChild>
                <w:div w:id="1887258084">
                  <w:marLeft w:val="0"/>
                  <w:marRight w:val="0"/>
                  <w:marTop w:val="0"/>
                  <w:marBottom w:val="0"/>
                  <w:divBdr>
                    <w:top w:val="none" w:sz="0" w:space="0" w:color="auto"/>
                    <w:left w:val="none" w:sz="0" w:space="0" w:color="auto"/>
                    <w:bottom w:val="none" w:sz="0" w:space="0" w:color="auto"/>
                    <w:right w:val="none" w:sz="0" w:space="0" w:color="auto"/>
                  </w:divBdr>
                  <w:divsChild>
                    <w:div w:id="71586047">
                      <w:marLeft w:val="0"/>
                      <w:marRight w:val="0"/>
                      <w:marTop w:val="0"/>
                      <w:marBottom w:val="0"/>
                      <w:divBdr>
                        <w:top w:val="none" w:sz="0" w:space="0" w:color="auto"/>
                        <w:left w:val="none" w:sz="0" w:space="0" w:color="auto"/>
                        <w:bottom w:val="none" w:sz="0" w:space="0" w:color="auto"/>
                        <w:right w:val="none" w:sz="0" w:space="0" w:color="auto"/>
                      </w:divBdr>
                      <w:divsChild>
                        <w:div w:id="1049576436">
                          <w:marLeft w:val="0"/>
                          <w:marRight w:val="0"/>
                          <w:marTop w:val="0"/>
                          <w:marBottom w:val="0"/>
                          <w:divBdr>
                            <w:top w:val="none" w:sz="0" w:space="0" w:color="auto"/>
                            <w:left w:val="none" w:sz="0" w:space="0" w:color="auto"/>
                            <w:bottom w:val="none" w:sz="0" w:space="0" w:color="auto"/>
                            <w:right w:val="none" w:sz="0" w:space="0" w:color="auto"/>
                          </w:divBdr>
                          <w:divsChild>
                            <w:div w:id="551236870">
                              <w:marLeft w:val="0"/>
                              <w:marRight w:val="0"/>
                              <w:marTop w:val="0"/>
                              <w:marBottom w:val="0"/>
                              <w:divBdr>
                                <w:top w:val="none" w:sz="0" w:space="0" w:color="auto"/>
                                <w:left w:val="none" w:sz="0" w:space="0" w:color="auto"/>
                                <w:bottom w:val="none" w:sz="0" w:space="0" w:color="auto"/>
                                <w:right w:val="none" w:sz="0" w:space="0" w:color="auto"/>
                              </w:divBdr>
                              <w:divsChild>
                                <w:div w:id="542980624">
                                  <w:marLeft w:val="0"/>
                                  <w:marRight w:val="0"/>
                                  <w:marTop w:val="0"/>
                                  <w:marBottom w:val="0"/>
                                  <w:divBdr>
                                    <w:top w:val="none" w:sz="0" w:space="0" w:color="auto"/>
                                    <w:left w:val="none" w:sz="0" w:space="0" w:color="auto"/>
                                    <w:bottom w:val="none" w:sz="0" w:space="0" w:color="auto"/>
                                    <w:right w:val="none" w:sz="0" w:space="0" w:color="auto"/>
                                  </w:divBdr>
                                  <w:divsChild>
                                    <w:div w:id="485627846">
                                      <w:marLeft w:val="0"/>
                                      <w:marRight w:val="0"/>
                                      <w:marTop w:val="0"/>
                                      <w:marBottom w:val="0"/>
                                      <w:divBdr>
                                        <w:top w:val="none" w:sz="0" w:space="0" w:color="auto"/>
                                        <w:left w:val="none" w:sz="0" w:space="0" w:color="auto"/>
                                        <w:bottom w:val="none" w:sz="0" w:space="0" w:color="auto"/>
                                        <w:right w:val="none" w:sz="0" w:space="0" w:color="auto"/>
                                      </w:divBdr>
                                      <w:divsChild>
                                        <w:div w:id="865557504">
                                          <w:marLeft w:val="0"/>
                                          <w:marRight w:val="0"/>
                                          <w:marTop w:val="0"/>
                                          <w:marBottom w:val="0"/>
                                          <w:divBdr>
                                            <w:top w:val="none" w:sz="0" w:space="0" w:color="auto"/>
                                            <w:left w:val="none" w:sz="0" w:space="0" w:color="auto"/>
                                            <w:bottom w:val="none" w:sz="0" w:space="0" w:color="auto"/>
                                            <w:right w:val="none" w:sz="0" w:space="0" w:color="auto"/>
                                          </w:divBdr>
                                          <w:divsChild>
                                            <w:div w:id="819232311">
                                              <w:marLeft w:val="0"/>
                                              <w:marRight w:val="0"/>
                                              <w:marTop w:val="0"/>
                                              <w:marBottom w:val="0"/>
                                              <w:divBdr>
                                                <w:top w:val="none" w:sz="0" w:space="0" w:color="auto"/>
                                                <w:left w:val="none" w:sz="0" w:space="0" w:color="auto"/>
                                                <w:bottom w:val="none" w:sz="0" w:space="0" w:color="auto"/>
                                                <w:right w:val="none" w:sz="0" w:space="0" w:color="auto"/>
                                              </w:divBdr>
                                              <w:divsChild>
                                                <w:div w:id="1360857253">
                                                  <w:marLeft w:val="0"/>
                                                  <w:marRight w:val="0"/>
                                                  <w:marTop w:val="0"/>
                                                  <w:marBottom w:val="0"/>
                                                  <w:divBdr>
                                                    <w:top w:val="none" w:sz="0" w:space="0" w:color="auto"/>
                                                    <w:left w:val="none" w:sz="0" w:space="0" w:color="auto"/>
                                                    <w:bottom w:val="none" w:sz="0" w:space="0" w:color="auto"/>
                                                    <w:right w:val="none" w:sz="0" w:space="0" w:color="auto"/>
                                                  </w:divBdr>
                                                  <w:divsChild>
                                                    <w:div w:id="257373443">
                                                      <w:marLeft w:val="0"/>
                                                      <w:marRight w:val="0"/>
                                                      <w:marTop w:val="0"/>
                                                      <w:marBottom w:val="0"/>
                                                      <w:divBdr>
                                                        <w:top w:val="none" w:sz="0" w:space="0" w:color="auto"/>
                                                        <w:left w:val="none" w:sz="0" w:space="0" w:color="auto"/>
                                                        <w:bottom w:val="none" w:sz="0" w:space="0" w:color="auto"/>
                                                        <w:right w:val="none" w:sz="0" w:space="0" w:color="auto"/>
                                                      </w:divBdr>
                                                      <w:divsChild>
                                                        <w:div w:id="191759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ation" ma:contentTypeID="0x010100266966F133664895A6EE3632470D45F5010054D1677923AF89489D27800BBEF0A3E7" ma:contentTypeVersion="" ma:contentTypeDescription="PDMS Documentation Content Type" ma:contentTypeScope="" ma:versionID="549838ed0159c00ea671f2f2e6f6c64e">
  <xsd:schema xmlns:xsd="http://www.w3.org/2001/XMLSchema" xmlns:xs="http://www.w3.org/2001/XMLSchema" xmlns:p="http://schemas.microsoft.com/office/2006/metadata/properties" xmlns:ns2="335B2658-78C7-4AC5-85C9-B36DF1EAD94F" targetNamespace="http://schemas.microsoft.com/office/2006/metadata/properties" ma:root="true" ma:fieldsID="33324d2e40e0f4a65d52f116fa0dea02" ns2:_="">
    <xsd:import namespace="335B2658-78C7-4AC5-85C9-B36DF1EAD94F"/>
    <xsd:element name="properties">
      <xsd:complexType>
        <xsd:sequence>
          <xsd:element name="documentManagement">
            <xsd:complexType>
              <xsd:all>
                <xsd:element ref="ns2:SecurityClassification" minOccurs="0"/>
                <xsd:element ref="ns2:pdms_DocumentType" minOccurs="0"/>
                <xsd:element ref="ns2:pdms_AttachedBy" minOccurs="0"/>
                <xsd:element ref="ns2:pdms_Reason" minOccurs="0"/>
                <xsd:element ref="ns2:pdms_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5B2658-78C7-4AC5-85C9-B36DF1EAD94F"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element name="pdms_DocumentType" ma:index="9" nillable="true" ma:displayName="Document Type" ma:internalName="pdms_DocumentType">
      <xsd:simpleType>
        <xsd:restriction base="dms:Text"/>
      </xsd:simpleType>
    </xsd:element>
    <xsd:element name="pdms_AttachedBy" ma:index="10" nillable="true" ma:displayName="Attached By" ma:internalName="pdms_AttachedBy">
      <xsd:simpleType>
        <xsd:restriction base="dms:Text"/>
      </xsd:simpleType>
    </xsd:element>
    <xsd:element name="pdms_Reason" ma:index="11" nillable="true" ma:displayName="Reason" ma:internalName="pdms_Reason">
      <xsd:simpleType>
        <xsd:restriction base="dms:Text"/>
      </xsd:simpleType>
    </xsd:element>
    <xsd:element name="pdms_SecurityClassification" ma:index="12" nillable="true" ma:displayName="Security Classification" ma:internalName="pdms_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dms_DocumentType xmlns="335B2658-78C7-4AC5-85C9-B36DF1EAD94F" xsi:nil="true"/>
    <pdms_AttachedBy xmlns="335B2658-78C7-4AC5-85C9-B36DF1EAD94F" xsi:nil="true"/>
    <pdms_SecurityClassification xmlns="335B2658-78C7-4AC5-85C9-B36DF1EAD94F" xsi:nil="true"/>
    <SecurityClassification xmlns="335B2658-78C7-4AC5-85C9-B36DF1EAD94F" xsi:nil="true"/>
    <pdms_Reason xmlns="335B2658-78C7-4AC5-85C9-B36DF1EAD94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89C49-A09D-4F22-A0D9-51B0551D7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B2658-78C7-4AC5-85C9-B36DF1EAD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2EA01C-CC1F-49E7-AFF8-3903F55A2328}">
  <ds:schemaRefs>
    <ds:schemaRef ds:uri="http://schemas.microsoft.com/sharepoint/v3/contenttype/forms"/>
  </ds:schemaRefs>
</ds:datastoreItem>
</file>

<file path=customXml/itemProps3.xml><?xml version="1.0" encoding="utf-8"?>
<ds:datastoreItem xmlns:ds="http://schemas.openxmlformats.org/officeDocument/2006/customXml" ds:itemID="{6B424C89-9701-4C90-AD92-A691776122B6}">
  <ds:schemaRefs>
    <ds:schemaRef ds:uri="http://schemas.openxmlformats.org/package/2006/metadata/core-properties"/>
    <ds:schemaRef ds:uri="335B2658-78C7-4AC5-85C9-B36DF1EAD94F"/>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608950B-5843-402D-92BA-17BEFBEA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8</Pages>
  <Words>2893</Words>
  <Characters>16494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Sheridan.Keller@education.gov.au</dc:creator>
  <cp:keywords>[SEC=UNCLASSIFIED:For-Official-Use-Only]</cp:keywords>
  <cp:lastModifiedBy>KO,Maple</cp:lastModifiedBy>
  <cp:revision>32</cp:revision>
  <cp:lastPrinted>2019-02-20T00:49:00Z</cp:lastPrinted>
  <dcterms:created xsi:type="dcterms:W3CDTF">2019-02-20T00:08:00Z</dcterms:created>
  <dcterms:modified xsi:type="dcterms:W3CDTF">2019-04-05T02:16:00Z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0x010100266966F133664895A6EE3632470D45F5010054D1677923AF89489D27800BBEF0A3E7</vt:lpwstr>
  </property>
  <property fmtid="{D5CDD505-2E9C-101B-9397-08002B2CF9AE}" pid="3" name="PM_Caveats_Count">
    <vt:lpwstr>0</vt:lpwstr>
  </property>
  <property fmtid="{D5CDD505-2E9C-101B-9397-08002B2CF9AE}" pid="4" name="PM_Originator_Hash_SHA1">
    <vt:lpwstr>6821911AB1E3F61227BD7E81844C7DDC0F3E8555</vt:lpwstr>
  </property>
  <property fmtid="{D5CDD505-2E9C-101B-9397-08002B2CF9AE}" pid="5" name="PM_SecurityClassification">
    <vt:lpwstr>UNCLASSIFIED</vt:lpwstr>
  </property>
  <property fmtid="{D5CDD505-2E9C-101B-9397-08002B2CF9AE}" pid="6" name="PM_DisplayValueSecClassificationWithQualifier">
    <vt:lpwstr>UNCLASSIFIED For Official Use Only</vt:lpwstr>
  </property>
  <property fmtid="{D5CDD505-2E9C-101B-9397-08002B2CF9AE}" pid="7" name="PM_Qualifier">
    <vt:lpwstr>For-Official-Use-Only</vt:lpwstr>
  </property>
  <property fmtid="{D5CDD505-2E9C-101B-9397-08002B2CF9AE}" pid="8" name="PM_InsertionValue">
    <vt:lpwstr>UNCLASSIFIED\r\nFor Official Use Only</vt:lpwstr>
  </property>
  <property fmtid="{D5CDD505-2E9C-101B-9397-08002B2CF9AE}" pid="9" name="PM_Hash_Salt">
    <vt:lpwstr>8FD24DF3C0D32832B872803238796316</vt:lpwstr>
  </property>
  <property fmtid="{D5CDD505-2E9C-101B-9397-08002B2CF9AE}" pid="10" name="PM_Hash_Version">
    <vt:lpwstr>2014.2</vt:lpwstr>
  </property>
  <property fmtid="{D5CDD505-2E9C-101B-9397-08002B2CF9AE}" pid="11" name="PM_Hash_Salt_Prev">
    <vt:lpwstr>8FD24DF3C0D32832B872803238796316</vt:lpwstr>
  </property>
  <property fmtid="{D5CDD505-2E9C-101B-9397-08002B2CF9AE}" pid="12" name="PM_Hash_SHA1">
    <vt:lpwstr>37D9A8659C917A81B977D289EA024483EE2F920C</vt:lpwstr>
  </property>
</Properties>
</file>