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141FC" w:rsidRDefault="00193461" w:rsidP="0020300C">
      <w:pPr>
        <w:rPr>
          <w:sz w:val="28"/>
        </w:rPr>
      </w:pPr>
      <w:r w:rsidRPr="00D141FC">
        <w:rPr>
          <w:noProof/>
          <w:lang w:eastAsia="en-AU"/>
        </w:rPr>
        <w:drawing>
          <wp:inline distT="0" distB="0" distL="0" distR="0" wp14:anchorId="1C3F1E6D" wp14:editId="3C7F0D5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141FC" w:rsidRDefault="0048364F" w:rsidP="0048364F">
      <w:pPr>
        <w:rPr>
          <w:sz w:val="19"/>
        </w:rPr>
      </w:pPr>
    </w:p>
    <w:p w:rsidR="0048364F" w:rsidRPr="00D141FC" w:rsidRDefault="005B546B" w:rsidP="0048364F">
      <w:pPr>
        <w:pStyle w:val="ShortT"/>
      </w:pPr>
      <w:r w:rsidRPr="00D141FC">
        <w:t>National Health (Pharmaceuticals and Vaccines—Cost Recovery) Amendment Regulations</w:t>
      </w:r>
      <w:r w:rsidR="00D141FC" w:rsidRPr="00D141FC">
        <w:t> </w:t>
      </w:r>
      <w:r w:rsidRPr="00D141FC">
        <w:t>2019</w:t>
      </w:r>
    </w:p>
    <w:p w:rsidR="005B546B" w:rsidRPr="00D141FC" w:rsidRDefault="005B546B" w:rsidP="004D7ECE">
      <w:pPr>
        <w:pStyle w:val="SignCoverPageStart"/>
        <w:spacing w:before="240"/>
        <w:rPr>
          <w:szCs w:val="22"/>
        </w:rPr>
      </w:pPr>
      <w:r w:rsidRPr="00D141FC">
        <w:rPr>
          <w:szCs w:val="22"/>
        </w:rPr>
        <w:t>I, General the Honourable Sir Peter Cosgrove AK MC (Ret’d), Governor</w:t>
      </w:r>
      <w:r w:rsidR="00D141FC">
        <w:rPr>
          <w:szCs w:val="22"/>
        </w:rPr>
        <w:noBreakHyphen/>
      </w:r>
      <w:r w:rsidRPr="00D141FC">
        <w:rPr>
          <w:szCs w:val="22"/>
        </w:rPr>
        <w:t>General of the Commonwealth of Australia, acting with the advice of the Federal Executive Council, make the following regulations</w:t>
      </w:r>
      <w:r w:rsidR="00A07EDA" w:rsidRPr="00D141FC">
        <w:rPr>
          <w:szCs w:val="22"/>
        </w:rPr>
        <w:t>.</w:t>
      </w:r>
    </w:p>
    <w:p w:rsidR="005B546B" w:rsidRPr="00D141FC" w:rsidRDefault="005B546B" w:rsidP="004D7ECE">
      <w:pPr>
        <w:keepNext/>
        <w:spacing w:before="720" w:line="240" w:lineRule="atLeast"/>
        <w:ind w:right="397"/>
        <w:jc w:val="both"/>
        <w:rPr>
          <w:szCs w:val="22"/>
        </w:rPr>
      </w:pPr>
      <w:r w:rsidRPr="00D141FC">
        <w:rPr>
          <w:szCs w:val="22"/>
        </w:rPr>
        <w:t xml:space="preserve">Dated </w:t>
      </w:r>
      <w:r w:rsidRPr="00D141FC">
        <w:rPr>
          <w:szCs w:val="22"/>
        </w:rPr>
        <w:fldChar w:fldCharType="begin"/>
      </w:r>
      <w:r w:rsidRPr="00D141FC">
        <w:rPr>
          <w:szCs w:val="22"/>
        </w:rPr>
        <w:instrText xml:space="preserve"> DOCPROPERTY  DateMade </w:instrText>
      </w:r>
      <w:r w:rsidRPr="00D141FC">
        <w:rPr>
          <w:szCs w:val="22"/>
        </w:rPr>
        <w:fldChar w:fldCharType="separate"/>
      </w:r>
      <w:r w:rsidR="008F5F62">
        <w:rPr>
          <w:szCs w:val="22"/>
        </w:rPr>
        <w:t>04 April 2019</w:t>
      </w:r>
      <w:r w:rsidRPr="00D141FC">
        <w:rPr>
          <w:szCs w:val="22"/>
        </w:rPr>
        <w:fldChar w:fldCharType="end"/>
      </w:r>
    </w:p>
    <w:p w:rsidR="005B546B" w:rsidRPr="00D141FC" w:rsidRDefault="005B546B" w:rsidP="004D7ECE">
      <w:pPr>
        <w:keepNext/>
        <w:tabs>
          <w:tab w:val="left" w:pos="3402"/>
        </w:tabs>
        <w:spacing w:before="1080" w:line="300" w:lineRule="atLeast"/>
        <w:ind w:left="397" w:right="397"/>
        <w:jc w:val="right"/>
        <w:rPr>
          <w:szCs w:val="22"/>
        </w:rPr>
      </w:pPr>
      <w:r w:rsidRPr="00D141FC">
        <w:rPr>
          <w:szCs w:val="22"/>
        </w:rPr>
        <w:t>Peter Cosgrove</w:t>
      </w:r>
    </w:p>
    <w:p w:rsidR="005B546B" w:rsidRPr="00D141FC" w:rsidRDefault="005B546B" w:rsidP="004D7ECE">
      <w:pPr>
        <w:keepNext/>
        <w:tabs>
          <w:tab w:val="left" w:pos="3402"/>
        </w:tabs>
        <w:spacing w:line="300" w:lineRule="atLeast"/>
        <w:ind w:left="397" w:right="397"/>
        <w:jc w:val="right"/>
        <w:rPr>
          <w:szCs w:val="22"/>
        </w:rPr>
      </w:pPr>
      <w:r w:rsidRPr="00D141FC">
        <w:rPr>
          <w:szCs w:val="22"/>
        </w:rPr>
        <w:t>Governor</w:t>
      </w:r>
      <w:r w:rsidR="00D141FC">
        <w:rPr>
          <w:szCs w:val="22"/>
        </w:rPr>
        <w:noBreakHyphen/>
      </w:r>
      <w:r w:rsidRPr="00D141FC">
        <w:rPr>
          <w:szCs w:val="22"/>
        </w:rPr>
        <w:t>General</w:t>
      </w:r>
    </w:p>
    <w:p w:rsidR="005B546B" w:rsidRPr="00D141FC" w:rsidRDefault="005B546B" w:rsidP="004D7ECE">
      <w:pPr>
        <w:keepNext/>
        <w:tabs>
          <w:tab w:val="left" w:pos="3402"/>
        </w:tabs>
        <w:spacing w:before="840" w:after="1080" w:line="300" w:lineRule="atLeast"/>
        <w:ind w:right="397"/>
        <w:rPr>
          <w:szCs w:val="22"/>
        </w:rPr>
      </w:pPr>
      <w:r w:rsidRPr="00D141FC">
        <w:rPr>
          <w:szCs w:val="22"/>
        </w:rPr>
        <w:t>By His Excellency’s Command</w:t>
      </w:r>
    </w:p>
    <w:p w:rsidR="005B546B" w:rsidRPr="00D141FC" w:rsidRDefault="005B546B" w:rsidP="004D7ECE">
      <w:pPr>
        <w:keepNext/>
        <w:tabs>
          <w:tab w:val="left" w:pos="3402"/>
        </w:tabs>
        <w:spacing w:before="480" w:line="300" w:lineRule="atLeast"/>
        <w:ind w:right="397"/>
        <w:rPr>
          <w:szCs w:val="22"/>
        </w:rPr>
      </w:pPr>
      <w:r w:rsidRPr="00D141FC">
        <w:rPr>
          <w:szCs w:val="22"/>
        </w:rPr>
        <w:t>Greg Hunt</w:t>
      </w:r>
    </w:p>
    <w:p w:rsidR="005B546B" w:rsidRPr="00D141FC" w:rsidRDefault="005B546B" w:rsidP="004D7ECE">
      <w:pPr>
        <w:pStyle w:val="SignCoverPageEnd"/>
        <w:rPr>
          <w:szCs w:val="22"/>
        </w:rPr>
      </w:pPr>
      <w:r w:rsidRPr="00D141FC">
        <w:rPr>
          <w:szCs w:val="22"/>
        </w:rPr>
        <w:t>Minister for Health</w:t>
      </w:r>
    </w:p>
    <w:p w:rsidR="005B546B" w:rsidRPr="00D141FC" w:rsidRDefault="005B546B" w:rsidP="004D7ECE"/>
    <w:p w:rsidR="005B546B" w:rsidRPr="00D141FC" w:rsidRDefault="005B546B" w:rsidP="004D7ECE"/>
    <w:p w:rsidR="005B546B" w:rsidRPr="00D141FC" w:rsidRDefault="005B546B" w:rsidP="004D7ECE"/>
    <w:p w:rsidR="005B546B" w:rsidRPr="00D141FC" w:rsidRDefault="005B546B" w:rsidP="005B546B"/>
    <w:p w:rsidR="0048364F" w:rsidRPr="00D141FC" w:rsidRDefault="0048364F" w:rsidP="0048364F">
      <w:pPr>
        <w:pStyle w:val="Header"/>
        <w:tabs>
          <w:tab w:val="clear" w:pos="4150"/>
          <w:tab w:val="clear" w:pos="8307"/>
        </w:tabs>
      </w:pPr>
      <w:r w:rsidRPr="00D141FC">
        <w:rPr>
          <w:rStyle w:val="CharAmSchNo"/>
        </w:rPr>
        <w:t xml:space="preserve"> </w:t>
      </w:r>
      <w:r w:rsidRPr="00D141FC">
        <w:rPr>
          <w:rStyle w:val="CharAmSchText"/>
        </w:rPr>
        <w:t xml:space="preserve"> </w:t>
      </w:r>
    </w:p>
    <w:p w:rsidR="0048364F" w:rsidRPr="00D141FC" w:rsidRDefault="0048364F" w:rsidP="0048364F">
      <w:pPr>
        <w:pStyle w:val="Header"/>
        <w:tabs>
          <w:tab w:val="clear" w:pos="4150"/>
          <w:tab w:val="clear" w:pos="8307"/>
        </w:tabs>
      </w:pPr>
      <w:r w:rsidRPr="00D141FC">
        <w:rPr>
          <w:rStyle w:val="CharAmPartNo"/>
        </w:rPr>
        <w:t xml:space="preserve"> </w:t>
      </w:r>
      <w:r w:rsidRPr="00D141FC">
        <w:rPr>
          <w:rStyle w:val="CharAmPartText"/>
        </w:rPr>
        <w:t xml:space="preserve"> </w:t>
      </w:r>
    </w:p>
    <w:p w:rsidR="0048364F" w:rsidRPr="00D141FC" w:rsidRDefault="0048364F" w:rsidP="0048364F">
      <w:pPr>
        <w:sectPr w:rsidR="0048364F" w:rsidRPr="00D141FC" w:rsidSect="00A754E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D141FC" w:rsidRDefault="0048364F" w:rsidP="00EE588D">
      <w:pPr>
        <w:rPr>
          <w:sz w:val="36"/>
        </w:rPr>
      </w:pPr>
      <w:r w:rsidRPr="00D141FC">
        <w:rPr>
          <w:sz w:val="36"/>
        </w:rPr>
        <w:lastRenderedPageBreak/>
        <w:t>Contents</w:t>
      </w:r>
    </w:p>
    <w:p w:rsidR="009E4D34" w:rsidRPr="00D141FC" w:rsidRDefault="009E4D34">
      <w:pPr>
        <w:pStyle w:val="TOC5"/>
        <w:rPr>
          <w:rFonts w:asciiTheme="minorHAnsi" w:eastAsiaTheme="minorEastAsia" w:hAnsiTheme="minorHAnsi" w:cstheme="minorBidi"/>
          <w:noProof/>
          <w:kern w:val="0"/>
          <w:sz w:val="22"/>
          <w:szCs w:val="22"/>
        </w:rPr>
      </w:pPr>
      <w:r w:rsidRPr="00D141FC">
        <w:fldChar w:fldCharType="begin"/>
      </w:r>
      <w:r w:rsidRPr="00D141FC">
        <w:instrText xml:space="preserve"> TOC \o "1-9" </w:instrText>
      </w:r>
      <w:r w:rsidRPr="00D141FC">
        <w:fldChar w:fldCharType="separate"/>
      </w:r>
      <w:r w:rsidRPr="00D141FC">
        <w:rPr>
          <w:noProof/>
        </w:rPr>
        <w:t>1</w:t>
      </w:r>
      <w:r w:rsidRPr="00D141FC">
        <w:rPr>
          <w:noProof/>
        </w:rPr>
        <w:tab/>
        <w:t>Name</w:t>
      </w:r>
      <w:r w:rsidRPr="00D141FC">
        <w:rPr>
          <w:noProof/>
        </w:rPr>
        <w:tab/>
      </w:r>
      <w:r w:rsidRPr="00D141FC">
        <w:rPr>
          <w:noProof/>
        </w:rPr>
        <w:fldChar w:fldCharType="begin"/>
      </w:r>
      <w:r w:rsidRPr="00D141FC">
        <w:rPr>
          <w:noProof/>
        </w:rPr>
        <w:instrText xml:space="preserve"> PAGEREF _Toc3993147 \h </w:instrText>
      </w:r>
      <w:r w:rsidRPr="00D141FC">
        <w:rPr>
          <w:noProof/>
        </w:rPr>
      </w:r>
      <w:r w:rsidRPr="00D141FC">
        <w:rPr>
          <w:noProof/>
        </w:rPr>
        <w:fldChar w:fldCharType="separate"/>
      </w:r>
      <w:r w:rsidR="008F5F62">
        <w:rPr>
          <w:noProof/>
        </w:rPr>
        <w:t>1</w:t>
      </w:r>
      <w:r w:rsidRPr="00D141FC">
        <w:rPr>
          <w:noProof/>
        </w:rPr>
        <w:fldChar w:fldCharType="end"/>
      </w:r>
    </w:p>
    <w:p w:rsidR="009E4D34" w:rsidRPr="00D141FC" w:rsidRDefault="009E4D34">
      <w:pPr>
        <w:pStyle w:val="TOC5"/>
        <w:rPr>
          <w:rFonts w:asciiTheme="minorHAnsi" w:eastAsiaTheme="minorEastAsia" w:hAnsiTheme="minorHAnsi" w:cstheme="minorBidi"/>
          <w:noProof/>
          <w:kern w:val="0"/>
          <w:sz w:val="22"/>
          <w:szCs w:val="22"/>
        </w:rPr>
      </w:pPr>
      <w:r w:rsidRPr="00D141FC">
        <w:rPr>
          <w:noProof/>
        </w:rPr>
        <w:t>2</w:t>
      </w:r>
      <w:r w:rsidRPr="00D141FC">
        <w:rPr>
          <w:noProof/>
        </w:rPr>
        <w:tab/>
        <w:t>Commencement</w:t>
      </w:r>
      <w:r w:rsidRPr="00D141FC">
        <w:rPr>
          <w:noProof/>
        </w:rPr>
        <w:tab/>
      </w:r>
      <w:r w:rsidRPr="00D141FC">
        <w:rPr>
          <w:noProof/>
        </w:rPr>
        <w:fldChar w:fldCharType="begin"/>
      </w:r>
      <w:r w:rsidRPr="00D141FC">
        <w:rPr>
          <w:noProof/>
        </w:rPr>
        <w:instrText xml:space="preserve"> PAGEREF _Toc3993148 \h </w:instrText>
      </w:r>
      <w:r w:rsidRPr="00D141FC">
        <w:rPr>
          <w:noProof/>
        </w:rPr>
      </w:r>
      <w:r w:rsidRPr="00D141FC">
        <w:rPr>
          <w:noProof/>
        </w:rPr>
        <w:fldChar w:fldCharType="separate"/>
      </w:r>
      <w:r w:rsidR="008F5F62">
        <w:rPr>
          <w:noProof/>
        </w:rPr>
        <w:t>1</w:t>
      </w:r>
      <w:r w:rsidRPr="00D141FC">
        <w:rPr>
          <w:noProof/>
        </w:rPr>
        <w:fldChar w:fldCharType="end"/>
      </w:r>
    </w:p>
    <w:p w:rsidR="009E4D34" w:rsidRPr="00D141FC" w:rsidRDefault="009E4D34">
      <w:pPr>
        <w:pStyle w:val="TOC5"/>
        <w:rPr>
          <w:rFonts w:asciiTheme="minorHAnsi" w:eastAsiaTheme="minorEastAsia" w:hAnsiTheme="minorHAnsi" w:cstheme="minorBidi"/>
          <w:noProof/>
          <w:kern w:val="0"/>
          <w:sz w:val="22"/>
          <w:szCs w:val="22"/>
        </w:rPr>
      </w:pPr>
      <w:r w:rsidRPr="00D141FC">
        <w:rPr>
          <w:noProof/>
        </w:rPr>
        <w:t>3</w:t>
      </w:r>
      <w:r w:rsidRPr="00D141FC">
        <w:rPr>
          <w:noProof/>
        </w:rPr>
        <w:tab/>
        <w:t>Authority</w:t>
      </w:r>
      <w:r w:rsidRPr="00D141FC">
        <w:rPr>
          <w:noProof/>
        </w:rPr>
        <w:tab/>
      </w:r>
      <w:r w:rsidRPr="00D141FC">
        <w:rPr>
          <w:noProof/>
        </w:rPr>
        <w:fldChar w:fldCharType="begin"/>
      </w:r>
      <w:r w:rsidRPr="00D141FC">
        <w:rPr>
          <w:noProof/>
        </w:rPr>
        <w:instrText xml:space="preserve"> PAGEREF _Toc3993149 \h </w:instrText>
      </w:r>
      <w:r w:rsidRPr="00D141FC">
        <w:rPr>
          <w:noProof/>
        </w:rPr>
      </w:r>
      <w:r w:rsidRPr="00D141FC">
        <w:rPr>
          <w:noProof/>
        </w:rPr>
        <w:fldChar w:fldCharType="separate"/>
      </w:r>
      <w:r w:rsidR="008F5F62">
        <w:rPr>
          <w:noProof/>
        </w:rPr>
        <w:t>1</w:t>
      </w:r>
      <w:r w:rsidRPr="00D141FC">
        <w:rPr>
          <w:noProof/>
        </w:rPr>
        <w:fldChar w:fldCharType="end"/>
      </w:r>
    </w:p>
    <w:p w:rsidR="009E4D34" w:rsidRPr="00D141FC" w:rsidRDefault="009E4D34">
      <w:pPr>
        <w:pStyle w:val="TOC5"/>
        <w:rPr>
          <w:rFonts w:asciiTheme="minorHAnsi" w:eastAsiaTheme="minorEastAsia" w:hAnsiTheme="minorHAnsi" w:cstheme="minorBidi"/>
          <w:noProof/>
          <w:kern w:val="0"/>
          <w:sz w:val="22"/>
          <w:szCs w:val="22"/>
        </w:rPr>
      </w:pPr>
      <w:r w:rsidRPr="00D141FC">
        <w:rPr>
          <w:noProof/>
        </w:rPr>
        <w:t>4</w:t>
      </w:r>
      <w:r w:rsidRPr="00D141FC">
        <w:rPr>
          <w:noProof/>
        </w:rPr>
        <w:tab/>
        <w:t>Schedules</w:t>
      </w:r>
      <w:r w:rsidRPr="00D141FC">
        <w:rPr>
          <w:noProof/>
        </w:rPr>
        <w:tab/>
      </w:r>
      <w:r w:rsidRPr="00D141FC">
        <w:rPr>
          <w:noProof/>
        </w:rPr>
        <w:fldChar w:fldCharType="begin"/>
      </w:r>
      <w:r w:rsidRPr="00D141FC">
        <w:rPr>
          <w:noProof/>
        </w:rPr>
        <w:instrText xml:space="preserve"> PAGEREF _Toc3993150 \h </w:instrText>
      </w:r>
      <w:r w:rsidRPr="00D141FC">
        <w:rPr>
          <w:noProof/>
        </w:rPr>
      </w:r>
      <w:r w:rsidRPr="00D141FC">
        <w:rPr>
          <w:noProof/>
        </w:rPr>
        <w:fldChar w:fldCharType="separate"/>
      </w:r>
      <w:r w:rsidR="008F5F62">
        <w:rPr>
          <w:noProof/>
        </w:rPr>
        <w:t>1</w:t>
      </w:r>
      <w:r w:rsidRPr="00D141FC">
        <w:rPr>
          <w:noProof/>
        </w:rPr>
        <w:fldChar w:fldCharType="end"/>
      </w:r>
    </w:p>
    <w:p w:rsidR="009E4D34" w:rsidRPr="00D141FC" w:rsidRDefault="009E4D34">
      <w:pPr>
        <w:pStyle w:val="TOC6"/>
        <w:rPr>
          <w:rFonts w:asciiTheme="minorHAnsi" w:eastAsiaTheme="minorEastAsia" w:hAnsiTheme="minorHAnsi" w:cstheme="minorBidi"/>
          <w:b w:val="0"/>
          <w:noProof/>
          <w:kern w:val="0"/>
          <w:sz w:val="22"/>
          <w:szCs w:val="22"/>
        </w:rPr>
      </w:pPr>
      <w:r w:rsidRPr="00D141FC">
        <w:rPr>
          <w:noProof/>
        </w:rPr>
        <w:t>Schedule</w:t>
      </w:r>
      <w:r w:rsidR="00D141FC" w:rsidRPr="00D141FC">
        <w:rPr>
          <w:noProof/>
        </w:rPr>
        <w:t> </w:t>
      </w:r>
      <w:r w:rsidRPr="00D141FC">
        <w:rPr>
          <w:noProof/>
        </w:rPr>
        <w:t>1—Amendments</w:t>
      </w:r>
      <w:r w:rsidRPr="00D141FC">
        <w:rPr>
          <w:b w:val="0"/>
          <w:noProof/>
          <w:sz w:val="18"/>
        </w:rPr>
        <w:tab/>
      </w:r>
      <w:r w:rsidRPr="00D141FC">
        <w:rPr>
          <w:b w:val="0"/>
          <w:noProof/>
          <w:sz w:val="18"/>
        </w:rPr>
        <w:fldChar w:fldCharType="begin"/>
      </w:r>
      <w:r w:rsidRPr="00D141FC">
        <w:rPr>
          <w:b w:val="0"/>
          <w:noProof/>
          <w:sz w:val="18"/>
        </w:rPr>
        <w:instrText xml:space="preserve"> PAGEREF _Toc3993151 \h </w:instrText>
      </w:r>
      <w:r w:rsidRPr="00D141FC">
        <w:rPr>
          <w:b w:val="0"/>
          <w:noProof/>
          <w:sz w:val="18"/>
        </w:rPr>
      </w:r>
      <w:r w:rsidRPr="00D141FC">
        <w:rPr>
          <w:b w:val="0"/>
          <w:noProof/>
          <w:sz w:val="18"/>
        </w:rPr>
        <w:fldChar w:fldCharType="separate"/>
      </w:r>
      <w:r w:rsidR="008F5F62">
        <w:rPr>
          <w:b w:val="0"/>
          <w:noProof/>
          <w:sz w:val="18"/>
        </w:rPr>
        <w:t>2</w:t>
      </w:r>
      <w:r w:rsidRPr="00D141FC">
        <w:rPr>
          <w:b w:val="0"/>
          <w:noProof/>
          <w:sz w:val="18"/>
        </w:rPr>
        <w:fldChar w:fldCharType="end"/>
      </w:r>
    </w:p>
    <w:p w:rsidR="009E4D34" w:rsidRPr="00D141FC" w:rsidRDefault="009E4D34">
      <w:pPr>
        <w:pStyle w:val="TOC9"/>
        <w:rPr>
          <w:rFonts w:asciiTheme="minorHAnsi" w:eastAsiaTheme="minorEastAsia" w:hAnsiTheme="minorHAnsi" w:cstheme="minorBidi"/>
          <w:i w:val="0"/>
          <w:noProof/>
          <w:kern w:val="0"/>
          <w:sz w:val="22"/>
          <w:szCs w:val="22"/>
        </w:rPr>
      </w:pPr>
      <w:r w:rsidRPr="00D141FC">
        <w:rPr>
          <w:noProof/>
        </w:rPr>
        <w:t>National Health (Pharmaceuticals and Vaccines—Cost Recovery) Regulations</w:t>
      </w:r>
      <w:r w:rsidR="00D141FC" w:rsidRPr="00D141FC">
        <w:rPr>
          <w:noProof/>
        </w:rPr>
        <w:t> </w:t>
      </w:r>
      <w:r w:rsidRPr="00D141FC">
        <w:rPr>
          <w:noProof/>
        </w:rPr>
        <w:t>2009</w:t>
      </w:r>
      <w:r w:rsidRPr="00D141FC">
        <w:rPr>
          <w:i w:val="0"/>
          <w:noProof/>
          <w:sz w:val="18"/>
        </w:rPr>
        <w:tab/>
      </w:r>
      <w:r w:rsidRPr="00D141FC">
        <w:rPr>
          <w:i w:val="0"/>
          <w:noProof/>
          <w:sz w:val="18"/>
        </w:rPr>
        <w:fldChar w:fldCharType="begin"/>
      </w:r>
      <w:r w:rsidRPr="00D141FC">
        <w:rPr>
          <w:i w:val="0"/>
          <w:noProof/>
          <w:sz w:val="18"/>
        </w:rPr>
        <w:instrText xml:space="preserve"> PAGEREF _Toc3993152 \h </w:instrText>
      </w:r>
      <w:r w:rsidRPr="00D141FC">
        <w:rPr>
          <w:i w:val="0"/>
          <w:noProof/>
          <w:sz w:val="18"/>
        </w:rPr>
      </w:r>
      <w:r w:rsidRPr="00D141FC">
        <w:rPr>
          <w:i w:val="0"/>
          <w:noProof/>
          <w:sz w:val="18"/>
        </w:rPr>
        <w:fldChar w:fldCharType="separate"/>
      </w:r>
      <w:r w:rsidR="008F5F62">
        <w:rPr>
          <w:i w:val="0"/>
          <w:noProof/>
          <w:sz w:val="18"/>
        </w:rPr>
        <w:t>2</w:t>
      </w:r>
      <w:r w:rsidRPr="00D141FC">
        <w:rPr>
          <w:i w:val="0"/>
          <w:noProof/>
          <w:sz w:val="18"/>
        </w:rPr>
        <w:fldChar w:fldCharType="end"/>
      </w:r>
    </w:p>
    <w:p w:rsidR="0048364F" w:rsidRPr="00D141FC" w:rsidRDefault="009E4D34" w:rsidP="0048364F">
      <w:r w:rsidRPr="00D141FC">
        <w:fldChar w:fldCharType="end"/>
      </w:r>
    </w:p>
    <w:p w:rsidR="0048364F" w:rsidRPr="00D141FC" w:rsidRDefault="0048364F" w:rsidP="0048364F">
      <w:pPr>
        <w:sectPr w:rsidR="0048364F" w:rsidRPr="00D141FC" w:rsidSect="00A754E5">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D141FC" w:rsidRDefault="0048364F" w:rsidP="0048364F">
      <w:pPr>
        <w:pStyle w:val="ActHead5"/>
      </w:pPr>
      <w:bookmarkStart w:id="0" w:name="_Toc3993147"/>
      <w:r w:rsidRPr="00D141FC">
        <w:rPr>
          <w:rStyle w:val="CharSectno"/>
        </w:rPr>
        <w:lastRenderedPageBreak/>
        <w:t>1</w:t>
      </w:r>
      <w:r w:rsidRPr="00D141FC">
        <w:t xml:space="preserve">  </w:t>
      </w:r>
      <w:r w:rsidR="004F676E" w:rsidRPr="00D141FC">
        <w:t>Name</w:t>
      </w:r>
      <w:bookmarkEnd w:id="0"/>
    </w:p>
    <w:p w:rsidR="0048364F" w:rsidRPr="00D141FC" w:rsidRDefault="0048364F" w:rsidP="0048364F">
      <w:pPr>
        <w:pStyle w:val="subsection"/>
      </w:pPr>
      <w:r w:rsidRPr="00D141FC">
        <w:tab/>
      </w:r>
      <w:r w:rsidRPr="00D141FC">
        <w:tab/>
      </w:r>
      <w:r w:rsidR="005B546B" w:rsidRPr="00D141FC">
        <w:t>This instrument is</w:t>
      </w:r>
      <w:r w:rsidRPr="00D141FC">
        <w:t xml:space="preserve"> the </w:t>
      </w:r>
      <w:r w:rsidR="00414ADE" w:rsidRPr="00D141FC">
        <w:rPr>
          <w:i/>
        </w:rPr>
        <w:fldChar w:fldCharType="begin"/>
      </w:r>
      <w:r w:rsidR="00414ADE" w:rsidRPr="00D141FC">
        <w:rPr>
          <w:i/>
        </w:rPr>
        <w:instrText xml:space="preserve"> STYLEREF  ShortT </w:instrText>
      </w:r>
      <w:r w:rsidR="00414ADE" w:rsidRPr="00D141FC">
        <w:rPr>
          <w:i/>
        </w:rPr>
        <w:fldChar w:fldCharType="separate"/>
      </w:r>
      <w:r w:rsidR="008F5F62">
        <w:rPr>
          <w:i/>
          <w:noProof/>
        </w:rPr>
        <w:t>National Health (Pharmaceuticals and Vaccines—Cost Recovery) Amendment Regulations 2019</w:t>
      </w:r>
      <w:r w:rsidR="00414ADE" w:rsidRPr="00D141FC">
        <w:rPr>
          <w:i/>
        </w:rPr>
        <w:fldChar w:fldCharType="end"/>
      </w:r>
      <w:r w:rsidR="00A07EDA" w:rsidRPr="00D141FC">
        <w:t>.</w:t>
      </w:r>
    </w:p>
    <w:p w:rsidR="004F676E" w:rsidRPr="00D141FC" w:rsidRDefault="0048364F" w:rsidP="005452CC">
      <w:pPr>
        <w:pStyle w:val="ActHead5"/>
      </w:pPr>
      <w:bookmarkStart w:id="1" w:name="_Toc3993148"/>
      <w:r w:rsidRPr="00D141FC">
        <w:rPr>
          <w:rStyle w:val="CharSectno"/>
        </w:rPr>
        <w:t>2</w:t>
      </w:r>
      <w:r w:rsidRPr="00D141FC">
        <w:t xml:space="preserve">  Commencement</w:t>
      </w:r>
      <w:bookmarkEnd w:id="1"/>
    </w:p>
    <w:p w:rsidR="005452CC" w:rsidRPr="00D141FC" w:rsidRDefault="005452CC" w:rsidP="004D7ECE">
      <w:pPr>
        <w:pStyle w:val="subsection"/>
      </w:pPr>
      <w:bookmarkStart w:id="2" w:name="_GoBack"/>
      <w:r w:rsidRPr="00D141FC">
        <w:tab/>
        <w:t>(1)</w:t>
      </w:r>
      <w:r w:rsidRPr="00D141FC">
        <w:tab/>
        <w:t xml:space="preserve">Each provision of </w:t>
      </w:r>
      <w:r w:rsidR="005B546B" w:rsidRPr="00D141FC">
        <w:t>this instrument</w:t>
      </w:r>
      <w:r w:rsidRPr="00D141FC">
        <w:t xml:space="preserve"> specified in column 1 of the table commences, or is taken to have commenced, in accordance with column 2 of the table</w:t>
      </w:r>
      <w:r w:rsidR="00A07EDA" w:rsidRPr="00D141FC">
        <w:t>.</w:t>
      </w:r>
      <w:r w:rsidRPr="00D141FC">
        <w:t xml:space="preserve"> Any other statement in column 2 has effect according to its terms</w:t>
      </w:r>
      <w:r w:rsidR="00A07EDA" w:rsidRPr="00D141FC">
        <w:t>.</w:t>
      </w:r>
      <w:bookmarkEnd w:id="2"/>
    </w:p>
    <w:p w:rsidR="005452CC" w:rsidRPr="00D141FC" w:rsidRDefault="005452CC" w:rsidP="004D7EC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141FC" w:rsidTr="00977AC8">
        <w:trPr>
          <w:tblHeader/>
        </w:trPr>
        <w:tc>
          <w:tcPr>
            <w:tcW w:w="8364" w:type="dxa"/>
            <w:gridSpan w:val="3"/>
            <w:tcBorders>
              <w:top w:val="single" w:sz="12" w:space="0" w:color="auto"/>
              <w:bottom w:val="single" w:sz="6" w:space="0" w:color="auto"/>
            </w:tcBorders>
            <w:shd w:val="clear" w:color="auto" w:fill="auto"/>
            <w:hideMark/>
          </w:tcPr>
          <w:p w:rsidR="005452CC" w:rsidRPr="00D141FC" w:rsidRDefault="005452CC" w:rsidP="004D7ECE">
            <w:pPr>
              <w:pStyle w:val="TableHeading"/>
            </w:pPr>
            <w:r w:rsidRPr="00D141FC">
              <w:t>Commencement information</w:t>
            </w:r>
          </w:p>
        </w:tc>
      </w:tr>
      <w:tr w:rsidR="005452CC" w:rsidRPr="00D141FC" w:rsidTr="00977AC8">
        <w:trPr>
          <w:tblHeader/>
        </w:trPr>
        <w:tc>
          <w:tcPr>
            <w:tcW w:w="2127" w:type="dxa"/>
            <w:tcBorders>
              <w:top w:val="single" w:sz="6" w:space="0" w:color="auto"/>
              <w:bottom w:val="single" w:sz="6" w:space="0" w:color="auto"/>
            </w:tcBorders>
            <w:shd w:val="clear" w:color="auto" w:fill="auto"/>
            <w:hideMark/>
          </w:tcPr>
          <w:p w:rsidR="005452CC" w:rsidRPr="00D141FC" w:rsidRDefault="005452CC" w:rsidP="004D7ECE">
            <w:pPr>
              <w:pStyle w:val="TableHeading"/>
            </w:pPr>
            <w:r w:rsidRPr="00D141FC">
              <w:t>Column 1</w:t>
            </w:r>
          </w:p>
        </w:tc>
        <w:tc>
          <w:tcPr>
            <w:tcW w:w="4394" w:type="dxa"/>
            <w:tcBorders>
              <w:top w:val="single" w:sz="6" w:space="0" w:color="auto"/>
              <w:bottom w:val="single" w:sz="6" w:space="0" w:color="auto"/>
            </w:tcBorders>
            <w:shd w:val="clear" w:color="auto" w:fill="auto"/>
            <w:hideMark/>
          </w:tcPr>
          <w:p w:rsidR="005452CC" w:rsidRPr="00D141FC" w:rsidRDefault="005452CC" w:rsidP="004D7ECE">
            <w:pPr>
              <w:pStyle w:val="TableHeading"/>
            </w:pPr>
            <w:r w:rsidRPr="00D141FC">
              <w:t>Column 2</w:t>
            </w:r>
          </w:p>
        </w:tc>
        <w:tc>
          <w:tcPr>
            <w:tcW w:w="1843" w:type="dxa"/>
            <w:tcBorders>
              <w:top w:val="single" w:sz="6" w:space="0" w:color="auto"/>
              <w:bottom w:val="single" w:sz="6" w:space="0" w:color="auto"/>
            </w:tcBorders>
            <w:shd w:val="clear" w:color="auto" w:fill="auto"/>
            <w:hideMark/>
          </w:tcPr>
          <w:p w:rsidR="005452CC" w:rsidRPr="00D141FC" w:rsidRDefault="005452CC" w:rsidP="004D7ECE">
            <w:pPr>
              <w:pStyle w:val="TableHeading"/>
            </w:pPr>
            <w:r w:rsidRPr="00D141FC">
              <w:t>Column 3</w:t>
            </w:r>
          </w:p>
        </w:tc>
      </w:tr>
      <w:tr w:rsidR="005452CC" w:rsidRPr="00D141FC" w:rsidTr="00977AC8">
        <w:trPr>
          <w:tblHeader/>
        </w:trPr>
        <w:tc>
          <w:tcPr>
            <w:tcW w:w="2127" w:type="dxa"/>
            <w:tcBorders>
              <w:top w:val="single" w:sz="6" w:space="0" w:color="auto"/>
              <w:bottom w:val="single" w:sz="12" w:space="0" w:color="auto"/>
            </w:tcBorders>
            <w:shd w:val="clear" w:color="auto" w:fill="auto"/>
            <w:hideMark/>
          </w:tcPr>
          <w:p w:rsidR="005452CC" w:rsidRPr="00D141FC" w:rsidRDefault="005452CC" w:rsidP="004D7ECE">
            <w:pPr>
              <w:pStyle w:val="TableHeading"/>
            </w:pPr>
            <w:r w:rsidRPr="00D141FC">
              <w:t>Provisions</w:t>
            </w:r>
          </w:p>
        </w:tc>
        <w:tc>
          <w:tcPr>
            <w:tcW w:w="4394" w:type="dxa"/>
            <w:tcBorders>
              <w:top w:val="single" w:sz="6" w:space="0" w:color="auto"/>
              <w:bottom w:val="single" w:sz="12" w:space="0" w:color="auto"/>
            </w:tcBorders>
            <w:shd w:val="clear" w:color="auto" w:fill="auto"/>
            <w:hideMark/>
          </w:tcPr>
          <w:p w:rsidR="005452CC" w:rsidRPr="00D141FC" w:rsidRDefault="005452CC" w:rsidP="004D7ECE">
            <w:pPr>
              <w:pStyle w:val="TableHeading"/>
            </w:pPr>
            <w:r w:rsidRPr="00D141FC">
              <w:t>Commencement</w:t>
            </w:r>
          </w:p>
        </w:tc>
        <w:tc>
          <w:tcPr>
            <w:tcW w:w="1843" w:type="dxa"/>
            <w:tcBorders>
              <w:top w:val="single" w:sz="6" w:space="0" w:color="auto"/>
              <w:bottom w:val="single" w:sz="12" w:space="0" w:color="auto"/>
            </w:tcBorders>
            <w:shd w:val="clear" w:color="auto" w:fill="auto"/>
            <w:hideMark/>
          </w:tcPr>
          <w:p w:rsidR="005452CC" w:rsidRPr="00D141FC" w:rsidRDefault="005452CC" w:rsidP="004D7ECE">
            <w:pPr>
              <w:pStyle w:val="TableHeading"/>
            </w:pPr>
            <w:r w:rsidRPr="00D141FC">
              <w:t>Date/Details</w:t>
            </w:r>
          </w:p>
        </w:tc>
      </w:tr>
      <w:tr w:rsidR="005452CC" w:rsidRPr="00D141FC" w:rsidTr="00977AC8">
        <w:tc>
          <w:tcPr>
            <w:tcW w:w="2127" w:type="dxa"/>
            <w:tcBorders>
              <w:top w:val="single" w:sz="12" w:space="0" w:color="auto"/>
              <w:bottom w:val="single" w:sz="12" w:space="0" w:color="auto"/>
            </w:tcBorders>
            <w:shd w:val="clear" w:color="auto" w:fill="auto"/>
            <w:hideMark/>
          </w:tcPr>
          <w:p w:rsidR="005452CC" w:rsidRPr="00D141FC" w:rsidRDefault="005452CC" w:rsidP="005452CC">
            <w:pPr>
              <w:pStyle w:val="Tabletext"/>
            </w:pPr>
            <w:r w:rsidRPr="00D141FC">
              <w:t>1</w:t>
            </w:r>
            <w:r w:rsidR="00A07EDA" w:rsidRPr="00D141FC">
              <w:t>.</w:t>
            </w:r>
            <w:r w:rsidRPr="00D141FC">
              <w:t xml:space="preserve">  </w:t>
            </w:r>
            <w:r w:rsidR="00977AC8" w:rsidRPr="00D141FC">
              <w:t>The whole of this instrument</w:t>
            </w:r>
          </w:p>
        </w:tc>
        <w:tc>
          <w:tcPr>
            <w:tcW w:w="4394" w:type="dxa"/>
            <w:tcBorders>
              <w:top w:val="single" w:sz="12" w:space="0" w:color="auto"/>
              <w:bottom w:val="single" w:sz="12" w:space="0" w:color="auto"/>
            </w:tcBorders>
            <w:shd w:val="clear" w:color="auto" w:fill="auto"/>
            <w:hideMark/>
          </w:tcPr>
          <w:p w:rsidR="005452CC" w:rsidRPr="00D141FC" w:rsidRDefault="00367032" w:rsidP="005452CC">
            <w:pPr>
              <w:pStyle w:val="Tabletext"/>
            </w:pPr>
            <w:r w:rsidRPr="00D141FC">
              <w:t>1</w:t>
            </w:r>
            <w:r w:rsidR="00D141FC" w:rsidRPr="00D141FC">
              <w:t> </w:t>
            </w:r>
            <w:r w:rsidRPr="00D141FC">
              <w:t>July 2019</w:t>
            </w:r>
            <w:r w:rsidR="00A07EDA" w:rsidRPr="00D141FC">
              <w:t>.</w:t>
            </w:r>
          </w:p>
        </w:tc>
        <w:tc>
          <w:tcPr>
            <w:tcW w:w="1843" w:type="dxa"/>
            <w:tcBorders>
              <w:top w:val="single" w:sz="12" w:space="0" w:color="auto"/>
              <w:bottom w:val="single" w:sz="12" w:space="0" w:color="auto"/>
            </w:tcBorders>
            <w:shd w:val="clear" w:color="auto" w:fill="auto"/>
          </w:tcPr>
          <w:p w:rsidR="005452CC" w:rsidRPr="00D141FC" w:rsidRDefault="00367032">
            <w:pPr>
              <w:pStyle w:val="Tabletext"/>
            </w:pPr>
            <w:r w:rsidRPr="00D141FC">
              <w:t>1</w:t>
            </w:r>
            <w:r w:rsidR="00D141FC" w:rsidRPr="00D141FC">
              <w:t> </w:t>
            </w:r>
            <w:r w:rsidRPr="00D141FC">
              <w:t>July 2019</w:t>
            </w:r>
          </w:p>
        </w:tc>
      </w:tr>
    </w:tbl>
    <w:p w:rsidR="005452CC" w:rsidRPr="00D141FC" w:rsidRDefault="005452CC" w:rsidP="004D7ECE">
      <w:pPr>
        <w:pStyle w:val="notetext"/>
      </w:pPr>
      <w:r w:rsidRPr="00D141FC">
        <w:rPr>
          <w:snapToGrid w:val="0"/>
          <w:lang w:eastAsia="en-US"/>
        </w:rPr>
        <w:t>Note:</w:t>
      </w:r>
      <w:r w:rsidRPr="00D141FC">
        <w:rPr>
          <w:snapToGrid w:val="0"/>
          <w:lang w:eastAsia="en-US"/>
        </w:rPr>
        <w:tab/>
        <w:t xml:space="preserve">This table relates only to the provisions of </w:t>
      </w:r>
      <w:r w:rsidR="005B546B" w:rsidRPr="00D141FC">
        <w:rPr>
          <w:snapToGrid w:val="0"/>
          <w:lang w:eastAsia="en-US"/>
        </w:rPr>
        <w:t>this instrument</w:t>
      </w:r>
      <w:r w:rsidRPr="00D141FC">
        <w:t xml:space="preserve"> </w:t>
      </w:r>
      <w:r w:rsidRPr="00D141FC">
        <w:rPr>
          <w:snapToGrid w:val="0"/>
          <w:lang w:eastAsia="en-US"/>
        </w:rPr>
        <w:t>as originally made</w:t>
      </w:r>
      <w:r w:rsidR="00A07EDA" w:rsidRPr="00D141FC">
        <w:rPr>
          <w:snapToGrid w:val="0"/>
          <w:lang w:eastAsia="en-US"/>
        </w:rPr>
        <w:t>.</w:t>
      </w:r>
      <w:r w:rsidRPr="00D141FC">
        <w:rPr>
          <w:snapToGrid w:val="0"/>
          <w:lang w:eastAsia="en-US"/>
        </w:rPr>
        <w:t xml:space="preserve"> It will not be amended to deal with any later amendments of </w:t>
      </w:r>
      <w:r w:rsidR="005B546B" w:rsidRPr="00D141FC">
        <w:rPr>
          <w:snapToGrid w:val="0"/>
          <w:lang w:eastAsia="en-US"/>
        </w:rPr>
        <w:t>this instrument</w:t>
      </w:r>
      <w:r w:rsidR="00A07EDA" w:rsidRPr="00D141FC">
        <w:rPr>
          <w:snapToGrid w:val="0"/>
          <w:lang w:eastAsia="en-US"/>
        </w:rPr>
        <w:t>.</w:t>
      </w:r>
    </w:p>
    <w:p w:rsidR="005452CC" w:rsidRPr="00D141FC" w:rsidRDefault="005452CC" w:rsidP="004D7ECE">
      <w:pPr>
        <w:pStyle w:val="subsection"/>
      </w:pPr>
      <w:r w:rsidRPr="00D141FC">
        <w:tab/>
        <w:t>(2)</w:t>
      </w:r>
      <w:r w:rsidRPr="00D141FC">
        <w:tab/>
        <w:t xml:space="preserve">Any information in column 3 of the table is not part of </w:t>
      </w:r>
      <w:r w:rsidR="005B546B" w:rsidRPr="00D141FC">
        <w:t>this instrument</w:t>
      </w:r>
      <w:r w:rsidR="00A07EDA" w:rsidRPr="00D141FC">
        <w:t>.</w:t>
      </w:r>
      <w:r w:rsidRPr="00D141FC">
        <w:t xml:space="preserve"> Information may be inserted in this column, or information in it may be edited, in any published version of </w:t>
      </w:r>
      <w:r w:rsidR="005B546B" w:rsidRPr="00D141FC">
        <w:t>this instrument</w:t>
      </w:r>
      <w:r w:rsidR="00A07EDA" w:rsidRPr="00D141FC">
        <w:t>.</w:t>
      </w:r>
    </w:p>
    <w:p w:rsidR="00BF6650" w:rsidRPr="00D141FC" w:rsidRDefault="00BF6650" w:rsidP="00BF6650">
      <w:pPr>
        <w:pStyle w:val="ActHead5"/>
      </w:pPr>
      <w:bookmarkStart w:id="3" w:name="_Toc3993149"/>
      <w:r w:rsidRPr="00D141FC">
        <w:rPr>
          <w:rStyle w:val="CharSectno"/>
        </w:rPr>
        <w:t>3</w:t>
      </w:r>
      <w:r w:rsidRPr="00D141FC">
        <w:t xml:space="preserve">  Authority</w:t>
      </w:r>
      <w:bookmarkEnd w:id="3"/>
    </w:p>
    <w:p w:rsidR="00BF6650" w:rsidRPr="00D141FC" w:rsidRDefault="00BF6650" w:rsidP="00BF6650">
      <w:pPr>
        <w:pStyle w:val="subsection"/>
      </w:pPr>
      <w:r w:rsidRPr="00D141FC">
        <w:tab/>
      </w:r>
      <w:r w:rsidRPr="00D141FC">
        <w:tab/>
      </w:r>
      <w:r w:rsidR="005B546B" w:rsidRPr="00D141FC">
        <w:t>This instrument is</w:t>
      </w:r>
      <w:r w:rsidRPr="00D141FC">
        <w:t xml:space="preserve"> made under </w:t>
      </w:r>
      <w:r w:rsidR="00977AC8" w:rsidRPr="00D141FC">
        <w:t xml:space="preserve">the </w:t>
      </w:r>
      <w:r w:rsidR="00977AC8" w:rsidRPr="00D141FC">
        <w:rPr>
          <w:i/>
        </w:rPr>
        <w:t>National Health Act 1953</w:t>
      </w:r>
      <w:r w:rsidR="00A07EDA" w:rsidRPr="00D141FC">
        <w:rPr>
          <w:i/>
        </w:rPr>
        <w:t>.</w:t>
      </w:r>
    </w:p>
    <w:p w:rsidR="00557C7A" w:rsidRPr="00D141FC" w:rsidRDefault="00BF6650" w:rsidP="00557C7A">
      <w:pPr>
        <w:pStyle w:val="ActHead5"/>
      </w:pPr>
      <w:bookmarkStart w:id="4" w:name="_Toc3993150"/>
      <w:r w:rsidRPr="00D141FC">
        <w:rPr>
          <w:rStyle w:val="CharSectno"/>
        </w:rPr>
        <w:t>4</w:t>
      </w:r>
      <w:r w:rsidR="00557C7A" w:rsidRPr="00D141FC">
        <w:t xml:space="preserve">  </w:t>
      </w:r>
      <w:r w:rsidR="00083F48" w:rsidRPr="00D141FC">
        <w:t>Schedules</w:t>
      </w:r>
      <w:bookmarkEnd w:id="4"/>
    </w:p>
    <w:p w:rsidR="00557C7A" w:rsidRPr="00D141FC" w:rsidRDefault="00557C7A" w:rsidP="00557C7A">
      <w:pPr>
        <w:pStyle w:val="subsection"/>
      </w:pPr>
      <w:r w:rsidRPr="00D141FC">
        <w:tab/>
      </w:r>
      <w:r w:rsidRPr="00D141FC">
        <w:tab/>
      </w:r>
      <w:r w:rsidR="00083F48" w:rsidRPr="00D141FC">
        <w:t xml:space="preserve">Each </w:t>
      </w:r>
      <w:r w:rsidR="00160BD7" w:rsidRPr="00D141FC">
        <w:t>instrument</w:t>
      </w:r>
      <w:r w:rsidR="00083F48" w:rsidRPr="00D141FC">
        <w:t xml:space="preserve"> that is specified in a Schedule to </w:t>
      </w:r>
      <w:r w:rsidR="005B546B" w:rsidRPr="00D141FC">
        <w:t>this instrument</w:t>
      </w:r>
      <w:r w:rsidR="00083F48" w:rsidRPr="00D141FC">
        <w:t xml:space="preserve"> is amended or repealed as set out in the applicable items in the Schedule concerned, and any other item in a Schedule to </w:t>
      </w:r>
      <w:r w:rsidR="005B546B" w:rsidRPr="00D141FC">
        <w:t>this instrument</w:t>
      </w:r>
      <w:r w:rsidR="00083F48" w:rsidRPr="00D141FC">
        <w:t xml:space="preserve"> has effect according to its terms</w:t>
      </w:r>
      <w:r w:rsidR="00A07EDA" w:rsidRPr="00D141FC">
        <w:t>.</w:t>
      </w:r>
    </w:p>
    <w:p w:rsidR="0048364F" w:rsidRPr="00D141FC" w:rsidRDefault="0048364F" w:rsidP="009C5989">
      <w:pPr>
        <w:pStyle w:val="ActHead6"/>
        <w:pageBreakBefore/>
      </w:pPr>
      <w:bookmarkStart w:id="5" w:name="_Toc3993151"/>
      <w:bookmarkStart w:id="6" w:name="opcAmSched"/>
      <w:bookmarkStart w:id="7" w:name="opcCurrentFind"/>
      <w:r w:rsidRPr="00D141FC">
        <w:rPr>
          <w:rStyle w:val="CharAmSchNo"/>
        </w:rPr>
        <w:t>Schedule</w:t>
      </w:r>
      <w:r w:rsidR="00D141FC" w:rsidRPr="00D141FC">
        <w:rPr>
          <w:rStyle w:val="CharAmSchNo"/>
        </w:rPr>
        <w:t> </w:t>
      </w:r>
      <w:r w:rsidRPr="00D141FC">
        <w:rPr>
          <w:rStyle w:val="CharAmSchNo"/>
        </w:rPr>
        <w:t>1</w:t>
      </w:r>
      <w:r w:rsidRPr="00D141FC">
        <w:t>—</w:t>
      </w:r>
      <w:r w:rsidR="00460499" w:rsidRPr="00D141FC">
        <w:rPr>
          <w:rStyle w:val="CharAmSchText"/>
        </w:rPr>
        <w:t>Amendments</w:t>
      </w:r>
      <w:bookmarkEnd w:id="5"/>
    </w:p>
    <w:bookmarkEnd w:id="6"/>
    <w:bookmarkEnd w:id="7"/>
    <w:p w:rsidR="0004044E" w:rsidRPr="00D141FC" w:rsidRDefault="0004044E" w:rsidP="0004044E">
      <w:pPr>
        <w:pStyle w:val="Header"/>
      </w:pPr>
      <w:r w:rsidRPr="00D141FC">
        <w:rPr>
          <w:rStyle w:val="CharAmPartNo"/>
        </w:rPr>
        <w:t xml:space="preserve"> </w:t>
      </w:r>
      <w:r w:rsidRPr="00D141FC">
        <w:rPr>
          <w:rStyle w:val="CharAmPartText"/>
        </w:rPr>
        <w:t xml:space="preserve"> </w:t>
      </w:r>
    </w:p>
    <w:p w:rsidR="0084172C" w:rsidRPr="00D141FC" w:rsidRDefault="0015105F" w:rsidP="00EA0D36">
      <w:pPr>
        <w:pStyle w:val="ActHead9"/>
      </w:pPr>
      <w:bookmarkStart w:id="8" w:name="_Toc3993152"/>
      <w:r w:rsidRPr="00D141FC">
        <w:t>National Health (Pharmaceuticals and Vaccines—Cost Recovery) Regulations</w:t>
      </w:r>
      <w:r w:rsidR="00D141FC" w:rsidRPr="00D141FC">
        <w:t> </w:t>
      </w:r>
      <w:r w:rsidRPr="00D141FC">
        <w:t>2009</w:t>
      </w:r>
      <w:bookmarkEnd w:id="8"/>
    </w:p>
    <w:p w:rsidR="000C5604" w:rsidRPr="00D141FC" w:rsidRDefault="00F9708D" w:rsidP="000C5604">
      <w:pPr>
        <w:pStyle w:val="ItemHead"/>
      </w:pPr>
      <w:r w:rsidRPr="00D141FC">
        <w:t>1</w:t>
      </w:r>
      <w:r w:rsidR="000C5604" w:rsidRPr="00D141FC">
        <w:t xml:space="preserve">  Regulation</w:t>
      </w:r>
      <w:r w:rsidR="00D141FC" w:rsidRPr="00D141FC">
        <w:t> </w:t>
      </w:r>
      <w:r w:rsidR="000C5604" w:rsidRPr="00D141FC">
        <w:t>1</w:t>
      </w:r>
      <w:r w:rsidR="00A07EDA" w:rsidRPr="00D141FC">
        <w:t>.</w:t>
      </w:r>
      <w:r w:rsidR="000C5604" w:rsidRPr="00D141FC">
        <w:t>3</w:t>
      </w:r>
    </w:p>
    <w:p w:rsidR="000C5604" w:rsidRPr="00D141FC" w:rsidRDefault="000C5604" w:rsidP="000C5604">
      <w:pPr>
        <w:pStyle w:val="Item"/>
      </w:pPr>
      <w:r w:rsidRPr="00D141FC">
        <w:t>Insert:</w:t>
      </w:r>
    </w:p>
    <w:p w:rsidR="004C58FA" w:rsidRPr="00D141FC" w:rsidRDefault="004C58FA" w:rsidP="000C5604">
      <w:pPr>
        <w:pStyle w:val="Definition"/>
      </w:pPr>
      <w:r w:rsidRPr="00D141FC">
        <w:rPr>
          <w:b/>
          <w:i/>
        </w:rPr>
        <w:t>amount</w:t>
      </w:r>
      <w:r w:rsidRPr="00D141FC">
        <w:t xml:space="preserve"> includes a nil amount</w:t>
      </w:r>
      <w:r w:rsidR="00A07EDA" w:rsidRPr="00D141FC">
        <w:t>.</w:t>
      </w:r>
    </w:p>
    <w:p w:rsidR="000C5604" w:rsidRPr="00D141FC" w:rsidRDefault="000C5604" w:rsidP="000C5604">
      <w:pPr>
        <w:pStyle w:val="Definition"/>
      </w:pPr>
      <w:r w:rsidRPr="00D141FC">
        <w:rPr>
          <w:b/>
          <w:i/>
        </w:rPr>
        <w:t>ATAGI</w:t>
      </w:r>
      <w:r w:rsidR="00625F56" w:rsidRPr="00D141FC">
        <w:t xml:space="preserve"> means the Commonwealth acting through the Australian Technical Advisory Group on Immunisation</w:t>
      </w:r>
      <w:r w:rsidR="00A07EDA" w:rsidRPr="00D141FC">
        <w:t>.</w:t>
      </w:r>
    </w:p>
    <w:p w:rsidR="00AC03DE" w:rsidRPr="00D141FC" w:rsidRDefault="00AC03DE" w:rsidP="000C5604">
      <w:pPr>
        <w:pStyle w:val="Definition"/>
      </w:pPr>
      <w:r w:rsidRPr="00D141FC">
        <w:rPr>
          <w:b/>
          <w:i/>
        </w:rPr>
        <w:t>ATAGI application</w:t>
      </w:r>
      <w:r w:rsidRPr="00D141FC">
        <w:t xml:space="preserve"> means an application under Division</w:t>
      </w:r>
      <w:r w:rsidR="00D141FC" w:rsidRPr="00D141FC">
        <w:t> </w:t>
      </w:r>
      <w:r w:rsidRPr="00D141FC">
        <w:t>1A</w:t>
      </w:r>
      <w:r w:rsidR="00A07EDA" w:rsidRPr="00D141FC">
        <w:t>.</w:t>
      </w:r>
      <w:r w:rsidRPr="00D141FC">
        <w:t>1</w:t>
      </w:r>
      <w:r w:rsidR="00A07EDA" w:rsidRPr="00D141FC">
        <w:t>.</w:t>
      </w:r>
    </w:p>
    <w:p w:rsidR="001D1B2B" w:rsidRPr="00D141FC" w:rsidRDefault="001D1B2B" w:rsidP="000C5604">
      <w:pPr>
        <w:pStyle w:val="Definition"/>
      </w:pPr>
      <w:r w:rsidRPr="00D141FC">
        <w:rPr>
          <w:b/>
          <w:i/>
        </w:rPr>
        <w:t>Australian Register of Therapeutic Goods</w:t>
      </w:r>
      <w:r w:rsidRPr="00D141FC">
        <w:t xml:space="preserve"> has the same meaning as in the </w:t>
      </w:r>
      <w:r w:rsidRPr="00D141FC">
        <w:rPr>
          <w:i/>
        </w:rPr>
        <w:t>Therapeutic Goods Act 1989</w:t>
      </w:r>
      <w:r w:rsidR="00A07EDA" w:rsidRPr="00D141FC">
        <w:t>.</w:t>
      </w:r>
    </w:p>
    <w:p w:rsidR="00367032" w:rsidRPr="00D141FC" w:rsidRDefault="00F9708D" w:rsidP="00367032">
      <w:pPr>
        <w:pStyle w:val="ItemHead"/>
      </w:pPr>
      <w:r w:rsidRPr="00D141FC">
        <w:t>2</w:t>
      </w:r>
      <w:r w:rsidR="00367032" w:rsidRPr="00D141FC">
        <w:t xml:space="preserve">  Regulation</w:t>
      </w:r>
      <w:r w:rsidR="00D141FC" w:rsidRPr="00D141FC">
        <w:t> </w:t>
      </w:r>
      <w:r w:rsidR="00367032" w:rsidRPr="00D141FC">
        <w:t>1</w:t>
      </w:r>
      <w:r w:rsidR="00A07EDA" w:rsidRPr="00D141FC">
        <w:t>.</w:t>
      </w:r>
      <w:r w:rsidR="00367032" w:rsidRPr="00D141FC">
        <w:t xml:space="preserve">3 (definition of </w:t>
      </w:r>
      <w:r w:rsidR="00367032" w:rsidRPr="00D141FC">
        <w:rPr>
          <w:i/>
        </w:rPr>
        <w:t>Committee</w:t>
      </w:r>
      <w:r w:rsidR="00367032" w:rsidRPr="00D141FC">
        <w:t>)</w:t>
      </w:r>
    </w:p>
    <w:p w:rsidR="00367032" w:rsidRPr="00D141FC" w:rsidRDefault="00367032" w:rsidP="00367032">
      <w:pPr>
        <w:pStyle w:val="Item"/>
      </w:pPr>
      <w:r w:rsidRPr="00D141FC">
        <w:t>After “means”, insert “</w:t>
      </w:r>
      <w:r w:rsidR="00673AB6" w:rsidRPr="00D141FC">
        <w:t>the Commonwealth acting through</w:t>
      </w:r>
      <w:r w:rsidRPr="00D141FC">
        <w:t>”</w:t>
      </w:r>
      <w:r w:rsidR="00A07EDA" w:rsidRPr="00D141FC">
        <w:t>.</w:t>
      </w:r>
    </w:p>
    <w:p w:rsidR="00BA40BC" w:rsidRPr="00D141FC" w:rsidRDefault="00F9708D" w:rsidP="00BA40BC">
      <w:pPr>
        <w:pStyle w:val="ItemHead"/>
      </w:pPr>
      <w:r w:rsidRPr="00D141FC">
        <w:t>3</w:t>
      </w:r>
      <w:r w:rsidR="00BA40BC" w:rsidRPr="00D141FC">
        <w:t xml:space="preserve">  Regulation</w:t>
      </w:r>
      <w:r w:rsidR="00D141FC" w:rsidRPr="00D141FC">
        <w:t> </w:t>
      </w:r>
      <w:r w:rsidR="00BA40BC" w:rsidRPr="00D141FC">
        <w:t>1</w:t>
      </w:r>
      <w:r w:rsidR="00A07EDA" w:rsidRPr="00D141FC">
        <w:t>.</w:t>
      </w:r>
      <w:r w:rsidR="00BA40BC" w:rsidRPr="00D141FC">
        <w:t>3</w:t>
      </w:r>
    </w:p>
    <w:p w:rsidR="00BA40BC" w:rsidRPr="00D141FC" w:rsidRDefault="00BA40BC" w:rsidP="00BA40BC">
      <w:pPr>
        <w:pStyle w:val="Item"/>
      </w:pPr>
      <w:r w:rsidRPr="00D141FC">
        <w:t>Insert:</w:t>
      </w:r>
    </w:p>
    <w:p w:rsidR="00BA40BC" w:rsidRPr="00D141FC" w:rsidRDefault="00BA40BC" w:rsidP="00BA40BC">
      <w:pPr>
        <w:pStyle w:val="Definition"/>
      </w:pPr>
      <w:r w:rsidRPr="00D141FC">
        <w:rPr>
          <w:b/>
          <w:i/>
        </w:rPr>
        <w:t>designated orphan drug</w:t>
      </w:r>
      <w:r w:rsidRPr="00D141FC">
        <w:t xml:space="preserve"> has the same meaning as in the </w:t>
      </w:r>
      <w:r w:rsidRPr="00D141FC">
        <w:rPr>
          <w:i/>
        </w:rPr>
        <w:t>Therapeutic Goods Regulations</w:t>
      </w:r>
      <w:r w:rsidR="00D141FC" w:rsidRPr="00D141FC">
        <w:rPr>
          <w:i/>
        </w:rPr>
        <w:t> </w:t>
      </w:r>
      <w:r w:rsidRPr="00D141FC">
        <w:rPr>
          <w:i/>
        </w:rPr>
        <w:t>1990</w:t>
      </w:r>
      <w:r w:rsidR="00A07EDA" w:rsidRPr="00D141FC">
        <w:t>.</w:t>
      </w:r>
    </w:p>
    <w:p w:rsidR="00367032" w:rsidRPr="00D141FC" w:rsidRDefault="00F9708D" w:rsidP="00367032">
      <w:pPr>
        <w:pStyle w:val="ItemHead"/>
      </w:pPr>
      <w:r w:rsidRPr="00D141FC">
        <w:t>4</w:t>
      </w:r>
      <w:r w:rsidR="00367032" w:rsidRPr="00D141FC">
        <w:t xml:space="preserve">  Regulation</w:t>
      </w:r>
      <w:r w:rsidR="00D141FC" w:rsidRPr="00D141FC">
        <w:t> </w:t>
      </w:r>
      <w:r w:rsidR="00367032" w:rsidRPr="00D141FC">
        <w:t>1</w:t>
      </w:r>
      <w:r w:rsidR="00A07EDA" w:rsidRPr="00D141FC">
        <w:t>.</w:t>
      </w:r>
      <w:r w:rsidR="00367032" w:rsidRPr="00D141FC">
        <w:t xml:space="preserve">3 (definition of </w:t>
      </w:r>
      <w:r w:rsidR="00367032" w:rsidRPr="00D141FC">
        <w:rPr>
          <w:i/>
        </w:rPr>
        <w:t>economic evaluation</w:t>
      </w:r>
      <w:r w:rsidR="00367032" w:rsidRPr="00D141FC">
        <w:t>)</w:t>
      </w:r>
    </w:p>
    <w:p w:rsidR="00367032" w:rsidRPr="00D141FC" w:rsidRDefault="00367032" w:rsidP="00367032">
      <w:pPr>
        <w:pStyle w:val="Item"/>
      </w:pPr>
      <w:r w:rsidRPr="00D141FC">
        <w:t>After “an application”, insert “under Part</w:t>
      </w:r>
      <w:r w:rsidR="00D141FC" w:rsidRPr="00D141FC">
        <w:t> </w:t>
      </w:r>
      <w:r w:rsidRPr="00D141FC">
        <w:t>2”</w:t>
      </w:r>
      <w:r w:rsidR="00A07EDA" w:rsidRPr="00D141FC">
        <w:t>.</w:t>
      </w:r>
    </w:p>
    <w:p w:rsidR="00367032" w:rsidRPr="00D141FC" w:rsidRDefault="00F9708D" w:rsidP="00367032">
      <w:pPr>
        <w:pStyle w:val="ItemHead"/>
      </w:pPr>
      <w:r w:rsidRPr="00D141FC">
        <w:t>5</w:t>
      </w:r>
      <w:r w:rsidR="00367032" w:rsidRPr="00D141FC">
        <w:t xml:space="preserve">  Regulation</w:t>
      </w:r>
      <w:r w:rsidR="00D141FC" w:rsidRPr="00D141FC">
        <w:t> </w:t>
      </w:r>
      <w:r w:rsidR="00367032" w:rsidRPr="00D141FC">
        <w:t>1</w:t>
      </w:r>
      <w:r w:rsidR="00A07EDA" w:rsidRPr="00D141FC">
        <w:t>.</w:t>
      </w:r>
      <w:r w:rsidR="00367032" w:rsidRPr="00D141FC">
        <w:t>3</w:t>
      </w:r>
      <w:r w:rsidR="00B6518A" w:rsidRPr="00D141FC">
        <w:t xml:space="preserve"> (definition of </w:t>
      </w:r>
      <w:r w:rsidR="00B6518A" w:rsidRPr="00D141FC">
        <w:rPr>
          <w:i/>
        </w:rPr>
        <w:t>evaluation fee</w:t>
      </w:r>
      <w:r w:rsidR="00B6518A" w:rsidRPr="00D141FC">
        <w:t>)</w:t>
      </w:r>
    </w:p>
    <w:p w:rsidR="00367032" w:rsidRPr="00D141FC" w:rsidRDefault="00367032" w:rsidP="00367032">
      <w:pPr>
        <w:pStyle w:val="Item"/>
      </w:pPr>
      <w:r w:rsidRPr="00D141FC">
        <w:t xml:space="preserve">Repeal the </w:t>
      </w:r>
      <w:r w:rsidR="00B6518A" w:rsidRPr="00D141FC">
        <w:t>definition</w:t>
      </w:r>
      <w:r w:rsidR="00A07EDA" w:rsidRPr="00D141FC">
        <w:t>.</w:t>
      </w:r>
    </w:p>
    <w:p w:rsidR="00B6518A" w:rsidRPr="00D141FC" w:rsidRDefault="00F9708D" w:rsidP="00B6518A">
      <w:pPr>
        <w:pStyle w:val="ItemHead"/>
      </w:pPr>
      <w:r w:rsidRPr="00D141FC">
        <w:t>6</w:t>
      </w:r>
      <w:r w:rsidR="00B6518A" w:rsidRPr="00D141FC">
        <w:t xml:space="preserve">  Regulation</w:t>
      </w:r>
      <w:r w:rsidR="00D141FC" w:rsidRPr="00D141FC">
        <w:t> </w:t>
      </w:r>
      <w:r w:rsidR="00B6518A" w:rsidRPr="00D141FC">
        <w:t>1</w:t>
      </w:r>
      <w:r w:rsidR="00A07EDA" w:rsidRPr="00D141FC">
        <w:t>.</w:t>
      </w:r>
      <w:r w:rsidR="00B6518A" w:rsidRPr="00D141FC">
        <w:t>3</w:t>
      </w:r>
    </w:p>
    <w:p w:rsidR="00B6518A" w:rsidRPr="00D141FC" w:rsidRDefault="00B6518A" w:rsidP="00B6518A">
      <w:pPr>
        <w:pStyle w:val="Item"/>
      </w:pPr>
      <w:r w:rsidRPr="00D141FC">
        <w:t>Insert:</w:t>
      </w:r>
    </w:p>
    <w:p w:rsidR="00AC03DE" w:rsidRPr="00D141FC" w:rsidRDefault="00AC03DE" w:rsidP="00B6518A">
      <w:pPr>
        <w:pStyle w:val="Definition"/>
      </w:pPr>
      <w:r w:rsidRPr="00D141FC">
        <w:rPr>
          <w:b/>
          <w:i/>
        </w:rPr>
        <w:t>list management application</w:t>
      </w:r>
      <w:r w:rsidRPr="00D141FC">
        <w:t xml:space="preserve"> means an application under Part</w:t>
      </w:r>
      <w:r w:rsidR="00D141FC" w:rsidRPr="00D141FC">
        <w:t> </w:t>
      </w:r>
      <w:r w:rsidRPr="00D141FC">
        <w:t>3A</w:t>
      </w:r>
      <w:r w:rsidR="00A07EDA" w:rsidRPr="00D141FC">
        <w:t>.</w:t>
      </w:r>
    </w:p>
    <w:p w:rsidR="00AC03DE" w:rsidRPr="00D141FC" w:rsidRDefault="00AC03DE" w:rsidP="00B6518A">
      <w:pPr>
        <w:pStyle w:val="Definition"/>
      </w:pPr>
      <w:r w:rsidRPr="00D141FC">
        <w:rPr>
          <w:b/>
          <w:i/>
        </w:rPr>
        <w:t>list management services</w:t>
      </w:r>
      <w:r w:rsidRPr="00D141FC">
        <w:t xml:space="preserve"> means services provided as described in regulation</w:t>
      </w:r>
      <w:r w:rsidR="00D141FC" w:rsidRPr="00D141FC">
        <w:t> </w:t>
      </w:r>
      <w:r w:rsidR="00A07EDA" w:rsidRPr="00D141FC">
        <w:t>3A.1.</w:t>
      </w:r>
    </w:p>
    <w:p w:rsidR="00AC03DE" w:rsidRPr="00D141FC" w:rsidRDefault="00AC03DE" w:rsidP="00B6518A">
      <w:pPr>
        <w:pStyle w:val="Definition"/>
      </w:pPr>
      <w:r w:rsidRPr="00D141FC">
        <w:rPr>
          <w:b/>
          <w:i/>
        </w:rPr>
        <w:t>meeting application</w:t>
      </w:r>
      <w:r w:rsidRPr="00D141FC">
        <w:t xml:space="preserve"> means an application under Division</w:t>
      </w:r>
      <w:r w:rsidR="00D141FC" w:rsidRPr="00D141FC">
        <w:t> </w:t>
      </w:r>
      <w:r w:rsidRPr="00D141FC">
        <w:t>1A</w:t>
      </w:r>
      <w:r w:rsidR="00A07EDA" w:rsidRPr="00D141FC">
        <w:t>.</w:t>
      </w:r>
      <w:r w:rsidRPr="00D141FC">
        <w:t>2</w:t>
      </w:r>
      <w:r w:rsidR="00A07EDA" w:rsidRPr="00D141FC">
        <w:t>.</w:t>
      </w:r>
    </w:p>
    <w:p w:rsidR="00030209" w:rsidRPr="00D141FC" w:rsidRDefault="00030209" w:rsidP="00B6518A">
      <w:pPr>
        <w:pStyle w:val="Definition"/>
      </w:pPr>
      <w:r w:rsidRPr="00D141FC">
        <w:rPr>
          <w:b/>
          <w:i/>
        </w:rPr>
        <w:t>notification</w:t>
      </w:r>
      <w:r w:rsidR="00AC03DE" w:rsidRPr="00D141FC">
        <w:t>, for an application,</w:t>
      </w:r>
      <w:r w:rsidRPr="00D141FC">
        <w:t xml:space="preserve"> means</w:t>
      </w:r>
      <w:r w:rsidR="00AC03DE" w:rsidRPr="00D141FC">
        <w:t xml:space="preserve"> a notification given under</w:t>
      </w:r>
      <w:r w:rsidRPr="00D141FC">
        <w:t>:</w:t>
      </w:r>
    </w:p>
    <w:p w:rsidR="00AC03DE" w:rsidRPr="00D141FC" w:rsidRDefault="00AC03DE" w:rsidP="00030209">
      <w:pPr>
        <w:pStyle w:val="paragraph"/>
      </w:pPr>
      <w:r w:rsidRPr="00D141FC">
        <w:tab/>
        <w:t>(a)</w:t>
      </w:r>
      <w:r w:rsidRPr="00D141FC">
        <w:tab/>
        <w:t>for an ATAGI application</w:t>
      </w:r>
      <w:r w:rsidR="00030209" w:rsidRPr="00D141FC">
        <w:t>—</w:t>
      </w:r>
      <w:r w:rsidRPr="00D141FC">
        <w:t>regulation</w:t>
      </w:r>
      <w:r w:rsidR="00D141FC" w:rsidRPr="00D141FC">
        <w:t> </w:t>
      </w:r>
      <w:r w:rsidR="00A07EDA" w:rsidRPr="00D141FC">
        <w:t>1A.4</w:t>
      </w:r>
      <w:r w:rsidRPr="00D141FC">
        <w:t>; or</w:t>
      </w:r>
    </w:p>
    <w:p w:rsidR="00030209" w:rsidRPr="00D141FC" w:rsidRDefault="00AC03DE" w:rsidP="00030209">
      <w:pPr>
        <w:pStyle w:val="paragraph"/>
      </w:pPr>
      <w:r w:rsidRPr="00D141FC">
        <w:tab/>
        <w:t>(b)</w:t>
      </w:r>
      <w:r w:rsidRPr="00D141FC">
        <w:tab/>
        <w:t>for a meeting application—regulation</w:t>
      </w:r>
      <w:r w:rsidR="00D141FC" w:rsidRPr="00D141FC">
        <w:t> </w:t>
      </w:r>
      <w:r w:rsidR="00A07EDA" w:rsidRPr="00D141FC">
        <w:t>1A.10</w:t>
      </w:r>
      <w:r w:rsidRPr="00D141FC">
        <w:t>; or</w:t>
      </w:r>
    </w:p>
    <w:p w:rsidR="00732955" w:rsidRPr="00D141FC" w:rsidRDefault="00732955" w:rsidP="00732955">
      <w:pPr>
        <w:pStyle w:val="paragraph"/>
      </w:pPr>
      <w:r w:rsidRPr="00D141FC">
        <w:tab/>
        <w:t>(c)</w:t>
      </w:r>
      <w:r w:rsidRPr="00D141FC">
        <w:tab/>
        <w:t>for an application under Part</w:t>
      </w:r>
      <w:r w:rsidR="00D141FC" w:rsidRPr="00D141FC">
        <w:t> </w:t>
      </w:r>
      <w:r w:rsidRPr="00D141FC">
        <w:t xml:space="preserve">2 for which prior notice is </w:t>
      </w:r>
      <w:r w:rsidR="006138E9" w:rsidRPr="00D141FC">
        <w:t>required under subregulation</w:t>
      </w:r>
      <w:r w:rsidR="00D141FC" w:rsidRPr="00D141FC">
        <w:t> </w:t>
      </w:r>
      <w:r w:rsidR="006138E9" w:rsidRPr="00D141FC">
        <w:t>2.15(1)—</w:t>
      </w:r>
      <w:r w:rsidRPr="00D141FC">
        <w:t>subregulation</w:t>
      </w:r>
      <w:r w:rsidR="00D141FC" w:rsidRPr="00D141FC">
        <w:t> </w:t>
      </w:r>
      <w:r w:rsidRPr="00D141FC">
        <w:t>2.17(1) about the prior notice of the application; or</w:t>
      </w:r>
    </w:p>
    <w:p w:rsidR="00732955" w:rsidRPr="00D141FC" w:rsidRDefault="00732955" w:rsidP="00732955">
      <w:pPr>
        <w:pStyle w:val="paragraph"/>
      </w:pPr>
      <w:r w:rsidRPr="00D141FC">
        <w:tab/>
        <w:t>(d)</w:t>
      </w:r>
      <w:r w:rsidRPr="00D141FC">
        <w:tab/>
        <w:t>for an application under Part</w:t>
      </w:r>
      <w:r w:rsidR="00D141FC" w:rsidRPr="00D141FC">
        <w:t> </w:t>
      </w:r>
      <w:r w:rsidRPr="00D141FC">
        <w:t>2 for which prior notice is not required under subregulation</w:t>
      </w:r>
      <w:r w:rsidR="00D141FC" w:rsidRPr="00D141FC">
        <w:t> </w:t>
      </w:r>
      <w:r w:rsidRPr="00D141FC">
        <w:t>2.15(1)—subregulation</w:t>
      </w:r>
      <w:r w:rsidR="00D141FC" w:rsidRPr="00D141FC">
        <w:t> </w:t>
      </w:r>
      <w:r w:rsidRPr="00D141FC">
        <w:t>2.17(2); or</w:t>
      </w:r>
    </w:p>
    <w:p w:rsidR="00732955" w:rsidRPr="00D141FC" w:rsidRDefault="00732955" w:rsidP="00732955">
      <w:pPr>
        <w:pStyle w:val="paragraph"/>
      </w:pPr>
      <w:r w:rsidRPr="00D141FC">
        <w:tab/>
        <w:t>(e)</w:t>
      </w:r>
      <w:r w:rsidRPr="00D141FC">
        <w:tab/>
        <w:t xml:space="preserve">for a pricing application for which prior notice is </w:t>
      </w:r>
      <w:r w:rsidR="006138E9" w:rsidRPr="00D141FC">
        <w:t>given as described in paragraph</w:t>
      </w:r>
      <w:r w:rsidR="00D141FC" w:rsidRPr="00D141FC">
        <w:t> </w:t>
      </w:r>
      <w:r w:rsidR="006138E9" w:rsidRPr="00D141FC">
        <w:t>3.10(1)(a)—</w:t>
      </w:r>
      <w:r w:rsidRPr="00D141FC">
        <w:t>subregulation</w:t>
      </w:r>
      <w:r w:rsidR="00D141FC" w:rsidRPr="00D141FC">
        <w:t> </w:t>
      </w:r>
      <w:r w:rsidRPr="00D141FC">
        <w:t>3.12(1) about the prior notice of the pricing application; or</w:t>
      </w:r>
    </w:p>
    <w:p w:rsidR="00732955" w:rsidRPr="00D141FC" w:rsidRDefault="00732955" w:rsidP="00732955">
      <w:pPr>
        <w:pStyle w:val="paragraph"/>
      </w:pPr>
      <w:r w:rsidRPr="00D141FC">
        <w:tab/>
        <w:t>(f)</w:t>
      </w:r>
      <w:r w:rsidRPr="00D141FC">
        <w:tab/>
        <w:t xml:space="preserve">for a pricing application for which prior notice is not </w:t>
      </w:r>
      <w:r w:rsidR="006138E9" w:rsidRPr="00D141FC">
        <w:t>given as described in paragraph</w:t>
      </w:r>
      <w:r w:rsidR="00D141FC" w:rsidRPr="00D141FC">
        <w:t> </w:t>
      </w:r>
      <w:r w:rsidR="006138E9" w:rsidRPr="00D141FC">
        <w:t>3.10(1)(a)—</w:t>
      </w:r>
      <w:r w:rsidRPr="00D141FC">
        <w:t>subregulation</w:t>
      </w:r>
      <w:r w:rsidR="00D141FC" w:rsidRPr="00D141FC">
        <w:t> </w:t>
      </w:r>
      <w:r w:rsidRPr="00D141FC">
        <w:t>3.12(2); or</w:t>
      </w:r>
    </w:p>
    <w:p w:rsidR="00AC03DE" w:rsidRPr="00D141FC" w:rsidRDefault="00A07EDA" w:rsidP="00030209">
      <w:pPr>
        <w:pStyle w:val="paragraph"/>
      </w:pPr>
      <w:r w:rsidRPr="00D141FC">
        <w:tab/>
        <w:t>(</w:t>
      </w:r>
      <w:r w:rsidR="00732955" w:rsidRPr="00D141FC">
        <w:t>g</w:t>
      </w:r>
      <w:r w:rsidR="00AC03DE" w:rsidRPr="00D141FC">
        <w:t>)</w:t>
      </w:r>
      <w:r w:rsidR="00AC03DE" w:rsidRPr="00D141FC">
        <w:tab/>
        <w:t>for a list management application—regulation</w:t>
      </w:r>
      <w:r w:rsidR="00D141FC" w:rsidRPr="00D141FC">
        <w:t> </w:t>
      </w:r>
      <w:r w:rsidRPr="00D141FC">
        <w:t>3A.3.</w:t>
      </w:r>
    </w:p>
    <w:p w:rsidR="00CA4BE4" w:rsidRPr="00D141FC" w:rsidRDefault="00CA4BE4" w:rsidP="00CA4BE4">
      <w:pPr>
        <w:pStyle w:val="Definition"/>
      </w:pPr>
      <w:r w:rsidRPr="00D141FC">
        <w:rPr>
          <w:b/>
          <w:i/>
        </w:rPr>
        <w:t>Part</w:t>
      </w:r>
      <w:r w:rsidR="00D141FC" w:rsidRPr="00D141FC">
        <w:rPr>
          <w:b/>
          <w:i/>
        </w:rPr>
        <w:t> </w:t>
      </w:r>
      <w:r w:rsidRPr="00D141FC">
        <w:rPr>
          <w:b/>
          <w:i/>
        </w:rPr>
        <w:t>2 submission</w:t>
      </w:r>
      <w:r w:rsidRPr="00D141FC">
        <w:t xml:space="preserve"> means a submission referred to in subregulation</w:t>
      </w:r>
      <w:r w:rsidR="00D141FC" w:rsidRPr="00D141FC">
        <w:t> </w:t>
      </w:r>
      <w:r w:rsidRPr="00D141FC">
        <w:t>2.1(1).</w:t>
      </w:r>
    </w:p>
    <w:p w:rsidR="00B6518A" w:rsidRPr="00D141FC" w:rsidRDefault="00B6518A" w:rsidP="00B6518A">
      <w:pPr>
        <w:pStyle w:val="Definition"/>
      </w:pPr>
      <w:r w:rsidRPr="00D141FC">
        <w:rPr>
          <w:b/>
          <w:i/>
        </w:rPr>
        <w:t>pricing application</w:t>
      </w:r>
      <w:r w:rsidRPr="00D141FC">
        <w:t xml:space="preserve"> </w:t>
      </w:r>
      <w:r w:rsidR="00AC03DE" w:rsidRPr="00D141FC">
        <w:t>means an application under Part</w:t>
      </w:r>
      <w:r w:rsidR="00D141FC" w:rsidRPr="00D141FC">
        <w:t> </w:t>
      </w:r>
      <w:r w:rsidR="00AC03DE" w:rsidRPr="00D141FC">
        <w:t>3</w:t>
      </w:r>
      <w:r w:rsidR="00A07EDA" w:rsidRPr="00D141FC">
        <w:t>.</w:t>
      </w:r>
    </w:p>
    <w:p w:rsidR="00B6518A" w:rsidRPr="00D141FC" w:rsidRDefault="00F9708D" w:rsidP="00B6518A">
      <w:pPr>
        <w:pStyle w:val="ItemHead"/>
      </w:pPr>
      <w:r w:rsidRPr="00D141FC">
        <w:t>7</w:t>
      </w:r>
      <w:r w:rsidR="00B6518A" w:rsidRPr="00D141FC">
        <w:t xml:space="preserve">  Regulation</w:t>
      </w:r>
      <w:r w:rsidR="00D141FC" w:rsidRPr="00D141FC">
        <w:t> </w:t>
      </w:r>
      <w:r w:rsidR="00B6518A" w:rsidRPr="00D141FC">
        <w:t>1</w:t>
      </w:r>
      <w:r w:rsidR="00A07EDA" w:rsidRPr="00D141FC">
        <w:t>.</w:t>
      </w:r>
      <w:r w:rsidR="00B6518A" w:rsidRPr="00D141FC">
        <w:t xml:space="preserve">3 (definition of </w:t>
      </w:r>
      <w:r w:rsidR="00B6518A" w:rsidRPr="00D141FC">
        <w:rPr>
          <w:i/>
        </w:rPr>
        <w:t>pricing fee</w:t>
      </w:r>
      <w:r w:rsidR="00B6518A" w:rsidRPr="00D141FC">
        <w:t>)</w:t>
      </w:r>
    </w:p>
    <w:p w:rsidR="00B6518A" w:rsidRPr="00D141FC" w:rsidRDefault="00B6518A" w:rsidP="00B6518A">
      <w:pPr>
        <w:pStyle w:val="Item"/>
      </w:pPr>
      <w:r w:rsidRPr="00D141FC">
        <w:t>Repeal the definition</w:t>
      </w:r>
      <w:r w:rsidR="00A07EDA" w:rsidRPr="00D141FC">
        <w:t>.</w:t>
      </w:r>
    </w:p>
    <w:p w:rsidR="00367032" w:rsidRPr="00D141FC" w:rsidRDefault="00F9708D" w:rsidP="00367032">
      <w:pPr>
        <w:pStyle w:val="ItemHead"/>
      </w:pPr>
      <w:r w:rsidRPr="00D141FC">
        <w:t>8</w:t>
      </w:r>
      <w:r w:rsidR="00367032" w:rsidRPr="00D141FC">
        <w:t xml:space="preserve">  Regulation</w:t>
      </w:r>
      <w:r w:rsidR="00D141FC" w:rsidRPr="00D141FC">
        <w:t> </w:t>
      </w:r>
      <w:r w:rsidR="00367032" w:rsidRPr="00D141FC">
        <w:t>1</w:t>
      </w:r>
      <w:r w:rsidR="00A07EDA" w:rsidRPr="00D141FC">
        <w:t>.</w:t>
      </w:r>
      <w:r w:rsidR="00367032" w:rsidRPr="00D141FC">
        <w:t>3</w:t>
      </w:r>
    </w:p>
    <w:p w:rsidR="00367032" w:rsidRPr="00D141FC" w:rsidRDefault="00367032" w:rsidP="00367032">
      <w:pPr>
        <w:pStyle w:val="Item"/>
      </w:pPr>
      <w:r w:rsidRPr="00D141FC">
        <w:t>Insert:</w:t>
      </w:r>
    </w:p>
    <w:p w:rsidR="00B6518A" w:rsidRPr="00D141FC" w:rsidRDefault="00B6518A" w:rsidP="00367032">
      <w:pPr>
        <w:pStyle w:val="Definition"/>
      </w:pPr>
      <w:r w:rsidRPr="00D141FC">
        <w:rPr>
          <w:b/>
          <w:i/>
        </w:rPr>
        <w:t>pricing services</w:t>
      </w:r>
      <w:r w:rsidRPr="00D141FC">
        <w:t xml:space="preserve"> </w:t>
      </w:r>
      <w:r w:rsidR="00AC03DE" w:rsidRPr="00D141FC">
        <w:t xml:space="preserve">means services provided as described in </w:t>
      </w:r>
      <w:r w:rsidRPr="00D141FC">
        <w:t>subregulation</w:t>
      </w:r>
      <w:r w:rsidR="00D141FC" w:rsidRPr="00D141FC">
        <w:t> </w:t>
      </w:r>
      <w:r w:rsidR="00A07EDA" w:rsidRPr="00D141FC">
        <w:t>3.2</w:t>
      </w:r>
      <w:r w:rsidRPr="00D141FC">
        <w:t>(1)</w:t>
      </w:r>
      <w:r w:rsidR="00A07EDA" w:rsidRPr="00D141FC">
        <w:t>.</w:t>
      </w:r>
    </w:p>
    <w:p w:rsidR="00F7128F" w:rsidRPr="00D141FC" w:rsidRDefault="00F7128F" w:rsidP="00367032">
      <w:pPr>
        <w:pStyle w:val="Definition"/>
      </w:pPr>
      <w:r w:rsidRPr="00D141FC">
        <w:rPr>
          <w:b/>
          <w:i/>
        </w:rPr>
        <w:t>submission due day</w:t>
      </w:r>
      <w:r w:rsidRPr="00D141FC">
        <w:t xml:space="preserve"> has the meaning given by </w:t>
      </w:r>
      <w:r w:rsidR="008A350A" w:rsidRPr="00D141FC">
        <w:t>subregulation</w:t>
      </w:r>
      <w:r w:rsidR="00D141FC" w:rsidRPr="00D141FC">
        <w:t> </w:t>
      </w:r>
      <w:r w:rsidRPr="00D141FC">
        <w:t>2.1</w:t>
      </w:r>
      <w:r w:rsidR="008A350A" w:rsidRPr="00D141FC">
        <w:t>6</w:t>
      </w:r>
      <w:r w:rsidRPr="00D141FC">
        <w:t>(</w:t>
      </w:r>
      <w:r w:rsidR="008A350A" w:rsidRPr="00D141FC">
        <w:t>3</w:t>
      </w:r>
      <w:r w:rsidRPr="00D141FC">
        <w:t>).</w:t>
      </w:r>
    </w:p>
    <w:p w:rsidR="00367032" w:rsidRPr="00D141FC" w:rsidRDefault="00367032" w:rsidP="00367032">
      <w:pPr>
        <w:pStyle w:val="Definition"/>
      </w:pPr>
      <w:r w:rsidRPr="00D141FC">
        <w:rPr>
          <w:b/>
          <w:i/>
        </w:rPr>
        <w:t>submission services</w:t>
      </w:r>
      <w:r w:rsidRPr="00D141FC">
        <w:t xml:space="preserve"> means services provided as described in </w:t>
      </w:r>
      <w:r w:rsidR="00931AF6" w:rsidRPr="00D141FC">
        <w:t>sub</w:t>
      </w:r>
      <w:r w:rsidRPr="00D141FC">
        <w:t>regulation</w:t>
      </w:r>
      <w:r w:rsidR="00D141FC" w:rsidRPr="00D141FC">
        <w:t> </w:t>
      </w:r>
      <w:r w:rsidRPr="00D141FC">
        <w:t>2</w:t>
      </w:r>
      <w:r w:rsidR="00A07EDA" w:rsidRPr="00D141FC">
        <w:t>.</w:t>
      </w:r>
      <w:r w:rsidRPr="00D141FC">
        <w:t>2</w:t>
      </w:r>
      <w:r w:rsidR="00931AF6" w:rsidRPr="00D141FC">
        <w:t>(1)</w:t>
      </w:r>
      <w:r w:rsidR="00A07EDA" w:rsidRPr="00D141FC">
        <w:t>.</w:t>
      </w:r>
    </w:p>
    <w:p w:rsidR="00367032" w:rsidRPr="00D141FC" w:rsidRDefault="00F9708D" w:rsidP="00367032">
      <w:pPr>
        <w:pStyle w:val="ItemHead"/>
      </w:pPr>
      <w:r w:rsidRPr="00D141FC">
        <w:t>9</w:t>
      </w:r>
      <w:r w:rsidR="00367032" w:rsidRPr="00D141FC">
        <w:t xml:space="preserve">  Regulation</w:t>
      </w:r>
      <w:r w:rsidR="00D141FC" w:rsidRPr="00D141FC">
        <w:t> </w:t>
      </w:r>
      <w:r w:rsidR="00367032" w:rsidRPr="00D141FC">
        <w:t>1</w:t>
      </w:r>
      <w:r w:rsidR="00A07EDA" w:rsidRPr="00D141FC">
        <w:t>.</w:t>
      </w:r>
      <w:r w:rsidR="00367032" w:rsidRPr="00D141FC">
        <w:t xml:space="preserve">3 (definition of </w:t>
      </w:r>
      <w:r w:rsidR="00367032" w:rsidRPr="00D141FC">
        <w:rPr>
          <w:i/>
        </w:rPr>
        <w:t>therapy</w:t>
      </w:r>
      <w:r w:rsidR="00367032" w:rsidRPr="00D141FC">
        <w:t>)</w:t>
      </w:r>
    </w:p>
    <w:p w:rsidR="00367032" w:rsidRPr="00D141FC" w:rsidRDefault="00367032" w:rsidP="00367032">
      <w:pPr>
        <w:pStyle w:val="Item"/>
      </w:pPr>
      <w:r w:rsidRPr="00D141FC">
        <w:t xml:space="preserve">After “an application”, insert “under </w:t>
      </w:r>
      <w:r w:rsidR="00DE2973" w:rsidRPr="00D141FC">
        <w:t>these Regulations</w:t>
      </w:r>
      <w:r w:rsidRPr="00D141FC">
        <w:t>”</w:t>
      </w:r>
      <w:r w:rsidR="00A07EDA" w:rsidRPr="00D141FC">
        <w:t>.</w:t>
      </w:r>
    </w:p>
    <w:p w:rsidR="00365721" w:rsidRPr="00D141FC" w:rsidRDefault="00F9708D" w:rsidP="00365721">
      <w:pPr>
        <w:pStyle w:val="ItemHead"/>
      </w:pPr>
      <w:r w:rsidRPr="00D141FC">
        <w:t>10</w:t>
      </w:r>
      <w:r w:rsidR="00365721" w:rsidRPr="00D141FC">
        <w:t xml:space="preserve">  Regulation</w:t>
      </w:r>
      <w:r w:rsidR="00D141FC" w:rsidRPr="00D141FC">
        <w:t> </w:t>
      </w:r>
      <w:r w:rsidR="00365721" w:rsidRPr="00D141FC">
        <w:t>1.3</w:t>
      </w:r>
    </w:p>
    <w:p w:rsidR="00365721" w:rsidRPr="00D141FC" w:rsidRDefault="00365721" w:rsidP="00365721">
      <w:pPr>
        <w:pStyle w:val="Item"/>
      </w:pPr>
      <w:r w:rsidRPr="00D141FC">
        <w:t>Insert:</w:t>
      </w:r>
    </w:p>
    <w:p w:rsidR="00365721" w:rsidRPr="00D141FC" w:rsidRDefault="00365721" w:rsidP="00365721">
      <w:pPr>
        <w:pStyle w:val="Definition"/>
      </w:pPr>
      <w:r w:rsidRPr="00D141FC">
        <w:rPr>
          <w:b/>
          <w:i/>
        </w:rPr>
        <w:t>usual ATAGI fee</w:t>
      </w:r>
      <w:r w:rsidRPr="00D141FC">
        <w:t xml:space="preserve"> has the meaning given by subregulation</w:t>
      </w:r>
      <w:r w:rsidR="00D141FC" w:rsidRPr="00D141FC">
        <w:t> </w:t>
      </w:r>
      <w:r w:rsidRPr="00D141FC">
        <w:t>1A.1(2).</w:t>
      </w:r>
    </w:p>
    <w:p w:rsidR="00CB47B5" w:rsidRPr="00D141FC" w:rsidRDefault="00F9708D" w:rsidP="00CB47B5">
      <w:pPr>
        <w:pStyle w:val="ItemHead"/>
      </w:pPr>
      <w:r w:rsidRPr="00D141FC">
        <w:t>11</w:t>
      </w:r>
      <w:r w:rsidR="00CB47B5" w:rsidRPr="00D141FC">
        <w:t xml:space="preserve">  After Part</w:t>
      </w:r>
      <w:r w:rsidR="00D141FC" w:rsidRPr="00D141FC">
        <w:t> </w:t>
      </w:r>
      <w:r w:rsidR="00CB47B5" w:rsidRPr="00D141FC">
        <w:t>1</w:t>
      </w:r>
    </w:p>
    <w:p w:rsidR="00CB47B5" w:rsidRPr="00D141FC" w:rsidRDefault="00CB47B5" w:rsidP="00CB47B5">
      <w:pPr>
        <w:pStyle w:val="Item"/>
      </w:pPr>
      <w:r w:rsidRPr="00D141FC">
        <w:t>Insert:</w:t>
      </w:r>
    </w:p>
    <w:p w:rsidR="00CB47B5" w:rsidRPr="00D141FC" w:rsidRDefault="00CB47B5" w:rsidP="00CB47B5">
      <w:pPr>
        <w:pStyle w:val="ActHead2"/>
      </w:pPr>
      <w:bookmarkStart w:id="9" w:name="_Toc3993153"/>
      <w:r w:rsidRPr="00D141FC">
        <w:rPr>
          <w:rStyle w:val="CharPartNo"/>
        </w:rPr>
        <w:t>Part</w:t>
      </w:r>
      <w:r w:rsidR="00D141FC" w:rsidRPr="00D141FC">
        <w:rPr>
          <w:rStyle w:val="CharPartNo"/>
        </w:rPr>
        <w:t> </w:t>
      </w:r>
      <w:r w:rsidRPr="00D141FC">
        <w:rPr>
          <w:rStyle w:val="CharPartNo"/>
        </w:rPr>
        <w:t>1A</w:t>
      </w:r>
      <w:r w:rsidRPr="00D141FC">
        <w:t>—</w:t>
      </w:r>
      <w:r w:rsidRPr="00D141FC">
        <w:rPr>
          <w:rStyle w:val="CharPartText"/>
        </w:rPr>
        <w:t>Pre</w:t>
      </w:r>
      <w:r w:rsidR="00D141FC" w:rsidRPr="00D141FC">
        <w:rPr>
          <w:rStyle w:val="CharPartText"/>
        </w:rPr>
        <w:noBreakHyphen/>
      </w:r>
      <w:r w:rsidR="008241B1" w:rsidRPr="00D141FC">
        <w:rPr>
          <w:rStyle w:val="CharPartText"/>
        </w:rPr>
        <w:t>submission</w:t>
      </w:r>
      <w:r w:rsidRPr="00D141FC">
        <w:rPr>
          <w:rStyle w:val="CharPartText"/>
        </w:rPr>
        <w:t xml:space="preserve"> services</w:t>
      </w:r>
      <w:bookmarkEnd w:id="9"/>
    </w:p>
    <w:p w:rsidR="00532609" w:rsidRPr="00D141FC" w:rsidRDefault="00532609" w:rsidP="00532609">
      <w:pPr>
        <w:pStyle w:val="ActHead3"/>
      </w:pPr>
      <w:bookmarkStart w:id="10" w:name="_Toc3993154"/>
      <w:r w:rsidRPr="00D141FC">
        <w:rPr>
          <w:rStyle w:val="CharDivNo"/>
        </w:rPr>
        <w:t>Division</w:t>
      </w:r>
      <w:r w:rsidR="00D141FC" w:rsidRPr="00D141FC">
        <w:rPr>
          <w:rStyle w:val="CharDivNo"/>
        </w:rPr>
        <w:t> </w:t>
      </w:r>
      <w:r w:rsidR="000C5604" w:rsidRPr="00D141FC">
        <w:rPr>
          <w:rStyle w:val="CharDivNo"/>
        </w:rPr>
        <w:t>1A</w:t>
      </w:r>
      <w:r w:rsidR="00A07EDA" w:rsidRPr="00D141FC">
        <w:rPr>
          <w:rStyle w:val="CharDivNo"/>
        </w:rPr>
        <w:t>.</w:t>
      </w:r>
      <w:r w:rsidRPr="00D141FC">
        <w:rPr>
          <w:rStyle w:val="CharDivNo"/>
        </w:rPr>
        <w:t>1</w:t>
      </w:r>
      <w:r w:rsidRPr="00D141FC">
        <w:t>—</w:t>
      </w:r>
      <w:r w:rsidR="008D63A4" w:rsidRPr="00D141FC">
        <w:rPr>
          <w:rStyle w:val="CharDivText"/>
        </w:rPr>
        <w:t xml:space="preserve">Providing </w:t>
      </w:r>
      <w:r w:rsidR="000C5604" w:rsidRPr="00D141FC">
        <w:rPr>
          <w:rStyle w:val="CharDivText"/>
        </w:rPr>
        <w:t>ATAGI</w:t>
      </w:r>
      <w:r w:rsidR="00F875C1" w:rsidRPr="00D141FC">
        <w:rPr>
          <w:rStyle w:val="CharDivText"/>
        </w:rPr>
        <w:t xml:space="preserve"> advice</w:t>
      </w:r>
      <w:bookmarkEnd w:id="10"/>
    </w:p>
    <w:p w:rsidR="00625F56" w:rsidRPr="00D141FC" w:rsidRDefault="00A07EDA" w:rsidP="00625F56">
      <w:pPr>
        <w:pStyle w:val="ActHead5"/>
      </w:pPr>
      <w:bookmarkStart w:id="11" w:name="_Toc3993155"/>
      <w:r w:rsidRPr="00D141FC">
        <w:rPr>
          <w:rStyle w:val="CharSectno"/>
        </w:rPr>
        <w:t>1A.1</w:t>
      </w:r>
      <w:r w:rsidR="00625F56" w:rsidRPr="00D141FC">
        <w:t xml:space="preserve">  </w:t>
      </w:r>
      <w:r w:rsidR="00F875C1" w:rsidRPr="00D141FC">
        <w:t>F</w:t>
      </w:r>
      <w:r w:rsidR="00625F56" w:rsidRPr="00D141FC">
        <w:t>ees</w:t>
      </w:r>
      <w:r w:rsidR="00F875C1" w:rsidRPr="00D141FC">
        <w:t xml:space="preserve"> for </w:t>
      </w:r>
      <w:r w:rsidR="00B45F73" w:rsidRPr="00D141FC">
        <w:t xml:space="preserve">providing </w:t>
      </w:r>
      <w:r w:rsidR="00F875C1" w:rsidRPr="00D141FC">
        <w:t>ATAGI advice</w:t>
      </w:r>
      <w:bookmarkEnd w:id="11"/>
    </w:p>
    <w:p w:rsidR="00B45F73" w:rsidRPr="00D141FC" w:rsidRDefault="00B45F73" w:rsidP="00625F56">
      <w:pPr>
        <w:pStyle w:val="subsection"/>
      </w:pPr>
      <w:r w:rsidRPr="00D141FC">
        <w:tab/>
        <w:t>(1)</w:t>
      </w:r>
      <w:r w:rsidRPr="00D141FC">
        <w:tab/>
        <w:t>ATAGI may provide advice to a person:</w:t>
      </w:r>
    </w:p>
    <w:p w:rsidR="00B45F73" w:rsidRPr="00D141FC" w:rsidRDefault="00B45F73" w:rsidP="00B45F73">
      <w:pPr>
        <w:pStyle w:val="paragraph"/>
      </w:pPr>
      <w:r w:rsidRPr="00D141FC">
        <w:tab/>
        <w:t>(a)</w:t>
      </w:r>
      <w:r w:rsidRPr="00D141FC">
        <w:tab/>
        <w:t xml:space="preserve">in response to an application (the </w:t>
      </w:r>
      <w:r w:rsidRPr="00D141FC">
        <w:rPr>
          <w:b/>
          <w:i/>
        </w:rPr>
        <w:t>ATAGI application</w:t>
      </w:r>
      <w:r w:rsidRPr="00D141FC">
        <w:t>) by the person; and</w:t>
      </w:r>
    </w:p>
    <w:p w:rsidR="00B45F73" w:rsidRPr="00D141FC" w:rsidRDefault="00B45F73" w:rsidP="00B45F73">
      <w:pPr>
        <w:pStyle w:val="paragraph"/>
      </w:pPr>
      <w:r w:rsidRPr="00D141FC">
        <w:tab/>
        <w:t>(b)</w:t>
      </w:r>
      <w:r w:rsidRPr="00D141FC">
        <w:tab/>
        <w:t xml:space="preserve">for the person to include in a proposed </w:t>
      </w:r>
      <w:r w:rsidR="00336922" w:rsidRPr="00D141FC">
        <w:t>Part</w:t>
      </w:r>
      <w:r w:rsidR="00D141FC" w:rsidRPr="00D141FC">
        <w:t> </w:t>
      </w:r>
      <w:r w:rsidR="00336922" w:rsidRPr="00D141FC">
        <w:t xml:space="preserve">2 </w:t>
      </w:r>
      <w:r w:rsidRPr="00D141FC">
        <w:t>submission to the Committee that the Committee recommend to the Minister that the Minister exercise a power under section</w:t>
      </w:r>
      <w:r w:rsidR="00D141FC" w:rsidRPr="00D141FC">
        <w:t> </w:t>
      </w:r>
      <w:r w:rsidRPr="00D141FC">
        <w:t>9B of the Act</w:t>
      </w:r>
      <w:r w:rsidR="00A07EDA" w:rsidRPr="00D141FC">
        <w:t>.</w:t>
      </w:r>
    </w:p>
    <w:p w:rsidR="00B45F73" w:rsidRPr="00D141FC" w:rsidRDefault="00B45F73" w:rsidP="00625F56">
      <w:pPr>
        <w:pStyle w:val="subsection"/>
      </w:pPr>
      <w:r w:rsidRPr="00D141FC">
        <w:tab/>
        <w:t>(2)</w:t>
      </w:r>
      <w:r w:rsidRPr="00D141FC">
        <w:tab/>
        <w:t>For the purposes of section</w:t>
      </w:r>
      <w:r w:rsidR="00D141FC" w:rsidRPr="00D141FC">
        <w:t> </w:t>
      </w:r>
      <w:r w:rsidRPr="00D141FC">
        <w:t xml:space="preserve">99YBA of the Act, the fee </w:t>
      </w:r>
      <w:r w:rsidR="00BB3491" w:rsidRPr="00D141FC">
        <w:t xml:space="preserve">(the </w:t>
      </w:r>
      <w:r w:rsidR="002A6C42" w:rsidRPr="00D141FC">
        <w:rPr>
          <w:b/>
          <w:i/>
        </w:rPr>
        <w:t>usual</w:t>
      </w:r>
      <w:r w:rsidR="00BB3491" w:rsidRPr="00D141FC">
        <w:rPr>
          <w:b/>
          <w:i/>
        </w:rPr>
        <w:t xml:space="preserve"> ATAGI fee</w:t>
      </w:r>
      <w:r w:rsidR="00BB3491" w:rsidRPr="00D141FC">
        <w:t xml:space="preserve">) </w:t>
      </w:r>
      <w:r w:rsidRPr="00D141FC">
        <w:t>prescribed for providing the ATAGI advice to the person is:</w:t>
      </w:r>
    </w:p>
    <w:p w:rsidR="00B45F73" w:rsidRPr="00D141FC" w:rsidRDefault="00B45F73" w:rsidP="00B45F73">
      <w:pPr>
        <w:pStyle w:val="paragraph"/>
      </w:pPr>
      <w:r w:rsidRPr="00D141FC">
        <w:tab/>
        <w:t>(a)</w:t>
      </w:r>
      <w:r w:rsidRPr="00D141FC">
        <w:tab/>
        <w:t>if the notification for the person’s ATAGI application is given during the financial year starting on 1</w:t>
      </w:r>
      <w:r w:rsidR="00D141FC" w:rsidRPr="00D141FC">
        <w:t> </w:t>
      </w:r>
      <w:r w:rsidRPr="00D141FC">
        <w:t>July 2019—$295,420; or</w:t>
      </w:r>
    </w:p>
    <w:p w:rsidR="00B45F73" w:rsidRPr="00D141FC" w:rsidRDefault="00B45F73" w:rsidP="00B45F73">
      <w:pPr>
        <w:pStyle w:val="paragraph"/>
      </w:pPr>
      <w:r w:rsidRPr="00D141FC">
        <w:tab/>
        <w:t>(b)</w:t>
      </w:r>
      <w:r w:rsidRPr="00D141FC">
        <w:tab/>
        <w:t>if the notification for the person’s ATAGI application is given during the financial year starting on 1</w:t>
      </w:r>
      <w:r w:rsidR="00D141FC" w:rsidRPr="00D141FC">
        <w:t> </w:t>
      </w:r>
      <w:r w:rsidRPr="00D141FC">
        <w:t>July 2020—$300,440</w:t>
      </w:r>
      <w:r w:rsidR="00A07EDA" w:rsidRPr="00D141FC">
        <w:t>.</w:t>
      </w:r>
    </w:p>
    <w:p w:rsidR="00B45F73" w:rsidRPr="00D141FC" w:rsidRDefault="00B45F73" w:rsidP="00B45F73">
      <w:pPr>
        <w:pStyle w:val="notetext"/>
      </w:pPr>
      <w:r w:rsidRPr="00D141FC">
        <w:t>Note:</w:t>
      </w:r>
      <w:r w:rsidRPr="00D141FC">
        <w:tab/>
        <w:t>This fee is indexed for later financial years (see regulation</w:t>
      </w:r>
      <w:r w:rsidR="00D141FC" w:rsidRPr="00D141FC">
        <w:t> </w:t>
      </w:r>
      <w:r w:rsidRPr="00D141FC">
        <w:t>4</w:t>
      </w:r>
      <w:r w:rsidR="00A07EDA" w:rsidRPr="00D141FC">
        <w:t>.</w:t>
      </w:r>
      <w:r w:rsidRPr="00D141FC">
        <w:t>7)</w:t>
      </w:r>
      <w:r w:rsidR="00A07EDA" w:rsidRPr="00D141FC">
        <w:t>.</w:t>
      </w:r>
    </w:p>
    <w:p w:rsidR="00B45F73" w:rsidRPr="00D141FC" w:rsidRDefault="00A07EDA" w:rsidP="00B45F73">
      <w:pPr>
        <w:pStyle w:val="ActHead5"/>
      </w:pPr>
      <w:bookmarkStart w:id="12" w:name="_Toc3993156"/>
      <w:r w:rsidRPr="00D141FC">
        <w:rPr>
          <w:rStyle w:val="CharSectno"/>
        </w:rPr>
        <w:t>1A.2</w:t>
      </w:r>
      <w:r w:rsidR="00B45F73" w:rsidRPr="00D141FC">
        <w:t xml:space="preserve">  Partial exemption </w:t>
      </w:r>
      <w:r w:rsidR="00341889" w:rsidRPr="00D141FC">
        <w:t xml:space="preserve">from </w:t>
      </w:r>
      <w:r w:rsidR="00197514" w:rsidRPr="00D141FC">
        <w:t>usual</w:t>
      </w:r>
      <w:r w:rsidR="00341889" w:rsidRPr="00D141FC">
        <w:t xml:space="preserve"> ATAGI fee for simple ATAGI applications</w:t>
      </w:r>
      <w:bookmarkEnd w:id="12"/>
    </w:p>
    <w:p w:rsidR="00341889" w:rsidRPr="00D141FC" w:rsidRDefault="00341889" w:rsidP="00341889">
      <w:pPr>
        <w:pStyle w:val="SubsectionHead"/>
      </w:pPr>
      <w:r w:rsidRPr="00D141FC">
        <w:t xml:space="preserve">Person may be partially exempt from </w:t>
      </w:r>
      <w:r w:rsidR="00197514" w:rsidRPr="00D141FC">
        <w:t>usual</w:t>
      </w:r>
      <w:r w:rsidRPr="00D141FC">
        <w:t xml:space="preserve"> ATAGI fee</w:t>
      </w:r>
    </w:p>
    <w:p w:rsidR="00163665" w:rsidRPr="00D141FC" w:rsidRDefault="00163665" w:rsidP="00163665">
      <w:pPr>
        <w:pStyle w:val="subsection"/>
      </w:pPr>
      <w:r w:rsidRPr="00D141FC">
        <w:tab/>
        <w:t>(1)</w:t>
      </w:r>
      <w:r w:rsidRPr="00D141FC">
        <w:tab/>
        <w:t>The Secretary may, in writing and on request, decide whether or not to partially exempt a person from the usual ATAGI fee</w:t>
      </w:r>
      <w:r w:rsidR="00A07EDA" w:rsidRPr="00D141FC">
        <w:t>.</w:t>
      </w:r>
    </w:p>
    <w:p w:rsidR="005F7100" w:rsidRPr="00D141FC" w:rsidRDefault="005F7100" w:rsidP="005F7100">
      <w:pPr>
        <w:pStyle w:val="notetext"/>
      </w:pPr>
      <w:r w:rsidRPr="00D141FC">
        <w:t>Note</w:t>
      </w:r>
      <w:r w:rsidR="00071720" w:rsidRPr="00D141FC">
        <w:t xml:space="preserve"> 1</w:t>
      </w:r>
      <w:r w:rsidRPr="00D141FC">
        <w:t>:</w:t>
      </w:r>
      <w:r w:rsidRPr="00D141FC">
        <w:tab/>
        <w:t>A decision not to partially exempt a person is reviewable (see regulation</w:t>
      </w:r>
      <w:r w:rsidR="00D141FC" w:rsidRPr="00D141FC">
        <w:t> </w:t>
      </w:r>
      <w:r w:rsidRPr="00D141FC">
        <w:t>6</w:t>
      </w:r>
      <w:r w:rsidR="00A07EDA" w:rsidRPr="00D141FC">
        <w:t>.</w:t>
      </w:r>
      <w:r w:rsidRPr="00D141FC">
        <w:t>1A)</w:t>
      </w:r>
      <w:r w:rsidR="00A07EDA" w:rsidRPr="00D141FC">
        <w:t>.</w:t>
      </w:r>
    </w:p>
    <w:p w:rsidR="00071720" w:rsidRPr="00D141FC" w:rsidRDefault="00071720" w:rsidP="005F7100">
      <w:pPr>
        <w:pStyle w:val="notetext"/>
      </w:pPr>
      <w:r w:rsidRPr="00D141FC">
        <w:t>Note 2:</w:t>
      </w:r>
      <w:r w:rsidRPr="00D141FC">
        <w:tab/>
      </w:r>
      <w:r w:rsidR="00341889" w:rsidRPr="00D141FC">
        <w:t>Regardless of this regulation, i</w:t>
      </w:r>
      <w:r w:rsidRPr="00D141FC">
        <w:t xml:space="preserve">n some circumstances the person will be fully exempt </w:t>
      </w:r>
      <w:r w:rsidR="00341889" w:rsidRPr="00D141FC">
        <w:t xml:space="preserve">from the </w:t>
      </w:r>
      <w:r w:rsidR="002A6C42" w:rsidRPr="00D141FC">
        <w:t>usual</w:t>
      </w:r>
      <w:r w:rsidR="00341889" w:rsidRPr="00D141FC">
        <w:t xml:space="preserve"> ATAGI fee (see regulation</w:t>
      </w:r>
      <w:r w:rsidR="00D141FC" w:rsidRPr="00D141FC">
        <w:t> </w:t>
      </w:r>
      <w:r w:rsidR="00341889" w:rsidRPr="00D141FC">
        <w:t>5</w:t>
      </w:r>
      <w:r w:rsidR="00A07EDA" w:rsidRPr="00D141FC">
        <w:t>.</w:t>
      </w:r>
      <w:r w:rsidR="00341889" w:rsidRPr="00D141FC">
        <w:t>1)</w:t>
      </w:r>
      <w:r w:rsidR="00A07EDA" w:rsidRPr="00D141FC">
        <w:t>.</w:t>
      </w:r>
    </w:p>
    <w:p w:rsidR="00B45F73" w:rsidRPr="00D141FC" w:rsidRDefault="005F7100" w:rsidP="00B45F73">
      <w:pPr>
        <w:pStyle w:val="subsection"/>
      </w:pPr>
      <w:r w:rsidRPr="00D141FC">
        <w:tab/>
        <w:t>(2</w:t>
      </w:r>
      <w:r w:rsidR="00B45F73" w:rsidRPr="00D141FC">
        <w:t>)</w:t>
      </w:r>
      <w:r w:rsidR="00B45F73" w:rsidRPr="00D141FC">
        <w:tab/>
      </w:r>
      <w:r w:rsidR="00E808E4" w:rsidRPr="00D141FC">
        <w:t xml:space="preserve">The Secretary must </w:t>
      </w:r>
      <w:r w:rsidRPr="00D141FC">
        <w:t>decide under subregulation</w:t>
      </w:r>
      <w:r w:rsidR="00D141FC" w:rsidRPr="00D141FC">
        <w:t> </w:t>
      </w:r>
      <w:r w:rsidRPr="00D141FC">
        <w:t xml:space="preserve">(1) to </w:t>
      </w:r>
      <w:r w:rsidR="00274EBB" w:rsidRPr="00D141FC">
        <w:t>par</w:t>
      </w:r>
      <w:r w:rsidRPr="00D141FC">
        <w:t xml:space="preserve">tially exempt the </w:t>
      </w:r>
      <w:r w:rsidR="00274EBB" w:rsidRPr="00D141FC">
        <w:t>person if:</w:t>
      </w:r>
    </w:p>
    <w:p w:rsidR="007D2DC2" w:rsidRPr="00D141FC" w:rsidRDefault="007D2DC2" w:rsidP="007D2DC2">
      <w:pPr>
        <w:pStyle w:val="paragraph"/>
      </w:pPr>
      <w:r w:rsidRPr="00D141FC">
        <w:tab/>
        <w:t>(a)</w:t>
      </w:r>
      <w:r w:rsidRPr="00D141FC">
        <w:tab/>
        <w:t xml:space="preserve">the </w:t>
      </w:r>
      <w:r w:rsidR="00455CBC" w:rsidRPr="00D141FC">
        <w:t xml:space="preserve">person’s </w:t>
      </w:r>
      <w:r w:rsidRPr="00D141FC">
        <w:t>ATAGI application is only proposing:</w:t>
      </w:r>
    </w:p>
    <w:p w:rsidR="007D2DC2" w:rsidRPr="00D141FC" w:rsidRDefault="00673AB6" w:rsidP="007D2DC2">
      <w:pPr>
        <w:pStyle w:val="paragraphsub"/>
      </w:pPr>
      <w:r w:rsidRPr="00D141FC">
        <w:tab/>
        <w:t>(i)</w:t>
      </w:r>
      <w:r w:rsidRPr="00D141FC">
        <w:tab/>
        <w:t xml:space="preserve">that a new brand </w:t>
      </w:r>
      <w:r w:rsidR="007D2DC2" w:rsidRPr="00D141FC">
        <w:t>of vaccine be determined under subsection</w:t>
      </w:r>
      <w:r w:rsidR="00D141FC" w:rsidRPr="00D141FC">
        <w:t> </w:t>
      </w:r>
      <w:r w:rsidR="007D2DC2" w:rsidRPr="00D141FC">
        <w:t>9B(2) of the Act as a designated vaccine; and</w:t>
      </w:r>
    </w:p>
    <w:p w:rsidR="007D2DC2" w:rsidRPr="00D141FC" w:rsidRDefault="007D2DC2" w:rsidP="007D2DC2">
      <w:pPr>
        <w:pStyle w:val="paragraphsub"/>
      </w:pPr>
      <w:r w:rsidRPr="00D141FC">
        <w:tab/>
        <w:t>(ii)</w:t>
      </w:r>
      <w:r w:rsidRPr="00D141FC">
        <w:tab/>
        <w:t xml:space="preserve">that the proposed determination is to specify the vaccine by reference to characteristics </w:t>
      </w:r>
      <w:r w:rsidR="005B2EF5" w:rsidRPr="00D141FC">
        <w:t xml:space="preserve">(other than brand) </w:t>
      </w:r>
      <w:r w:rsidRPr="00D141FC">
        <w:t xml:space="preserve">that are the same </w:t>
      </w:r>
      <w:r w:rsidR="00D563A1" w:rsidRPr="00D141FC">
        <w:t xml:space="preserve">as </w:t>
      </w:r>
      <w:r w:rsidRPr="00D141FC">
        <w:t>or similar to those specified for another vaccine that is already a designated vaccine; or</w:t>
      </w:r>
    </w:p>
    <w:p w:rsidR="007D2DC2" w:rsidRPr="00D141FC" w:rsidRDefault="007D2DC2" w:rsidP="00274EBB">
      <w:pPr>
        <w:pStyle w:val="paragraph"/>
      </w:pPr>
      <w:r w:rsidRPr="00D141FC">
        <w:tab/>
        <w:t>(b)</w:t>
      </w:r>
      <w:r w:rsidRPr="00D141FC">
        <w:tab/>
        <w:t xml:space="preserve">the </w:t>
      </w:r>
      <w:r w:rsidR="00455CBC" w:rsidRPr="00D141FC">
        <w:t xml:space="preserve">person’s </w:t>
      </w:r>
      <w:r w:rsidRPr="00D141FC">
        <w:t xml:space="preserve">ATAGI application is only </w:t>
      </w:r>
      <w:r w:rsidR="00993847" w:rsidRPr="00D141FC">
        <w:t>proposing:</w:t>
      </w:r>
    </w:p>
    <w:p w:rsidR="00993847" w:rsidRPr="00D141FC" w:rsidRDefault="00993847" w:rsidP="00993847">
      <w:pPr>
        <w:pStyle w:val="paragraphsub"/>
      </w:pPr>
      <w:r w:rsidRPr="00D141FC">
        <w:tab/>
        <w:t>(i)</w:t>
      </w:r>
      <w:r w:rsidRPr="00D141FC">
        <w:tab/>
        <w:t xml:space="preserve">to vary the circumstances specified </w:t>
      </w:r>
      <w:r w:rsidR="00792AB5" w:rsidRPr="00D141FC">
        <w:t xml:space="preserve">in a determination </w:t>
      </w:r>
      <w:r w:rsidRPr="00D141FC">
        <w:t>under subsection</w:t>
      </w:r>
      <w:r w:rsidR="00D141FC" w:rsidRPr="00D141FC">
        <w:t> </w:t>
      </w:r>
      <w:r w:rsidRPr="00D141FC">
        <w:t>9B(2) of the Act in which a designated vaccine may be provided; and</w:t>
      </w:r>
    </w:p>
    <w:p w:rsidR="00993847" w:rsidRPr="00D141FC" w:rsidRDefault="00993847" w:rsidP="00993847">
      <w:pPr>
        <w:pStyle w:val="paragraphsub"/>
      </w:pPr>
      <w:r w:rsidRPr="00D141FC">
        <w:tab/>
        <w:t>(ii)</w:t>
      </w:r>
      <w:r w:rsidRPr="00D141FC">
        <w:tab/>
      </w:r>
      <w:r w:rsidR="00B967B2" w:rsidRPr="00D141FC">
        <w:t>that the variation is to extend the vaccine’s eligible patient population to a new group of patients who are</w:t>
      </w:r>
      <w:r w:rsidR="00E6492D" w:rsidRPr="00D141FC">
        <w:t xml:space="preserve"> no</w:t>
      </w:r>
      <w:r w:rsidR="00B967B2" w:rsidRPr="00D141FC">
        <w:t xml:space="preserve"> more vulnerable to a poor outcome from either the </w:t>
      </w:r>
      <w:r w:rsidR="00E1331B" w:rsidRPr="00D141FC">
        <w:t>relevant</w:t>
      </w:r>
      <w:r w:rsidR="00B967B2" w:rsidRPr="00D141FC">
        <w:t xml:space="preserve"> disease or the vaccine; or</w:t>
      </w:r>
    </w:p>
    <w:p w:rsidR="00B967B2" w:rsidRPr="00D141FC" w:rsidRDefault="00B967B2" w:rsidP="00B967B2">
      <w:pPr>
        <w:pStyle w:val="paragraph"/>
      </w:pPr>
      <w:r w:rsidRPr="00D141FC">
        <w:tab/>
        <w:t>(c)</w:t>
      </w:r>
      <w:r w:rsidRPr="00D141FC">
        <w:tab/>
        <w:t xml:space="preserve">the Secretary is satisfied </w:t>
      </w:r>
      <w:r w:rsidR="00455CBC" w:rsidRPr="00D141FC">
        <w:t>that providing</w:t>
      </w:r>
      <w:r w:rsidRPr="00D141FC">
        <w:t xml:space="preserve"> the ATAGI advice </w:t>
      </w:r>
      <w:r w:rsidR="00455CBC" w:rsidRPr="00D141FC">
        <w:t xml:space="preserve">to the person </w:t>
      </w:r>
      <w:r w:rsidRPr="00D141FC">
        <w:t>will not involve the degree of data analysis and consideration that would justify payment of the entire usual ATAGI fee</w:t>
      </w:r>
      <w:r w:rsidR="00A07EDA" w:rsidRPr="00D141FC">
        <w:t>.</w:t>
      </w:r>
    </w:p>
    <w:p w:rsidR="00673AB6" w:rsidRPr="00D141FC" w:rsidRDefault="00673AB6" w:rsidP="00673AB6">
      <w:pPr>
        <w:pStyle w:val="subsection2"/>
      </w:pPr>
      <w:r w:rsidRPr="00D141FC">
        <w:t xml:space="preserve">For the purposes of </w:t>
      </w:r>
      <w:r w:rsidR="00D141FC" w:rsidRPr="00D141FC">
        <w:t>paragraph (</w:t>
      </w:r>
      <w:r w:rsidRPr="00D141FC">
        <w:t xml:space="preserve">a), </w:t>
      </w:r>
      <w:r w:rsidRPr="00D141FC">
        <w:rPr>
          <w:b/>
          <w:i/>
        </w:rPr>
        <w:t>brand</w:t>
      </w:r>
      <w:r w:rsidRPr="00D141FC">
        <w:t xml:space="preserve"> has the same meaning as in section</w:t>
      </w:r>
      <w:r w:rsidR="00D141FC" w:rsidRPr="00D141FC">
        <w:t> </w:t>
      </w:r>
      <w:r w:rsidRPr="00D141FC">
        <w:t>9B of the Act.</w:t>
      </w:r>
    </w:p>
    <w:p w:rsidR="00915F3F" w:rsidRPr="00D141FC" w:rsidRDefault="00915F3F" w:rsidP="00915F3F">
      <w:pPr>
        <w:pStyle w:val="notetext"/>
      </w:pPr>
      <w:r w:rsidRPr="00D141FC">
        <w:t>Note:</w:t>
      </w:r>
      <w:r w:rsidRPr="00D141FC">
        <w:tab/>
        <w:t xml:space="preserve">For examples of the characteristics referred to in </w:t>
      </w:r>
      <w:r w:rsidR="00D141FC" w:rsidRPr="00D141FC">
        <w:t>subparagraph (</w:t>
      </w:r>
      <w:r w:rsidRPr="00D141FC">
        <w:t>a)(ii), see subsection</w:t>
      </w:r>
      <w:r w:rsidR="00D141FC" w:rsidRPr="00D141FC">
        <w:t> </w:t>
      </w:r>
      <w:r w:rsidRPr="00D141FC">
        <w:t>9B(3) of the Act</w:t>
      </w:r>
      <w:r w:rsidR="00A07EDA" w:rsidRPr="00D141FC">
        <w:t>.</w:t>
      </w:r>
    </w:p>
    <w:p w:rsidR="00341889" w:rsidRPr="00D141FC" w:rsidRDefault="00341889" w:rsidP="00341889">
      <w:pPr>
        <w:pStyle w:val="SubsectionHead"/>
      </w:pPr>
      <w:r w:rsidRPr="00D141FC">
        <w:t>Fee payable if a person is partially exempt</w:t>
      </w:r>
    </w:p>
    <w:p w:rsidR="005F7100" w:rsidRPr="00D141FC" w:rsidRDefault="005F7100" w:rsidP="005F7100">
      <w:pPr>
        <w:pStyle w:val="subsection"/>
      </w:pPr>
      <w:r w:rsidRPr="00D141FC">
        <w:tab/>
        <w:t>(3)</w:t>
      </w:r>
      <w:r w:rsidRPr="00D141FC">
        <w:tab/>
      </w:r>
      <w:r w:rsidR="00030740" w:rsidRPr="00D141FC">
        <w:t>If a person is partially exempt under subregulation</w:t>
      </w:r>
      <w:r w:rsidR="00D141FC" w:rsidRPr="00D141FC">
        <w:t> </w:t>
      </w:r>
      <w:r w:rsidR="00030740" w:rsidRPr="00D141FC">
        <w:t>(1), the fee for providing the ATAGI advice to the person is reduced to</w:t>
      </w:r>
      <w:r w:rsidRPr="00D141FC">
        <w:t>:</w:t>
      </w:r>
    </w:p>
    <w:p w:rsidR="005F7100" w:rsidRPr="00D141FC" w:rsidRDefault="005F7100" w:rsidP="005F7100">
      <w:pPr>
        <w:pStyle w:val="paragraph"/>
      </w:pPr>
      <w:r w:rsidRPr="00D141FC">
        <w:tab/>
        <w:t>(a)</w:t>
      </w:r>
      <w:r w:rsidRPr="00D141FC">
        <w:tab/>
        <w:t>if the notification for the person’s ATAGI application is given during the financial year starting on 1</w:t>
      </w:r>
      <w:r w:rsidR="00D141FC" w:rsidRPr="00D141FC">
        <w:t> </w:t>
      </w:r>
      <w:r w:rsidRPr="00D141FC">
        <w:t>July 2019—$175,570; or</w:t>
      </w:r>
    </w:p>
    <w:p w:rsidR="005F7100" w:rsidRPr="00D141FC" w:rsidRDefault="005F7100" w:rsidP="005F7100">
      <w:pPr>
        <w:pStyle w:val="paragraph"/>
      </w:pPr>
      <w:r w:rsidRPr="00D141FC">
        <w:tab/>
        <w:t>(b)</w:t>
      </w:r>
      <w:r w:rsidRPr="00D141FC">
        <w:tab/>
        <w:t>if the notification for the person’s ATAGI application is given during the financial year starting on 1</w:t>
      </w:r>
      <w:r w:rsidR="00D141FC" w:rsidRPr="00D141FC">
        <w:t> </w:t>
      </w:r>
      <w:r w:rsidRPr="00D141FC">
        <w:t>July 2020—$178,550</w:t>
      </w:r>
      <w:r w:rsidR="00A07EDA" w:rsidRPr="00D141FC">
        <w:t>.</w:t>
      </w:r>
    </w:p>
    <w:p w:rsidR="005F7100" w:rsidRPr="00D141FC" w:rsidRDefault="005F7100" w:rsidP="005F7100">
      <w:pPr>
        <w:pStyle w:val="notetext"/>
      </w:pPr>
      <w:r w:rsidRPr="00D141FC">
        <w:t>Note:</w:t>
      </w:r>
      <w:r w:rsidRPr="00D141FC">
        <w:tab/>
        <w:t xml:space="preserve">This </w:t>
      </w:r>
      <w:r w:rsidR="002974E8" w:rsidRPr="00D141FC">
        <w:t xml:space="preserve">reduced </w:t>
      </w:r>
      <w:r w:rsidRPr="00D141FC">
        <w:t>fee is indexed for later financial years (see regulation</w:t>
      </w:r>
      <w:r w:rsidR="00D141FC" w:rsidRPr="00D141FC">
        <w:t> </w:t>
      </w:r>
      <w:r w:rsidRPr="00D141FC">
        <w:t>4</w:t>
      </w:r>
      <w:r w:rsidR="00A07EDA" w:rsidRPr="00D141FC">
        <w:t>.</w:t>
      </w:r>
      <w:r w:rsidRPr="00D141FC">
        <w:t>7)</w:t>
      </w:r>
      <w:r w:rsidR="00A07EDA" w:rsidRPr="00D141FC">
        <w:t>.</w:t>
      </w:r>
    </w:p>
    <w:p w:rsidR="00341889" w:rsidRPr="00D141FC" w:rsidRDefault="00341889" w:rsidP="00341889">
      <w:pPr>
        <w:pStyle w:val="SubsectionHead"/>
      </w:pPr>
      <w:r w:rsidRPr="00D141FC">
        <w:t xml:space="preserve">ATAGI application must indicate if partial exemption is </w:t>
      </w:r>
      <w:r w:rsidR="00D17632" w:rsidRPr="00D141FC">
        <w:t>requested</w:t>
      </w:r>
    </w:p>
    <w:p w:rsidR="00071720" w:rsidRPr="00D141FC" w:rsidRDefault="00071720" w:rsidP="00071720">
      <w:pPr>
        <w:pStyle w:val="subsection"/>
      </w:pPr>
      <w:r w:rsidRPr="00D141FC">
        <w:tab/>
        <w:t>(4)</w:t>
      </w:r>
      <w:r w:rsidRPr="00D141FC">
        <w:tab/>
        <w:t>A person who wants the Secretary to make a decision under subregulation</w:t>
      </w:r>
      <w:r w:rsidR="00D141FC" w:rsidRPr="00D141FC">
        <w:t> </w:t>
      </w:r>
      <w:r w:rsidRPr="00D141FC">
        <w:t xml:space="preserve">(1) must </w:t>
      </w:r>
      <w:r w:rsidR="00D17632" w:rsidRPr="00D141FC">
        <w:t>request this i</w:t>
      </w:r>
      <w:r w:rsidRPr="00D141FC">
        <w:t>n the person’s ATAGI application</w:t>
      </w:r>
      <w:r w:rsidR="00D17632" w:rsidRPr="00D141FC">
        <w:t>, and include</w:t>
      </w:r>
      <w:r w:rsidRPr="00D141FC">
        <w:t xml:space="preserve"> reasons </w:t>
      </w:r>
      <w:r w:rsidR="00D17632" w:rsidRPr="00D141FC">
        <w:t xml:space="preserve">in the ATAGI application </w:t>
      </w:r>
      <w:r w:rsidRPr="00D141FC">
        <w:t>why the Secretary should do so</w:t>
      </w:r>
      <w:r w:rsidR="00A07EDA" w:rsidRPr="00D141FC">
        <w:t>.</w:t>
      </w:r>
    </w:p>
    <w:p w:rsidR="00FC5179" w:rsidRPr="00D141FC" w:rsidRDefault="00FC5179" w:rsidP="00FC5179">
      <w:pPr>
        <w:pStyle w:val="subsection"/>
      </w:pPr>
      <w:r w:rsidRPr="00D141FC">
        <w:tab/>
        <w:t>(5)</w:t>
      </w:r>
      <w:r w:rsidRPr="00D141FC">
        <w:tab/>
        <w:t>The Secretary may, by written notice given to the applicant, seek further information from the applicant in relation to the applicant’s request</w:t>
      </w:r>
      <w:r w:rsidR="00A07EDA" w:rsidRPr="00D141FC">
        <w:t>.</w:t>
      </w:r>
    </w:p>
    <w:p w:rsidR="00FC5179" w:rsidRPr="00D141FC" w:rsidRDefault="00FC5179" w:rsidP="00FC5179">
      <w:pPr>
        <w:pStyle w:val="subsection"/>
      </w:pPr>
      <w:r w:rsidRPr="00D141FC">
        <w:tab/>
        <w:t>(6)</w:t>
      </w:r>
      <w:r w:rsidRPr="00D141FC">
        <w:tab/>
        <w:t>Giving such a notice seeking further information pauses the 21</w:t>
      </w:r>
      <w:r w:rsidR="00D141FC">
        <w:noBreakHyphen/>
      </w:r>
      <w:r w:rsidRPr="00D141FC">
        <w:t>day period</w:t>
      </w:r>
      <w:r w:rsidR="00455CBC" w:rsidRPr="00D141FC">
        <w:t xml:space="preserve"> mentioned in subregulation</w:t>
      </w:r>
      <w:r w:rsidR="00D141FC" w:rsidRPr="00D141FC">
        <w:t> </w:t>
      </w:r>
      <w:r w:rsidR="00A07EDA" w:rsidRPr="00D141FC">
        <w:t>1A.4</w:t>
      </w:r>
      <w:r w:rsidR="00455CBC" w:rsidRPr="00D141FC">
        <w:t>(1) for</w:t>
      </w:r>
      <w:r w:rsidRPr="00D141FC">
        <w:t xml:space="preserve"> the ATAGI application until the further information is given </w:t>
      </w:r>
      <w:r w:rsidR="001C6A77" w:rsidRPr="00D141FC">
        <w:t>in accordance with the notice</w:t>
      </w:r>
      <w:r w:rsidR="00A07EDA" w:rsidRPr="00D141FC">
        <w:t>.</w:t>
      </w:r>
    </w:p>
    <w:p w:rsidR="00532609" w:rsidRPr="00D141FC" w:rsidRDefault="00A07EDA" w:rsidP="00532609">
      <w:pPr>
        <w:pStyle w:val="ActHead5"/>
      </w:pPr>
      <w:bookmarkStart w:id="13" w:name="_Toc3993157"/>
      <w:r w:rsidRPr="00D141FC">
        <w:rPr>
          <w:rStyle w:val="CharSectno"/>
        </w:rPr>
        <w:t>1A.3</w:t>
      </w:r>
      <w:r w:rsidR="00532609" w:rsidRPr="00D141FC">
        <w:t xml:space="preserve">  How to </w:t>
      </w:r>
      <w:r w:rsidR="00E63A29" w:rsidRPr="00D141FC">
        <w:t>make a</w:t>
      </w:r>
      <w:r w:rsidR="0044470C" w:rsidRPr="00D141FC">
        <w:t>n ATAGI application</w:t>
      </w:r>
      <w:bookmarkEnd w:id="13"/>
    </w:p>
    <w:p w:rsidR="00532609" w:rsidRPr="00D141FC" w:rsidRDefault="00532609" w:rsidP="00532609">
      <w:pPr>
        <w:pStyle w:val="subsection"/>
      </w:pPr>
      <w:r w:rsidRPr="00D141FC">
        <w:tab/>
        <w:t>(1)</w:t>
      </w:r>
      <w:r w:rsidRPr="00D141FC">
        <w:tab/>
        <w:t xml:space="preserve">An </w:t>
      </w:r>
      <w:r w:rsidR="0044470C" w:rsidRPr="00D141FC">
        <w:t xml:space="preserve">ATAGI </w:t>
      </w:r>
      <w:r w:rsidRPr="00D141FC">
        <w:t>application must:</w:t>
      </w:r>
    </w:p>
    <w:p w:rsidR="00532609" w:rsidRPr="00D141FC" w:rsidRDefault="00532609" w:rsidP="00532609">
      <w:pPr>
        <w:pStyle w:val="paragraph"/>
      </w:pPr>
      <w:r w:rsidRPr="00D141FC">
        <w:tab/>
        <w:t>(a)</w:t>
      </w:r>
      <w:r w:rsidRPr="00D141FC">
        <w:tab/>
        <w:t>be made in writing, in the approved form, to the Secretary; and</w:t>
      </w:r>
    </w:p>
    <w:p w:rsidR="00532609" w:rsidRPr="00D141FC" w:rsidRDefault="00532609" w:rsidP="00532609">
      <w:pPr>
        <w:pStyle w:val="paragraph"/>
      </w:pPr>
      <w:r w:rsidRPr="00D141FC">
        <w:tab/>
        <w:t>(b)</w:t>
      </w:r>
      <w:r w:rsidRPr="00D141FC">
        <w:tab/>
        <w:t xml:space="preserve">be sent to the office of the Department administering </w:t>
      </w:r>
      <w:r w:rsidR="0044470C" w:rsidRPr="00D141FC">
        <w:t>ATAGI</w:t>
      </w:r>
      <w:r w:rsidR="00A07EDA" w:rsidRPr="00D141FC">
        <w:t>.</w:t>
      </w:r>
    </w:p>
    <w:p w:rsidR="00532609" w:rsidRPr="00D141FC" w:rsidRDefault="00532609" w:rsidP="00532609">
      <w:pPr>
        <w:pStyle w:val="notetext"/>
      </w:pPr>
      <w:r w:rsidRPr="00D141FC">
        <w:t>Note:</w:t>
      </w:r>
      <w:r w:rsidRPr="00D141FC">
        <w:tab/>
        <w:t xml:space="preserve">The address for the office administering </w:t>
      </w:r>
      <w:r w:rsidR="0044470C" w:rsidRPr="00D141FC">
        <w:t>ATAGI</w:t>
      </w:r>
      <w:r w:rsidRPr="00D141FC">
        <w:t xml:space="preserve"> can be found </w:t>
      </w:r>
      <w:r w:rsidR="0044470C" w:rsidRPr="00D141FC">
        <w:t>on the Department’s website</w:t>
      </w:r>
      <w:r w:rsidR="00A07EDA" w:rsidRPr="00D141FC">
        <w:t>.</w:t>
      </w:r>
    </w:p>
    <w:p w:rsidR="008A7F6A" w:rsidRPr="00D141FC" w:rsidRDefault="00532609" w:rsidP="00532609">
      <w:pPr>
        <w:pStyle w:val="subsection"/>
      </w:pPr>
      <w:r w:rsidRPr="00D141FC">
        <w:tab/>
        <w:t>(</w:t>
      </w:r>
      <w:r w:rsidR="00B03704" w:rsidRPr="00D141FC">
        <w:t>2</w:t>
      </w:r>
      <w:r w:rsidRPr="00D141FC">
        <w:t>)</w:t>
      </w:r>
      <w:r w:rsidRPr="00D141FC">
        <w:tab/>
        <w:t xml:space="preserve">The Secretary may, in writing, approve </w:t>
      </w:r>
      <w:r w:rsidR="00EB1079" w:rsidRPr="00D141FC">
        <w:t>a form</w:t>
      </w:r>
      <w:r w:rsidRPr="00D141FC">
        <w:t xml:space="preserve"> for use in making </w:t>
      </w:r>
      <w:r w:rsidR="00EB1079" w:rsidRPr="00D141FC">
        <w:t>ATAGI application</w:t>
      </w:r>
      <w:r w:rsidR="00931AF6" w:rsidRPr="00D141FC">
        <w:t>s</w:t>
      </w:r>
      <w:r w:rsidR="00A07EDA" w:rsidRPr="00D141FC">
        <w:t>.</w:t>
      </w:r>
    </w:p>
    <w:p w:rsidR="00532609" w:rsidRPr="00D141FC" w:rsidRDefault="00A07EDA" w:rsidP="00532609">
      <w:pPr>
        <w:pStyle w:val="ActHead5"/>
      </w:pPr>
      <w:bookmarkStart w:id="14" w:name="_Toc3993158"/>
      <w:r w:rsidRPr="00D141FC">
        <w:rPr>
          <w:rStyle w:val="CharSectno"/>
        </w:rPr>
        <w:t>1A.4</w:t>
      </w:r>
      <w:r w:rsidR="00532609" w:rsidRPr="00D141FC">
        <w:t xml:space="preserve">  Notification</w:t>
      </w:r>
      <w:r w:rsidR="008D63A4" w:rsidRPr="00D141FC">
        <w:t xml:space="preserve"> (including invoicing of fees)</w:t>
      </w:r>
      <w:bookmarkEnd w:id="14"/>
    </w:p>
    <w:p w:rsidR="00532609" w:rsidRPr="00D141FC" w:rsidRDefault="00532609" w:rsidP="00532609">
      <w:pPr>
        <w:pStyle w:val="subsection"/>
      </w:pPr>
      <w:r w:rsidRPr="00D141FC">
        <w:tab/>
        <w:t>(1)</w:t>
      </w:r>
      <w:r w:rsidRPr="00D141FC">
        <w:tab/>
        <w:t>W</w:t>
      </w:r>
      <w:r w:rsidR="00FC5179" w:rsidRPr="00D141FC">
        <w:t>ithin 21</w:t>
      </w:r>
      <w:r w:rsidR="008D63A4" w:rsidRPr="00D141FC">
        <w:t xml:space="preserve"> days after</w:t>
      </w:r>
      <w:r w:rsidR="00784D36" w:rsidRPr="00D141FC">
        <w:t xml:space="preserve"> the day</w:t>
      </w:r>
      <w:r w:rsidR="008D63A4" w:rsidRPr="00D141FC">
        <w:t xml:space="preserve"> the</w:t>
      </w:r>
      <w:r w:rsidRPr="00D141FC">
        <w:t xml:space="preserve"> Department receives an </w:t>
      </w:r>
      <w:r w:rsidR="005F4854" w:rsidRPr="00D141FC">
        <w:t xml:space="preserve">ATAGI </w:t>
      </w:r>
      <w:r w:rsidRPr="00D141FC">
        <w:t xml:space="preserve">application, </w:t>
      </w:r>
      <w:r w:rsidR="008D63A4" w:rsidRPr="00D141FC">
        <w:t xml:space="preserve">the Secretary must </w:t>
      </w:r>
      <w:r w:rsidR="00202CF9" w:rsidRPr="00D141FC">
        <w:t>notify</w:t>
      </w:r>
      <w:r w:rsidR="008D63A4" w:rsidRPr="00D141FC">
        <w:t xml:space="preserve"> the applicant in writing</w:t>
      </w:r>
      <w:r w:rsidRPr="00D141FC">
        <w:t>:</w:t>
      </w:r>
    </w:p>
    <w:p w:rsidR="00532609" w:rsidRPr="00D141FC" w:rsidRDefault="00532609" w:rsidP="00532609">
      <w:pPr>
        <w:pStyle w:val="paragraph"/>
      </w:pPr>
      <w:r w:rsidRPr="00D141FC">
        <w:tab/>
        <w:t>(a)</w:t>
      </w:r>
      <w:r w:rsidRPr="00D141FC">
        <w:tab/>
        <w:t xml:space="preserve">that </w:t>
      </w:r>
      <w:r w:rsidR="008D63A4" w:rsidRPr="00D141FC">
        <w:t>the Department</w:t>
      </w:r>
      <w:r w:rsidRPr="00D141FC">
        <w:t xml:space="preserve"> has received the application; and</w:t>
      </w:r>
    </w:p>
    <w:p w:rsidR="008F38C1" w:rsidRPr="00D141FC" w:rsidRDefault="00532609" w:rsidP="00532609">
      <w:pPr>
        <w:pStyle w:val="paragraph"/>
      </w:pPr>
      <w:r w:rsidRPr="00D141FC">
        <w:tab/>
        <w:t>(b)</w:t>
      </w:r>
      <w:r w:rsidRPr="00D141FC">
        <w:tab/>
        <w:t>if the applicant requests a fee exemption under regulation</w:t>
      </w:r>
      <w:r w:rsidR="00D141FC" w:rsidRPr="00D141FC">
        <w:t> </w:t>
      </w:r>
      <w:r w:rsidR="00A07EDA" w:rsidRPr="00D141FC">
        <w:t>1A.2</w:t>
      </w:r>
      <w:r w:rsidR="00EE18B1" w:rsidRPr="00D141FC">
        <w:t xml:space="preserve"> or </w:t>
      </w:r>
      <w:r w:rsidRPr="00D141FC">
        <w:t>5</w:t>
      </w:r>
      <w:r w:rsidR="00A07EDA" w:rsidRPr="00D141FC">
        <w:t>.</w:t>
      </w:r>
      <w:r w:rsidRPr="00D141FC">
        <w:t>1</w:t>
      </w:r>
      <w:r w:rsidR="008F38C1" w:rsidRPr="00D141FC">
        <w:t>:</w:t>
      </w:r>
    </w:p>
    <w:p w:rsidR="00532609" w:rsidRPr="00D141FC" w:rsidRDefault="008F38C1" w:rsidP="008F38C1">
      <w:pPr>
        <w:pStyle w:val="paragraphsub"/>
      </w:pPr>
      <w:r w:rsidRPr="00D141FC">
        <w:tab/>
        <w:t>(i)</w:t>
      </w:r>
      <w:r w:rsidRPr="00D141FC">
        <w:tab/>
      </w:r>
      <w:r w:rsidR="00532609" w:rsidRPr="00D141FC">
        <w:t xml:space="preserve">whether the </w:t>
      </w:r>
      <w:r w:rsidR="00EE18B1" w:rsidRPr="00D141FC">
        <w:t xml:space="preserve">fee exemption </w:t>
      </w:r>
      <w:r w:rsidR="006E4451" w:rsidRPr="00D141FC">
        <w:t>applies</w:t>
      </w:r>
      <w:r w:rsidR="00532609" w:rsidRPr="00D141FC">
        <w:t>; and</w:t>
      </w:r>
    </w:p>
    <w:p w:rsidR="008F38C1" w:rsidRPr="00D141FC" w:rsidRDefault="008F38C1" w:rsidP="008F38C1">
      <w:pPr>
        <w:pStyle w:val="paragraphsub"/>
      </w:pPr>
      <w:r w:rsidRPr="00D141FC">
        <w:tab/>
        <w:t>(ii)</w:t>
      </w:r>
      <w:r w:rsidRPr="00D141FC">
        <w:tab/>
      </w:r>
      <w:r w:rsidR="00221D64" w:rsidRPr="00D141FC">
        <w:t>for a request under regulation</w:t>
      </w:r>
      <w:r w:rsidR="00D141FC" w:rsidRPr="00D141FC">
        <w:t> </w:t>
      </w:r>
      <w:r w:rsidR="00221D64" w:rsidRPr="00D141FC">
        <w:t>1A.2—</w:t>
      </w:r>
      <w:r w:rsidRPr="00D141FC">
        <w:t>of the applicant’s review rights under Part</w:t>
      </w:r>
      <w:r w:rsidR="00D141FC" w:rsidRPr="00D141FC">
        <w:t> </w:t>
      </w:r>
      <w:r w:rsidRPr="00D141FC">
        <w:t>6; and</w:t>
      </w:r>
    </w:p>
    <w:p w:rsidR="00532609" w:rsidRPr="00D141FC" w:rsidRDefault="00532609" w:rsidP="00532609">
      <w:pPr>
        <w:pStyle w:val="paragraph"/>
      </w:pPr>
      <w:r w:rsidRPr="00D141FC">
        <w:tab/>
        <w:t>(</w:t>
      </w:r>
      <w:r w:rsidR="005C7F37" w:rsidRPr="00D141FC">
        <w:t>c</w:t>
      </w:r>
      <w:r w:rsidRPr="00D141FC">
        <w:t>)</w:t>
      </w:r>
      <w:r w:rsidRPr="00D141FC">
        <w:tab/>
      </w:r>
      <w:r w:rsidR="00DB0DA5" w:rsidRPr="00D141FC">
        <w:t xml:space="preserve">of </w:t>
      </w:r>
      <w:r w:rsidRPr="00D141FC">
        <w:t xml:space="preserve">the amount of the fee </w:t>
      </w:r>
      <w:r w:rsidR="00352052" w:rsidRPr="00D141FC">
        <w:t xml:space="preserve">that is payable </w:t>
      </w:r>
      <w:r w:rsidRPr="00D141FC">
        <w:t xml:space="preserve">for </w:t>
      </w:r>
      <w:r w:rsidR="005F4854" w:rsidRPr="00D141FC">
        <w:t xml:space="preserve">the service of ATAGI providing advice in response to </w:t>
      </w:r>
      <w:r w:rsidRPr="00D141FC">
        <w:t>the application; and</w:t>
      </w:r>
    </w:p>
    <w:p w:rsidR="00DB0DA5" w:rsidRPr="00D141FC" w:rsidRDefault="000C2435" w:rsidP="00DB0DA5">
      <w:pPr>
        <w:pStyle w:val="paragraph"/>
      </w:pPr>
      <w:r w:rsidRPr="00D141FC">
        <w:tab/>
        <w:t>(</w:t>
      </w:r>
      <w:r w:rsidR="005C7F37" w:rsidRPr="00D141FC">
        <w:t>d</w:t>
      </w:r>
      <w:r w:rsidR="00DB0DA5" w:rsidRPr="00D141FC">
        <w:t>)</w:t>
      </w:r>
      <w:r w:rsidR="00DB0DA5" w:rsidRPr="00D141FC">
        <w:tab/>
        <w:t>of the</w:t>
      </w:r>
      <w:r w:rsidR="008F38C1" w:rsidRPr="00D141FC">
        <w:t xml:space="preserve"> manner for paying that fee.</w:t>
      </w:r>
    </w:p>
    <w:p w:rsidR="00532609" w:rsidRPr="00D141FC" w:rsidRDefault="00532609" w:rsidP="00EE18B1">
      <w:pPr>
        <w:pStyle w:val="subsection"/>
      </w:pPr>
      <w:r w:rsidRPr="00D141FC">
        <w:tab/>
        <w:t>(2)</w:t>
      </w:r>
      <w:r w:rsidRPr="00D141FC">
        <w:tab/>
        <w:t xml:space="preserve">The fee for the </w:t>
      </w:r>
      <w:r w:rsidR="00A45D4B" w:rsidRPr="00D141FC">
        <w:t>service</w:t>
      </w:r>
      <w:r w:rsidRPr="00D141FC">
        <w:t xml:space="preserve"> is pa</w:t>
      </w:r>
      <w:r w:rsidR="00EE18B1" w:rsidRPr="00D141FC">
        <w:t xml:space="preserve">yable to the Department unless </w:t>
      </w:r>
      <w:r w:rsidRPr="00D141FC">
        <w:t xml:space="preserve">a fee exemption </w:t>
      </w:r>
      <w:r w:rsidR="006E4451" w:rsidRPr="00D141FC">
        <w:t>applies</w:t>
      </w:r>
      <w:r w:rsidR="00EE18B1" w:rsidRPr="00D141FC">
        <w:t xml:space="preserve"> under regulation</w:t>
      </w:r>
      <w:r w:rsidR="00D141FC" w:rsidRPr="00D141FC">
        <w:t> </w:t>
      </w:r>
      <w:r w:rsidR="00EE18B1" w:rsidRPr="00D141FC">
        <w:t>5</w:t>
      </w:r>
      <w:r w:rsidR="00A07EDA" w:rsidRPr="00D141FC">
        <w:t>.</w:t>
      </w:r>
      <w:r w:rsidR="00EE18B1" w:rsidRPr="00D141FC">
        <w:t>1</w:t>
      </w:r>
      <w:r w:rsidR="00A07EDA" w:rsidRPr="00D141FC">
        <w:t>.</w:t>
      </w:r>
    </w:p>
    <w:p w:rsidR="005C7F37" w:rsidRPr="00D141FC" w:rsidRDefault="005C7F37" w:rsidP="00DB0DA5">
      <w:pPr>
        <w:pStyle w:val="notetext"/>
      </w:pPr>
      <w:r w:rsidRPr="00D141FC">
        <w:t>Note 1:</w:t>
      </w:r>
      <w:r w:rsidRPr="00D141FC">
        <w:tab/>
        <w:t>If a fee exemption under regulation</w:t>
      </w:r>
      <w:r w:rsidR="00D141FC" w:rsidRPr="00D141FC">
        <w:t> </w:t>
      </w:r>
      <w:r w:rsidR="00A07EDA" w:rsidRPr="00D141FC">
        <w:t>1A.2</w:t>
      </w:r>
      <w:r w:rsidRPr="00D141FC">
        <w:t xml:space="preserve"> </w:t>
      </w:r>
      <w:r w:rsidR="006E4451" w:rsidRPr="00D141FC">
        <w:t>applies</w:t>
      </w:r>
      <w:r w:rsidRPr="00D141FC">
        <w:t xml:space="preserve">, the reduced fee referred to in </w:t>
      </w:r>
      <w:r w:rsidR="00D141FC" w:rsidRPr="00D141FC">
        <w:t>paragraph (</w:t>
      </w:r>
      <w:r w:rsidRPr="00D141FC">
        <w:t xml:space="preserve">1)(c) </w:t>
      </w:r>
      <w:r w:rsidR="00770427" w:rsidRPr="00D141FC">
        <w:t>(and subregulation</w:t>
      </w:r>
      <w:r w:rsidR="00D141FC" w:rsidRPr="00D141FC">
        <w:t> </w:t>
      </w:r>
      <w:r w:rsidR="00A07EDA" w:rsidRPr="00D141FC">
        <w:t>1A.2</w:t>
      </w:r>
      <w:r w:rsidR="00770427" w:rsidRPr="00D141FC">
        <w:t xml:space="preserve">(3)) </w:t>
      </w:r>
      <w:r w:rsidRPr="00D141FC">
        <w:t>is payable</w:t>
      </w:r>
      <w:r w:rsidR="00A07EDA" w:rsidRPr="00D141FC">
        <w:t>.</w:t>
      </w:r>
    </w:p>
    <w:p w:rsidR="00DB0DA5" w:rsidRPr="00D141FC" w:rsidRDefault="00DB0DA5" w:rsidP="00DB0DA5">
      <w:pPr>
        <w:pStyle w:val="notetext"/>
      </w:pPr>
      <w:r w:rsidRPr="00D141FC">
        <w:t>Note</w:t>
      </w:r>
      <w:r w:rsidR="005C7F37" w:rsidRPr="00D141FC">
        <w:t xml:space="preserve"> 2</w:t>
      </w:r>
      <w:r w:rsidRPr="00D141FC">
        <w:t>:</w:t>
      </w:r>
      <w:r w:rsidRPr="00D141FC">
        <w:tab/>
        <w:t>Part</w:t>
      </w:r>
      <w:r w:rsidR="00D141FC" w:rsidRPr="00D141FC">
        <w:t> </w:t>
      </w:r>
      <w:r w:rsidRPr="00D141FC">
        <w:t>4 deals with the payment of fees, including the time for payment (see paragraph</w:t>
      </w:r>
      <w:r w:rsidR="00D141FC" w:rsidRPr="00D141FC">
        <w:t> </w:t>
      </w:r>
      <w:r w:rsidR="00543D0E" w:rsidRPr="00D141FC">
        <w:t>4</w:t>
      </w:r>
      <w:r w:rsidR="00A07EDA" w:rsidRPr="00D141FC">
        <w:t>.</w:t>
      </w:r>
      <w:r w:rsidR="00543D0E" w:rsidRPr="00D141FC">
        <w:t>1(1)(b</w:t>
      </w:r>
      <w:r w:rsidRPr="00D141FC">
        <w:t>)</w:t>
      </w:r>
      <w:r w:rsidR="008D63A4" w:rsidRPr="00D141FC">
        <w:t>)</w:t>
      </w:r>
      <w:r w:rsidR="00A07EDA" w:rsidRPr="00D141FC">
        <w:t>.</w:t>
      </w:r>
    </w:p>
    <w:p w:rsidR="00532609" w:rsidRPr="00D141FC" w:rsidRDefault="00A07EDA" w:rsidP="00532609">
      <w:pPr>
        <w:pStyle w:val="ActHead5"/>
      </w:pPr>
      <w:bookmarkStart w:id="15" w:name="_Toc3993159"/>
      <w:r w:rsidRPr="00D141FC">
        <w:rPr>
          <w:rStyle w:val="CharSectno"/>
        </w:rPr>
        <w:t>1A.5</w:t>
      </w:r>
      <w:r w:rsidR="00532609" w:rsidRPr="00D141FC">
        <w:t xml:space="preserve">  Withdrawal of </w:t>
      </w:r>
      <w:r w:rsidR="005F4854" w:rsidRPr="00D141FC">
        <w:t xml:space="preserve">an ATAGI </w:t>
      </w:r>
      <w:r w:rsidR="00532609" w:rsidRPr="00D141FC">
        <w:t>application</w:t>
      </w:r>
      <w:bookmarkEnd w:id="15"/>
    </w:p>
    <w:p w:rsidR="00532609" w:rsidRPr="00D141FC" w:rsidRDefault="00532609" w:rsidP="00532609">
      <w:pPr>
        <w:pStyle w:val="subsection"/>
      </w:pPr>
      <w:r w:rsidRPr="00D141FC">
        <w:tab/>
        <w:t>(1)</w:t>
      </w:r>
      <w:r w:rsidRPr="00D141FC">
        <w:tab/>
        <w:t xml:space="preserve">An </w:t>
      </w:r>
      <w:r w:rsidR="005F4854" w:rsidRPr="00D141FC">
        <w:t xml:space="preserve">ATAGI </w:t>
      </w:r>
      <w:r w:rsidRPr="00D141FC">
        <w:t>application may be withdrawn by written notice to the Department</w:t>
      </w:r>
      <w:r w:rsidR="00A07EDA" w:rsidRPr="00D141FC">
        <w:t>.</w:t>
      </w:r>
    </w:p>
    <w:p w:rsidR="00532609" w:rsidRPr="00D141FC" w:rsidRDefault="00532609" w:rsidP="00532609">
      <w:pPr>
        <w:pStyle w:val="subsection"/>
      </w:pPr>
      <w:r w:rsidRPr="00D141FC">
        <w:tab/>
        <w:t>(2)</w:t>
      </w:r>
      <w:r w:rsidRPr="00D141FC">
        <w:tab/>
        <w:t xml:space="preserve">If the </w:t>
      </w:r>
      <w:r w:rsidR="005F4854" w:rsidRPr="00D141FC">
        <w:t xml:space="preserve">ATAGI </w:t>
      </w:r>
      <w:r w:rsidRPr="00D141FC">
        <w:t xml:space="preserve">application is withdrawn within 14 days after </w:t>
      </w:r>
      <w:r w:rsidR="00784D36" w:rsidRPr="00D141FC">
        <w:t xml:space="preserve">the day </w:t>
      </w:r>
      <w:r w:rsidRPr="00D141FC">
        <w:t xml:space="preserve">notice </w:t>
      </w:r>
      <w:r w:rsidR="00B4376D" w:rsidRPr="00D141FC">
        <w:t xml:space="preserve">about the application </w:t>
      </w:r>
      <w:r w:rsidRPr="00D141FC">
        <w:t>is given under regulation</w:t>
      </w:r>
      <w:r w:rsidR="00D141FC" w:rsidRPr="00D141FC">
        <w:t> </w:t>
      </w:r>
      <w:r w:rsidR="00A07EDA" w:rsidRPr="00D141FC">
        <w:t>1A.4</w:t>
      </w:r>
      <w:r w:rsidRPr="00D141FC">
        <w:t>, the Department must refund any fee paid</w:t>
      </w:r>
      <w:r w:rsidR="005F4854" w:rsidRPr="00D141FC">
        <w:t xml:space="preserve"> for the service of ATAGI providing advice in </w:t>
      </w:r>
      <w:r w:rsidR="00325DA1" w:rsidRPr="00D141FC">
        <w:t>response</w:t>
      </w:r>
      <w:r w:rsidR="005F4854" w:rsidRPr="00D141FC">
        <w:t xml:space="preserve"> to the application</w:t>
      </w:r>
      <w:r w:rsidR="00A07EDA" w:rsidRPr="00D141FC">
        <w:t>.</w:t>
      </w:r>
    </w:p>
    <w:p w:rsidR="00532609" w:rsidRPr="00D141FC" w:rsidRDefault="00A07EDA" w:rsidP="00532609">
      <w:pPr>
        <w:pStyle w:val="ActHead5"/>
      </w:pPr>
      <w:bookmarkStart w:id="16" w:name="_Toc3993160"/>
      <w:r w:rsidRPr="00D141FC">
        <w:rPr>
          <w:rStyle w:val="CharSectno"/>
        </w:rPr>
        <w:t>1A.6</w:t>
      </w:r>
      <w:r w:rsidR="00532609" w:rsidRPr="00D141FC">
        <w:t xml:space="preserve">  Res</w:t>
      </w:r>
      <w:r w:rsidR="00A32A8C" w:rsidRPr="00D141FC">
        <w:t>ending</w:t>
      </w:r>
      <w:r w:rsidR="00532609" w:rsidRPr="00D141FC">
        <w:t xml:space="preserve"> </w:t>
      </w:r>
      <w:r w:rsidR="00FE30D2" w:rsidRPr="00D141FC">
        <w:t xml:space="preserve">ATAGI </w:t>
      </w:r>
      <w:r w:rsidR="00532609" w:rsidRPr="00D141FC">
        <w:t>applications</w:t>
      </w:r>
      <w:bookmarkEnd w:id="16"/>
    </w:p>
    <w:p w:rsidR="00024ED6" w:rsidRPr="00D141FC" w:rsidRDefault="00426A1F" w:rsidP="00426A1F">
      <w:pPr>
        <w:pStyle w:val="subsection"/>
      </w:pPr>
      <w:r w:rsidRPr="00D141FC">
        <w:tab/>
      </w:r>
      <w:r w:rsidR="00024ED6" w:rsidRPr="00D141FC">
        <w:t>(1)</w:t>
      </w:r>
      <w:r w:rsidRPr="00D141FC">
        <w:tab/>
      </w:r>
      <w:r w:rsidR="00024ED6" w:rsidRPr="00D141FC">
        <w:t xml:space="preserve">An applicant for an ATAGI application may </w:t>
      </w:r>
      <w:r w:rsidR="00540054" w:rsidRPr="00D141FC">
        <w:t xml:space="preserve">remake and </w:t>
      </w:r>
      <w:r w:rsidR="00A32A8C" w:rsidRPr="00D141FC">
        <w:t xml:space="preserve">resend </w:t>
      </w:r>
      <w:r w:rsidR="00024ED6" w:rsidRPr="00D141FC">
        <w:t>the ATAGI application in the same or an amended form</w:t>
      </w:r>
      <w:r w:rsidR="00A07EDA" w:rsidRPr="00D141FC">
        <w:t>.</w:t>
      </w:r>
    </w:p>
    <w:p w:rsidR="00024ED6" w:rsidRPr="00D141FC" w:rsidRDefault="00024ED6" w:rsidP="00024ED6">
      <w:pPr>
        <w:pStyle w:val="notetext"/>
      </w:pPr>
      <w:r w:rsidRPr="00D141FC">
        <w:t>Example:</w:t>
      </w:r>
      <w:r w:rsidRPr="00D141FC">
        <w:tab/>
        <w:t xml:space="preserve">An applicant </w:t>
      </w:r>
      <w:r w:rsidR="0006503A" w:rsidRPr="00D141FC">
        <w:t>responds to an ATAGI advice by</w:t>
      </w:r>
      <w:r w:rsidRPr="00D141FC">
        <w:t xml:space="preserve"> amend</w:t>
      </w:r>
      <w:r w:rsidR="0006503A" w:rsidRPr="00D141FC">
        <w:t>ing</w:t>
      </w:r>
      <w:r w:rsidRPr="00D141FC">
        <w:t>, and res</w:t>
      </w:r>
      <w:r w:rsidR="00A32A8C" w:rsidRPr="00D141FC">
        <w:t>ending</w:t>
      </w:r>
      <w:r w:rsidRPr="00D141FC">
        <w:t>, the ATAGI application with the aim of receiving different ATAGI advice</w:t>
      </w:r>
      <w:r w:rsidR="00A07EDA" w:rsidRPr="00D141FC">
        <w:t>.</w:t>
      </w:r>
    </w:p>
    <w:p w:rsidR="00024ED6" w:rsidRPr="00D141FC" w:rsidRDefault="00024ED6" w:rsidP="00426A1F">
      <w:pPr>
        <w:pStyle w:val="subsection"/>
      </w:pPr>
      <w:r w:rsidRPr="00D141FC">
        <w:tab/>
        <w:t>(2)</w:t>
      </w:r>
      <w:r w:rsidRPr="00D141FC">
        <w:tab/>
        <w:t>These Regulations apply to the res</w:t>
      </w:r>
      <w:r w:rsidR="00A32A8C" w:rsidRPr="00D141FC">
        <w:t>ent</w:t>
      </w:r>
      <w:r w:rsidRPr="00D141FC">
        <w:t xml:space="preserve"> application as if it were a new application</w:t>
      </w:r>
      <w:r w:rsidR="00A07EDA" w:rsidRPr="00D141FC">
        <w:t>.</w:t>
      </w:r>
    </w:p>
    <w:p w:rsidR="00426A1F" w:rsidRPr="00D141FC" w:rsidRDefault="00426A1F" w:rsidP="00426A1F">
      <w:pPr>
        <w:pStyle w:val="notetext"/>
      </w:pPr>
      <w:r w:rsidRPr="00D141FC">
        <w:t>Note:</w:t>
      </w:r>
      <w:r w:rsidRPr="00D141FC">
        <w:tab/>
      </w:r>
      <w:r w:rsidR="00024ED6" w:rsidRPr="00D141FC">
        <w:t xml:space="preserve">This means, for example, that </w:t>
      </w:r>
      <w:r w:rsidRPr="00D141FC">
        <w:t xml:space="preserve">the </w:t>
      </w:r>
      <w:r w:rsidR="00024ED6" w:rsidRPr="00D141FC">
        <w:t>res</w:t>
      </w:r>
      <w:r w:rsidR="003C4759" w:rsidRPr="00D141FC">
        <w:t>ent</w:t>
      </w:r>
      <w:r w:rsidRPr="00D141FC">
        <w:t xml:space="preserve"> application will attract a new fee under regulation</w:t>
      </w:r>
      <w:r w:rsidR="00D141FC" w:rsidRPr="00D141FC">
        <w:t> </w:t>
      </w:r>
      <w:r w:rsidR="00A07EDA" w:rsidRPr="00D141FC">
        <w:t>1A.1.</w:t>
      </w:r>
    </w:p>
    <w:p w:rsidR="00D733A0" w:rsidRPr="00D141FC" w:rsidRDefault="00D733A0" w:rsidP="00D733A0">
      <w:pPr>
        <w:pStyle w:val="ActHead3"/>
      </w:pPr>
      <w:bookmarkStart w:id="17" w:name="_Toc3993161"/>
      <w:r w:rsidRPr="00D141FC">
        <w:rPr>
          <w:rStyle w:val="CharDivNo"/>
        </w:rPr>
        <w:t>Division</w:t>
      </w:r>
      <w:r w:rsidR="00D141FC" w:rsidRPr="00D141FC">
        <w:rPr>
          <w:rStyle w:val="CharDivNo"/>
        </w:rPr>
        <w:t> </w:t>
      </w:r>
      <w:r w:rsidRPr="00D141FC">
        <w:rPr>
          <w:rStyle w:val="CharDivNo"/>
        </w:rPr>
        <w:t>1A</w:t>
      </w:r>
      <w:r w:rsidR="00A07EDA" w:rsidRPr="00D141FC">
        <w:rPr>
          <w:rStyle w:val="CharDivNo"/>
        </w:rPr>
        <w:t>.</w:t>
      </w:r>
      <w:r w:rsidRPr="00D141FC">
        <w:rPr>
          <w:rStyle w:val="CharDivNo"/>
        </w:rPr>
        <w:t>2</w:t>
      </w:r>
      <w:r w:rsidRPr="00D141FC">
        <w:t>—</w:t>
      </w:r>
      <w:r w:rsidR="00B4376D" w:rsidRPr="00D141FC">
        <w:rPr>
          <w:rStyle w:val="CharDivText"/>
        </w:rPr>
        <w:t>Holding p</w:t>
      </w:r>
      <w:r w:rsidR="008241B1" w:rsidRPr="00D141FC">
        <w:rPr>
          <w:rStyle w:val="CharDivText"/>
        </w:rPr>
        <w:t>re</w:t>
      </w:r>
      <w:r w:rsidR="00D141FC" w:rsidRPr="00D141FC">
        <w:rPr>
          <w:rStyle w:val="CharDivText"/>
        </w:rPr>
        <w:noBreakHyphen/>
      </w:r>
      <w:r w:rsidR="008241B1" w:rsidRPr="00D141FC">
        <w:rPr>
          <w:rStyle w:val="CharDivText"/>
        </w:rPr>
        <w:t>submission meetings</w:t>
      </w:r>
      <w:bookmarkEnd w:id="17"/>
    </w:p>
    <w:p w:rsidR="00D733A0" w:rsidRPr="00D141FC" w:rsidRDefault="00A07EDA" w:rsidP="00D733A0">
      <w:pPr>
        <w:pStyle w:val="ActHead5"/>
      </w:pPr>
      <w:bookmarkStart w:id="18" w:name="_Toc3993162"/>
      <w:r w:rsidRPr="00D141FC">
        <w:rPr>
          <w:rStyle w:val="CharSectno"/>
        </w:rPr>
        <w:t>1A.7</w:t>
      </w:r>
      <w:r w:rsidR="00D733A0" w:rsidRPr="00D141FC">
        <w:t xml:space="preserve">  Fees </w:t>
      </w:r>
      <w:r w:rsidR="008241B1" w:rsidRPr="00D141FC">
        <w:t xml:space="preserve">for </w:t>
      </w:r>
      <w:r w:rsidR="006F3E0B" w:rsidRPr="00D141FC">
        <w:t>holding</w:t>
      </w:r>
      <w:r w:rsidR="008241B1" w:rsidRPr="00D141FC">
        <w:t xml:space="preserve"> pre</w:t>
      </w:r>
      <w:r w:rsidR="00D141FC">
        <w:noBreakHyphen/>
      </w:r>
      <w:r w:rsidR="008241B1" w:rsidRPr="00D141FC">
        <w:t>submission meetings</w:t>
      </w:r>
      <w:bookmarkEnd w:id="18"/>
    </w:p>
    <w:p w:rsidR="00A94FF4" w:rsidRPr="00D141FC" w:rsidRDefault="00A94FF4" w:rsidP="00A94FF4">
      <w:pPr>
        <w:pStyle w:val="subsection"/>
      </w:pPr>
      <w:r w:rsidRPr="00D141FC">
        <w:tab/>
      </w:r>
      <w:r w:rsidRPr="00D141FC">
        <w:tab/>
        <w:t>For the purposes of section</w:t>
      </w:r>
      <w:r w:rsidR="00D141FC" w:rsidRPr="00D141FC">
        <w:t> </w:t>
      </w:r>
      <w:r w:rsidRPr="00D141FC">
        <w:t xml:space="preserve">99YBA of the Act, the following fee is prescribed for the service of the </w:t>
      </w:r>
      <w:r w:rsidR="003B70A4" w:rsidRPr="00D141FC">
        <w:t>Department</w:t>
      </w:r>
      <w:r w:rsidRPr="00D141FC">
        <w:t xml:space="preserve"> </w:t>
      </w:r>
      <w:r w:rsidR="005B1F7F" w:rsidRPr="00D141FC">
        <w:t>holding</w:t>
      </w:r>
      <w:r w:rsidRPr="00D141FC">
        <w:t xml:space="preserve"> a pre</w:t>
      </w:r>
      <w:r w:rsidR="00D141FC">
        <w:noBreakHyphen/>
      </w:r>
      <w:r w:rsidR="005B1F7F" w:rsidRPr="00D141FC">
        <w:t>submission meeting with</w:t>
      </w:r>
      <w:r w:rsidRPr="00D141FC">
        <w:t xml:space="preserve"> a person:</w:t>
      </w:r>
    </w:p>
    <w:p w:rsidR="00A94FF4" w:rsidRPr="00D141FC" w:rsidRDefault="00A94FF4" w:rsidP="00A94FF4">
      <w:pPr>
        <w:pStyle w:val="paragraph"/>
      </w:pPr>
      <w:r w:rsidRPr="00D141FC">
        <w:tab/>
        <w:t>(a)</w:t>
      </w:r>
      <w:r w:rsidRPr="00D141FC">
        <w:tab/>
        <w:t xml:space="preserve">in response to an application (the </w:t>
      </w:r>
      <w:r w:rsidRPr="00D141FC">
        <w:rPr>
          <w:b/>
          <w:i/>
        </w:rPr>
        <w:t>meeting application</w:t>
      </w:r>
      <w:r w:rsidRPr="00D141FC">
        <w:t>) by the person; and</w:t>
      </w:r>
    </w:p>
    <w:p w:rsidR="00A94FF4" w:rsidRPr="00D141FC" w:rsidRDefault="00A94FF4" w:rsidP="00A94FF4">
      <w:pPr>
        <w:pStyle w:val="paragraph"/>
      </w:pPr>
      <w:r w:rsidRPr="00D141FC">
        <w:tab/>
        <w:t>(b)</w:t>
      </w:r>
      <w:r w:rsidRPr="00D141FC">
        <w:tab/>
        <w:t xml:space="preserve">in relation to the preparation of the person’s proposed </w:t>
      </w:r>
      <w:r w:rsidR="00336922" w:rsidRPr="00D141FC">
        <w:t>Part</w:t>
      </w:r>
      <w:r w:rsidR="00D141FC" w:rsidRPr="00D141FC">
        <w:t> </w:t>
      </w:r>
      <w:r w:rsidR="00336922" w:rsidRPr="00D141FC">
        <w:t xml:space="preserve">2 </w:t>
      </w:r>
      <w:r w:rsidRPr="00D141FC">
        <w:t xml:space="preserve">submission to the Committee </w:t>
      </w:r>
      <w:r w:rsidR="00B4376D" w:rsidRPr="00D141FC">
        <w:t xml:space="preserve">that the Committee </w:t>
      </w:r>
      <w:r w:rsidRPr="00D141FC">
        <w:t>recommend to, or advise, the Minister that the Minister exercise</w:t>
      </w:r>
      <w:r w:rsidR="002163C4" w:rsidRPr="00D141FC">
        <w:t xml:space="preserve"> a power mentioned in an item in Schedule</w:t>
      </w:r>
      <w:r w:rsidR="00D141FC" w:rsidRPr="00D141FC">
        <w:t> </w:t>
      </w:r>
      <w:r w:rsidR="002163C4" w:rsidRPr="00D141FC">
        <w:t>1</w:t>
      </w:r>
      <w:r w:rsidR="00A07EDA" w:rsidRPr="00D141FC">
        <w:t>.</w:t>
      </w:r>
    </w:p>
    <w:p w:rsidR="00D733A0" w:rsidRPr="00D141FC" w:rsidRDefault="00D733A0" w:rsidP="00D733A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D733A0" w:rsidRPr="00D141FC" w:rsidTr="004D7ECE">
        <w:trPr>
          <w:tblHeader/>
        </w:trPr>
        <w:tc>
          <w:tcPr>
            <w:tcW w:w="8313" w:type="dxa"/>
            <w:gridSpan w:val="4"/>
            <w:tcBorders>
              <w:top w:val="single" w:sz="12" w:space="0" w:color="auto"/>
              <w:bottom w:val="single" w:sz="6" w:space="0" w:color="auto"/>
            </w:tcBorders>
            <w:shd w:val="clear" w:color="auto" w:fill="auto"/>
          </w:tcPr>
          <w:p w:rsidR="00D733A0" w:rsidRPr="00D141FC" w:rsidRDefault="00D733A0" w:rsidP="008241B1">
            <w:pPr>
              <w:pStyle w:val="TableHeading"/>
            </w:pPr>
            <w:r w:rsidRPr="00D141FC">
              <w:t xml:space="preserve">Fee for </w:t>
            </w:r>
            <w:r w:rsidR="008241B1" w:rsidRPr="00D141FC">
              <w:t xml:space="preserve">providing </w:t>
            </w:r>
            <w:r w:rsidR="00B4376D" w:rsidRPr="00D141FC">
              <w:t xml:space="preserve">the service of holding </w:t>
            </w:r>
            <w:r w:rsidR="00694489" w:rsidRPr="00D141FC">
              <w:t xml:space="preserve">a </w:t>
            </w:r>
            <w:r w:rsidR="008241B1" w:rsidRPr="00D141FC">
              <w:t>pre</w:t>
            </w:r>
            <w:r w:rsidR="00D141FC">
              <w:noBreakHyphen/>
            </w:r>
            <w:r w:rsidR="00694489" w:rsidRPr="00D141FC">
              <w:t>submission meeting</w:t>
            </w:r>
          </w:p>
        </w:tc>
      </w:tr>
      <w:tr w:rsidR="00D733A0" w:rsidRPr="00D141FC" w:rsidTr="004D7ECE">
        <w:trPr>
          <w:tblHeader/>
        </w:trPr>
        <w:tc>
          <w:tcPr>
            <w:tcW w:w="714" w:type="dxa"/>
            <w:tcBorders>
              <w:top w:val="single" w:sz="6" w:space="0" w:color="auto"/>
              <w:bottom w:val="single" w:sz="12" w:space="0" w:color="auto"/>
            </w:tcBorders>
            <w:shd w:val="clear" w:color="auto" w:fill="auto"/>
          </w:tcPr>
          <w:p w:rsidR="00D733A0" w:rsidRPr="00D141FC" w:rsidRDefault="00D733A0" w:rsidP="004D7ECE">
            <w:pPr>
              <w:pStyle w:val="TableHeading"/>
            </w:pPr>
            <w:r w:rsidRPr="00D141FC">
              <w:t>Item</w:t>
            </w:r>
          </w:p>
        </w:tc>
        <w:tc>
          <w:tcPr>
            <w:tcW w:w="2533" w:type="dxa"/>
            <w:tcBorders>
              <w:top w:val="single" w:sz="6" w:space="0" w:color="auto"/>
              <w:bottom w:val="single" w:sz="12" w:space="0" w:color="auto"/>
            </w:tcBorders>
            <w:shd w:val="clear" w:color="auto" w:fill="auto"/>
          </w:tcPr>
          <w:p w:rsidR="00D733A0" w:rsidRPr="00D141FC" w:rsidRDefault="00D733A0" w:rsidP="004D7ECE">
            <w:pPr>
              <w:pStyle w:val="TableHeading"/>
            </w:pPr>
            <w:r w:rsidRPr="00D141FC">
              <w:t xml:space="preserve">Category of </w:t>
            </w:r>
            <w:r w:rsidR="008241B1" w:rsidRPr="00D141FC">
              <w:t>pre</w:t>
            </w:r>
            <w:r w:rsidR="00D141FC">
              <w:noBreakHyphen/>
            </w:r>
            <w:r w:rsidR="00694489" w:rsidRPr="00D141FC">
              <w:t>submission meeting</w:t>
            </w:r>
            <w:r w:rsidR="00B4376D" w:rsidRPr="00D141FC">
              <w:t xml:space="preserve"> to be held</w:t>
            </w:r>
          </w:p>
        </w:tc>
        <w:tc>
          <w:tcPr>
            <w:tcW w:w="2533" w:type="dxa"/>
            <w:tcBorders>
              <w:top w:val="single" w:sz="6" w:space="0" w:color="auto"/>
              <w:bottom w:val="single" w:sz="12" w:space="0" w:color="auto"/>
            </w:tcBorders>
            <w:shd w:val="clear" w:color="auto" w:fill="auto"/>
          </w:tcPr>
          <w:p w:rsidR="00D733A0" w:rsidRPr="00D141FC" w:rsidRDefault="00EC7840" w:rsidP="00EC7840">
            <w:pPr>
              <w:pStyle w:val="TableHeading"/>
            </w:pPr>
            <w:r w:rsidRPr="00D141FC">
              <w:t xml:space="preserve">Fee </w:t>
            </w:r>
            <w:r w:rsidR="00D733A0" w:rsidRPr="00D141FC">
              <w:t xml:space="preserve">if the </w:t>
            </w:r>
            <w:r w:rsidR="00B4376D" w:rsidRPr="00D141FC">
              <w:t xml:space="preserve">notification for the application is given </w:t>
            </w:r>
            <w:r w:rsidR="00D733A0" w:rsidRPr="00D141FC">
              <w:t>during the financial year starting on 1</w:t>
            </w:r>
            <w:r w:rsidR="00D141FC" w:rsidRPr="00D141FC">
              <w:t> </w:t>
            </w:r>
            <w:r w:rsidR="00D733A0" w:rsidRPr="00D141FC">
              <w:t>July 2019</w:t>
            </w:r>
          </w:p>
        </w:tc>
        <w:tc>
          <w:tcPr>
            <w:tcW w:w="2533" w:type="dxa"/>
            <w:tcBorders>
              <w:top w:val="single" w:sz="6" w:space="0" w:color="auto"/>
              <w:bottom w:val="single" w:sz="12" w:space="0" w:color="auto"/>
            </w:tcBorders>
            <w:shd w:val="clear" w:color="auto" w:fill="auto"/>
          </w:tcPr>
          <w:p w:rsidR="00D733A0" w:rsidRPr="00D141FC" w:rsidRDefault="00D733A0" w:rsidP="00EC7840">
            <w:pPr>
              <w:pStyle w:val="TableHeading"/>
            </w:pPr>
            <w:r w:rsidRPr="00D141FC">
              <w:t xml:space="preserve">Fee if the </w:t>
            </w:r>
            <w:r w:rsidR="00B4376D" w:rsidRPr="00D141FC">
              <w:t xml:space="preserve">notification for the application is given </w:t>
            </w:r>
            <w:r w:rsidRPr="00D141FC">
              <w:t>during the financial year starting on 1</w:t>
            </w:r>
            <w:r w:rsidR="00D141FC" w:rsidRPr="00D141FC">
              <w:t> </w:t>
            </w:r>
            <w:r w:rsidRPr="00D141FC">
              <w:t>July 2020</w:t>
            </w:r>
          </w:p>
        </w:tc>
      </w:tr>
      <w:tr w:rsidR="00D733A0" w:rsidRPr="00D141FC" w:rsidTr="00DA50F9">
        <w:tc>
          <w:tcPr>
            <w:tcW w:w="714" w:type="dxa"/>
            <w:tcBorders>
              <w:top w:val="single" w:sz="12" w:space="0" w:color="auto"/>
              <w:bottom w:val="single" w:sz="2" w:space="0" w:color="auto"/>
            </w:tcBorders>
            <w:shd w:val="clear" w:color="auto" w:fill="auto"/>
          </w:tcPr>
          <w:p w:rsidR="00D733A0" w:rsidRPr="00D141FC" w:rsidRDefault="00D733A0" w:rsidP="004D7ECE">
            <w:pPr>
              <w:pStyle w:val="Tabletext"/>
            </w:pPr>
            <w:r w:rsidRPr="00D141FC">
              <w:t>1</w:t>
            </w:r>
          </w:p>
        </w:tc>
        <w:tc>
          <w:tcPr>
            <w:tcW w:w="2533" w:type="dxa"/>
            <w:tcBorders>
              <w:top w:val="single" w:sz="12" w:space="0" w:color="auto"/>
              <w:bottom w:val="single" w:sz="2" w:space="0" w:color="auto"/>
            </w:tcBorders>
            <w:shd w:val="clear" w:color="auto" w:fill="auto"/>
          </w:tcPr>
          <w:p w:rsidR="00D733A0" w:rsidRPr="00D141FC" w:rsidRDefault="0092104B" w:rsidP="004D7ECE">
            <w:pPr>
              <w:pStyle w:val="Tabletext"/>
            </w:pPr>
            <w:r w:rsidRPr="00D141FC">
              <w:t>First meeting</w:t>
            </w:r>
          </w:p>
        </w:tc>
        <w:tc>
          <w:tcPr>
            <w:tcW w:w="2533" w:type="dxa"/>
            <w:tcBorders>
              <w:top w:val="single" w:sz="12" w:space="0" w:color="auto"/>
              <w:bottom w:val="single" w:sz="2" w:space="0" w:color="auto"/>
            </w:tcBorders>
            <w:shd w:val="clear" w:color="auto" w:fill="auto"/>
          </w:tcPr>
          <w:p w:rsidR="00D733A0" w:rsidRPr="00D141FC" w:rsidRDefault="00D733A0" w:rsidP="00DA50F9">
            <w:pPr>
              <w:pStyle w:val="Tabletext"/>
              <w:jc w:val="right"/>
            </w:pPr>
            <w:r w:rsidRPr="00D141FC">
              <w:t>$</w:t>
            </w:r>
            <w:r w:rsidR="0092104B" w:rsidRPr="00D141FC">
              <w:t>16,090</w:t>
            </w:r>
          </w:p>
        </w:tc>
        <w:tc>
          <w:tcPr>
            <w:tcW w:w="2533" w:type="dxa"/>
            <w:tcBorders>
              <w:top w:val="single" w:sz="12" w:space="0" w:color="auto"/>
              <w:bottom w:val="single" w:sz="2" w:space="0" w:color="auto"/>
            </w:tcBorders>
            <w:shd w:val="clear" w:color="auto" w:fill="auto"/>
          </w:tcPr>
          <w:p w:rsidR="00D733A0" w:rsidRPr="00D141FC" w:rsidRDefault="00D733A0" w:rsidP="00DA50F9">
            <w:pPr>
              <w:pStyle w:val="Tabletext"/>
              <w:jc w:val="right"/>
            </w:pPr>
            <w:r w:rsidRPr="00D141FC">
              <w:t>$</w:t>
            </w:r>
            <w:r w:rsidR="0092104B" w:rsidRPr="00D141FC">
              <w:t>16,290</w:t>
            </w:r>
          </w:p>
        </w:tc>
      </w:tr>
      <w:tr w:rsidR="00D733A0" w:rsidRPr="00D141FC" w:rsidTr="00DA50F9">
        <w:tc>
          <w:tcPr>
            <w:tcW w:w="714" w:type="dxa"/>
            <w:tcBorders>
              <w:top w:val="single" w:sz="2" w:space="0" w:color="auto"/>
              <w:bottom w:val="single" w:sz="12" w:space="0" w:color="auto"/>
            </w:tcBorders>
            <w:shd w:val="clear" w:color="auto" w:fill="auto"/>
          </w:tcPr>
          <w:p w:rsidR="00D733A0" w:rsidRPr="00D141FC" w:rsidRDefault="00D733A0" w:rsidP="004D7ECE">
            <w:pPr>
              <w:pStyle w:val="Tabletext"/>
            </w:pPr>
            <w:r w:rsidRPr="00D141FC">
              <w:t>2</w:t>
            </w:r>
          </w:p>
        </w:tc>
        <w:tc>
          <w:tcPr>
            <w:tcW w:w="2533" w:type="dxa"/>
            <w:tcBorders>
              <w:top w:val="single" w:sz="2" w:space="0" w:color="auto"/>
              <w:bottom w:val="single" w:sz="12" w:space="0" w:color="auto"/>
            </w:tcBorders>
            <w:shd w:val="clear" w:color="auto" w:fill="auto"/>
          </w:tcPr>
          <w:p w:rsidR="00D733A0" w:rsidRPr="00D141FC" w:rsidRDefault="00694489" w:rsidP="00694489">
            <w:pPr>
              <w:pStyle w:val="Tabletext"/>
            </w:pPr>
            <w:r w:rsidRPr="00D141FC">
              <w:t>Second or a</w:t>
            </w:r>
            <w:r w:rsidR="0092104B" w:rsidRPr="00D141FC">
              <w:t xml:space="preserve"> subsequent meeting</w:t>
            </w:r>
          </w:p>
        </w:tc>
        <w:tc>
          <w:tcPr>
            <w:tcW w:w="2533" w:type="dxa"/>
            <w:tcBorders>
              <w:top w:val="single" w:sz="2" w:space="0" w:color="auto"/>
              <w:bottom w:val="single" w:sz="12" w:space="0" w:color="auto"/>
            </w:tcBorders>
            <w:shd w:val="clear" w:color="auto" w:fill="auto"/>
          </w:tcPr>
          <w:p w:rsidR="00D733A0" w:rsidRPr="00D141FC" w:rsidRDefault="00D733A0" w:rsidP="00DA50F9">
            <w:pPr>
              <w:pStyle w:val="Tabletext"/>
              <w:jc w:val="right"/>
            </w:pPr>
            <w:r w:rsidRPr="00D141FC">
              <w:t>$</w:t>
            </w:r>
            <w:r w:rsidR="0092104B" w:rsidRPr="00D141FC">
              <w:t>21,090</w:t>
            </w:r>
          </w:p>
        </w:tc>
        <w:tc>
          <w:tcPr>
            <w:tcW w:w="2533" w:type="dxa"/>
            <w:tcBorders>
              <w:top w:val="single" w:sz="2" w:space="0" w:color="auto"/>
              <w:bottom w:val="single" w:sz="12" w:space="0" w:color="auto"/>
            </w:tcBorders>
            <w:shd w:val="clear" w:color="auto" w:fill="auto"/>
          </w:tcPr>
          <w:p w:rsidR="00D733A0" w:rsidRPr="00D141FC" w:rsidRDefault="00D733A0" w:rsidP="00DA50F9">
            <w:pPr>
              <w:pStyle w:val="Tabletext"/>
              <w:jc w:val="right"/>
            </w:pPr>
            <w:r w:rsidRPr="00D141FC">
              <w:t>$</w:t>
            </w:r>
            <w:r w:rsidR="0092104B" w:rsidRPr="00D141FC">
              <w:t>21,360</w:t>
            </w:r>
          </w:p>
        </w:tc>
      </w:tr>
    </w:tbl>
    <w:p w:rsidR="00624722" w:rsidRPr="00D141FC" w:rsidRDefault="00624722" w:rsidP="00624722">
      <w:pPr>
        <w:pStyle w:val="notetext"/>
      </w:pPr>
      <w:r w:rsidRPr="00D141FC">
        <w:t>Note:</w:t>
      </w:r>
      <w:r w:rsidRPr="00D141FC">
        <w:tab/>
      </w:r>
      <w:r w:rsidR="006D1E69" w:rsidRPr="00D141FC">
        <w:t>T</w:t>
      </w:r>
      <w:r w:rsidRPr="00D141FC">
        <w:t xml:space="preserve">hese fees </w:t>
      </w:r>
      <w:r w:rsidR="006D1E69" w:rsidRPr="00D141FC">
        <w:t>are</w:t>
      </w:r>
      <w:r w:rsidRPr="00D141FC">
        <w:t xml:space="preserve"> indexed for later financial years (see regulation</w:t>
      </w:r>
      <w:r w:rsidR="00D141FC" w:rsidRPr="00D141FC">
        <w:t> </w:t>
      </w:r>
      <w:r w:rsidRPr="00D141FC">
        <w:t>4</w:t>
      </w:r>
      <w:r w:rsidR="00A07EDA" w:rsidRPr="00D141FC">
        <w:t>.</w:t>
      </w:r>
      <w:r w:rsidRPr="00D141FC">
        <w:t>7)</w:t>
      </w:r>
      <w:r w:rsidR="00A07EDA" w:rsidRPr="00D141FC">
        <w:t>.</w:t>
      </w:r>
    </w:p>
    <w:p w:rsidR="0092104B" w:rsidRPr="00D141FC" w:rsidRDefault="00A07EDA" w:rsidP="0092104B">
      <w:pPr>
        <w:pStyle w:val="ActHead5"/>
      </w:pPr>
      <w:bookmarkStart w:id="19" w:name="_Toc3993163"/>
      <w:r w:rsidRPr="00D141FC">
        <w:rPr>
          <w:rStyle w:val="CharSectno"/>
        </w:rPr>
        <w:t>1A.8</w:t>
      </w:r>
      <w:r w:rsidR="0092104B" w:rsidRPr="00D141FC">
        <w:t xml:space="preserve">  </w:t>
      </w:r>
      <w:r w:rsidR="004A7ECE" w:rsidRPr="00D141FC">
        <w:t>How to apply</w:t>
      </w:r>
      <w:r w:rsidR="0092104B" w:rsidRPr="00D141FC">
        <w:t xml:space="preserve"> for </w:t>
      </w:r>
      <w:r w:rsidR="004A7ECE" w:rsidRPr="00D141FC">
        <w:t xml:space="preserve">a </w:t>
      </w:r>
      <w:r w:rsidR="0092104B" w:rsidRPr="00D141FC">
        <w:t>pre</w:t>
      </w:r>
      <w:r w:rsidR="00D141FC">
        <w:noBreakHyphen/>
      </w:r>
      <w:r w:rsidR="0092104B" w:rsidRPr="00D141FC">
        <w:t>submission meeting</w:t>
      </w:r>
      <w:bookmarkEnd w:id="19"/>
    </w:p>
    <w:p w:rsidR="0092104B" w:rsidRPr="00D141FC" w:rsidRDefault="00A94FF4" w:rsidP="0092104B">
      <w:pPr>
        <w:pStyle w:val="subsection"/>
      </w:pPr>
      <w:r w:rsidRPr="00D141FC">
        <w:tab/>
        <w:t>(1)</w:t>
      </w:r>
      <w:r w:rsidRPr="00D141FC">
        <w:tab/>
        <w:t>A meeting</w:t>
      </w:r>
      <w:r w:rsidR="0092104B" w:rsidRPr="00D141FC">
        <w:t xml:space="preserve"> application</w:t>
      </w:r>
      <w:r w:rsidR="00524A96" w:rsidRPr="00D141FC">
        <w:t>, and briefing papers for the meeting,</w:t>
      </w:r>
      <w:r w:rsidR="0092104B" w:rsidRPr="00D141FC">
        <w:t xml:space="preserve"> must:</w:t>
      </w:r>
    </w:p>
    <w:p w:rsidR="0092104B" w:rsidRPr="00D141FC" w:rsidRDefault="0092104B" w:rsidP="0092104B">
      <w:pPr>
        <w:pStyle w:val="paragraph"/>
      </w:pPr>
      <w:r w:rsidRPr="00D141FC">
        <w:tab/>
        <w:t>(a)</w:t>
      </w:r>
      <w:r w:rsidRPr="00D141FC">
        <w:tab/>
        <w:t>be made in writing, in the approved form, to the Secretary; and</w:t>
      </w:r>
    </w:p>
    <w:p w:rsidR="0092104B" w:rsidRPr="00D141FC" w:rsidRDefault="0092104B" w:rsidP="0092104B">
      <w:pPr>
        <w:pStyle w:val="paragraph"/>
      </w:pPr>
      <w:r w:rsidRPr="00D141FC">
        <w:tab/>
        <w:t>(b)</w:t>
      </w:r>
      <w:r w:rsidRPr="00D141FC">
        <w:tab/>
        <w:t xml:space="preserve">be sent to the office of the Department </w:t>
      </w:r>
      <w:r w:rsidR="004D7ECE" w:rsidRPr="00D141FC">
        <w:t>arranging such meetings</w:t>
      </w:r>
      <w:r w:rsidR="00A07EDA" w:rsidRPr="00D141FC">
        <w:t>.</w:t>
      </w:r>
    </w:p>
    <w:p w:rsidR="00524A96" w:rsidRPr="00D141FC" w:rsidRDefault="00524A96" w:rsidP="0092104B">
      <w:pPr>
        <w:pStyle w:val="notetext"/>
      </w:pPr>
      <w:r w:rsidRPr="00D141FC">
        <w:t>Note 1:</w:t>
      </w:r>
      <w:r w:rsidRPr="00D141FC">
        <w:tab/>
        <w:t>The briefing papers could be provided with the meeting application or afterwards.</w:t>
      </w:r>
    </w:p>
    <w:p w:rsidR="0092104B" w:rsidRPr="00D141FC" w:rsidRDefault="0092104B" w:rsidP="0092104B">
      <w:pPr>
        <w:pStyle w:val="notetext"/>
      </w:pPr>
      <w:r w:rsidRPr="00D141FC">
        <w:t>Note</w:t>
      </w:r>
      <w:r w:rsidR="00524A96" w:rsidRPr="00D141FC">
        <w:t xml:space="preserve"> 2</w:t>
      </w:r>
      <w:r w:rsidRPr="00D141FC">
        <w:t>:</w:t>
      </w:r>
      <w:r w:rsidRPr="00D141FC">
        <w:tab/>
        <w:t xml:space="preserve">The address for the office </w:t>
      </w:r>
      <w:r w:rsidR="004D7ECE" w:rsidRPr="00D141FC">
        <w:t>arranging pre</w:t>
      </w:r>
      <w:r w:rsidR="00D141FC">
        <w:noBreakHyphen/>
      </w:r>
      <w:r w:rsidR="004D7ECE" w:rsidRPr="00D141FC">
        <w:t>submission meetings</w:t>
      </w:r>
      <w:r w:rsidRPr="00D141FC">
        <w:t xml:space="preserve"> can be found on the Department’s website</w:t>
      </w:r>
      <w:r w:rsidR="00A07EDA" w:rsidRPr="00D141FC">
        <w:t>.</w:t>
      </w:r>
    </w:p>
    <w:p w:rsidR="00524A96" w:rsidRPr="00D141FC" w:rsidRDefault="0092104B" w:rsidP="0092104B">
      <w:pPr>
        <w:pStyle w:val="subsection"/>
      </w:pPr>
      <w:r w:rsidRPr="00D141FC">
        <w:tab/>
        <w:t>(2)</w:t>
      </w:r>
      <w:r w:rsidRPr="00D141FC">
        <w:tab/>
        <w:t>The Secretary may, in writing, approve forms for</w:t>
      </w:r>
      <w:r w:rsidR="00524A96" w:rsidRPr="00D141FC">
        <w:t>:</w:t>
      </w:r>
    </w:p>
    <w:p w:rsidR="0092104B" w:rsidRPr="00D141FC" w:rsidRDefault="00524A96" w:rsidP="00524A96">
      <w:pPr>
        <w:pStyle w:val="paragraph"/>
      </w:pPr>
      <w:r w:rsidRPr="00D141FC">
        <w:tab/>
        <w:t>(a)</w:t>
      </w:r>
      <w:r w:rsidRPr="00D141FC">
        <w:tab/>
      </w:r>
      <w:r w:rsidR="005821A2" w:rsidRPr="00D141FC">
        <w:t>meeting applications</w:t>
      </w:r>
      <w:r w:rsidRPr="00D141FC">
        <w:t>; or</w:t>
      </w:r>
    </w:p>
    <w:p w:rsidR="00524A96" w:rsidRPr="00D141FC" w:rsidRDefault="00524A96" w:rsidP="00524A96">
      <w:pPr>
        <w:pStyle w:val="paragraph"/>
      </w:pPr>
      <w:r w:rsidRPr="00D141FC">
        <w:tab/>
        <w:t>(b)</w:t>
      </w:r>
      <w:r w:rsidRPr="00D141FC">
        <w:tab/>
        <w:t>briefing papers for pre</w:t>
      </w:r>
      <w:r w:rsidR="00D141FC">
        <w:noBreakHyphen/>
      </w:r>
      <w:r w:rsidRPr="00D141FC">
        <w:t>submission meetings.</w:t>
      </w:r>
    </w:p>
    <w:p w:rsidR="008E1683" w:rsidRPr="00D141FC" w:rsidRDefault="00A07EDA" w:rsidP="00A33462">
      <w:pPr>
        <w:pStyle w:val="ActHead5"/>
      </w:pPr>
      <w:bookmarkStart w:id="20" w:name="_Toc3993164"/>
      <w:r w:rsidRPr="00D141FC">
        <w:rPr>
          <w:rStyle w:val="CharSectno"/>
        </w:rPr>
        <w:t>1A.9</w:t>
      </w:r>
      <w:r w:rsidR="008E1683" w:rsidRPr="00D141FC">
        <w:t xml:space="preserve">  Agreeing to hold a pre</w:t>
      </w:r>
      <w:r w:rsidR="00D141FC">
        <w:noBreakHyphen/>
      </w:r>
      <w:r w:rsidR="008E1683" w:rsidRPr="00D141FC">
        <w:t>submission meeting</w:t>
      </w:r>
      <w:bookmarkEnd w:id="20"/>
    </w:p>
    <w:p w:rsidR="0033233A" w:rsidRPr="00D141FC" w:rsidRDefault="005B1F7F" w:rsidP="0033233A">
      <w:pPr>
        <w:pStyle w:val="subsection"/>
      </w:pPr>
      <w:r w:rsidRPr="00D141FC">
        <w:tab/>
      </w:r>
      <w:r w:rsidRPr="00D141FC">
        <w:tab/>
        <w:t>The Secretary may</w:t>
      </w:r>
      <w:r w:rsidR="005821A2" w:rsidRPr="00D141FC">
        <w:t>,</w:t>
      </w:r>
      <w:r w:rsidRPr="00D141FC">
        <w:t xml:space="preserve"> in writing, after considering a meeting application</w:t>
      </w:r>
      <w:r w:rsidR="00524A96" w:rsidRPr="00D141FC">
        <w:t xml:space="preserve"> and briefing papers for a pre</w:t>
      </w:r>
      <w:r w:rsidR="00D141FC">
        <w:noBreakHyphen/>
      </w:r>
      <w:r w:rsidR="00524A96" w:rsidRPr="00D141FC">
        <w:t>submission meeting</w:t>
      </w:r>
      <w:r w:rsidR="0033233A" w:rsidRPr="00D141FC">
        <w:t>, agree or not a</w:t>
      </w:r>
      <w:r w:rsidR="00524A96" w:rsidRPr="00D141FC">
        <w:t>gree to the Department holding the</w:t>
      </w:r>
      <w:r w:rsidR="0033233A" w:rsidRPr="00D141FC">
        <w:t xml:space="preserve"> </w:t>
      </w:r>
      <w:r w:rsidRPr="00D141FC">
        <w:t>pre</w:t>
      </w:r>
      <w:r w:rsidR="00D141FC">
        <w:noBreakHyphen/>
      </w:r>
      <w:r w:rsidR="000262DF" w:rsidRPr="00D141FC">
        <w:t>submission meeting with the applicant</w:t>
      </w:r>
      <w:r w:rsidR="00A07EDA" w:rsidRPr="00D141FC">
        <w:t>.</w:t>
      </w:r>
    </w:p>
    <w:p w:rsidR="0092104B" w:rsidRPr="00D141FC" w:rsidRDefault="00A07EDA" w:rsidP="0092104B">
      <w:pPr>
        <w:pStyle w:val="ActHead5"/>
      </w:pPr>
      <w:bookmarkStart w:id="21" w:name="_Toc3993165"/>
      <w:r w:rsidRPr="00D141FC">
        <w:rPr>
          <w:rStyle w:val="CharSectno"/>
        </w:rPr>
        <w:t>1A.10</w:t>
      </w:r>
      <w:r w:rsidR="0092104B" w:rsidRPr="00D141FC">
        <w:t xml:space="preserve">  </w:t>
      </w:r>
      <w:r w:rsidR="00B4376D" w:rsidRPr="00D141FC">
        <w:t>Notification (including invoicing of fees)</w:t>
      </w:r>
      <w:bookmarkEnd w:id="21"/>
    </w:p>
    <w:p w:rsidR="0092104B" w:rsidRPr="00D141FC" w:rsidRDefault="0092104B" w:rsidP="0092104B">
      <w:pPr>
        <w:pStyle w:val="subsection"/>
      </w:pPr>
      <w:r w:rsidRPr="00D141FC">
        <w:tab/>
        <w:t>(1)</w:t>
      </w:r>
      <w:r w:rsidR="00A94FF4" w:rsidRPr="00D141FC">
        <w:tab/>
      </w:r>
      <w:r w:rsidR="00B4376D" w:rsidRPr="00D141FC">
        <w:t xml:space="preserve">Within 14 days after </w:t>
      </w:r>
      <w:r w:rsidR="006F3E0B" w:rsidRPr="00D141FC">
        <w:t xml:space="preserve">the day </w:t>
      </w:r>
      <w:r w:rsidR="00B4376D" w:rsidRPr="00D141FC">
        <w:t xml:space="preserve">the Department receives </w:t>
      </w:r>
      <w:r w:rsidR="00524A96" w:rsidRPr="00D141FC">
        <w:t xml:space="preserve">both </w:t>
      </w:r>
      <w:r w:rsidR="00B4376D" w:rsidRPr="00D141FC">
        <w:t>a meeting application</w:t>
      </w:r>
      <w:r w:rsidR="00524A96" w:rsidRPr="00D141FC">
        <w:t xml:space="preserve"> and briefing papers for a pre</w:t>
      </w:r>
      <w:r w:rsidR="00D141FC">
        <w:noBreakHyphen/>
      </w:r>
      <w:r w:rsidR="00524A96" w:rsidRPr="00D141FC">
        <w:t>submission meeting</w:t>
      </w:r>
      <w:r w:rsidR="00B4376D" w:rsidRPr="00D141FC">
        <w:t xml:space="preserve">, the </w:t>
      </w:r>
      <w:r w:rsidR="00202CF9" w:rsidRPr="00D141FC">
        <w:t>Secretary must notify the applicant in writing</w:t>
      </w:r>
      <w:r w:rsidRPr="00D141FC">
        <w:t>:</w:t>
      </w:r>
    </w:p>
    <w:p w:rsidR="0092104B" w:rsidRPr="00D141FC" w:rsidRDefault="0092104B" w:rsidP="0092104B">
      <w:pPr>
        <w:pStyle w:val="paragraph"/>
      </w:pPr>
      <w:r w:rsidRPr="00D141FC">
        <w:tab/>
        <w:t>(a)</w:t>
      </w:r>
      <w:r w:rsidRPr="00D141FC">
        <w:tab/>
        <w:t xml:space="preserve">that </w:t>
      </w:r>
      <w:r w:rsidR="004A245C" w:rsidRPr="00D141FC">
        <w:t>the Department</w:t>
      </w:r>
      <w:r w:rsidRPr="00D141FC">
        <w:t xml:space="preserve"> has received the application</w:t>
      </w:r>
      <w:r w:rsidR="00524A96" w:rsidRPr="00D141FC">
        <w:t xml:space="preserve"> and briefing papers</w:t>
      </w:r>
      <w:r w:rsidRPr="00D141FC">
        <w:t>; and</w:t>
      </w:r>
    </w:p>
    <w:p w:rsidR="00A32A8C" w:rsidRPr="00D141FC" w:rsidRDefault="00A32A8C" w:rsidP="0092104B">
      <w:pPr>
        <w:pStyle w:val="paragraph"/>
      </w:pPr>
      <w:r w:rsidRPr="00D141FC">
        <w:tab/>
        <w:t>(b)</w:t>
      </w:r>
      <w:r w:rsidRPr="00D141FC">
        <w:tab/>
        <w:t xml:space="preserve">whether the </w:t>
      </w:r>
      <w:r w:rsidR="0033233A" w:rsidRPr="00D141FC">
        <w:t>Secretary agree</w:t>
      </w:r>
      <w:r w:rsidR="004A245C" w:rsidRPr="00D141FC">
        <w:t>s under regulation</w:t>
      </w:r>
      <w:r w:rsidR="00D141FC" w:rsidRPr="00D141FC">
        <w:t> </w:t>
      </w:r>
      <w:r w:rsidR="00A07EDA" w:rsidRPr="00D141FC">
        <w:t>1A.9</w:t>
      </w:r>
      <w:r w:rsidR="004A245C" w:rsidRPr="00D141FC">
        <w:t xml:space="preserve"> </w:t>
      </w:r>
      <w:r w:rsidRPr="00D141FC">
        <w:t xml:space="preserve">to </w:t>
      </w:r>
      <w:r w:rsidR="0033233A" w:rsidRPr="00D141FC">
        <w:t>the Department holding a</w:t>
      </w:r>
      <w:r w:rsidRPr="00D141FC">
        <w:t xml:space="preserve"> pre</w:t>
      </w:r>
      <w:r w:rsidR="00D141FC">
        <w:noBreakHyphen/>
      </w:r>
      <w:r w:rsidRPr="00D141FC">
        <w:t>submission meeting</w:t>
      </w:r>
      <w:r w:rsidR="0033233A" w:rsidRPr="00D141FC">
        <w:t xml:space="preserve"> with the applicant</w:t>
      </w:r>
      <w:r w:rsidR="00A07EDA" w:rsidRPr="00D141FC">
        <w:t>.</w:t>
      </w:r>
    </w:p>
    <w:p w:rsidR="00A32A8C" w:rsidRPr="00D141FC" w:rsidRDefault="00A32A8C" w:rsidP="00A32A8C">
      <w:pPr>
        <w:pStyle w:val="subsection"/>
      </w:pPr>
      <w:r w:rsidRPr="00D141FC">
        <w:tab/>
        <w:t>(2)</w:t>
      </w:r>
      <w:r w:rsidRPr="00D141FC">
        <w:tab/>
        <w:t xml:space="preserve">If the </w:t>
      </w:r>
      <w:r w:rsidR="0033233A" w:rsidRPr="00D141FC">
        <w:t>Secretary</w:t>
      </w:r>
      <w:r w:rsidRPr="00D141FC">
        <w:t xml:space="preserve"> agrees to </w:t>
      </w:r>
      <w:r w:rsidR="0033233A" w:rsidRPr="00D141FC">
        <w:t>the Department holding a</w:t>
      </w:r>
      <w:r w:rsidRPr="00D141FC">
        <w:t xml:space="preserve"> pre</w:t>
      </w:r>
      <w:r w:rsidR="00D141FC">
        <w:noBreakHyphen/>
      </w:r>
      <w:r w:rsidRPr="00D141FC">
        <w:t>submission meeting</w:t>
      </w:r>
      <w:r w:rsidR="0033233A" w:rsidRPr="00D141FC">
        <w:t xml:space="preserve"> with the applicant</w:t>
      </w:r>
      <w:r w:rsidRPr="00D141FC">
        <w:t>, the notice under sub</w:t>
      </w:r>
      <w:r w:rsidR="004A245C" w:rsidRPr="00D141FC">
        <w:t>regulation</w:t>
      </w:r>
      <w:r w:rsidR="00D141FC" w:rsidRPr="00D141FC">
        <w:t> </w:t>
      </w:r>
      <w:r w:rsidRPr="00D141FC">
        <w:t>(1) must also state:</w:t>
      </w:r>
    </w:p>
    <w:p w:rsidR="0092104B" w:rsidRPr="00D141FC" w:rsidRDefault="0092104B" w:rsidP="0092104B">
      <w:pPr>
        <w:pStyle w:val="paragraph"/>
        <w:rPr>
          <w:i/>
        </w:rPr>
      </w:pPr>
      <w:r w:rsidRPr="00D141FC">
        <w:rPr>
          <w:i/>
        </w:rPr>
        <w:tab/>
      </w:r>
      <w:r w:rsidR="000262DF" w:rsidRPr="00D141FC">
        <w:t>(a</w:t>
      </w:r>
      <w:r w:rsidRPr="00D141FC">
        <w:t>)</w:t>
      </w:r>
      <w:r w:rsidRPr="00D141FC">
        <w:tab/>
        <w:t xml:space="preserve">the category of the </w:t>
      </w:r>
      <w:r w:rsidR="004D7ECE" w:rsidRPr="00D141FC">
        <w:t>pre</w:t>
      </w:r>
      <w:r w:rsidR="00D141FC">
        <w:noBreakHyphen/>
      </w:r>
      <w:r w:rsidR="004D7ECE" w:rsidRPr="00D141FC">
        <w:t>submission meeting</w:t>
      </w:r>
      <w:r w:rsidRPr="00D141FC">
        <w:t>; and</w:t>
      </w:r>
    </w:p>
    <w:p w:rsidR="0092104B" w:rsidRPr="00D141FC" w:rsidRDefault="0092104B" w:rsidP="0092104B">
      <w:pPr>
        <w:pStyle w:val="paragraph"/>
      </w:pPr>
      <w:r w:rsidRPr="00D141FC">
        <w:tab/>
        <w:t>(</w:t>
      </w:r>
      <w:r w:rsidR="000262DF" w:rsidRPr="00D141FC">
        <w:t>b</w:t>
      </w:r>
      <w:r w:rsidRPr="00D141FC">
        <w:t>)</w:t>
      </w:r>
      <w:r w:rsidRPr="00D141FC">
        <w:tab/>
        <w:t xml:space="preserve">the amount of the fee </w:t>
      </w:r>
      <w:r w:rsidR="00352052" w:rsidRPr="00D141FC">
        <w:t xml:space="preserve">that is payable </w:t>
      </w:r>
      <w:r w:rsidRPr="00D141FC">
        <w:t xml:space="preserve">for the service of </w:t>
      </w:r>
      <w:r w:rsidR="0027670B" w:rsidRPr="00D141FC">
        <w:t>holding</w:t>
      </w:r>
      <w:r w:rsidRPr="00D141FC">
        <w:t xml:space="preserve"> </w:t>
      </w:r>
      <w:r w:rsidR="004D7ECE" w:rsidRPr="00D141FC">
        <w:t>the pre</w:t>
      </w:r>
      <w:r w:rsidR="00D141FC">
        <w:noBreakHyphen/>
      </w:r>
      <w:r w:rsidR="00A32A8C" w:rsidRPr="00D141FC">
        <w:t>submission meeting; and</w:t>
      </w:r>
    </w:p>
    <w:p w:rsidR="00A32A8C" w:rsidRPr="00D141FC" w:rsidRDefault="000262DF" w:rsidP="0092104B">
      <w:pPr>
        <w:pStyle w:val="paragraph"/>
      </w:pPr>
      <w:r w:rsidRPr="00D141FC">
        <w:tab/>
        <w:t>(c</w:t>
      </w:r>
      <w:r w:rsidR="00A32A8C" w:rsidRPr="00D141FC">
        <w:t>)</w:t>
      </w:r>
      <w:r w:rsidR="00A32A8C" w:rsidRPr="00D141FC">
        <w:tab/>
        <w:t>the manner for paying that fee</w:t>
      </w:r>
      <w:r w:rsidR="00A07EDA" w:rsidRPr="00D141FC">
        <w:t>.</w:t>
      </w:r>
    </w:p>
    <w:p w:rsidR="0092104B" w:rsidRPr="00D141FC" w:rsidRDefault="00A32A8C" w:rsidP="004A7018">
      <w:pPr>
        <w:pStyle w:val="subsection"/>
      </w:pPr>
      <w:r w:rsidRPr="00D141FC">
        <w:tab/>
        <w:t>(3</w:t>
      </w:r>
      <w:r w:rsidR="0092104B" w:rsidRPr="00D141FC">
        <w:t>)</w:t>
      </w:r>
      <w:r w:rsidR="0092104B" w:rsidRPr="00D141FC">
        <w:tab/>
        <w:t xml:space="preserve">The fee for the </w:t>
      </w:r>
      <w:r w:rsidR="00991E5A" w:rsidRPr="00D141FC">
        <w:t>service</w:t>
      </w:r>
      <w:r w:rsidR="004A7018" w:rsidRPr="00D141FC">
        <w:t xml:space="preserve"> </w:t>
      </w:r>
      <w:r w:rsidR="0092104B" w:rsidRPr="00D141FC">
        <w:t>is payable to the D</w:t>
      </w:r>
      <w:r w:rsidR="000262DF" w:rsidRPr="00D141FC">
        <w:t>epartment</w:t>
      </w:r>
      <w:r w:rsidR="00A07EDA" w:rsidRPr="00D141FC">
        <w:t>.</w:t>
      </w:r>
    </w:p>
    <w:p w:rsidR="002651D0" w:rsidRPr="00D141FC" w:rsidRDefault="002651D0" w:rsidP="002651D0">
      <w:pPr>
        <w:pStyle w:val="notetext"/>
      </w:pPr>
      <w:r w:rsidRPr="00D141FC">
        <w:t>Note:</w:t>
      </w:r>
      <w:r w:rsidRPr="00D141FC">
        <w:tab/>
        <w:t>Part</w:t>
      </w:r>
      <w:r w:rsidR="00D141FC" w:rsidRPr="00D141FC">
        <w:t> </w:t>
      </w:r>
      <w:r w:rsidRPr="00D141FC">
        <w:t>4</w:t>
      </w:r>
      <w:r w:rsidR="00A32A8C" w:rsidRPr="00D141FC">
        <w:t xml:space="preserve"> deals with the payment of fees, including the time for payment (see paragraph</w:t>
      </w:r>
      <w:r w:rsidR="00D141FC" w:rsidRPr="00D141FC">
        <w:t> </w:t>
      </w:r>
      <w:r w:rsidR="00543D0E" w:rsidRPr="00D141FC">
        <w:t>4</w:t>
      </w:r>
      <w:r w:rsidR="00A07EDA" w:rsidRPr="00D141FC">
        <w:t>.</w:t>
      </w:r>
      <w:r w:rsidR="00543D0E" w:rsidRPr="00D141FC">
        <w:t>1(1)(b</w:t>
      </w:r>
      <w:r w:rsidR="00A32A8C" w:rsidRPr="00D141FC">
        <w:t>)</w:t>
      </w:r>
      <w:r w:rsidR="00B64A6D" w:rsidRPr="00D141FC">
        <w:t>)</w:t>
      </w:r>
      <w:r w:rsidR="00A07EDA" w:rsidRPr="00D141FC">
        <w:t>.</w:t>
      </w:r>
    </w:p>
    <w:p w:rsidR="00E166CC" w:rsidRPr="00D141FC" w:rsidRDefault="00A07EDA" w:rsidP="00E166CC">
      <w:pPr>
        <w:pStyle w:val="ActHead5"/>
      </w:pPr>
      <w:bookmarkStart w:id="22" w:name="_Toc3993166"/>
      <w:r w:rsidRPr="00D141FC">
        <w:rPr>
          <w:rStyle w:val="CharSectno"/>
        </w:rPr>
        <w:t>1A.11</w:t>
      </w:r>
      <w:r w:rsidR="00325DA1" w:rsidRPr="00D141FC">
        <w:t xml:space="preserve">  Withdrawal of a meeting</w:t>
      </w:r>
      <w:r w:rsidR="00E166CC" w:rsidRPr="00D141FC">
        <w:t xml:space="preserve"> application</w:t>
      </w:r>
      <w:bookmarkEnd w:id="22"/>
    </w:p>
    <w:p w:rsidR="00E166CC" w:rsidRPr="00D141FC" w:rsidRDefault="00E166CC" w:rsidP="00E166CC">
      <w:pPr>
        <w:pStyle w:val="subsection"/>
      </w:pPr>
      <w:r w:rsidRPr="00D141FC">
        <w:tab/>
        <w:t>(1)</w:t>
      </w:r>
      <w:r w:rsidRPr="00D141FC">
        <w:tab/>
        <w:t>A</w:t>
      </w:r>
      <w:r w:rsidR="00A94FF4" w:rsidRPr="00D141FC">
        <w:t xml:space="preserve"> meeting</w:t>
      </w:r>
      <w:r w:rsidRPr="00D141FC">
        <w:t xml:space="preserve"> application may be withdrawn by written notice to the Department</w:t>
      </w:r>
      <w:r w:rsidR="00A07EDA" w:rsidRPr="00D141FC">
        <w:t>.</w:t>
      </w:r>
    </w:p>
    <w:p w:rsidR="00EA0E35" w:rsidRPr="00D141FC" w:rsidRDefault="00EA0E35" w:rsidP="00EA0E35">
      <w:pPr>
        <w:pStyle w:val="subsection"/>
      </w:pPr>
      <w:r w:rsidRPr="00D141FC">
        <w:tab/>
        <w:t>(2)</w:t>
      </w:r>
      <w:r w:rsidRPr="00D141FC">
        <w:tab/>
        <w:t xml:space="preserve">If the </w:t>
      </w:r>
      <w:r w:rsidR="0027670B" w:rsidRPr="00D141FC">
        <w:t xml:space="preserve">meeting </w:t>
      </w:r>
      <w:r w:rsidRPr="00D141FC">
        <w:t>application is withdrawn before the earlier of:</w:t>
      </w:r>
    </w:p>
    <w:p w:rsidR="00EA0E35" w:rsidRPr="00D141FC" w:rsidRDefault="00EA0E35" w:rsidP="00EA0E35">
      <w:pPr>
        <w:pStyle w:val="paragraph"/>
      </w:pPr>
      <w:r w:rsidRPr="00D141FC">
        <w:tab/>
        <w:t>(a)</w:t>
      </w:r>
      <w:r w:rsidRPr="00D141FC">
        <w:tab/>
        <w:t xml:space="preserve">the 15th day after </w:t>
      </w:r>
      <w:r w:rsidR="009D6E2B" w:rsidRPr="00D141FC">
        <w:t xml:space="preserve">the day </w:t>
      </w:r>
      <w:r w:rsidRPr="00D141FC">
        <w:t>notice about the application and briefing papers is given under regulation</w:t>
      </w:r>
      <w:r w:rsidR="00D141FC" w:rsidRPr="00D141FC">
        <w:t> </w:t>
      </w:r>
      <w:r w:rsidRPr="00D141FC">
        <w:t>1A.10; and</w:t>
      </w:r>
    </w:p>
    <w:p w:rsidR="00EA0E35" w:rsidRPr="00D141FC" w:rsidRDefault="00EA0E35" w:rsidP="00EA0E35">
      <w:pPr>
        <w:pStyle w:val="paragraph"/>
      </w:pPr>
      <w:r w:rsidRPr="00D141FC">
        <w:tab/>
        <w:t>(b)</w:t>
      </w:r>
      <w:r w:rsidRPr="00D141FC">
        <w:tab/>
        <w:t xml:space="preserve">the </w:t>
      </w:r>
      <w:r w:rsidR="0071179D" w:rsidRPr="00D141FC">
        <w:t xml:space="preserve">last business </w:t>
      </w:r>
      <w:r w:rsidRPr="00D141FC">
        <w:t xml:space="preserve">day </w:t>
      </w:r>
      <w:r w:rsidR="0071179D" w:rsidRPr="00D141FC">
        <w:t xml:space="preserve">before </w:t>
      </w:r>
      <w:r w:rsidR="006F3E0B" w:rsidRPr="00D141FC">
        <w:t xml:space="preserve">the day </w:t>
      </w:r>
      <w:r w:rsidRPr="00D141FC">
        <w:t>the pre</w:t>
      </w:r>
      <w:r w:rsidR="00D141FC">
        <w:noBreakHyphen/>
      </w:r>
      <w:r w:rsidRPr="00D141FC">
        <w:t xml:space="preserve">submission meeting relating to the application is </w:t>
      </w:r>
      <w:r w:rsidR="006F3E0B" w:rsidRPr="00D141FC">
        <w:t xml:space="preserve">to be </w:t>
      </w:r>
      <w:r w:rsidRPr="00D141FC">
        <w:t>held;</w:t>
      </w:r>
    </w:p>
    <w:p w:rsidR="00EA0E35" w:rsidRPr="00D141FC" w:rsidRDefault="00EA0E35" w:rsidP="00EA0E35">
      <w:pPr>
        <w:pStyle w:val="subsection2"/>
      </w:pPr>
      <w:r w:rsidRPr="00D141FC">
        <w:t>the Department must refund any fee pai</w:t>
      </w:r>
      <w:r w:rsidR="00F04522" w:rsidRPr="00D141FC">
        <w:t xml:space="preserve">d for the service of </w:t>
      </w:r>
      <w:r w:rsidR="0027670B" w:rsidRPr="00D141FC">
        <w:t>holding</w:t>
      </w:r>
      <w:r w:rsidR="00F04522" w:rsidRPr="00D141FC">
        <w:t xml:space="preserve"> the</w:t>
      </w:r>
      <w:r w:rsidRPr="00D141FC">
        <w:t xml:space="preserve"> pre</w:t>
      </w:r>
      <w:r w:rsidR="00D141FC">
        <w:noBreakHyphen/>
      </w:r>
      <w:r w:rsidR="00F04522" w:rsidRPr="00D141FC">
        <w:t>submission meeting</w:t>
      </w:r>
      <w:r w:rsidRPr="00D141FC">
        <w:t>.</w:t>
      </w:r>
    </w:p>
    <w:p w:rsidR="00A22698" w:rsidRPr="00D141FC" w:rsidRDefault="00A07EDA" w:rsidP="00A22698">
      <w:pPr>
        <w:pStyle w:val="ActHead5"/>
      </w:pPr>
      <w:bookmarkStart w:id="23" w:name="_Toc3993167"/>
      <w:r w:rsidRPr="00D141FC">
        <w:rPr>
          <w:rStyle w:val="CharSectno"/>
        </w:rPr>
        <w:t>1A.12</w:t>
      </w:r>
      <w:r w:rsidR="00A22698" w:rsidRPr="00D141FC">
        <w:t xml:space="preserve">  Resending meeting applications</w:t>
      </w:r>
      <w:bookmarkEnd w:id="23"/>
    </w:p>
    <w:p w:rsidR="00A22698" w:rsidRPr="00D141FC" w:rsidRDefault="00A22698" w:rsidP="00A22698">
      <w:pPr>
        <w:pStyle w:val="subsection"/>
      </w:pPr>
      <w:r w:rsidRPr="00D141FC">
        <w:tab/>
        <w:t>(1)</w:t>
      </w:r>
      <w:r w:rsidRPr="00D141FC">
        <w:tab/>
        <w:t>An applicant for a meeting application may remake and resend the meeting application in the same or an amended form</w:t>
      </w:r>
      <w:r w:rsidR="00A07EDA" w:rsidRPr="00D141FC">
        <w:t>.</w:t>
      </w:r>
    </w:p>
    <w:p w:rsidR="00A22698" w:rsidRPr="00D141FC" w:rsidRDefault="00A22698" w:rsidP="00A22698">
      <w:pPr>
        <w:pStyle w:val="subsection"/>
      </w:pPr>
      <w:r w:rsidRPr="00D141FC">
        <w:tab/>
        <w:t>(2)</w:t>
      </w:r>
      <w:r w:rsidRPr="00D141FC">
        <w:tab/>
        <w:t>These Regulations apply to the resent application as if it were a new application</w:t>
      </w:r>
      <w:r w:rsidR="00A07EDA" w:rsidRPr="00D141FC">
        <w:t>.</w:t>
      </w:r>
    </w:p>
    <w:p w:rsidR="00A22698" w:rsidRPr="00D141FC" w:rsidRDefault="00A22698" w:rsidP="00A22698">
      <w:pPr>
        <w:pStyle w:val="notetext"/>
      </w:pPr>
      <w:r w:rsidRPr="00D141FC">
        <w:t>Note:</w:t>
      </w:r>
      <w:r w:rsidRPr="00D141FC">
        <w:tab/>
        <w:t>This means, for example, that the resent application will attract a new fee under regulation</w:t>
      </w:r>
      <w:r w:rsidR="00D141FC" w:rsidRPr="00D141FC">
        <w:t> </w:t>
      </w:r>
      <w:r w:rsidR="00A07EDA" w:rsidRPr="00D141FC">
        <w:t>1A.7.</w:t>
      </w:r>
    </w:p>
    <w:p w:rsidR="00A83456" w:rsidRPr="00D141FC" w:rsidRDefault="00F9708D" w:rsidP="000B3E43">
      <w:pPr>
        <w:pStyle w:val="ItemHead"/>
      </w:pPr>
      <w:r w:rsidRPr="00D141FC">
        <w:t>12</w:t>
      </w:r>
      <w:r w:rsidR="000B3E43" w:rsidRPr="00D141FC">
        <w:t xml:space="preserve">  Part</w:t>
      </w:r>
      <w:r w:rsidR="00D141FC" w:rsidRPr="00D141FC">
        <w:t> </w:t>
      </w:r>
      <w:r w:rsidR="000B3E43" w:rsidRPr="00D141FC">
        <w:t>2 (heading)</w:t>
      </w:r>
    </w:p>
    <w:p w:rsidR="000B3E43" w:rsidRPr="00D141FC" w:rsidRDefault="000B3E43" w:rsidP="000B3E43">
      <w:pPr>
        <w:pStyle w:val="Item"/>
      </w:pPr>
      <w:r w:rsidRPr="00D141FC">
        <w:t>Repeal the heading, substitute:</w:t>
      </w:r>
    </w:p>
    <w:p w:rsidR="000B3E43" w:rsidRPr="00D141FC" w:rsidRDefault="000B3E43" w:rsidP="000B3E43">
      <w:pPr>
        <w:pStyle w:val="ActHead2"/>
      </w:pPr>
      <w:bookmarkStart w:id="24" w:name="_Toc3993168"/>
      <w:r w:rsidRPr="00D141FC">
        <w:rPr>
          <w:rStyle w:val="CharPartNo"/>
        </w:rPr>
        <w:t>Part</w:t>
      </w:r>
      <w:r w:rsidR="00D141FC" w:rsidRPr="00D141FC">
        <w:rPr>
          <w:rStyle w:val="CharPartNo"/>
        </w:rPr>
        <w:t> </w:t>
      </w:r>
      <w:r w:rsidRPr="00D141FC">
        <w:rPr>
          <w:rStyle w:val="CharPartNo"/>
        </w:rPr>
        <w:t>2</w:t>
      </w:r>
      <w:r w:rsidRPr="00D141FC">
        <w:t>—</w:t>
      </w:r>
      <w:r w:rsidRPr="00D141FC">
        <w:rPr>
          <w:rStyle w:val="CharPartText"/>
        </w:rPr>
        <w:t>Submission services</w:t>
      </w:r>
      <w:bookmarkEnd w:id="24"/>
    </w:p>
    <w:p w:rsidR="00B97D61" w:rsidRPr="00D141FC" w:rsidRDefault="00B97D61" w:rsidP="00B97D61">
      <w:pPr>
        <w:pStyle w:val="ActHead3"/>
      </w:pPr>
      <w:bookmarkStart w:id="25" w:name="_Toc3993169"/>
      <w:r w:rsidRPr="00D141FC">
        <w:rPr>
          <w:rStyle w:val="CharDivNo"/>
        </w:rPr>
        <w:t>Division</w:t>
      </w:r>
      <w:r w:rsidR="00D141FC" w:rsidRPr="00D141FC">
        <w:rPr>
          <w:rStyle w:val="CharDivNo"/>
        </w:rPr>
        <w:t> </w:t>
      </w:r>
      <w:r w:rsidRPr="00D141FC">
        <w:rPr>
          <w:rStyle w:val="CharDivNo"/>
        </w:rPr>
        <w:t>2</w:t>
      </w:r>
      <w:r w:rsidR="00A07EDA" w:rsidRPr="00D141FC">
        <w:rPr>
          <w:rStyle w:val="CharDivNo"/>
        </w:rPr>
        <w:t>.</w:t>
      </w:r>
      <w:r w:rsidRPr="00D141FC">
        <w:rPr>
          <w:rStyle w:val="CharDivNo"/>
        </w:rPr>
        <w:t>1A</w:t>
      </w:r>
      <w:r w:rsidRPr="00D141FC">
        <w:t>—</w:t>
      </w:r>
      <w:r w:rsidRPr="00D141FC">
        <w:rPr>
          <w:rStyle w:val="CharDivText"/>
        </w:rPr>
        <w:t>Preliminary</w:t>
      </w:r>
      <w:bookmarkEnd w:id="25"/>
    </w:p>
    <w:p w:rsidR="00B97D61" w:rsidRPr="00D141FC" w:rsidRDefault="00B97D61" w:rsidP="00B97D61">
      <w:pPr>
        <w:pStyle w:val="ActHead5"/>
      </w:pPr>
      <w:bookmarkStart w:id="26" w:name="_Toc3993170"/>
      <w:r w:rsidRPr="00D141FC">
        <w:rPr>
          <w:rStyle w:val="CharSectno"/>
        </w:rPr>
        <w:t>2</w:t>
      </w:r>
      <w:r w:rsidR="00A07EDA" w:rsidRPr="00D141FC">
        <w:rPr>
          <w:rStyle w:val="CharSectno"/>
        </w:rPr>
        <w:t>.</w:t>
      </w:r>
      <w:r w:rsidRPr="00D141FC">
        <w:rPr>
          <w:rStyle w:val="CharSectno"/>
        </w:rPr>
        <w:t>1A</w:t>
      </w:r>
      <w:r w:rsidRPr="00D141FC">
        <w:t xml:space="preserve">  Simplified outline of this Part</w:t>
      </w:r>
      <w:bookmarkEnd w:id="26"/>
    </w:p>
    <w:p w:rsidR="00894228" w:rsidRPr="00D141FC" w:rsidRDefault="00894228" w:rsidP="00894228">
      <w:pPr>
        <w:pStyle w:val="SOText"/>
      </w:pPr>
      <w:r w:rsidRPr="00D141FC">
        <w:t>Submission services are provided in response to a person’s submission to the Committee or Minister (also known as an application for those services)</w:t>
      </w:r>
      <w:r w:rsidR="00A07EDA" w:rsidRPr="00D141FC">
        <w:t>.</w:t>
      </w:r>
      <w:r w:rsidRPr="00D141FC">
        <w:t xml:space="preserve"> The amount of the fee payable for providing the submission services depends on the </w:t>
      </w:r>
      <w:r w:rsidR="00013950" w:rsidRPr="00D141FC">
        <w:t xml:space="preserve">evaluation </w:t>
      </w:r>
      <w:r w:rsidRPr="00D141FC">
        <w:t>category of the person’s application</w:t>
      </w:r>
      <w:r w:rsidR="00A07EDA" w:rsidRPr="00D141FC">
        <w:t>.</w:t>
      </w:r>
    </w:p>
    <w:p w:rsidR="00894228" w:rsidRPr="00D141FC" w:rsidRDefault="00AD4093" w:rsidP="00894228">
      <w:pPr>
        <w:pStyle w:val="SOText"/>
      </w:pPr>
      <w:r w:rsidRPr="00D141FC">
        <w:t>If the person’s application is to the Committee, and is in the major or minor evaluation category</w:t>
      </w:r>
      <w:r w:rsidR="00894228" w:rsidRPr="00D141FC">
        <w:t xml:space="preserve">, the person will need to have given the Department prior notice at least 28 days before the day the Committee requires </w:t>
      </w:r>
      <w:r w:rsidR="004309C6" w:rsidRPr="00D141FC">
        <w:t>applications</w:t>
      </w:r>
      <w:r w:rsidR="00894228" w:rsidRPr="00D141FC">
        <w:t xml:space="preserve"> for the relevant Committee meeting that will be considering the application</w:t>
      </w:r>
      <w:r w:rsidR="00A07EDA" w:rsidRPr="00D141FC">
        <w:t>.</w:t>
      </w:r>
      <w:r w:rsidR="0021405A" w:rsidRPr="00D141FC">
        <w:t xml:space="preserve"> </w:t>
      </w:r>
      <w:r w:rsidR="00A971D3" w:rsidRPr="00D141FC">
        <w:t>The</w:t>
      </w:r>
      <w:r w:rsidR="00894228" w:rsidRPr="00D141FC">
        <w:t xml:space="preserve"> day that the Committee requires </w:t>
      </w:r>
      <w:r w:rsidR="004309C6" w:rsidRPr="00D141FC">
        <w:t>applications</w:t>
      </w:r>
      <w:r w:rsidR="00894228" w:rsidRPr="00D141FC">
        <w:t xml:space="preserve"> will be different depending on the </w:t>
      </w:r>
      <w:r w:rsidR="00013950" w:rsidRPr="00D141FC">
        <w:t xml:space="preserve">evaluation </w:t>
      </w:r>
      <w:r w:rsidR="00894228" w:rsidRPr="00D141FC">
        <w:t>category of the person’s application</w:t>
      </w:r>
      <w:r w:rsidR="00A07EDA" w:rsidRPr="00D141FC">
        <w:t>.</w:t>
      </w:r>
    </w:p>
    <w:p w:rsidR="00894228" w:rsidRPr="00D141FC" w:rsidRDefault="00894228" w:rsidP="00894228">
      <w:pPr>
        <w:pStyle w:val="SOText"/>
      </w:pPr>
      <w:r w:rsidRPr="00D141FC">
        <w:t xml:space="preserve">This prior notice must </w:t>
      </w:r>
      <w:r w:rsidR="00C8268C" w:rsidRPr="00D141FC">
        <w:t>include</w:t>
      </w:r>
      <w:r w:rsidR="00013950" w:rsidRPr="00D141FC">
        <w:t xml:space="preserve"> the evaluation</w:t>
      </w:r>
      <w:r w:rsidRPr="00D141FC">
        <w:t xml:space="preserve"> category </w:t>
      </w:r>
      <w:r w:rsidR="0021405A" w:rsidRPr="00D141FC">
        <w:t xml:space="preserve">that </w:t>
      </w:r>
      <w:r w:rsidRPr="00D141FC">
        <w:t xml:space="preserve">the application </w:t>
      </w:r>
      <w:r w:rsidR="00C8268C" w:rsidRPr="00D141FC">
        <w:t xml:space="preserve">is likely </w:t>
      </w:r>
      <w:r w:rsidRPr="00D141FC">
        <w:t>to be in</w:t>
      </w:r>
      <w:r w:rsidR="00A07EDA" w:rsidRPr="00D141FC">
        <w:t>.</w:t>
      </w:r>
      <w:r w:rsidRPr="00D141FC">
        <w:t xml:space="preserve"> The </w:t>
      </w:r>
      <w:r w:rsidR="00CC1249" w:rsidRPr="00D141FC">
        <w:t xml:space="preserve">person will generally be invoiced a </w:t>
      </w:r>
      <w:r w:rsidRPr="00D141FC">
        <w:t xml:space="preserve">fee for the submission services </w:t>
      </w:r>
      <w:r w:rsidR="00CC1249" w:rsidRPr="00D141FC">
        <w:t>that</w:t>
      </w:r>
      <w:r w:rsidR="00A30A4D" w:rsidRPr="00D141FC">
        <w:t xml:space="preserve"> </w:t>
      </w:r>
      <w:r w:rsidR="00013950" w:rsidRPr="00D141FC">
        <w:t>reflect</w:t>
      </w:r>
      <w:r w:rsidR="00CC1249" w:rsidRPr="00D141FC">
        <w:t>s</w:t>
      </w:r>
      <w:r w:rsidR="00013950" w:rsidRPr="00D141FC">
        <w:t xml:space="preserve"> th</w:t>
      </w:r>
      <w:r w:rsidR="00C8268C" w:rsidRPr="00D141FC">
        <w:t>is</w:t>
      </w:r>
      <w:r w:rsidR="00013950" w:rsidRPr="00D141FC">
        <w:t xml:space="preserve"> evaluation </w:t>
      </w:r>
      <w:r w:rsidR="00C8268C" w:rsidRPr="00D141FC">
        <w:t>category</w:t>
      </w:r>
      <w:r w:rsidR="00A07EDA" w:rsidRPr="00D141FC">
        <w:t>.</w:t>
      </w:r>
    </w:p>
    <w:p w:rsidR="00894228" w:rsidRPr="00D141FC" w:rsidRDefault="00894228" w:rsidP="00894228">
      <w:pPr>
        <w:pStyle w:val="SOText"/>
      </w:pPr>
      <w:r w:rsidRPr="00D141FC">
        <w:t xml:space="preserve">If the Secretary later decides that the application is in a different </w:t>
      </w:r>
      <w:r w:rsidR="00013950" w:rsidRPr="00D141FC">
        <w:t xml:space="preserve">evaluation </w:t>
      </w:r>
      <w:r w:rsidRPr="00D141FC">
        <w:t>category, the person will be notified and any difference in the fee payable will be refunded or invoiced as appropriate</w:t>
      </w:r>
      <w:r w:rsidR="00A07EDA" w:rsidRPr="00D141FC">
        <w:t>.</w:t>
      </w:r>
    </w:p>
    <w:p w:rsidR="003C12BD" w:rsidRPr="00D141FC" w:rsidRDefault="003C12BD" w:rsidP="00894228">
      <w:pPr>
        <w:pStyle w:val="SOText"/>
      </w:pPr>
      <w:r w:rsidRPr="00D141FC">
        <w:t xml:space="preserve">Submission services will not be provided in response to the person’s application if this prior notice is not given. The only exception to this is if the Secretary is satisfied that prior notice is not required because the submission services are required </w:t>
      </w:r>
      <w:r w:rsidR="00486DA8" w:rsidRPr="00D141FC">
        <w:t>to address an urgent public health need</w:t>
      </w:r>
      <w:r w:rsidRPr="00D141FC">
        <w:t>.</w:t>
      </w:r>
    </w:p>
    <w:p w:rsidR="000B3E43" w:rsidRPr="00D141FC" w:rsidRDefault="00F9708D" w:rsidP="000B3E43">
      <w:pPr>
        <w:pStyle w:val="ItemHead"/>
      </w:pPr>
      <w:r w:rsidRPr="00D141FC">
        <w:t>13</w:t>
      </w:r>
      <w:r w:rsidR="000B3E43" w:rsidRPr="00D141FC">
        <w:t xml:space="preserve">  Division</w:t>
      </w:r>
      <w:r w:rsidR="00D141FC" w:rsidRPr="00D141FC">
        <w:t> </w:t>
      </w:r>
      <w:r w:rsidR="000B3E43" w:rsidRPr="00D141FC">
        <w:t>2</w:t>
      </w:r>
      <w:r w:rsidR="00A07EDA" w:rsidRPr="00D141FC">
        <w:t>.</w:t>
      </w:r>
      <w:r w:rsidR="000B3E43" w:rsidRPr="00D141FC">
        <w:t>1 of Part</w:t>
      </w:r>
      <w:r w:rsidR="00D141FC" w:rsidRPr="00D141FC">
        <w:t> </w:t>
      </w:r>
      <w:r w:rsidR="000B3E43" w:rsidRPr="00D141FC">
        <w:t>2 (heading)</w:t>
      </w:r>
    </w:p>
    <w:p w:rsidR="000B3E43" w:rsidRPr="00D141FC" w:rsidRDefault="000B3E43" w:rsidP="000B3E43">
      <w:pPr>
        <w:pStyle w:val="Item"/>
      </w:pPr>
      <w:r w:rsidRPr="00D141FC">
        <w:t>Repeal the heading, substitute:</w:t>
      </w:r>
    </w:p>
    <w:p w:rsidR="000B3E43" w:rsidRPr="00D141FC" w:rsidRDefault="000B3E43" w:rsidP="000B3E43">
      <w:pPr>
        <w:pStyle w:val="ActHead3"/>
      </w:pPr>
      <w:bookmarkStart w:id="27" w:name="_Toc3993171"/>
      <w:r w:rsidRPr="00D141FC">
        <w:rPr>
          <w:rStyle w:val="CharDivNo"/>
        </w:rPr>
        <w:t>Divisio</w:t>
      </w:r>
      <w:r w:rsidR="008E5EF2" w:rsidRPr="00D141FC">
        <w:rPr>
          <w:rStyle w:val="CharDivNo"/>
        </w:rPr>
        <w:t>n</w:t>
      </w:r>
      <w:r w:rsidR="00D141FC" w:rsidRPr="00D141FC">
        <w:rPr>
          <w:rStyle w:val="CharDivNo"/>
        </w:rPr>
        <w:t> </w:t>
      </w:r>
      <w:r w:rsidR="008E5EF2" w:rsidRPr="00D141FC">
        <w:rPr>
          <w:rStyle w:val="CharDivNo"/>
        </w:rPr>
        <w:t>2</w:t>
      </w:r>
      <w:r w:rsidR="00A07EDA" w:rsidRPr="00D141FC">
        <w:rPr>
          <w:rStyle w:val="CharDivNo"/>
        </w:rPr>
        <w:t>.</w:t>
      </w:r>
      <w:r w:rsidR="008E5EF2" w:rsidRPr="00D141FC">
        <w:rPr>
          <w:rStyle w:val="CharDivNo"/>
        </w:rPr>
        <w:t>1</w:t>
      </w:r>
      <w:r w:rsidR="008E5EF2" w:rsidRPr="00D141FC">
        <w:t>—</w:t>
      </w:r>
      <w:r w:rsidR="00233216" w:rsidRPr="00D141FC">
        <w:rPr>
          <w:rStyle w:val="CharDivText"/>
        </w:rPr>
        <w:t>S</w:t>
      </w:r>
      <w:r w:rsidRPr="00D141FC">
        <w:rPr>
          <w:rStyle w:val="CharDivText"/>
        </w:rPr>
        <w:t>ubmission</w:t>
      </w:r>
      <w:r w:rsidR="00DB1042" w:rsidRPr="00D141FC">
        <w:rPr>
          <w:rStyle w:val="CharDivText"/>
        </w:rPr>
        <w:t>s</w:t>
      </w:r>
      <w:r w:rsidRPr="00D141FC">
        <w:rPr>
          <w:rStyle w:val="CharDivText"/>
        </w:rPr>
        <w:t xml:space="preserve"> </w:t>
      </w:r>
      <w:r w:rsidR="008E5EF2" w:rsidRPr="00D141FC">
        <w:rPr>
          <w:rStyle w:val="CharDivText"/>
        </w:rPr>
        <w:t xml:space="preserve">to the Committee or Minister </w:t>
      </w:r>
      <w:r w:rsidRPr="00D141FC">
        <w:rPr>
          <w:rStyle w:val="CharDivText"/>
        </w:rPr>
        <w:t>etc</w:t>
      </w:r>
      <w:r w:rsidR="00A07EDA" w:rsidRPr="00D141FC">
        <w:rPr>
          <w:rStyle w:val="CharDivText"/>
        </w:rPr>
        <w:t>.</w:t>
      </w:r>
      <w:bookmarkEnd w:id="27"/>
    </w:p>
    <w:p w:rsidR="00D4251D" w:rsidRPr="00D141FC" w:rsidRDefault="00F9708D" w:rsidP="00D4251D">
      <w:pPr>
        <w:pStyle w:val="ItemHead"/>
      </w:pPr>
      <w:r w:rsidRPr="00D141FC">
        <w:t>14</w:t>
      </w:r>
      <w:r w:rsidR="00D4251D" w:rsidRPr="00D141FC">
        <w:t xml:space="preserve">  Subdivision</w:t>
      </w:r>
      <w:r w:rsidR="00D141FC" w:rsidRPr="00D141FC">
        <w:t> </w:t>
      </w:r>
      <w:r w:rsidR="00D4251D" w:rsidRPr="00D141FC">
        <w:t>1 of Division</w:t>
      </w:r>
      <w:r w:rsidR="00D141FC" w:rsidRPr="00D141FC">
        <w:t> </w:t>
      </w:r>
      <w:r w:rsidR="00CD023F" w:rsidRPr="00D141FC">
        <w:t>2</w:t>
      </w:r>
      <w:r w:rsidR="00A07EDA" w:rsidRPr="00D141FC">
        <w:t>.</w:t>
      </w:r>
      <w:r w:rsidR="00D4251D" w:rsidRPr="00D141FC">
        <w:t>1</w:t>
      </w:r>
    </w:p>
    <w:p w:rsidR="00D4251D" w:rsidRPr="00D141FC" w:rsidRDefault="00D4251D" w:rsidP="00D4251D">
      <w:pPr>
        <w:pStyle w:val="Item"/>
      </w:pPr>
      <w:r w:rsidRPr="00D141FC">
        <w:t xml:space="preserve">Repeal the </w:t>
      </w:r>
      <w:r w:rsidR="00CD023F" w:rsidRPr="00D141FC">
        <w:t>Subdivision</w:t>
      </w:r>
      <w:r w:rsidRPr="00D141FC">
        <w:t>, substitute:</w:t>
      </w:r>
    </w:p>
    <w:p w:rsidR="00D4251D" w:rsidRPr="00D141FC" w:rsidRDefault="00D4251D" w:rsidP="00D4251D">
      <w:pPr>
        <w:pStyle w:val="ActHead4"/>
      </w:pPr>
      <w:bookmarkStart w:id="28" w:name="_Toc3993172"/>
      <w:r w:rsidRPr="00D141FC">
        <w:rPr>
          <w:rStyle w:val="CharSubdNo"/>
        </w:rPr>
        <w:t>Subdivision</w:t>
      </w:r>
      <w:r w:rsidR="00D141FC" w:rsidRPr="00D141FC">
        <w:rPr>
          <w:rStyle w:val="CharSubdNo"/>
        </w:rPr>
        <w:t> </w:t>
      </w:r>
      <w:r w:rsidRPr="00D141FC">
        <w:rPr>
          <w:rStyle w:val="CharSubdNo"/>
        </w:rPr>
        <w:t>1</w:t>
      </w:r>
      <w:r w:rsidRPr="00D141FC">
        <w:t>—</w:t>
      </w:r>
      <w:r w:rsidRPr="00D141FC">
        <w:rPr>
          <w:rStyle w:val="CharSubdText"/>
        </w:rPr>
        <w:t>Fees and associated applications</w:t>
      </w:r>
      <w:bookmarkEnd w:id="28"/>
    </w:p>
    <w:p w:rsidR="000960C7" w:rsidRPr="00D141FC" w:rsidRDefault="000960C7" w:rsidP="000960C7">
      <w:pPr>
        <w:pStyle w:val="ActHead5"/>
      </w:pPr>
      <w:bookmarkStart w:id="29" w:name="_Toc3993173"/>
      <w:r w:rsidRPr="00D141FC">
        <w:rPr>
          <w:rStyle w:val="CharSectno"/>
        </w:rPr>
        <w:t>2</w:t>
      </w:r>
      <w:r w:rsidR="00A07EDA" w:rsidRPr="00D141FC">
        <w:rPr>
          <w:rStyle w:val="CharSectno"/>
        </w:rPr>
        <w:t>.</w:t>
      </w:r>
      <w:r w:rsidRPr="00D141FC">
        <w:rPr>
          <w:rStyle w:val="CharSectno"/>
        </w:rPr>
        <w:t>1</w:t>
      </w:r>
      <w:r w:rsidRPr="00D141FC">
        <w:t xml:space="preserve">  Which submissions (also known as applications for services) are relevant?</w:t>
      </w:r>
      <w:bookmarkEnd w:id="29"/>
    </w:p>
    <w:p w:rsidR="000960C7" w:rsidRPr="00D141FC" w:rsidRDefault="000960C7" w:rsidP="000960C7">
      <w:pPr>
        <w:pStyle w:val="subsection"/>
      </w:pPr>
      <w:r w:rsidRPr="00D141FC">
        <w:tab/>
        <w:t>(1)</w:t>
      </w:r>
      <w:r w:rsidRPr="00D141FC">
        <w:tab/>
        <w:t xml:space="preserve">A person may prepare a submission (the </w:t>
      </w:r>
      <w:r w:rsidRPr="00D141FC">
        <w:rPr>
          <w:b/>
          <w:i/>
        </w:rPr>
        <w:t>application</w:t>
      </w:r>
      <w:r w:rsidRPr="00D141FC">
        <w:t>):</w:t>
      </w:r>
    </w:p>
    <w:p w:rsidR="000960C7" w:rsidRPr="00D141FC" w:rsidRDefault="000960C7" w:rsidP="000960C7">
      <w:pPr>
        <w:pStyle w:val="paragraph"/>
      </w:pPr>
      <w:r w:rsidRPr="00D141FC">
        <w:tab/>
        <w:t>(a)</w:t>
      </w:r>
      <w:r w:rsidRPr="00D141FC">
        <w:tab/>
        <w:t>that includes a request that the Committee recommends to, or advises, the Minister that the Minister exercise a power mentioned in an item in Schedule</w:t>
      </w:r>
      <w:r w:rsidR="00D141FC" w:rsidRPr="00D141FC">
        <w:t> </w:t>
      </w:r>
      <w:r w:rsidRPr="00D141FC">
        <w:t>1; or</w:t>
      </w:r>
    </w:p>
    <w:p w:rsidR="000960C7" w:rsidRPr="00D141FC" w:rsidRDefault="000960C7" w:rsidP="000960C7">
      <w:pPr>
        <w:pStyle w:val="paragraph"/>
      </w:pPr>
      <w:r w:rsidRPr="00D141FC">
        <w:tab/>
        <w:t>(b)</w:t>
      </w:r>
      <w:r w:rsidRPr="00D141FC">
        <w:tab/>
        <w:t xml:space="preserve">for the Minister to exercise a power mentioned in an item </w:t>
      </w:r>
      <w:r w:rsidR="008716BF" w:rsidRPr="00D141FC">
        <w:t>of</w:t>
      </w:r>
      <w:r w:rsidRPr="00D141FC">
        <w:t xml:space="preserve"> Part</w:t>
      </w:r>
      <w:r w:rsidR="00D141FC" w:rsidRPr="00D141FC">
        <w:t> </w:t>
      </w:r>
      <w:r w:rsidRPr="00D141FC">
        <w:t>3 of Schedule</w:t>
      </w:r>
      <w:r w:rsidR="00D141FC" w:rsidRPr="00D141FC">
        <w:t> </w:t>
      </w:r>
      <w:r w:rsidRPr="00D141FC">
        <w:t>1</w:t>
      </w:r>
      <w:r w:rsidR="00A07EDA" w:rsidRPr="00D141FC">
        <w:t>.</w:t>
      </w:r>
    </w:p>
    <w:p w:rsidR="000960C7" w:rsidRPr="00D141FC" w:rsidRDefault="000960C7" w:rsidP="000960C7">
      <w:pPr>
        <w:pStyle w:val="subsection"/>
      </w:pPr>
      <w:r w:rsidRPr="00D141FC">
        <w:tab/>
        <w:t>(2)</w:t>
      </w:r>
      <w:r w:rsidRPr="00D141FC">
        <w:tab/>
        <w:t>An application ma</w:t>
      </w:r>
      <w:r w:rsidR="005B6F99" w:rsidRPr="00D141FC">
        <w:t xml:space="preserve">y include more than one request </w:t>
      </w:r>
      <w:r w:rsidRPr="00D141FC">
        <w:t>relating to the exercise of a power mentioned in an item of Part</w:t>
      </w:r>
      <w:r w:rsidR="00D141FC" w:rsidRPr="00D141FC">
        <w:t> </w:t>
      </w:r>
      <w:r w:rsidRPr="00D141FC">
        <w:t>1 or 2 of Schedule</w:t>
      </w:r>
      <w:r w:rsidR="00D141FC" w:rsidRPr="00D141FC">
        <w:t> </w:t>
      </w:r>
      <w:r w:rsidRPr="00D141FC">
        <w:t>1, but only if:</w:t>
      </w:r>
    </w:p>
    <w:p w:rsidR="000960C7" w:rsidRPr="00D141FC" w:rsidRDefault="000960C7" w:rsidP="000960C7">
      <w:pPr>
        <w:pStyle w:val="paragraph"/>
      </w:pPr>
      <w:r w:rsidRPr="00D141FC">
        <w:tab/>
        <w:t>(a)</w:t>
      </w:r>
      <w:r w:rsidRPr="00D141FC">
        <w:tab/>
        <w:t>each of the requests relates to the same drug, medicinal preparation or vaccine; or</w:t>
      </w:r>
    </w:p>
    <w:p w:rsidR="000960C7" w:rsidRPr="00D141FC" w:rsidRDefault="000960C7" w:rsidP="000960C7">
      <w:pPr>
        <w:pStyle w:val="paragraph"/>
      </w:pPr>
      <w:r w:rsidRPr="00D141FC">
        <w:tab/>
        <w:t>(b)</w:t>
      </w:r>
      <w:r w:rsidRPr="00D141FC">
        <w:tab/>
        <w:t>the application proposes therapy for a disease or disorder and each of the requests relates to the same disease or disorder that is the subject of the proposed therapy</w:t>
      </w:r>
      <w:r w:rsidR="00A07EDA" w:rsidRPr="00D141FC">
        <w:t>.</w:t>
      </w:r>
    </w:p>
    <w:p w:rsidR="000960C7" w:rsidRPr="00D141FC" w:rsidRDefault="000960C7" w:rsidP="000960C7">
      <w:pPr>
        <w:pStyle w:val="notetext"/>
      </w:pPr>
      <w:r w:rsidRPr="00D141FC">
        <w:t>Note:</w:t>
      </w:r>
      <w:r w:rsidRPr="00D141FC">
        <w:tab/>
        <w:t>For details about how to apply, see regulation</w:t>
      </w:r>
      <w:r w:rsidR="00D141FC" w:rsidRPr="00D141FC">
        <w:t> </w:t>
      </w:r>
      <w:r w:rsidRPr="00D141FC">
        <w:t>2</w:t>
      </w:r>
      <w:r w:rsidR="00A07EDA" w:rsidRPr="00D141FC">
        <w:t>.</w:t>
      </w:r>
      <w:r w:rsidRPr="00D141FC">
        <w:t>16</w:t>
      </w:r>
      <w:r w:rsidR="00A07EDA" w:rsidRPr="00D141FC">
        <w:t>.</w:t>
      </w:r>
    </w:p>
    <w:p w:rsidR="000960C7" w:rsidRPr="00D141FC" w:rsidRDefault="000960C7" w:rsidP="000960C7">
      <w:pPr>
        <w:pStyle w:val="ActHead5"/>
      </w:pPr>
      <w:bookmarkStart w:id="30" w:name="_Toc3993174"/>
      <w:r w:rsidRPr="00D141FC">
        <w:rPr>
          <w:rStyle w:val="CharSectno"/>
        </w:rPr>
        <w:t>2</w:t>
      </w:r>
      <w:r w:rsidR="00A07EDA" w:rsidRPr="00D141FC">
        <w:rPr>
          <w:rStyle w:val="CharSectno"/>
        </w:rPr>
        <w:t>.</w:t>
      </w:r>
      <w:r w:rsidRPr="00D141FC">
        <w:rPr>
          <w:rStyle w:val="CharSectno"/>
        </w:rPr>
        <w:t>2</w:t>
      </w:r>
      <w:r w:rsidRPr="00D141FC">
        <w:t xml:space="preserve">  Fees for submission services</w:t>
      </w:r>
      <w:bookmarkEnd w:id="30"/>
    </w:p>
    <w:p w:rsidR="000960C7" w:rsidRPr="00D141FC" w:rsidRDefault="000960C7" w:rsidP="000960C7">
      <w:pPr>
        <w:pStyle w:val="subsection"/>
      </w:pPr>
      <w:r w:rsidRPr="00D141FC">
        <w:tab/>
      </w:r>
      <w:r w:rsidR="00157265" w:rsidRPr="00D141FC">
        <w:t>(1)</w:t>
      </w:r>
      <w:r w:rsidRPr="00D141FC">
        <w:tab/>
        <w:t>For the purposes of section</w:t>
      </w:r>
      <w:r w:rsidR="00D141FC" w:rsidRPr="00D141FC">
        <w:t> </w:t>
      </w:r>
      <w:r w:rsidRPr="00D141FC">
        <w:t xml:space="preserve">99YBA of the Act, the following </w:t>
      </w:r>
      <w:r w:rsidR="00684FF6" w:rsidRPr="00D141FC">
        <w:t>fees are</w:t>
      </w:r>
      <w:r w:rsidRPr="00D141FC">
        <w:t xml:space="preserve"> prescribed:</w:t>
      </w:r>
    </w:p>
    <w:p w:rsidR="000960C7" w:rsidRPr="00D141FC" w:rsidRDefault="000960C7" w:rsidP="000960C7">
      <w:pPr>
        <w:pStyle w:val="paragraph"/>
      </w:pPr>
      <w:r w:rsidRPr="00D141FC">
        <w:tab/>
        <w:t>(a)</w:t>
      </w:r>
      <w:r w:rsidRPr="00D141FC">
        <w:tab/>
      </w:r>
      <w:r w:rsidR="00684FF6" w:rsidRPr="00D141FC">
        <w:t>a fee</w:t>
      </w:r>
      <w:r w:rsidRPr="00D141FC">
        <w:t xml:space="preserve"> for the services provided by the Committee in considering whether to make the recommendation, or give the advice, referred to in paragraph</w:t>
      </w:r>
      <w:r w:rsidR="00D141FC" w:rsidRPr="00D141FC">
        <w:t> </w:t>
      </w:r>
      <w:r w:rsidRPr="00D141FC">
        <w:t>2</w:t>
      </w:r>
      <w:r w:rsidR="00A07EDA" w:rsidRPr="00D141FC">
        <w:t>.</w:t>
      </w:r>
      <w:r w:rsidRPr="00D141FC">
        <w:t>1(1)(a);</w:t>
      </w:r>
    </w:p>
    <w:p w:rsidR="000960C7" w:rsidRPr="00D141FC" w:rsidRDefault="000960C7" w:rsidP="000960C7">
      <w:pPr>
        <w:pStyle w:val="paragraph"/>
      </w:pPr>
      <w:r w:rsidRPr="00D141FC">
        <w:tab/>
        <w:t>(b)</w:t>
      </w:r>
      <w:r w:rsidRPr="00D141FC">
        <w:tab/>
      </w:r>
      <w:r w:rsidR="00684FF6" w:rsidRPr="00D141FC">
        <w:t>a fee</w:t>
      </w:r>
      <w:r w:rsidRPr="00D141FC">
        <w:t xml:space="preserve"> for the services provided by the Commonwealth in assisting the Minister </w:t>
      </w:r>
      <w:r w:rsidR="00576AC5" w:rsidRPr="00D141FC">
        <w:t xml:space="preserve">to </w:t>
      </w:r>
      <w:r w:rsidRPr="00D141FC">
        <w:t>consider whether to exercise the power referred to in paragraph</w:t>
      </w:r>
      <w:r w:rsidR="00D141FC" w:rsidRPr="00D141FC">
        <w:t> </w:t>
      </w:r>
      <w:r w:rsidRPr="00D141FC">
        <w:t>2</w:t>
      </w:r>
      <w:r w:rsidR="00A07EDA" w:rsidRPr="00D141FC">
        <w:t>.</w:t>
      </w:r>
      <w:r w:rsidRPr="00D141FC">
        <w:t>1(1)(b)</w:t>
      </w:r>
      <w:r w:rsidR="00A07EDA" w:rsidRPr="00D141FC">
        <w:t>.</w:t>
      </w:r>
    </w:p>
    <w:p w:rsidR="00DA50F9" w:rsidRPr="00D141FC" w:rsidRDefault="00DA50F9" w:rsidP="00DA50F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DA50F9" w:rsidRPr="00D141FC" w:rsidTr="00DA50F9">
        <w:trPr>
          <w:tblHeader/>
        </w:trPr>
        <w:tc>
          <w:tcPr>
            <w:tcW w:w="8313" w:type="dxa"/>
            <w:gridSpan w:val="4"/>
            <w:tcBorders>
              <w:top w:val="single" w:sz="12" w:space="0" w:color="auto"/>
              <w:bottom w:val="single" w:sz="6" w:space="0" w:color="auto"/>
            </w:tcBorders>
            <w:shd w:val="clear" w:color="auto" w:fill="auto"/>
          </w:tcPr>
          <w:p w:rsidR="00DA50F9" w:rsidRPr="00D141FC" w:rsidRDefault="00DA50F9" w:rsidP="00C41D9B">
            <w:pPr>
              <w:pStyle w:val="TableHeading"/>
            </w:pPr>
            <w:r w:rsidRPr="00D141FC">
              <w:t>Fee for providing submission services</w:t>
            </w:r>
          </w:p>
        </w:tc>
      </w:tr>
      <w:tr w:rsidR="00DA50F9" w:rsidRPr="00D141FC" w:rsidTr="00DA50F9">
        <w:trPr>
          <w:tblHeader/>
        </w:trPr>
        <w:tc>
          <w:tcPr>
            <w:tcW w:w="714" w:type="dxa"/>
            <w:tcBorders>
              <w:top w:val="single" w:sz="6" w:space="0" w:color="auto"/>
              <w:bottom w:val="single" w:sz="12" w:space="0" w:color="auto"/>
            </w:tcBorders>
            <w:shd w:val="clear" w:color="auto" w:fill="auto"/>
          </w:tcPr>
          <w:p w:rsidR="00DA50F9" w:rsidRPr="00D141FC" w:rsidRDefault="00DA50F9" w:rsidP="00C41D9B">
            <w:pPr>
              <w:pStyle w:val="TableHeading"/>
            </w:pPr>
            <w:r w:rsidRPr="00D141FC">
              <w:t>Item</w:t>
            </w:r>
          </w:p>
        </w:tc>
        <w:tc>
          <w:tcPr>
            <w:tcW w:w="2533" w:type="dxa"/>
            <w:tcBorders>
              <w:top w:val="single" w:sz="6" w:space="0" w:color="auto"/>
              <w:bottom w:val="single" w:sz="12" w:space="0" w:color="auto"/>
            </w:tcBorders>
            <w:shd w:val="clear" w:color="auto" w:fill="auto"/>
          </w:tcPr>
          <w:p w:rsidR="00DA50F9" w:rsidRPr="00D141FC" w:rsidRDefault="00DA50F9" w:rsidP="00C41D9B">
            <w:pPr>
              <w:pStyle w:val="TableHeading"/>
            </w:pPr>
            <w:r w:rsidRPr="00D141FC">
              <w:t>Submission services provided in response to an application in this evaluation category:</w:t>
            </w:r>
          </w:p>
        </w:tc>
        <w:tc>
          <w:tcPr>
            <w:tcW w:w="2533" w:type="dxa"/>
            <w:tcBorders>
              <w:top w:val="single" w:sz="6" w:space="0" w:color="auto"/>
              <w:bottom w:val="single" w:sz="12" w:space="0" w:color="auto"/>
            </w:tcBorders>
            <w:shd w:val="clear" w:color="auto" w:fill="auto"/>
          </w:tcPr>
          <w:p w:rsidR="00DA50F9" w:rsidRPr="00D141FC" w:rsidRDefault="00710EE6" w:rsidP="00710EE6">
            <w:pPr>
              <w:pStyle w:val="TableHeading"/>
            </w:pPr>
            <w:r w:rsidRPr="00D141FC">
              <w:t xml:space="preserve">Fee </w:t>
            </w:r>
            <w:r w:rsidR="00DA50F9" w:rsidRPr="00D141FC">
              <w:t>if the notification for the application is given during the financial year starting on 1</w:t>
            </w:r>
            <w:r w:rsidR="00D141FC" w:rsidRPr="00D141FC">
              <w:t> </w:t>
            </w:r>
            <w:r w:rsidR="00DA50F9" w:rsidRPr="00D141FC">
              <w:t>July 2019</w:t>
            </w:r>
          </w:p>
        </w:tc>
        <w:tc>
          <w:tcPr>
            <w:tcW w:w="2533" w:type="dxa"/>
            <w:tcBorders>
              <w:top w:val="single" w:sz="6" w:space="0" w:color="auto"/>
              <w:bottom w:val="single" w:sz="12" w:space="0" w:color="auto"/>
            </w:tcBorders>
            <w:shd w:val="clear" w:color="auto" w:fill="auto"/>
          </w:tcPr>
          <w:p w:rsidR="00DA50F9" w:rsidRPr="00D141FC" w:rsidRDefault="00DA50F9" w:rsidP="00710EE6">
            <w:pPr>
              <w:pStyle w:val="TableHeading"/>
            </w:pPr>
            <w:r w:rsidRPr="00D141FC">
              <w:t>Fee if the notification for the application is given during the financial year starting on 1</w:t>
            </w:r>
            <w:r w:rsidR="00D141FC" w:rsidRPr="00D141FC">
              <w:t> </w:t>
            </w:r>
            <w:r w:rsidRPr="00D141FC">
              <w:t>July 2020</w:t>
            </w:r>
          </w:p>
        </w:tc>
      </w:tr>
      <w:tr w:rsidR="00DA50F9" w:rsidRPr="00D141FC" w:rsidTr="00DA50F9">
        <w:tc>
          <w:tcPr>
            <w:tcW w:w="714" w:type="dxa"/>
            <w:tcBorders>
              <w:top w:val="single" w:sz="12" w:space="0" w:color="auto"/>
            </w:tcBorders>
            <w:shd w:val="clear" w:color="auto" w:fill="auto"/>
          </w:tcPr>
          <w:p w:rsidR="00DA50F9" w:rsidRPr="00D141FC" w:rsidRDefault="00DA50F9" w:rsidP="00C41D9B">
            <w:pPr>
              <w:pStyle w:val="Tabletext"/>
            </w:pPr>
            <w:r w:rsidRPr="00D141FC">
              <w:t>1</w:t>
            </w:r>
          </w:p>
        </w:tc>
        <w:tc>
          <w:tcPr>
            <w:tcW w:w="2533" w:type="dxa"/>
            <w:tcBorders>
              <w:top w:val="single" w:sz="12" w:space="0" w:color="auto"/>
            </w:tcBorders>
            <w:shd w:val="clear" w:color="auto" w:fill="auto"/>
          </w:tcPr>
          <w:p w:rsidR="00DA50F9" w:rsidRPr="00D141FC" w:rsidRDefault="00DA50F9" w:rsidP="00C41D9B">
            <w:pPr>
              <w:pStyle w:val="Tabletext"/>
            </w:pPr>
            <w:r w:rsidRPr="00D141FC">
              <w:t>Major</w:t>
            </w:r>
          </w:p>
        </w:tc>
        <w:tc>
          <w:tcPr>
            <w:tcW w:w="2533" w:type="dxa"/>
            <w:tcBorders>
              <w:top w:val="single" w:sz="12" w:space="0" w:color="auto"/>
            </w:tcBorders>
            <w:shd w:val="clear" w:color="auto" w:fill="auto"/>
          </w:tcPr>
          <w:p w:rsidR="00DA50F9" w:rsidRPr="00D141FC" w:rsidRDefault="00157265" w:rsidP="00157265">
            <w:pPr>
              <w:pStyle w:val="Tabletext"/>
              <w:jc w:val="right"/>
            </w:pPr>
            <w:r w:rsidRPr="00D141FC">
              <w:t>$179,510</w:t>
            </w:r>
          </w:p>
        </w:tc>
        <w:tc>
          <w:tcPr>
            <w:tcW w:w="2533" w:type="dxa"/>
            <w:tcBorders>
              <w:top w:val="single" w:sz="12" w:space="0" w:color="auto"/>
            </w:tcBorders>
            <w:shd w:val="clear" w:color="auto" w:fill="auto"/>
          </w:tcPr>
          <w:p w:rsidR="00A93DC6" w:rsidRPr="00D141FC" w:rsidRDefault="00157265" w:rsidP="00157265">
            <w:pPr>
              <w:pStyle w:val="Tabletext"/>
              <w:jc w:val="right"/>
            </w:pPr>
            <w:r w:rsidRPr="00D141FC">
              <w:t>$225,180</w:t>
            </w:r>
          </w:p>
        </w:tc>
      </w:tr>
      <w:tr w:rsidR="00DA50F9" w:rsidRPr="00D141FC" w:rsidTr="00DA50F9">
        <w:tc>
          <w:tcPr>
            <w:tcW w:w="714" w:type="dxa"/>
            <w:shd w:val="clear" w:color="auto" w:fill="auto"/>
          </w:tcPr>
          <w:p w:rsidR="00DA50F9" w:rsidRPr="00D141FC" w:rsidRDefault="00DA50F9" w:rsidP="00C41D9B">
            <w:pPr>
              <w:pStyle w:val="Tabletext"/>
            </w:pPr>
            <w:r w:rsidRPr="00D141FC">
              <w:t>2</w:t>
            </w:r>
          </w:p>
        </w:tc>
        <w:tc>
          <w:tcPr>
            <w:tcW w:w="2533" w:type="dxa"/>
            <w:shd w:val="clear" w:color="auto" w:fill="auto"/>
          </w:tcPr>
          <w:p w:rsidR="00DA50F9" w:rsidRPr="00D141FC" w:rsidRDefault="00DA50F9" w:rsidP="00707397">
            <w:pPr>
              <w:pStyle w:val="Tabletext"/>
            </w:pPr>
            <w:r w:rsidRPr="00D141FC">
              <w:t>Minor</w:t>
            </w:r>
            <w:r w:rsidR="00707397" w:rsidRPr="00D141FC">
              <w:t>, otherwise than because of regulation</w:t>
            </w:r>
            <w:r w:rsidR="00D141FC" w:rsidRPr="00D141FC">
              <w:t> </w:t>
            </w:r>
            <w:r w:rsidR="00707397" w:rsidRPr="00D141FC">
              <w:t>2</w:t>
            </w:r>
            <w:r w:rsidR="00A07EDA" w:rsidRPr="00D141FC">
              <w:t>.</w:t>
            </w:r>
            <w:r w:rsidR="00707397" w:rsidRPr="00D141FC">
              <w:t>9</w:t>
            </w:r>
          </w:p>
        </w:tc>
        <w:tc>
          <w:tcPr>
            <w:tcW w:w="2533" w:type="dxa"/>
            <w:shd w:val="clear" w:color="auto" w:fill="auto"/>
          </w:tcPr>
          <w:p w:rsidR="00A93DC6" w:rsidRPr="00D141FC" w:rsidRDefault="00157265" w:rsidP="00157265">
            <w:pPr>
              <w:pStyle w:val="Tabletext"/>
              <w:jc w:val="right"/>
            </w:pPr>
            <w:r w:rsidRPr="00D141FC">
              <w:t>$27,310</w:t>
            </w:r>
          </w:p>
        </w:tc>
        <w:tc>
          <w:tcPr>
            <w:tcW w:w="2533" w:type="dxa"/>
            <w:shd w:val="clear" w:color="auto" w:fill="auto"/>
          </w:tcPr>
          <w:p w:rsidR="00A93DC6" w:rsidRPr="00D141FC" w:rsidRDefault="00157265" w:rsidP="00157265">
            <w:pPr>
              <w:pStyle w:val="Tabletext"/>
              <w:jc w:val="right"/>
            </w:pPr>
            <w:r w:rsidRPr="00D141FC">
              <w:t>$40,470</w:t>
            </w:r>
          </w:p>
        </w:tc>
      </w:tr>
      <w:tr w:rsidR="00DA50F9" w:rsidRPr="00D141FC" w:rsidTr="00DA50F9">
        <w:tc>
          <w:tcPr>
            <w:tcW w:w="714" w:type="dxa"/>
            <w:shd w:val="clear" w:color="auto" w:fill="auto"/>
          </w:tcPr>
          <w:p w:rsidR="00DA50F9" w:rsidRPr="00D141FC" w:rsidRDefault="00DA50F9" w:rsidP="00C41D9B">
            <w:pPr>
              <w:pStyle w:val="Tabletext"/>
            </w:pPr>
            <w:r w:rsidRPr="00D141FC">
              <w:t>3</w:t>
            </w:r>
          </w:p>
        </w:tc>
        <w:tc>
          <w:tcPr>
            <w:tcW w:w="2533" w:type="dxa"/>
            <w:shd w:val="clear" w:color="auto" w:fill="auto"/>
          </w:tcPr>
          <w:p w:rsidR="00DA50F9" w:rsidRPr="00D141FC" w:rsidRDefault="00707397" w:rsidP="00707397">
            <w:pPr>
              <w:pStyle w:val="Tabletext"/>
            </w:pPr>
            <w:r w:rsidRPr="00D141FC">
              <w:t>Minor, because of regulation</w:t>
            </w:r>
            <w:r w:rsidR="00D141FC" w:rsidRPr="00D141FC">
              <w:t> </w:t>
            </w:r>
            <w:r w:rsidRPr="00D141FC">
              <w:t>2</w:t>
            </w:r>
            <w:r w:rsidR="00A07EDA" w:rsidRPr="00D141FC">
              <w:t>.</w:t>
            </w:r>
            <w:r w:rsidRPr="00D141FC">
              <w:t>9</w:t>
            </w:r>
          </w:p>
        </w:tc>
        <w:tc>
          <w:tcPr>
            <w:tcW w:w="2533" w:type="dxa"/>
            <w:shd w:val="clear" w:color="auto" w:fill="auto"/>
          </w:tcPr>
          <w:p w:rsidR="00DA50F9" w:rsidRPr="00D141FC" w:rsidRDefault="00DA50F9" w:rsidP="00DA50F9">
            <w:pPr>
              <w:pStyle w:val="Tabletext"/>
              <w:jc w:val="right"/>
            </w:pPr>
            <w:r w:rsidRPr="00D141FC">
              <w:t>$26,920</w:t>
            </w:r>
          </w:p>
        </w:tc>
        <w:tc>
          <w:tcPr>
            <w:tcW w:w="2533" w:type="dxa"/>
            <w:shd w:val="clear" w:color="auto" w:fill="auto"/>
          </w:tcPr>
          <w:p w:rsidR="00DA50F9" w:rsidRPr="00D141FC" w:rsidRDefault="00DA50F9" w:rsidP="00DA50F9">
            <w:pPr>
              <w:pStyle w:val="Tabletext"/>
              <w:jc w:val="right"/>
            </w:pPr>
            <w:r w:rsidRPr="00D141FC">
              <w:t>$40,070</w:t>
            </w:r>
          </w:p>
        </w:tc>
      </w:tr>
      <w:tr w:rsidR="00DA50F9" w:rsidRPr="00D141FC" w:rsidTr="00DA50F9">
        <w:tc>
          <w:tcPr>
            <w:tcW w:w="714" w:type="dxa"/>
            <w:tcBorders>
              <w:bottom w:val="single" w:sz="2" w:space="0" w:color="auto"/>
            </w:tcBorders>
            <w:shd w:val="clear" w:color="auto" w:fill="auto"/>
          </w:tcPr>
          <w:p w:rsidR="00DA50F9" w:rsidRPr="00D141FC" w:rsidRDefault="00DA50F9" w:rsidP="00C41D9B">
            <w:pPr>
              <w:pStyle w:val="Tabletext"/>
            </w:pPr>
            <w:r w:rsidRPr="00D141FC">
              <w:t>4</w:t>
            </w:r>
          </w:p>
        </w:tc>
        <w:tc>
          <w:tcPr>
            <w:tcW w:w="2533" w:type="dxa"/>
            <w:tcBorders>
              <w:bottom w:val="single" w:sz="2" w:space="0" w:color="auto"/>
            </w:tcBorders>
            <w:shd w:val="clear" w:color="auto" w:fill="auto"/>
          </w:tcPr>
          <w:p w:rsidR="00DA50F9" w:rsidRPr="00D141FC" w:rsidRDefault="00DA50F9" w:rsidP="00C41D9B">
            <w:pPr>
              <w:pStyle w:val="Tabletext"/>
            </w:pPr>
            <w:r w:rsidRPr="00D141FC">
              <w:t>Committee secretariat</w:t>
            </w:r>
          </w:p>
        </w:tc>
        <w:tc>
          <w:tcPr>
            <w:tcW w:w="2533" w:type="dxa"/>
            <w:tcBorders>
              <w:bottom w:val="single" w:sz="2" w:space="0" w:color="auto"/>
            </w:tcBorders>
            <w:shd w:val="clear" w:color="auto" w:fill="auto"/>
          </w:tcPr>
          <w:p w:rsidR="00DA50F9" w:rsidRPr="00D141FC" w:rsidRDefault="00DA50F9" w:rsidP="00DA50F9">
            <w:pPr>
              <w:pStyle w:val="Tabletext"/>
              <w:jc w:val="right"/>
            </w:pPr>
            <w:r w:rsidRPr="00D141FC">
              <w:t>$5,940</w:t>
            </w:r>
          </w:p>
        </w:tc>
        <w:tc>
          <w:tcPr>
            <w:tcW w:w="2533" w:type="dxa"/>
            <w:tcBorders>
              <w:bottom w:val="single" w:sz="2" w:space="0" w:color="auto"/>
            </w:tcBorders>
            <w:shd w:val="clear" w:color="auto" w:fill="auto"/>
          </w:tcPr>
          <w:p w:rsidR="00DA50F9" w:rsidRPr="00D141FC" w:rsidRDefault="00DA50F9" w:rsidP="00DA50F9">
            <w:pPr>
              <w:pStyle w:val="Tabletext"/>
              <w:jc w:val="right"/>
            </w:pPr>
            <w:r w:rsidRPr="00D141FC">
              <w:t>$10,880</w:t>
            </w:r>
          </w:p>
        </w:tc>
      </w:tr>
      <w:tr w:rsidR="00DA50F9" w:rsidRPr="00D141FC" w:rsidTr="00DA50F9">
        <w:tc>
          <w:tcPr>
            <w:tcW w:w="714" w:type="dxa"/>
            <w:tcBorders>
              <w:top w:val="single" w:sz="2" w:space="0" w:color="auto"/>
              <w:bottom w:val="single" w:sz="12" w:space="0" w:color="auto"/>
            </w:tcBorders>
            <w:shd w:val="clear" w:color="auto" w:fill="auto"/>
          </w:tcPr>
          <w:p w:rsidR="00DA50F9" w:rsidRPr="00D141FC" w:rsidRDefault="00DA50F9" w:rsidP="00C41D9B">
            <w:pPr>
              <w:pStyle w:val="Tabletext"/>
            </w:pPr>
            <w:r w:rsidRPr="00D141FC">
              <w:t>5</w:t>
            </w:r>
          </w:p>
        </w:tc>
        <w:tc>
          <w:tcPr>
            <w:tcW w:w="2533" w:type="dxa"/>
            <w:tcBorders>
              <w:top w:val="single" w:sz="2" w:space="0" w:color="auto"/>
              <w:bottom w:val="single" w:sz="12" w:space="0" w:color="auto"/>
            </w:tcBorders>
            <w:shd w:val="clear" w:color="auto" w:fill="auto"/>
          </w:tcPr>
          <w:p w:rsidR="00DA50F9" w:rsidRPr="00D141FC" w:rsidRDefault="00DA50F9" w:rsidP="00C41D9B">
            <w:pPr>
              <w:pStyle w:val="Tabletext"/>
            </w:pPr>
            <w:r w:rsidRPr="00D141FC">
              <w:t>New brand of existing pharmaceutical item</w:t>
            </w:r>
          </w:p>
        </w:tc>
        <w:tc>
          <w:tcPr>
            <w:tcW w:w="2533" w:type="dxa"/>
            <w:tcBorders>
              <w:top w:val="single" w:sz="2" w:space="0" w:color="auto"/>
              <w:bottom w:val="single" w:sz="12" w:space="0" w:color="auto"/>
            </w:tcBorders>
            <w:shd w:val="clear" w:color="auto" w:fill="auto"/>
          </w:tcPr>
          <w:p w:rsidR="00DA50F9" w:rsidRPr="00D141FC" w:rsidRDefault="00DA50F9" w:rsidP="00DA50F9">
            <w:pPr>
              <w:pStyle w:val="Tabletext"/>
              <w:jc w:val="right"/>
            </w:pPr>
            <w:r w:rsidRPr="00D141FC">
              <w:t>$2,910</w:t>
            </w:r>
          </w:p>
        </w:tc>
        <w:tc>
          <w:tcPr>
            <w:tcW w:w="2533" w:type="dxa"/>
            <w:tcBorders>
              <w:top w:val="single" w:sz="2" w:space="0" w:color="auto"/>
              <w:bottom w:val="single" w:sz="12" w:space="0" w:color="auto"/>
            </w:tcBorders>
            <w:shd w:val="clear" w:color="auto" w:fill="auto"/>
          </w:tcPr>
          <w:p w:rsidR="00DA50F9" w:rsidRPr="00D141FC" w:rsidRDefault="00DA50F9" w:rsidP="00DA50F9">
            <w:pPr>
              <w:pStyle w:val="Tabletext"/>
              <w:jc w:val="right"/>
            </w:pPr>
            <w:r w:rsidRPr="00D141FC">
              <w:t>$5,320</w:t>
            </w:r>
          </w:p>
        </w:tc>
      </w:tr>
    </w:tbl>
    <w:p w:rsidR="00157265" w:rsidRPr="00D141FC" w:rsidRDefault="00157265" w:rsidP="00157265">
      <w:pPr>
        <w:pStyle w:val="subsection"/>
      </w:pPr>
      <w:r w:rsidRPr="00D141FC">
        <w:tab/>
        <w:t>(2)</w:t>
      </w:r>
      <w:r w:rsidRPr="00D141FC">
        <w:tab/>
        <w:t>Each of the fees in items</w:t>
      </w:r>
      <w:r w:rsidR="00D141FC" w:rsidRPr="00D141FC">
        <w:t> </w:t>
      </w:r>
      <w:r w:rsidRPr="00D141FC">
        <w:t>1 and 2 of the table includes a deposit of:</w:t>
      </w:r>
    </w:p>
    <w:p w:rsidR="00157265" w:rsidRPr="00D141FC" w:rsidRDefault="00157265" w:rsidP="00157265">
      <w:pPr>
        <w:pStyle w:val="paragraph"/>
      </w:pPr>
      <w:r w:rsidRPr="00D141FC">
        <w:tab/>
        <w:t>(a)</w:t>
      </w:r>
      <w:r w:rsidRPr="00D141FC">
        <w:tab/>
        <w:t>if the notification for the application is given during the financial year starting on 1</w:t>
      </w:r>
      <w:r w:rsidR="00D141FC" w:rsidRPr="00D141FC">
        <w:t> </w:t>
      </w:r>
      <w:r w:rsidRPr="00D141FC">
        <w:t>July 2019—$390; or</w:t>
      </w:r>
    </w:p>
    <w:p w:rsidR="00157265" w:rsidRPr="00D141FC" w:rsidRDefault="00157265" w:rsidP="00157265">
      <w:pPr>
        <w:pStyle w:val="paragraph"/>
      </w:pPr>
      <w:r w:rsidRPr="00D141FC">
        <w:tab/>
        <w:t>(b)</w:t>
      </w:r>
      <w:r w:rsidRPr="00D141FC">
        <w:tab/>
        <w:t>if the notification for the application is given during the financial year starting on 1</w:t>
      </w:r>
      <w:r w:rsidR="00D141FC" w:rsidRPr="00D141FC">
        <w:t> </w:t>
      </w:r>
      <w:r w:rsidRPr="00D141FC">
        <w:t>July 2020—$400.</w:t>
      </w:r>
    </w:p>
    <w:p w:rsidR="00157265" w:rsidRPr="00D141FC" w:rsidRDefault="00157265" w:rsidP="00157265">
      <w:pPr>
        <w:pStyle w:val="notetext"/>
      </w:pPr>
      <w:r w:rsidRPr="00D141FC">
        <w:t>Note:</w:t>
      </w:r>
      <w:r w:rsidRPr="00D141FC">
        <w:tab/>
        <w:t>These fees and deposits are indexed for later financial years (see regulation</w:t>
      </w:r>
      <w:r w:rsidR="00D141FC" w:rsidRPr="00D141FC">
        <w:t> </w:t>
      </w:r>
      <w:r w:rsidRPr="00D141FC">
        <w:t>4.7).</w:t>
      </w:r>
    </w:p>
    <w:p w:rsidR="00150CD0" w:rsidRPr="00D141FC" w:rsidRDefault="00F9708D" w:rsidP="00867AD9">
      <w:pPr>
        <w:pStyle w:val="ItemHead"/>
      </w:pPr>
      <w:r w:rsidRPr="00D141FC">
        <w:t>15</w:t>
      </w:r>
      <w:r w:rsidR="00867AD9" w:rsidRPr="00D141FC">
        <w:t xml:space="preserve">  Regulation</w:t>
      </w:r>
      <w:r w:rsidR="00D141FC" w:rsidRPr="00D141FC">
        <w:t> </w:t>
      </w:r>
      <w:r w:rsidR="00867AD9" w:rsidRPr="00D141FC">
        <w:t>2</w:t>
      </w:r>
      <w:r w:rsidR="00A07EDA" w:rsidRPr="00D141FC">
        <w:t>.</w:t>
      </w:r>
      <w:r w:rsidR="00867AD9" w:rsidRPr="00D141FC">
        <w:t>3 and subparagraph</w:t>
      </w:r>
      <w:r w:rsidR="00D141FC" w:rsidRPr="00D141FC">
        <w:t> </w:t>
      </w:r>
      <w:r w:rsidR="00867AD9" w:rsidRPr="00D141FC">
        <w:t>2</w:t>
      </w:r>
      <w:r w:rsidR="00A07EDA" w:rsidRPr="00D141FC">
        <w:t>.</w:t>
      </w:r>
      <w:r w:rsidR="00867AD9" w:rsidRPr="00D141FC">
        <w:t>4(1)(a)(i)</w:t>
      </w:r>
    </w:p>
    <w:p w:rsidR="00867AD9" w:rsidRPr="00D141FC" w:rsidRDefault="00867AD9" w:rsidP="00867AD9">
      <w:pPr>
        <w:pStyle w:val="Item"/>
      </w:pPr>
      <w:r w:rsidRPr="00D141FC">
        <w:t>Omit “make a recommendation that the Minister take an action”, substitute “recommend to the Minister that the Minister exercise a power”</w:t>
      </w:r>
      <w:r w:rsidR="00A07EDA" w:rsidRPr="00D141FC">
        <w:t>.</w:t>
      </w:r>
    </w:p>
    <w:p w:rsidR="00867AD9" w:rsidRPr="00D141FC" w:rsidRDefault="00F9708D" w:rsidP="00867AD9">
      <w:pPr>
        <w:pStyle w:val="ItemHead"/>
      </w:pPr>
      <w:r w:rsidRPr="00D141FC">
        <w:t>16</w:t>
      </w:r>
      <w:r w:rsidR="00867AD9" w:rsidRPr="00D141FC">
        <w:t xml:space="preserve">  Subparagraph 2</w:t>
      </w:r>
      <w:r w:rsidR="00A07EDA" w:rsidRPr="00D141FC">
        <w:t>.</w:t>
      </w:r>
      <w:r w:rsidR="00867AD9" w:rsidRPr="00D141FC">
        <w:t>4(1)(a)(ii)</w:t>
      </w:r>
      <w:r w:rsidR="00EA7120" w:rsidRPr="00D141FC">
        <w:t xml:space="preserve"> and paragraph</w:t>
      </w:r>
      <w:r w:rsidR="00D141FC" w:rsidRPr="00D141FC">
        <w:t> </w:t>
      </w:r>
      <w:r w:rsidR="00EA7120" w:rsidRPr="00D141FC">
        <w:t>2</w:t>
      </w:r>
      <w:r w:rsidR="00A07EDA" w:rsidRPr="00D141FC">
        <w:t>.</w:t>
      </w:r>
      <w:r w:rsidR="00EA7120" w:rsidRPr="00D141FC">
        <w:t>7(1)(b)</w:t>
      </w:r>
    </w:p>
    <w:p w:rsidR="00867AD9" w:rsidRPr="00D141FC" w:rsidRDefault="00867AD9" w:rsidP="00867AD9">
      <w:pPr>
        <w:pStyle w:val="Item"/>
      </w:pPr>
      <w:r w:rsidRPr="00D141FC">
        <w:t>Omit “give advice to the Minister in relation to a matter”, substitute “advise the Minister in relation to a power”</w:t>
      </w:r>
      <w:r w:rsidR="00A07EDA" w:rsidRPr="00D141FC">
        <w:t>.</w:t>
      </w:r>
    </w:p>
    <w:p w:rsidR="00867AD9" w:rsidRPr="00D141FC" w:rsidRDefault="00F9708D" w:rsidP="001369EE">
      <w:pPr>
        <w:pStyle w:val="ItemHead"/>
      </w:pPr>
      <w:r w:rsidRPr="00D141FC">
        <w:t>17</w:t>
      </w:r>
      <w:r w:rsidR="001369EE" w:rsidRPr="00D141FC">
        <w:t xml:space="preserve">  Subparagraph 2</w:t>
      </w:r>
      <w:r w:rsidR="00A07EDA" w:rsidRPr="00D141FC">
        <w:t>.</w:t>
      </w:r>
      <w:r w:rsidR="001369EE" w:rsidRPr="00D141FC">
        <w:t>7(2)(a)(i)</w:t>
      </w:r>
    </w:p>
    <w:p w:rsidR="001369EE" w:rsidRPr="00D141FC" w:rsidRDefault="001369EE" w:rsidP="001369EE">
      <w:pPr>
        <w:pStyle w:val="Item"/>
      </w:pPr>
      <w:r w:rsidRPr="00D141FC">
        <w:t>Omit “make a recommendation that the Minister take an action”, substitute “recommend to the Minister that the Minister exercise a power”</w:t>
      </w:r>
      <w:r w:rsidR="00A07EDA" w:rsidRPr="00D141FC">
        <w:t>.</w:t>
      </w:r>
    </w:p>
    <w:p w:rsidR="001369EE" w:rsidRPr="00D141FC" w:rsidRDefault="00F9708D" w:rsidP="001369EE">
      <w:pPr>
        <w:pStyle w:val="ItemHead"/>
      </w:pPr>
      <w:r w:rsidRPr="00D141FC">
        <w:t>18</w:t>
      </w:r>
      <w:r w:rsidR="001369EE" w:rsidRPr="00D141FC">
        <w:t xml:space="preserve">  Subparagraph 2</w:t>
      </w:r>
      <w:r w:rsidR="00A07EDA" w:rsidRPr="00D141FC">
        <w:t>.</w:t>
      </w:r>
      <w:r w:rsidR="001369EE" w:rsidRPr="00D141FC">
        <w:t>7(2)(a)(ii)</w:t>
      </w:r>
    </w:p>
    <w:p w:rsidR="001369EE" w:rsidRPr="00D141FC" w:rsidRDefault="001369EE" w:rsidP="001369EE">
      <w:pPr>
        <w:pStyle w:val="Item"/>
      </w:pPr>
      <w:r w:rsidRPr="00D141FC">
        <w:t>Omit “give advice to the Minister in relation to a matter”, substitute “advise the Minister in relation to a power”</w:t>
      </w:r>
      <w:r w:rsidR="00A07EDA" w:rsidRPr="00D141FC">
        <w:t>.</w:t>
      </w:r>
    </w:p>
    <w:p w:rsidR="001369EE" w:rsidRPr="00D141FC" w:rsidRDefault="00F9708D" w:rsidP="004A50C1">
      <w:pPr>
        <w:pStyle w:val="ItemHead"/>
      </w:pPr>
      <w:r w:rsidRPr="00D141FC">
        <w:t>19</w:t>
      </w:r>
      <w:r w:rsidR="004A50C1" w:rsidRPr="00D141FC">
        <w:t xml:space="preserve">  Subregulation</w:t>
      </w:r>
      <w:r w:rsidR="00D141FC" w:rsidRPr="00D141FC">
        <w:t> </w:t>
      </w:r>
      <w:r w:rsidR="004A50C1" w:rsidRPr="00D141FC">
        <w:t>2</w:t>
      </w:r>
      <w:r w:rsidR="00A07EDA" w:rsidRPr="00D141FC">
        <w:t>.</w:t>
      </w:r>
      <w:r w:rsidR="004A50C1" w:rsidRPr="00D141FC">
        <w:t>8(1)</w:t>
      </w:r>
    </w:p>
    <w:p w:rsidR="004A50C1" w:rsidRPr="00D141FC" w:rsidRDefault="004A50C1" w:rsidP="004A50C1">
      <w:pPr>
        <w:pStyle w:val="Item"/>
      </w:pPr>
      <w:r w:rsidRPr="00D141FC">
        <w:t>Omit “make a recommendation that the Minister take an action”, substitute “recommend to the Minister that the Minister exercise a power”</w:t>
      </w:r>
      <w:r w:rsidR="00A07EDA" w:rsidRPr="00D141FC">
        <w:t>.</w:t>
      </w:r>
    </w:p>
    <w:p w:rsidR="004A50C1" w:rsidRPr="00D141FC" w:rsidRDefault="00F9708D" w:rsidP="004A50C1">
      <w:pPr>
        <w:pStyle w:val="ItemHead"/>
      </w:pPr>
      <w:r w:rsidRPr="00D141FC">
        <w:t>20</w:t>
      </w:r>
      <w:r w:rsidR="004A50C1" w:rsidRPr="00D141FC">
        <w:t xml:space="preserve">  Regulation</w:t>
      </w:r>
      <w:r w:rsidR="00D141FC" w:rsidRPr="00D141FC">
        <w:t> </w:t>
      </w:r>
      <w:r w:rsidR="004A50C1" w:rsidRPr="00D141FC">
        <w:t>2</w:t>
      </w:r>
      <w:r w:rsidR="00A07EDA" w:rsidRPr="00D141FC">
        <w:t>.</w:t>
      </w:r>
      <w:r w:rsidR="004A50C1" w:rsidRPr="00D141FC">
        <w:t>9</w:t>
      </w:r>
    </w:p>
    <w:p w:rsidR="004A50C1" w:rsidRPr="00D141FC" w:rsidRDefault="004A50C1" w:rsidP="004A50C1">
      <w:pPr>
        <w:pStyle w:val="Item"/>
      </w:pPr>
      <w:r w:rsidRPr="00D141FC">
        <w:t>Omit “take an action”, substitute “exercise a power”</w:t>
      </w:r>
      <w:r w:rsidR="00A07EDA" w:rsidRPr="00D141FC">
        <w:t>.</w:t>
      </w:r>
    </w:p>
    <w:p w:rsidR="00DF49B5" w:rsidRPr="00D141FC" w:rsidRDefault="00DF49B5" w:rsidP="00DF49B5">
      <w:pPr>
        <w:pStyle w:val="ItemHead"/>
      </w:pPr>
      <w:r w:rsidRPr="00D141FC">
        <w:t>21  Paragraphs 2.10(a) and (b)</w:t>
      </w:r>
    </w:p>
    <w:p w:rsidR="00DF49B5" w:rsidRPr="00D141FC" w:rsidRDefault="00DF49B5" w:rsidP="00DF49B5">
      <w:pPr>
        <w:pStyle w:val="Item"/>
      </w:pPr>
      <w:r w:rsidRPr="00D141FC">
        <w:t>Repeal the paragraphs, substitute:</w:t>
      </w:r>
    </w:p>
    <w:p w:rsidR="00DF49B5" w:rsidRPr="00D141FC" w:rsidRDefault="00DF49B5" w:rsidP="00DF49B5">
      <w:pPr>
        <w:pStyle w:val="paragraph"/>
      </w:pPr>
      <w:r w:rsidRPr="00D141FC">
        <w:tab/>
        <w:t>(a)</w:t>
      </w:r>
      <w:r w:rsidRPr="00D141FC">
        <w:tab/>
        <w:t>it is resent under regulation</w:t>
      </w:r>
      <w:r w:rsidR="00D141FC" w:rsidRPr="00D141FC">
        <w:t> </w:t>
      </w:r>
      <w:r w:rsidRPr="00D141FC">
        <w:t>2.19; and</w:t>
      </w:r>
    </w:p>
    <w:p w:rsidR="00DF49B5" w:rsidRPr="00D141FC" w:rsidRDefault="00DF49B5" w:rsidP="00DF49B5">
      <w:pPr>
        <w:pStyle w:val="paragraph"/>
      </w:pPr>
      <w:r w:rsidRPr="00D141FC">
        <w:tab/>
        <w:t>(b)</w:t>
      </w:r>
      <w:r w:rsidRPr="00D141FC">
        <w:tab/>
        <w:t>it was previously in the major category; and</w:t>
      </w:r>
    </w:p>
    <w:p w:rsidR="004A50C1" w:rsidRPr="00D141FC" w:rsidRDefault="00F9708D" w:rsidP="004A50C1">
      <w:pPr>
        <w:pStyle w:val="ItemHead"/>
      </w:pPr>
      <w:r w:rsidRPr="00D141FC">
        <w:t>22</w:t>
      </w:r>
      <w:r w:rsidR="004A50C1" w:rsidRPr="00D141FC">
        <w:t xml:space="preserve">  Paragraph 2</w:t>
      </w:r>
      <w:r w:rsidR="00A07EDA" w:rsidRPr="00D141FC">
        <w:t>.</w:t>
      </w:r>
      <w:r w:rsidR="004A50C1" w:rsidRPr="00D141FC">
        <w:t>12(1)(a) and subregulation</w:t>
      </w:r>
      <w:r w:rsidR="00D141FC" w:rsidRPr="00D141FC">
        <w:t> </w:t>
      </w:r>
      <w:r w:rsidR="004A50C1" w:rsidRPr="00D141FC">
        <w:t>2</w:t>
      </w:r>
      <w:r w:rsidR="00A07EDA" w:rsidRPr="00D141FC">
        <w:t>.</w:t>
      </w:r>
      <w:r w:rsidR="004A50C1" w:rsidRPr="00D141FC">
        <w:t>12(2)</w:t>
      </w:r>
    </w:p>
    <w:p w:rsidR="004A50C1" w:rsidRPr="00D141FC" w:rsidRDefault="004A50C1" w:rsidP="004A50C1">
      <w:pPr>
        <w:pStyle w:val="Item"/>
      </w:pPr>
      <w:r w:rsidRPr="00D141FC">
        <w:t>Omit “make a recommendation that the Minister take an action”, substitute “recommend to the Minister that the Minister exercise a power”</w:t>
      </w:r>
      <w:r w:rsidR="00A07EDA" w:rsidRPr="00D141FC">
        <w:t>.</w:t>
      </w:r>
    </w:p>
    <w:p w:rsidR="004A50C1" w:rsidRPr="00D141FC" w:rsidRDefault="00F9708D" w:rsidP="00CD6E8D">
      <w:pPr>
        <w:pStyle w:val="ItemHead"/>
      </w:pPr>
      <w:r w:rsidRPr="00D141FC">
        <w:t>23</w:t>
      </w:r>
      <w:r w:rsidR="00CD6E8D" w:rsidRPr="00D141FC">
        <w:t xml:space="preserve">  Regulations</w:t>
      </w:r>
      <w:r w:rsidR="00D141FC" w:rsidRPr="00D141FC">
        <w:t> </w:t>
      </w:r>
      <w:r w:rsidR="00CD6E8D" w:rsidRPr="00D141FC">
        <w:t>2</w:t>
      </w:r>
      <w:r w:rsidR="00A07EDA" w:rsidRPr="00D141FC">
        <w:t>.</w:t>
      </w:r>
      <w:r w:rsidR="00CD6E8D" w:rsidRPr="00D141FC">
        <w:t>13 and 2</w:t>
      </w:r>
      <w:r w:rsidR="00A07EDA" w:rsidRPr="00D141FC">
        <w:t>.</w:t>
      </w:r>
      <w:r w:rsidR="00CD6E8D" w:rsidRPr="00D141FC">
        <w:t>14</w:t>
      </w:r>
    </w:p>
    <w:p w:rsidR="00CD6E8D" w:rsidRPr="00D141FC" w:rsidRDefault="00CD6E8D" w:rsidP="00CD6E8D">
      <w:pPr>
        <w:pStyle w:val="Item"/>
      </w:pPr>
      <w:r w:rsidRPr="00D141FC">
        <w:t>Omit “take an action”, substitute “exercise a power”</w:t>
      </w:r>
      <w:r w:rsidR="00A07EDA" w:rsidRPr="00D141FC">
        <w:t>.</w:t>
      </w:r>
    </w:p>
    <w:p w:rsidR="00A473BB" w:rsidRPr="00D141FC" w:rsidRDefault="00F9708D" w:rsidP="00A473BB">
      <w:pPr>
        <w:pStyle w:val="ItemHead"/>
      </w:pPr>
      <w:r w:rsidRPr="00D141FC">
        <w:t>24</w:t>
      </w:r>
      <w:r w:rsidR="00EA4EEE" w:rsidRPr="00D141FC">
        <w:t xml:space="preserve">  Subdivision</w:t>
      </w:r>
      <w:r w:rsidR="00D141FC" w:rsidRPr="00D141FC">
        <w:t> </w:t>
      </w:r>
      <w:r w:rsidR="00EA4EEE" w:rsidRPr="00D141FC">
        <w:t>5</w:t>
      </w:r>
      <w:r w:rsidR="00A473BB" w:rsidRPr="00D141FC">
        <w:t xml:space="preserve"> of Division</w:t>
      </w:r>
      <w:r w:rsidR="00D141FC" w:rsidRPr="00D141FC">
        <w:t> </w:t>
      </w:r>
      <w:r w:rsidR="00A473BB" w:rsidRPr="00D141FC">
        <w:t>2</w:t>
      </w:r>
      <w:r w:rsidR="00A07EDA" w:rsidRPr="00D141FC">
        <w:t>.</w:t>
      </w:r>
      <w:r w:rsidR="00A473BB" w:rsidRPr="00D141FC">
        <w:t>1</w:t>
      </w:r>
    </w:p>
    <w:p w:rsidR="00A473BB" w:rsidRPr="00D141FC" w:rsidRDefault="00A473BB" w:rsidP="00A473BB">
      <w:pPr>
        <w:pStyle w:val="Item"/>
      </w:pPr>
      <w:r w:rsidRPr="00D141FC">
        <w:t>Repeal the Subdivision</w:t>
      </w:r>
      <w:r w:rsidR="00A07EDA" w:rsidRPr="00D141FC">
        <w:t>.</w:t>
      </w:r>
    </w:p>
    <w:p w:rsidR="00E66960" w:rsidRPr="00D141FC" w:rsidRDefault="00F9708D" w:rsidP="001A37B1">
      <w:pPr>
        <w:pStyle w:val="ItemHead"/>
      </w:pPr>
      <w:r w:rsidRPr="00D141FC">
        <w:t>25</w:t>
      </w:r>
      <w:r w:rsidR="001A37B1" w:rsidRPr="00D141FC">
        <w:t xml:space="preserve">  </w:t>
      </w:r>
      <w:r w:rsidR="00E66960" w:rsidRPr="00D141FC">
        <w:t>Division</w:t>
      </w:r>
      <w:r w:rsidR="00D141FC" w:rsidRPr="00D141FC">
        <w:t> </w:t>
      </w:r>
      <w:r w:rsidR="00E66960" w:rsidRPr="00D141FC">
        <w:t>2</w:t>
      </w:r>
      <w:r w:rsidR="00A07EDA" w:rsidRPr="00D141FC">
        <w:t>.</w:t>
      </w:r>
      <w:r w:rsidR="00E66960" w:rsidRPr="00D141FC">
        <w:t>2</w:t>
      </w:r>
    </w:p>
    <w:p w:rsidR="00E66960" w:rsidRPr="00D141FC" w:rsidRDefault="00E66960" w:rsidP="00E66960">
      <w:pPr>
        <w:pStyle w:val="Item"/>
      </w:pPr>
      <w:r w:rsidRPr="00D141FC">
        <w:t>Repeal the Division, substitute:</w:t>
      </w:r>
    </w:p>
    <w:p w:rsidR="00E66960" w:rsidRPr="00D141FC" w:rsidRDefault="00E66960" w:rsidP="00E66960">
      <w:pPr>
        <w:pStyle w:val="ActHead3"/>
      </w:pPr>
      <w:bookmarkStart w:id="31" w:name="_Toc3993175"/>
      <w:r w:rsidRPr="00D141FC">
        <w:rPr>
          <w:rStyle w:val="CharDivNo"/>
        </w:rPr>
        <w:t>Division</w:t>
      </w:r>
      <w:r w:rsidR="00D141FC" w:rsidRPr="00D141FC">
        <w:rPr>
          <w:rStyle w:val="CharDivNo"/>
        </w:rPr>
        <w:t> </w:t>
      </w:r>
      <w:r w:rsidRPr="00D141FC">
        <w:rPr>
          <w:rStyle w:val="CharDivNo"/>
        </w:rPr>
        <w:t>2</w:t>
      </w:r>
      <w:r w:rsidR="00A07EDA" w:rsidRPr="00D141FC">
        <w:rPr>
          <w:rStyle w:val="CharDivNo"/>
        </w:rPr>
        <w:t>.</w:t>
      </w:r>
      <w:r w:rsidRPr="00D141FC">
        <w:rPr>
          <w:rStyle w:val="CharDivNo"/>
        </w:rPr>
        <w:t>2</w:t>
      </w:r>
      <w:r w:rsidRPr="00D141FC">
        <w:t>—</w:t>
      </w:r>
      <w:r w:rsidRPr="00D141FC">
        <w:rPr>
          <w:rStyle w:val="CharDivText"/>
        </w:rPr>
        <w:t>Application procedure including prior notice</w:t>
      </w:r>
      <w:bookmarkEnd w:id="31"/>
    </w:p>
    <w:p w:rsidR="004309C6" w:rsidRPr="00D141FC" w:rsidRDefault="00604916" w:rsidP="00604916">
      <w:pPr>
        <w:pStyle w:val="ActHead5"/>
      </w:pPr>
      <w:bookmarkStart w:id="32" w:name="_Toc3993176"/>
      <w:r w:rsidRPr="00D141FC">
        <w:rPr>
          <w:rStyle w:val="CharSectno"/>
        </w:rPr>
        <w:t>2</w:t>
      </w:r>
      <w:r w:rsidR="00A07EDA" w:rsidRPr="00D141FC">
        <w:rPr>
          <w:rStyle w:val="CharSectno"/>
        </w:rPr>
        <w:t>.</w:t>
      </w:r>
      <w:r w:rsidRPr="00D141FC">
        <w:rPr>
          <w:rStyle w:val="CharSectno"/>
        </w:rPr>
        <w:t>15</w:t>
      </w:r>
      <w:r w:rsidRPr="00D141FC">
        <w:t xml:space="preserve">  </w:t>
      </w:r>
      <w:r w:rsidR="0070692C" w:rsidRPr="00D141FC">
        <w:t xml:space="preserve">Prior notice </w:t>
      </w:r>
      <w:r w:rsidR="00AB2B3F" w:rsidRPr="00D141FC">
        <w:t>needed</w:t>
      </w:r>
      <w:r w:rsidR="0070692C" w:rsidRPr="00D141FC">
        <w:t xml:space="preserve"> for </w:t>
      </w:r>
      <w:r w:rsidR="00AB2B3F" w:rsidRPr="00D141FC">
        <w:t xml:space="preserve">major or minor </w:t>
      </w:r>
      <w:r w:rsidR="0070692C" w:rsidRPr="00D141FC">
        <w:t>a</w:t>
      </w:r>
      <w:r w:rsidR="004309C6" w:rsidRPr="00D141FC">
        <w:t>pplication</w:t>
      </w:r>
      <w:r w:rsidR="0070692C" w:rsidRPr="00D141FC">
        <w:t xml:space="preserve">s </w:t>
      </w:r>
      <w:r w:rsidR="00AB2B3F" w:rsidRPr="00D141FC">
        <w:t>to</w:t>
      </w:r>
      <w:r w:rsidR="0070692C" w:rsidRPr="00D141FC">
        <w:t xml:space="preserve"> the Committee</w:t>
      </w:r>
      <w:bookmarkEnd w:id="32"/>
    </w:p>
    <w:p w:rsidR="00E35427" w:rsidRPr="00D141FC" w:rsidRDefault="00E35427" w:rsidP="00E35427">
      <w:pPr>
        <w:pStyle w:val="SubsectionHead"/>
      </w:pPr>
      <w:r w:rsidRPr="00D141FC">
        <w:t>Prior notice required</w:t>
      </w:r>
    </w:p>
    <w:p w:rsidR="00E35427" w:rsidRPr="00D141FC" w:rsidRDefault="00E35427" w:rsidP="00E35427">
      <w:pPr>
        <w:pStyle w:val="subsection"/>
      </w:pPr>
      <w:r w:rsidRPr="00D141FC">
        <w:tab/>
        <w:t>(1)</w:t>
      </w:r>
      <w:r w:rsidRPr="00D141FC">
        <w:tab/>
        <w:t>A person proposing to make and send an application in an evaluation category in item</w:t>
      </w:r>
      <w:r w:rsidR="00D141FC" w:rsidRPr="00D141FC">
        <w:t> </w:t>
      </w:r>
      <w:r w:rsidRPr="00D141FC">
        <w:t>1 or 2 of the table in subregulation</w:t>
      </w:r>
      <w:r w:rsidR="00D141FC" w:rsidRPr="00D141FC">
        <w:t> </w:t>
      </w:r>
      <w:r w:rsidRPr="00D141FC">
        <w:t>2.2(1) must give the Department prior notice of the application:</w:t>
      </w:r>
    </w:p>
    <w:p w:rsidR="00E35427" w:rsidRPr="00D141FC" w:rsidRDefault="00E35427" w:rsidP="00E35427">
      <w:pPr>
        <w:pStyle w:val="paragraph"/>
      </w:pPr>
      <w:r w:rsidRPr="00D141FC">
        <w:tab/>
        <w:t>(a)</w:t>
      </w:r>
      <w:r w:rsidRPr="00D141FC">
        <w:tab/>
        <w:t>in accordance with subregulation</w:t>
      </w:r>
      <w:r w:rsidR="00D141FC" w:rsidRPr="00D141FC">
        <w:t> </w:t>
      </w:r>
      <w:r w:rsidRPr="00D141FC">
        <w:t>(5); and</w:t>
      </w:r>
    </w:p>
    <w:p w:rsidR="00E35427" w:rsidRPr="00D141FC" w:rsidRDefault="00E35427" w:rsidP="00E35427">
      <w:pPr>
        <w:pStyle w:val="paragraph"/>
      </w:pPr>
      <w:r w:rsidRPr="00D141FC">
        <w:tab/>
        <w:t>(b)</w:t>
      </w:r>
      <w:r w:rsidRPr="00D141FC">
        <w:tab/>
        <w:t>at least 28 days before the application’s submission due day.</w:t>
      </w:r>
    </w:p>
    <w:p w:rsidR="00E35427" w:rsidRPr="00D141FC" w:rsidRDefault="00E35427" w:rsidP="00E35427">
      <w:pPr>
        <w:pStyle w:val="notetext"/>
      </w:pPr>
      <w:r w:rsidRPr="00D141FC">
        <w:t>Note</w:t>
      </w:r>
      <w:r w:rsidR="00AD31F5" w:rsidRPr="00D141FC">
        <w:t xml:space="preserve"> 1</w:t>
      </w:r>
      <w:r w:rsidRPr="00D141FC">
        <w:t>:</w:t>
      </w:r>
      <w:r w:rsidRPr="00D141FC">
        <w:tab/>
        <w:t>Requiring this prior notice allows the Commonwealth to properly prepare for the provision of submission services in response to the application.</w:t>
      </w:r>
    </w:p>
    <w:p w:rsidR="00AD31F5" w:rsidRPr="00D141FC" w:rsidRDefault="00AD31F5" w:rsidP="00AD31F5">
      <w:pPr>
        <w:pStyle w:val="notetext"/>
      </w:pPr>
      <w:r w:rsidRPr="00D141FC">
        <w:t>Note 2:</w:t>
      </w:r>
      <w:r w:rsidRPr="00D141FC">
        <w:tab/>
        <w:t>The application will need to be sent to the Department on or before this submission due day (see paragraph</w:t>
      </w:r>
      <w:r w:rsidR="00D141FC" w:rsidRPr="00D141FC">
        <w:t> </w:t>
      </w:r>
      <w:r w:rsidRPr="00D141FC">
        <w:t>2.16(1)(c)).</w:t>
      </w:r>
    </w:p>
    <w:p w:rsidR="00E35427" w:rsidRPr="00D141FC" w:rsidRDefault="00E35427" w:rsidP="00E35427">
      <w:pPr>
        <w:pStyle w:val="SubsectionHead"/>
      </w:pPr>
      <w:r w:rsidRPr="00D141FC">
        <w:t>Exception if an urgent public health need</w:t>
      </w:r>
    </w:p>
    <w:p w:rsidR="00E35427" w:rsidRPr="00D141FC" w:rsidRDefault="00E35427" w:rsidP="00E35427">
      <w:pPr>
        <w:pStyle w:val="subsection"/>
      </w:pPr>
      <w:r w:rsidRPr="00D141FC">
        <w:tab/>
        <w:t>(2)</w:t>
      </w:r>
      <w:r w:rsidRPr="00D141FC">
        <w:tab/>
        <w:t xml:space="preserve">However, prior notice of the application </w:t>
      </w:r>
      <w:r w:rsidR="00D33964" w:rsidRPr="00D141FC">
        <w:t>is</w:t>
      </w:r>
      <w:r w:rsidRPr="00D141FC">
        <w:t xml:space="preserve"> not required under subregulation</w:t>
      </w:r>
      <w:r w:rsidR="00D141FC" w:rsidRPr="00D141FC">
        <w:t> </w:t>
      </w:r>
      <w:r w:rsidRPr="00D141FC">
        <w:t>(1) if the Secretary decides under subregulation</w:t>
      </w:r>
      <w:r w:rsidR="00D141FC" w:rsidRPr="00D141FC">
        <w:t> </w:t>
      </w:r>
      <w:r w:rsidRPr="00D141FC">
        <w:t xml:space="preserve">(3) that providing submission services </w:t>
      </w:r>
      <w:r w:rsidR="00815D62" w:rsidRPr="00D141FC">
        <w:t xml:space="preserve">in response to the application </w:t>
      </w:r>
      <w:r w:rsidRPr="00D141FC">
        <w:t>is required to address an urgent public health need.</w:t>
      </w:r>
    </w:p>
    <w:p w:rsidR="00E35427" w:rsidRPr="00D141FC" w:rsidRDefault="00E35427" w:rsidP="00E35427">
      <w:pPr>
        <w:pStyle w:val="subsection"/>
      </w:pPr>
      <w:r w:rsidRPr="00D141FC">
        <w:tab/>
        <w:t>(3)</w:t>
      </w:r>
      <w:r w:rsidRPr="00D141FC">
        <w:tab/>
        <w:t>The Secretary may, in writing, decide whether or not providing submission services in response to the application is required to address an urgent public health need.</w:t>
      </w:r>
    </w:p>
    <w:p w:rsidR="00E35427" w:rsidRPr="00D141FC" w:rsidRDefault="00E35427" w:rsidP="00E35427">
      <w:pPr>
        <w:pStyle w:val="notetext"/>
      </w:pPr>
      <w:r w:rsidRPr="00D141FC">
        <w:t>Note:</w:t>
      </w:r>
      <w:r w:rsidRPr="00D141FC">
        <w:tab/>
        <w:t>A decision that providing the submission services is not required to address an urgent public health need is reviewable (see regulation</w:t>
      </w:r>
      <w:r w:rsidR="00D141FC" w:rsidRPr="00D141FC">
        <w:t> </w:t>
      </w:r>
      <w:r w:rsidRPr="00D141FC">
        <w:t>6.1A).</w:t>
      </w:r>
    </w:p>
    <w:p w:rsidR="00D33964" w:rsidRPr="00D141FC" w:rsidRDefault="00D33964" w:rsidP="00D33964">
      <w:pPr>
        <w:pStyle w:val="SubsectionHead"/>
      </w:pPr>
      <w:r w:rsidRPr="00D141FC">
        <w:t>Consequence if prior notice is required but not given</w:t>
      </w:r>
    </w:p>
    <w:p w:rsidR="00E35427" w:rsidRPr="00D141FC" w:rsidRDefault="00E35427" w:rsidP="00E35427">
      <w:pPr>
        <w:pStyle w:val="subsection"/>
      </w:pPr>
      <w:r w:rsidRPr="00D141FC">
        <w:tab/>
        <w:t>(</w:t>
      </w:r>
      <w:r w:rsidR="00D33964" w:rsidRPr="00D141FC">
        <w:t>4</w:t>
      </w:r>
      <w:r w:rsidRPr="00D141FC">
        <w:t>)</w:t>
      </w:r>
      <w:r w:rsidRPr="00D141FC">
        <w:tab/>
        <w:t>Submission services will not be provided in response to an application if prior notice of the application:</w:t>
      </w:r>
    </w:p>
    <w:p w:rsidR="00E35427" w:rsidRPr="00D141FC" w:rsidRDefault="00E35427" w:rsidP="00E35427">
      <w:pPr>
        <w:pStyle w:val="paragraph"/>
      </w:pPr>
      <w:r w:rsidRPr="00D141FC">
        <w:tab/>
        <w:t>(a)</w:t>
      </w:r>
      <w:r w:rsidRPr="00D141FC">
        <w:tab/>
        <w:t>is required under subregulation</w:t>
      </w:r>
      <w:r w:rsidR="00D141FC" w:rsidRPr="00D141FC">
        <w:t> </w:t>
      </w:r>
      <w:r w:rsidRPr="00D141FC">
        <w:t>(1); and</w:t>
      </w:r>
    </w:p>
    <w:p w:rsidR="00E35427" w:rsidRPr="00D141FC" w:rsidRDefault="00E35427" w:rsidP="00E35427">
      <w:pPr>
        <w:pStyle w:val="paragraph"/>
      </w:pPr>
      <w:r w:rsidRPr="00D141FC">
        <w:tab/>
        <w:t>(b)</w:t>
      </w:r>
      <w:r w:rsidRPr="00D141FC">
        <w:tab/>
        <w:t>is not given in accordance with that subregulation.</w:t>
      </w:r>
    </w:p>
    <w:p w:rsidR="00D33964" w:rsidRPr="00D141FC" w:rsidRDefault="00D33964" w:rsidP="00D33964">
      <w:pPr>
        <w:pStyle w:val="SubsectionHead"/>
      </w:pPr>
      <w:r w:rsidRPr="00D141FC">
        <w:t>How to provide prior notice</w:t>
      </w:r>
    </w:p>
    <w:p w:rsidR="00E35427" w:rsidRPr="00D141FC" w:rsidRDefault="00E35427" w:rsidP="00E35427">
      <w:pPr>
        <w:pStyle w:val="subsection"/>
      </w:pPr>
      <w:r w:rsidRPr="00D141FC">
        <w:tab/>
        <w:t>(</w:t>
      </w:r>
      <w:r w:rsidR="00D33964" w:rsidRPr="00D141FC">
        <w:t>5</w:t>
      </w:r>
      <w:r w:rsidRPr="00D141FC">
        <w:t>)</w:t>
      </w:r>
      <w:r w:rsidRPr="00D141FC">
        <w:tab/>
        <w:t>A prior notice under subregulation</w:t>
      </w:r>
      <w:r w:rsidR="00D141FC" w:rsidRPr="00D141FC">
        <w:t> </w:t>
      </w:r>
      <w:r w:rsidRPr="00D141FC">
        <w:t>(1) must:</w:t>
      </w:r>
    </w:p>
    <w:p w:rsidR="00E35427" w:rsidRPr="00D141FC" w:rsidRDefault="00E35427" w:rsidP="00E35427">
      <w:pPr>
        <w:pStyle w:val="paragraph"/>
      </w:pPr>
      <w:r w:rsidRPr="00D141FC">
        <w:tab/>
        <w:t>(a)</w:t>
      </w:r>
      <w:r w:rsidRPr="00D141FC">
        <w:tab/>
        <w:t>be made in writing, in the approved form, to the Secretary; and</w:t>
      </w:r>
    </w:p>
    <w:p w:rsidR="00E35427" w:rsidRPr="00D141FC" w:rsidRDefault="00E35427" w:rsidP="00E35427">
      <w:pPr>
        <w:pStyle w:val="paragraph"/>
      </w:pPr>
      <w:r w:rsidRPr="00D141FC">
        <w:tab/>
        <w:t>(b)</w:t>
      </w:r>
      <w:r w:rsidRPr="00D141FC">
        <w:tab/>
        <w:t>state, with reasons, why the proposed application is likely to be in a particular evaluation category; and</w:t>
      </w:r>
    </w:p>
    <w:p w:rsidR="00E35427" w:rsidRPr="00D141FC" w:rsidRDefault="00E35427" w:rsidP="00E35427">
      <w:pPr>
        <w:pStyle w:val="paragraph"/>
      </w:pPr>
      <w:r w:rsidRPr="00D141FC">
        <w:tab/>
        <w:t>(c)</w:t>
      </w:r>
      <w:r w:rsidRPr="00D141FC">
        <w:tab/>
        <w:t>be sent to the office of the Department administering the Committee.</w:t>
      </w:r>
    </w:p>
    <w:p w:rsidR="00E35427" w:rsidRPr="00D141FC" w:rsidRDefault="00E35427" w:rsidP="00E35427">
      <w:pPr>
        <w:pStyle w:val="notetext"/>
      </w:pPr>
      <w:r w:rsidRPr="00D141FC">
        <w:t>Note:</w:t>
      </w:r>
      <w:r w:rsidRPr="00D141FC">
        <w:tab/>
        <w:t>The address for the office administering the Committee can be found on the Department’s website.</w:t>
      </w:r>
    </w:p>
    <w:p w:rsidR="00E35427" w:rsidRPr="00D141FC" w:rsidRDefault="00D33964" w:rsidP="00E35427">
      <w:pPr>
        <w:pStyle w:val="subsection"/>
      </w:pPr>
      <w:r w:rsidRPr="00D141FC">
        <w:tab/>
        <w:t>(6</w:t>
      </w:r>
      <w:r w:rsidR="00E35427" w:rsidRPr="00D141FC">
        <w:t>)</w:t>
      </w:r>
      <w:r w:rsidR="00E35427" w:rsidRPr="00D141FC">
        <w:tab/>
        <w:t>The Secretary may, in writing, approve forms for use in giving a prior notice under subregulation</w:t>
      </w:r>
      <w:r w:rsidR="00D141FC" w:rsidRPr="00D141FC">
        <w:t> </w:t>
      </w:r>
      <w:r w:rsidR="00E35427" w:rsidRPr="00D141FC">
        <w:t>(1) of an application under this Part.</w:t>
      </w:r>
    </w:p>
    <w:p w:rsidR="00604916" w:rsidRPr="00D141FC" w:rsidRDefault="00604916" w:rsidP="00604916">
      <w:pPr>
        <w:pStyle w:val="ActHead5"/>
      </w:pPr>
      <w:bookmarkStart w:id="33" w:name="_Toc3993177"/>
      <w:r w:rsidRPr="00D141FC">
        <w:rPr>
          <w:rStyle w:val="CharSectno"/>
        </w:rPr>
        <w:t>2</w:t>
      </w:r>
      <w:r w:rsidR="00A07EDA" w:rsidRPr="00D141FC">
        <w:rPr>
          <w:rStyle w:val="CharSectno"/>
        </w:rPr>
        <w:t>.</w:t>
      </w:r>
      <w:r w:rsidRPr="00D141FC">
        <w:rPr>
          <w:rStyle w:val="CharSectno"/>
        </w:rPr>
        <w:t>16</w:t>
      </w:r>
      <w:r w:rsidRPr="00D141FC">
        <w:t xml:space="preserve">  How to apply for submission services</w:t>
      </w:r>
      <w:bookmarkEnd w:id="33"/>
    </w:p>
    <w:p w:rsidR="00041A4E" w:rsidRPr="00D141FC" w:rsidRDefault="00041A4E" w:rsidP="00041A4E">
      <w:pPr>
        <w:pStyle w:val="SubsectionHead"/>
      </w:pPr>
      <w:r w:rsidRPr="00D141FC">
        <w:t>Procedural requirements for applications</w:t>
      </w:r>
    </w:p>
    <w:p w:rsidR="004309C6" w:rsidRPr="00D141FC" w:rsidRDefault="004309C6" w:rsidP="004309C6">
      <w:pPr>
        <w:pStyle w:val="subsection"/>
      </w:pPr>
      <w:r w:rsidRPr="00D141FC">
        <w:tab/>
        <w:t>(</w:t>
      </w:r>
      <w:r w:rsidR="00604916" w:rsidRPr="00D141FC">
        <w:t>1</w:t>
      </w:r>
      <w:r w:rsidRPr="00D141FC">
        <w:t>)</w:t>
      </w:r>
      <w:r w:rsidRPr="00D141FC">
        <w:tab/>
      </w:r>
      <w:r w:rsidR="00604916" w:rsidRPr="00D141FC">
        <w:t>A</w:t>
      </w:r>
      <w:r w:rsidRPr="00D141FC">
        <w:t xml:space="preserve">n application </w:t>
      </w:r>
      <w:r w:rsidR="00B14E65" w:rsidRPr="00D141FC">
        <w:t xml:space="preserve">under this Part </w:t>
      </w:r>
      <w:r w:rsidRPr="00D141FC">
        <w:t>must:</w:t>
      </w:r>
    </w:p>
    <w:p w:rsidR="004309C6" w:rsidRPr="00D141FC" w:rsidRDefault="004309C6" w:rsidP="004309C6">
      <w:pPr>
        <w:pStyle w:val="paragraph"/>
      </w:pPr>
      <w:r w:rsidRPr="00D141FC">
        <w:tab/>
        <w:t>(a)</w:t>
      </w:r>
      <w:r w:rsidRPr="00D141FC">
        <w:tab/>
        <w:t>be made in writing, in the approved form, to the Secretary; and</w:t>
      </w:r>
    </w:p>
    <w:p w:rsidR="005B0BC1" w:rsidRPr="00D141FC" w:rsidRDefault="005B0BC1" w:rsidP="005B0BC1">
      <w:pPr>
        <w:pStyle w:val="paragraph"/>
      </w:pPr>
      <w:r w:rsidRPr="00D141FC">
        <w:tab/>
        <w:t>(b)</w:t>
      </w:r>
      <w:r w:rsidRPr="00D141FC">
        <w:tab/>
        <w:t>if prior notice of the application is not required under subregulation</w:t>
      </w:r>
      <w:r w:rsidR="00D141FC" w:rsidRPr="00D141FC">
        <w:t> </w:t>
      </w:r>
      <w:r w:rsidRPr="00D141FC">
        <w:t>2</w:t>
      </w:r>
      <w:r w:rsidR="00A07EDA" w:rsidRPr="00D141FC">
        <w:t>.</w:t>
      </w:r>
      <w:r w:rsidRPr="00D141FC">
        <w:t>15(1)—state, with reasons, why the application is likely to be in a particular evaluation category; and</w:t>
      </w:r>
    </w:p>
    <w:p w:rsidR="00604916" w:rsidRPr="00D141FC" w:rsidRDefault="004309C6" w:rsidP="004309C6">
      <w:pPr>
        <w:pStyle w:val="paragraph"/>
      </w:pPr>
      <w:r w:rsidRPr="00D141FC">
        <w:tab/>
        <w:t>(</w:t>
      </w:r>
      <w:r w:rsidR="008716BF" w:rsidRPr="00D141FC">
        <w:t>c</w:t>
      </w:r>
      <w:r w:rsidRPr="00D141FC">
        <w:t>)</w:t>
      </w:r>
      <w:r w:rsidRPr="00D141FC">
        <w:tab/>
      </w:r>
      <w:r w:rsidR="008716BF" w:rsidRPr="00D141FC">
        <w:t xml:space="preserve">be </w:t>
      </w:r>
      <w:r w:rsidR="00041A4E" w:rsidRPr="00D141FC">
        <w:t xml:space="preserve">sent, on or before the </w:t>
      </w:r>
      <w:r w:rsidR="008A350A" w:rsidRPr="00D141FC">
        <w:t xml:space="preserve">application’s </w:t>
      </w:r>
      <w:r w:rsidR="00041A4E" w:rsidRPr="00D141FC">
        <w:t xml:space="preserve">submission due day </w:t>
      </w:r>
      <w:r w:rsidR="008A350A" w:rsidRPr="00D141FC">
        <w:t>(if any)</w:t>
      </w:r>
      <w:r w:rsidR="00041A4E" w:rsidRPr="00D141FC">
        <w:t>, to</w:t>
      </w:r>
      <w:r w:rsidR="00604916" w:rsidRPr="00D141FC">
        <w:t>:</w:t>
      </w:r>
    </w:p>
    <w:p w:rsidR="00604916" w:rsidRPr="00D141FC" w:rsidRDefault="00604916" w:rsidP="00604916">
      <w:pPr>
        <w:pStyle w:val="paragraphsub"/>
      </w:pPr>
      <w:r w:rsidRPr="00D141FC">
        <w:tab/>
        <w:t>(i)</w:t>
      </w:r>
      <w:r w:rsidRPr="00D141FC">
        <w:tab/>
        <w:t xml:space="preserve">for an application </w:t>
      </w:r>
      <w:r w:rsidR="005B0BC1" w:rsidRPr="00D141FC">
        <w:t>that is likely to be in an evaluation category because of</w:t>
      </w:r>
      <w:r w:rsidRPr="00D141FC">
        <w:t xml:space="preserve"> regulation</w:t>
      </w:r>
      <w:r w:rsidR="00D141FC" w:rsidRPr="00D141FC">
        <w:t> </w:t>
      </w:r>
      <w:r w:rsidRPr="00D141FC">
        <w:t>2</w:t>
      </w:r>
      <w:r w:rsidR="00A07EDA" w:rsidRPr="00D141FC">
        <w:t>.</w:t>
      </w:r>
      <w:r w:rsidRPr="00D141FC">
        <w:t>9, 2</w:t>
      </w:r>
      <w:r w:rsidR="00A07EDA" w:rsidRPr="00D141FC">
        <w:t>.</w:t>
      </w:r>
      <w:r w:rsidRPr="00D141FC">
        <w:t>13 or 2</w:t>
      </w:r>
      <w:r w:rsidR="00A07EDA" w:rsidRPr="00D141FC">
        <w:t>.</w:t>
      </w:r>
      <w:r w:rsidRPr="00D141FC">
        <w:t>14—the office of the Department administering applications about item</w:t>
      </w:r>
      <w:r w:rsidR="00D141FC" w:rsidRPr="00D141FC">
        <w:t> </w:t>
      </w:r>
      <w:r w:rsidRPr="00D141FC">
        <w:t>3</w:t>
      </w:r>
      <w:r w:rsidR="00A07EDA" w:rsidRPr="00D141FC">
        <w:t>.</w:t>
      </w:r>
      <w:r w:rsidRPr="00D141FC">
        <w:t>1 in Schedule</w:t>
      </w:r>
      <w:r w:rsidR="00D141FC" w:rsidRPr="00D141FC">
        <w:t> </w:t>
      </w:r>
      <w:r w:rsidRPr="00D141FC">
        <w:t>1; or</w:t>
      </w:r>
    </w:p>
    <w:p w:rsidR="004309C6" w:rsidRPr="00D141FC" w:rsidRDefault="00604916" w:rsidP="00604916">
      <w:pPr>
        <w:pStyle w:val="paragraphsub"/>
      </w:pPr>
      <w:r w:rsidRPr="00D141FC">
        <w:tab/>
        <w:t>(ii)</w:t>
      </w:r>
      <w:r w:rsidRPr="00D141FC">
        <w:tab/>
        <w:t>otherwise—</w:t>
      </w:r>
      <w:r w:rsidR="004309C6" w:rsidRPr="00D141FC">
        <w:t>the office of the Department administering the Committee</w:t>
      </w:r>
      <w:r w:rsidR="00A07EDA" w:rsidRPr="00D141FC">
        <w:t>.</w:t>
      </w:r>
    </w:p>
    <w:p w:rsidR="004309C6" w:rsidRPr="00D141FC" w:rsidRDefault="004309C6" w:rsidP="004309C6">
      <w:pPr>
        <w:pStyle w:val="notetext"/>
      </w:pPr>
      <w:r w:rsidRPr="00D141FC">
        <w:t>Note:</w:t>
      </w:r>
      <w:r w:rsidRPr="00D141FC">
        <w:tab/>
        <w:t>The address</w:t>
      </w:r>
      <w:r w:rsidR="00604916" w:rsidRPr="00D141FC">
        <w:t>es</w:t>
      </w:r>
      <w:r w:rsidRPr="00D141FC">
        <w:t xml:space="preserve"> for the office</w:t>
      </w:r>
      <w:r w:rsidR="00604916" w:rsidRPr="00D141FC">
        <w:t>s m</w:t>
      </w:r>
      <w:r w:rsidR="008716BF" w:rsidRPr="00D141FC">
        <w:t xml:space="preserve">entioned in </w:t>
      </w:r>
      <w:r w:rsidR="00D141FC" w:rsidRPr="00D141FC">
        <w:t>paragraph (</w:t>
      </w:r>
      <w:r w:rsidR="008716BF" w:rsidRPr="00D141FC">
        <w:t>c</w:t>
      </w:r>
      <w:r w:rsidR="00604916" w:rsidRPr="00D141FC">
        <w:t>)</w:t>
      </w:r>
      <w:r w:rsidRPr="00D141FC">
        <w:t xml:space="preserve"> can be found on the Department’s website</w:t>
      </w:r>
      <w:r w:rsidR="00A07EDA" w:rsidRPr="00D141FC">
        <w:t>.</w:t>
      </w:r>
    </w:p>
    <w:p w:rsidR="004309C6" w:rsidRPr="00D141FC" w:rsidRDefault="00604916" w:rsidP="004309C6">
      <w:pPr>
        <w:pStyle w:val="subsection"/>
      </w:pPr>
      <w:r w:rsidRPr="00D141FC">
        <w:tab/>
        <w:t>(2</w:t>
      </w:r>
      <w:r w:rsidR="004309C6" w:rsidRPr="00D141FC">
        <w:t>)</w:t>
      </w:r>
      <w:r w:rsidR="004309C6" w:rsidRPr="00D141FC">
        <w:tab/>
        <w:t>The Secretary may, in writing, approve forms for use in making application</w:t>
      </w:r>
      <w:r w:rsidR="00E533F0" w:rsidRPr="00D141FC">
        <w:t>s</w:t>
      </w:r>
      <w:r w:rsidR="004309C6" w:rsidRPr="00D141FC">
        <w:t xml:space="preserve"> </w:t>
      </w:r>
      <w:r w:rsidR="00B14E65" w:rsidRPr="00D141FC">
        <w:t>under this Part</w:t>
      </w:r>
      <w:r w:rsidR="00A07EDA" w:rsidRPr="00D141FC">
        <w:t>.</w:t>
      </w:r>
    </w:p>
    <w:p w:rsidR="00041A4E" w:rsidRPr="00D141FC" w:rsidRDefault="00041A4E" w:rsidP="00041A4E">
      <w:pPr>
        <w:pStyle w:val="SubsectionHead"/>
      </w:pPr>
      <w:r w:rsidRPr="00D141FC">
        <w:t>Submission due day</w:t>
      </w:r>
    </w:p>
    <w:p w:rsidR="00041A4E" w:rsidRPr="00D141FC" w:rsidRDefault="00041A4E" w:rsidP="00041A4E">
      <w:pPr>
        <w:pStyle w:val="subsection"/>
      </w:pPr>
      <w:r w:rsidRPr="00D141FC">
        <w:tab/>
        <w:t>(3)</w:t>
      </w:r>
      <w:r w:rsidRPr="00D141FC">
        <w:tab/>
        <w:t xml:space="preserve">For an application </w:t>
      </w:r>
      <w:r w:rsidR="00B14E65" w:rsidRPr="00D141FC">
        <w:t xml:space="preserve">under this Part </w:t>
      </w:r>
      <w:r w:rsidRPr="00D141FC">
        <w:t>that:</w:t>
      </w:r>
    </w:p>
    <w:p w:rsidR="00041A4E" w:rsidRPr="00D141FC" w:rsidRDefault="00041A4E" w:rsidP="00041A4E">
      <w:pPr>
        <w:pStyle w:val="paragraph"/>
      </w:pPr>
      <w:r w:rsidRPr="00D141FC">
        <w:tab/>
        <w:t>(a)</w:t>
      </w:r>
      <w:r w:rsidRPr="00D141FC">
        <w:tab/>
        <w:t>is for the Committee; and</w:t>
      </w:r>
    </w:p>
    <w:p w:rsidR="00041A4E" w:rsidRPr="00D141FC" w:rsidRDefault="00041A4E" w:rsidP="00041A4E">
      <w:pPr>
        <w:pStyle w:val="paragraph"/>
      </w:pPr>
      <w:r w:rsidRPr="00D141FC">
        <w:tab/>
        <w:t>(b)</w:t>
      </w:r>
      <w:r w:rsidRPr="00D141FC">
        <w:tab/>
        <w:t xml:space="preserve">is </w:t>
      </w:r>
      <w:r w:rsidR="008A350A" w:rsidRPr="00D141FC">
        <w:t xml:space="preserve">likely to be in </w:t>
      </w:r>
      <w:r w:rsidRPr="00D141FC">
        <w:t>a particular evaluation category;</w:t>
      </w:r>
    </w:p>
    <w:p w:rsidR="00041A4E" w:rsidRPr="00D141FC" w:rsidRDefault="00041A4E" w:rsidP="00041A4E">
      <w:pPr>
        <w:pStyle w:val="subsection2"/>
      </w:pPr>
      <w:r w:rsidRPr="00D141FC">
        <w:t xml:space="preserve">the </w:t>
      </w:r>
      <w:r w:rsidRPr="00D141FC">
        <w:rPr>
          <w:b/>
          <w:i/>
        </w:rPr>
        <w:t>submission due day</w:t>
      </w:r>
      <w:r w:rsidRPr="00D141FC">
        <w:t xml:space="preserve"> is the day </w:t>
      </w:r>
      <w:r w:rsidR="002668FD" w:rsidRPr="00D141FC">
        <w:t>by which</w:t>
      </w:r>
      <w:r w:rsidRPr="00D141FC">
        <w:t xml:space="preserve"> the Committee </w:t>
      </w:r>
      <w:r w:rsidR="002668FD" w:rsidRPr="00D141FC">
        <w:t>needs to have received</w:t>
      </w:r>
      <w:r w:rsidRPr="00D141FC">
        <w:t xml:space="preserve"> applications in that evaluation category for the Committee meeting that </w:t>
      </w:r>
      <w:r w:rsidR="00E533F0" w:rsidRPr="00D141FC">
        <w:t>is to consider</w:t>
      </w:r>
      <w:r w:rsidRPr="00D141FC">
        <w:t xml:space="preserve"> the application</w:t>
      </w:r>
      <w:r w:rsidR="008A350A" w:rsidRPr="00D141FC">
        <w:t>.</w:t>
      </w:r>
    </w:p>
    <w:p w:rsidR="00E533F0" w:rsidRPr="00D141FC" w:rsidRDefault="00E533F0" w:rsidP="00E533F0">
      <w:pPr>
        <w:pStyle w:val="notetext"/>
      </w:pPr>
      <w:r w:rsidRPr="00D141FC">
        <w:t>Note:</w:t>
      </w:r>
      <w:r w:rsidRPr="00D141FC">
        <w:tab/>
        <w:t>The submission due day for applications in one evaluation category could be different from that for applications in another evaluation category.</w:t>
      </w:r>
    </w:p>
    <w:p w:rsidR="00041A4E" w:rsidRPr="00D141FC" w:rsidRDefault="00041A4E" w:rsidP="00041A4E">
      <w:pPr>
        <w:pStyle w:val="subsection"/>
      </w:pPr>
      <w:r w:rsidRPr="00D141FC">
        <w:tab/>
        <w:t>(4)</w:t>
      </w:r>
      <w:r w:rsidRPr="00D141FC">
        <w:tab/>
        <w:t>The Secretary must ensure that the submission due days for future Committee meetings are published on the Department’s website.</w:t>
      </w:r>
    </w:p>
    <w:p w:rsidR="00352052" w:rsidRPr="00D141FC" w:rsidRDefault="00352052" w:rsidP="00352052">
      <w:pPr>
        <w:pStyle w:val="ActHead5"/>
      </w:pPr>
      <w:bookmarkStart w:id="34" w:name="_Toc3993178"/>
      <w:r w:rsidRPr="00D141FC">
        <w:rPr>
          <w:rStyle w:val="CharSectno"/>
        </w:rPr>
        <w:t>2</w:t>
      </w:r>
      <w:r w:rsidR="00A07EDA" w:rsidRPr="00D141FC">
        <w:rPr>
          <w:rStyle w:val="CharSectno"/>
        </w:rPr>
        <w:t>.</w:t>
      </w:r>
      <w:r w:rsidRPr="00D141FC">
        <w:rPr>
          <w:rStyle w:val="CharSectno"/>
        </w:rPr>
        <w:t>17</w:t>
      </w:r>
      <w:r w:rsidRPr="00D141FC">
        <w:t xml:space="preserve">  Notification (including invoicing of fees)</w:t>
      </w:r>
      <w:bookmarkEnd w:id="34"/>
    </w:p>
    <w:p w:rsidR="00CC1249" w:rsidRPr="00D141FC" w:rsidRDefault="00CC1249" w:rsidP="00CC1249">
      <w:pPr>
        <w:pStyle w:val="SubsectionHead"/>
      </w:pPr>
      <w:r w:rsidRPr="00D141FC">
        <w:t xml:space="preserve">Notices relating to proposed </w:t>
      </w:r>
      <w:r w:rsidR="00C41D9B" w:rsidRPr="00D141FC">
        <w:t xml:space="preserve">major or minor </w:t>
      </w:r>
      <w:r w:rsidRPr="00D141FC">
        <w:t>applications for the Committee</w:t>
      </w:r>
    </w:p>
    <w:p w:rsidR="00352052" w:rsidRPr="00D141FC" w:rsidRDefault="00352052" w:rsidP="00352052">
      <w:pPr>
        <w:pStyle w:val="subsection"/>
      </w:pPr>
      <w:r w:rsidRPr="00D141FC">
        <w:tab/>
        <w:t>(1)</w:t>
      </w:r>
      <w:r w:rsidRPr="00D141FC">
        <w:tab/>
        <w:t>Within 14 days after</w:t>
      </w:r>
      <w:r w:rsidR="006F4D0E" w:rsidRPr="00D141FC">
        <w:t xml:space="preserve"> the day</w:t>
      </w:r>
      <w:r w:rsidRPr="00D141FC">
        <w:t xml:space="preserve"> the Department receives </w:t>
      </w:r>
      <w:r w:rsidR="008716BF" w:rsidRPr="00D141FC">
        <w:t>a notice under subregulation</w:t>
      </w:r>
      <w:r w:rsidR="00D141FC" w:rsidRPr="00D141FC">
        <w:t> </w:t>
      </w:r>
      <w:r w:rsidR="008716BF" w:rsidRPr="00D141FC">
        <w:t>2</w:t>
      </w:r>
      <w:r w:rsidR="00A07EDA" w:rsidRPr="00D141FC">
        <w:t>.</w:t>
      </w:r>
      <w:r w:rsidR="008716BF" w:rsidRPr="00D141FC">
        <w:t>15(1) from a person about a proposed application</w:t>
      </w:r>
      <w:r w:rsidRPr="00D141FC">
        <w:t xml:space="preserve">, the </w:t>
      </w:r>
      <w:r w:rsidR="00044349" w:rsidRPr="00D141FC">
        <w:t>Secretary must notify the person in writing</w:t>
      </w:r>
      <w:r w:rsidRPr="00D141FC">
        <w:t>:</w:t>
      </w:r>
    </w:p>
    <w:p w:rsidR="00352052" w:rsidRPr="00D141FC" w:rsidRDefault="00352052" w:rsidP="00352052">
      <w:pPr>
        <w:pStyle w:val="paragraph"/>
      </w:pPr>
      <w:r w:rsidRPr="00D141FC">
        <w:tab/>
        <w:t>(a)</w:t>
      </w:r>
      <w:r w:rsidRPr="00D141FC">
        <w:tab/>
        <w:t>that</w:t>
      </w:r>
      <w:r w:rsidR="00B36C2A" w:rsidRPr="00D141FC">
        <w:t xml:space="preserve"> the Department has received the</w:t>
      </w:r>
      <w:r w:rsidRPr="00D141FC">
        <w:t xml:space="preserve"> </w:t>
      </w:r>
      <w:r w:rsidR="008716BF" w:rsidRPr="00D141FC">
        <w:t>notice</w:t>
      </w:r>
      <w:r w:rsidRPr="00D141FC">
        <w:t>; and</w:t>
      </w:r>
    </w:p>
    <w:p w:rsidR="00352052" w:rsidRPr="00D141FC" w:rsidRDefault="00352052" w:rsidP="00352052">
      <w:pPr>
        <w:pStyle w:val="paragraph"/>
      </w:pPr>
      <w:r w:rsidRPr="00D141FC">
        <w:rPr>
          <w:i/>
        </w:rPr>
        <w:tab/>
      </w:r>
      <w:r w:rsidR="008716BF" w:rsidRPr="00D141FC">
        <w:t>(b</w:t>
      </w:r>
      <w:r w:rsidRPr="00D141FC">
        <w:t>)</w:t>
      </w:r>
      <w:r w:rsidRPr="00D141FC">
        <w:tab/>
      </w:r>
      <w:r w:rsidR="008716BF" w:rsidRPr="00D141FC">
        <w:t>based on the statement in the notice about the evaluation category of the proposed application—</w:t>
      </w:r>
      <w:r w:rsidRPr="00D141FC">
        <w:t xml:space="preserve">of the amount of the fee that is payable </w:t>
      </w:r>
      <w:r w:rsidR="00B73469" w:rsidRPr="00D141FC">
        <w:t xml:space="preserve">for providing </w:t>
      </w:r>
      <w:r w:rsidRPr="00D141FC">
        <w:t>submission services</w:t>
      </w:r>
      <w:r w:rsidR="008716BF" w:rsidRPr="00D141FC">
        <w:t xml:space="preserve"> in response to the proposed application</w:t>
      </w:r>
      <w:r w:rsidRPr="00D141FC">
        <w:t>; and</w:t>
      </w:r>
    </w:p>
    <w:p w:rsidR="00352052" w:rsidRPr="00D141FC" w:rsidRDefault="008716BF" w:rsidP="00352052">
      <w:pPr>
        <w:pStyle w:val="paragraph"/>
      </w:pPr>
      <w:r w:rsidRPr="00D141FC">
        <w:tab/>
        <w:t>(c</w:t>
      </w:r>
      <w:r w:rsidR="00352052" w:rsidRPr="00D141FC">
        <w:t>)</w:t>
      </w:r>
      <w:r w:rsidR="00352052" w:rsidRPr="00D141FC">
        <w:tab/>
        <w:t>of the manner for paying that fee</w:t>
      </w:r>
      <w:r w:rsidR="00A07EDA" w:rsidRPr="00D141FC">
        <w:t>.</w:t>
      </w:r>
    </w:p>
    <w:p w:rsidR="00003DB5" w:rsidRPr="00D141FC" w:rsidRDefault="00003DB5" w:rsidP="00003DB5">
      <w:pPr>
        <w:pStyle w:val="subsection2"/>
      </w:pPr>
      <w:r w:rsidRPr="00D141FC">
        <w:t>The fee for the submission services is payable to the Department.</w:t>
      </w:r>
    </w:p>
    <w:p w:rsidR="007F366E" w:rsidRPr="00D141FC" w:rsidRDefault="007F366E" w:rsidP="007F366E">
      <w:pPr>
        <w:pStyle w:val="notetext"/>
      </w:pPr>
      <w:r w:rsidRPr="00D141FC">
        <w:t>Note 1:</w:t>
      </w:r>
      <w:r w:rsidRPr="00D141FC">
        <w:tab/>
        <w:t>The fee must be paid within a period starting when this notification is given (see paragraph</w:t>
      </w:r>
      <w:r w:rsidR="00D141FC" w:rsidRPr="00D141FC">
        <w:t> </w:t>
      </w:r>
      <w:r w:rsidRPr="00D141FC">
        <w:t>4.1(1)(b)).</w:t>
      </w:r>
    </w:p>
    <w:p w:rsidR="00A46619" w:rsidRPr="00D141FC" w:rsidRDefault="00A46619" w:rsidP="00A46619">
      <w:pPr>
        <w:pStyle w:val="notetext"/>
      </w:pPr>
      <w:r w:rsidRPr="00D141FC">
        <w:t>Note 2:</w:t>
      </w:r>
      <w:r w:rsidRPr="00D141FC">
        <w:tab/>
      </w:r>
      <w:r w:rsidR="00512898" w:rsidRPr="00D141FC">
        <w:t>For the table in subregulation</w:t>
      </w:r>
      <w:r w:rsidR="00D141FC" w:rsidRPr="00D141FC">
        <w:t> </w:t>
      </w:r>
      <w:r w:rsidR="00512898" w:rsidRPr="00D141FC">
        <w:t>2.2(1), t</w:t>
      </w:r>
      <w:r w:rsidRPr="00D141FC">
        <w:t xml:space="preserve">he financial year for working out the fee </w:t>
      </w:r>
      <w:r w:rsidR="00512898" w:rsidRPr="00D141FC">
        <w:t>is the financial year</w:t>
      </w:r>
      <w:r w:rsidRPr="00D141FC">
        <w:t xml:space="preserve"> in which this notification is given (see </w:t>
      </w:r>
      <w:r w:rsidR="00D141FC" w:rsidRPr="00D141FC">
        <w:t>paragraph (</w:t>
      </w:r>
      <w:r w:rsidRPr="00D141FC">
        <w:t xml:space="preserve">c) of the definition of </w:t>
      </w:r>
      <w:r w:rsidRPr="00D141FC">
        <w:rPr>
          <w:b/>
          <w:i/>
        </w:rPr>
        <w:t>notification</w:t>
      </w:r>
      <w:r w:rsidRPr="00D141FC">
        <w:t xml:space="preserve"> in regulation</w:t>
      </w:r>
      <w:r w:rsidR="00D141FC" w:rsidRPr="00D141FC">
        <w:t> </w:t>
      </w:r>
      <w:r w:rsidRPr="00D141FC">
        <w:t>1.3).</w:t>
      </w:r>
    </w:p>
    <w:p w:rsidR="00A46619" w:rsidRPr="00D141FC" w:rsidRDefault="00A46619" w:rsidP="00A46619">
      <w:pPr>
        <w:pStyle w:val="notetext"/>
      </w:pPr>
      <w:r w:rsidRPr="00D141FC">
        <w:t>Note 3:</w:t>
      </w:r>
      <w:r w:rsidRPr="00D141FC">
        <w:tab/>
        <w:t>If it is later found that a fee exemption or waiver under regulation</w:t>
      </w:r>
      <w:r w:rsidR="00D141FC" w:rsidRPr="00D141FC">
        <w:t> </w:t>
      </w:r>
      <w:r w:rsidRPr="00D141FC">
        <w:t>5.1 or 5.2 applies, a refund may be payable (see subregulation</w:t>
      </w:r>
      <w:r w:rsidR="00D141FC" w:rsidRPr="00D141FC">
        <w:t> </w:t>
      </w:r>
      <w:r w:rsidRPr="00D141FC">
        <w:t>4.1(4)).</w:t>
      </w:r>
    </w:p>
    <w:p w:rsidR="00A121A1" w:rsidRPr="00D141FC" w:rsidRDefault="00A121A1" w:rsidP="00A121A1">
      <w:pPr>
        <w:pStyle w:val="SubsectionHead"/>
      </w:pPr>
      <w:r w:rsidRPr="00D141FC">
        <w:t>Notices relating to applications</w:t>
      </w:r>
    </w:p>
    <w:p w:rsidR="00A121A1" w:rsidRPr="00D141FC" w:rsidRDefault="00A121A1" w:rsidP="00A121A1">
      <w:pPr>
        <w:pStyle w:val="subsection"/>
      </w:pPr>
      <w:r w:rsidRPr="00D141FC">
        <w:tab/>
        <w:t>(2)</w:t>
      </w:r>
      <w:r w:rsidRPr="00D141FC">
        <w:tab/>
      </w:r>
      <w:r w:rsidR="00220012" w:rsidRPr="00D141FC">
        <w:t>Within 21</w:t>
      </w:r>
      <w:r w:rsidRPr="00D141FC">
        <w:t xml:space="preserve"> days after </w:t>
      </w:r>
      <w:r w:rsidR="006F4D0E" w:rsidRPr="00D141FC">
        <w:t xml:space="preserve">the day </w:t>
      </w:r>
      <w:r w:rsidRPr="00D141FC">
        <w:t xml:space="preserve">the Department receives an application </w:t>
      </w:r>
      <w:r w:rsidR="00AE4D24" w:rsidRPr="00D141FC">
        <w:t>under this Part</w:t>
      </w:r>
      <w:r w:rsidRPr="00D141FC">
        <w:t>, the Secretary must notify the applicant in writing:</w:t>
      </w:r>
    </w:p>
    <w:p w:rsidR="00A121A1" w:rsidRPr="00D141FC" w:rsidRDefault="00A121A1" w:rsidP="00A121A1">
      <w:pPr>
        <w:pStyle w:val="paragraph"/>
      </w:pPr>
      <w:r w:rsidRPr="00D141FC">
        <w:tab/>
        <w:t>(a)</w:t>
      </w:r>
      <w:r w:rsidRPr="00D141FC">
        <w:tab/>
        <w:t>that the Department has received the application; and</w:t>
      </w:r>
    </w:p>
    <w:p w:rsidR="008F38C1" w:rsidRPr="00D141FC" w:rsidRDefault="00A121A1" w:rsidP="00A121A1">
      <w:pPr>
        <w:pStyle w:val="paragraph"/>
      </w:pPr>
      <w:r w:rsidRPr="00D141FC">
        <w:tab/>
        <w:t>(b)</w:t>
      </w:r>
      <w:r w:rsidRPr="00D141FC">
        <w:tab/>
        <w:t>if the applicant requests a fee exemption or waiver under regulation</w:t>
      </w:r>
      <w:r w:rsidR="00D141FC" w:rsidRPr="00D141FC">
        <w:t> </w:t>
      </w:r>
      <w:r w:rsidRPr="00D141FC">
        <w:t>5.1 or 5.2</w:t>
      </w:r>
      <w:r w:rsidR="008F38C1" w:rsidRPr="00D141FC">
        <w:t>:</w:t>
      </w:r>
    </w:p>
    <w:p w:rsidR="008F38C1" w:rsidRPr="00D141FC" w:rsidRDefault="008F38C1" w:rsidP="008F38C1">
      <w:pPr>
        <w:pStyle w:val="paragraphsub"/>
      </w:pPr>
      <w:r w:rsidRPr="00D141FC">
        <w:tab/>
        <w:t>(i)</w:t>
      </w:r>
      <w:r w:rsidRPr="00D141FC">
        <w:tab/>
        <w:t>whether the fee exemption applies, or the fee is waived or partially waived; and</w:t>
      </w:r>
    </w:p>
    <w:p w:rsidR="008F38C1" w:rsidRPr="00D141FC" w:rsidRDefault="008F38C1" w:rsidP="008F38C1">
      <w:pPr>
        <w:pStyle w:val="paragraphsub"/>
      </w:pPr>
      <w:r w:rsidRPr="00D141FC">
        <w:tab/>
        <w:t>(ii)</w:t>
      </w:r>
      <w:r w:rsidRPr="00D141FC">
        <w:tab/>
        <w:t>in relation to a request for a waiver—of the applicant’s review rights under Part</w:t>
      </w:r>
      <w:r w:rsidR="00D141FC" w:rsidRPr="00D141FC">
        <w:t> </w:t>
      </w:r>
      <w:r w:rsidRPr="00D141FC">
        <w:t>6; and</w:t>
      </w:r>
    </w:p>
    <w:p w:rsidR="00A121A1" w:rsidRPr="00D141FC" w:rsidRDefault="00A121A1" w:rsidP="00A121A1">
      <w:pPr>
        <w:pStyle w:val="paragraph"/>
      </w:pPr>
      <w:r w:rsidRPr="00D141FC">
        <w:tab/>
        <w:t>(c)</w:t>
      </w:r>
      <w:r w:rsidRPr="00D141FC">
        <w:tab/>
        <w:t>if prior notice of the application is not required under subregulation</w:t>
      </w:r>
      <w:r w:rsidR="00D141FC" w:rsidRPr="00D141FC">
        <w:t> </w:t>
      </w:r>
      <w:r w:rsidRPr="00D141FC">
        <w:t>2.15(1):</w:t>
      </w:r>
    </w:p>
    <w:p w:rsidR="00A121A1" w:rsidRPr="00D141FC" w:rsidRDefault="00A121A1" w:rsidP="00A121A1">
      <w:pPr>
        <w:pStyle w:val="paragraphsub"/>
      </w:pPr>
      <w:r w:rsidRPr="00D141FC">
        <w:tab/>
        <w:t>(i)</w:t>
      </w:r>
      <w:r w:rsidRPr="00D141FC">
        <w:tab/>
        <w:t>of the amount of the fee payable for providing submission services in response to the application</w:t>
      </w:r>
      <w:r w:rsidR="00DF03E7" w:rsidRPr="00D141FC">
        <w:t>, worked out based on the statement in the application about its evaluation category</w:t>
      </w:r>
      <w:r w:rsidRPr="00D141FC">
        <w:t>; and</w:t>
      </w:r>
    </w:p>
    <w:p w:rsidR="00A121A1" w:rsidRPr="00D141FC" w:rsidRDefault="00DF03E7" w:rsidP="00DF03E7">
      <w:pPr>
        <w:pStyle w:val="paragraphsub"/>
      </w:pPr>
      <w:r w:rsidRPr="00D141FC">
        <w:tab/>
        <w:t>(ii)</w:t>
      </w:r>
      <w:r w:rsidRPr="00D141FC">
        <w:tab/>
      </w:r>
      <w:r w:rsidR="00A121A1" w:rsidRPr="00D141FC">
        <w:t>of the manner for paying that fee.</w:t>
      </w:r>
    </w:p>
    <w:p w:rsidR="00352052" w:rsidRPr="00D141FC" w:rsidRDefault="008716BF" w:rsidP="00352052">
      <w:pPr>
        <w:pStyle w:val="subsection"/>
      </w:pPr>
      <w:r w:rsidRPr="00D141FC">
        <w:tab/>
        <w:t>(3</w:t>
      </w:r>
      <w:r w:rsidR="00E503D3" w:rsidRPr="00D141FC">
        <w:t>)</w:t>
      </w:r>
      <w:r w:rsidR="00E503D3" w:rsidRPr="00D141FC">
        <w:tab/>
        <w:t xml:space="preserve">If </w:t>
      </w:r>
      <w:r w:rsidR="00D141FC" w:rsidRPr="00D141FC">
        <w:t>paragraph (</w:t>
      </w:r>
      <w:r w:rsidR="00E503D3" w:rsidRPr="00D141FC">
        <w:t>2)(c) applies, t</w:t>
      </w:r>
      <w:r w:rsidR="00352052" w:rsidRPr="00D141FC">
        <w:t>he fee for the submi</w:t>
      </w:r>
      <w:r w:rsidR="00D91D25" w:rsidRPr="00D141FC">
        <w:t>ssion services, or any part of the</w:t>
      </w:r>
      <w:r w:rsidR="00352052" w:rsidRPr="00D141FC">
        <w:t xml:space="preserve"> fee that has not been waived, is payable to the Department unless:</w:t>
      </w:r>
    </w:p>
    <w:p w:rsidR="00352052" w:rsidRPr="00D141FC" w:rsidRDefault="00352052" w:rsidP="00352052">
      <w:pPr>
        <w:pStyle w:val="paragraph"/>
      </w:pPr>
      <w:r w:rsidRPr="00D141FC">
        <w:tab/>
        <w:t>(a)</w:t>
      </w:r>
      <w:r w:rsidRPr="00D141FC">
        <w:tab/>
        <w:t xml:space="preserve">a fee exemption </w:t>
      </w:r>
      <w:r w:rsidR="006E4451" w:rsidRPr="00D141FC">
        <w:t>applies</w:t>
      </w:r>
      <w:r w:rsidRPr="00D141FC">
        <w:t>; or</w:t>
      </w:r>
    </w:p>
    <w:p w:rsidR="00352052" w:rsidRPr="00D141FC" w:rsidRDefault="00352052" w:rsidP="00352052">
      <w:pPr>
        <w:pStyle w:val="paragraph"/>
      </w:pPr>
      <w:r w:rsidRPr="00D141FC">
        <w:tab/>
        <w:t>(b)</w:t>
      </w:r>
      <w:r w:rsidRPr="00D141FC">
        <w:tab/>
        <w:t>the fee is waived in its entirety</w:t>
      </w:r>
      <w:r w:rsidR="00A07EDA" w:rsidRPr="00D141FC">
        <w:t>.</w:t>
      </w:r>
    </w:p>
    <w:p w:rsidR="00352052" w:rsidRPr="00D141FC" w:rsidRDefault="00352052" w:rsidP="00352052">
      <w:pPr>
        <w:pStyle w:val="notetext"/>
      </w:pPr>
      <w:r w:rsidRPr="00D141FC">
        <w:t>Note:</w:t>
      </w:r>
      <w:r w:rsidRPr="00D141FC">
        <w:tab/>
        <w:t>Part</w:t>
      </w:r>
      <w:r w:rsidR="00D141FC" w:rsidRPr="00D141FC">
        <w:t> </w:t>
      </w:r>
      <w:r w:rsidRPr="00D141FC">
        <w:t>4 deals with the payment of fees, including the time for payment (see paragraph</w:t>
      </w:r>
      <w:r w:rsidR="00D141FC" w:rsidRPr="00D141FC">
        <w:t> </w:t>
      </w:r>
      <w:r w:rsidR="00543D0E" w:rsidRPr="00D141FC">
        <w:t>4</w:t>
      </w:r>
      <w:r w:rsidR="00A07EDA" w:rsidRPr="00D141FC">
        <w:t>.</w:t>
      </w:r>
      <w:r w:rsidR="00543D0E" w:rsidRPr="00D141FC">
        <w:t>1(1)(b</w:t>
      </w:r>
      <w:r w:rsidRPr="00D141FC">
        <w:t>))</w:t>
      </w:r>
      <w:r w:rsidR="00A07EDA" w:rsidRPr="00D141FC">
        <w:t>.</w:t>
      </w:r>
    </w:p>
    <w:p w:rsidR="00C41D9B" w:rsidRPr="00D141FC" w:rsidRDefault="00E66960" w:rsidP="00C41D9B">
      <w:pPr>
        <w:pStyle w:val="ActHead5"/>
      </w:pPr>
      <w:bookmarkStart w:id="35" w:name="_Toc3993179"/>
      <w:r w:rsidRPr="00D141FC">
        <w:rPr>
          <w:rStyle w:val="CharSectno"/>
        </w:rPr>
        <w:t>2</w:t>
      </w:r>
      <w:r w:rsidR="00A07EDA" w:rsidRPr="00D141FC">
        <w:rPr>
          <w:rStyle w:val="CharSectno"/>
        </w:rPr>
        <w:t>.</w:t>
      </w:r>
      <w:r w:rsidRPr="00D141FC">
        <w:rPr>
          <w:rStyle w:val="CharSectno"/>
        </w:rPr>
        <w:t>18</w:t>
      </w:r>
      <w:r w:rsidR="00C41D9B" w:rsidRPr="00D141FC">
        <w:t xml:space="preserve">  Withdrawal</w:t>
      </w:r>
      <w:bookmarkEnd w:id="35"/>
    </w:p>
    <w:p w:rsidR="00FB60A4" w:rsidRPr="00D141FC" w:rsidRDefault="00FB60A4" w:rsidP="00FB60A4">
      <w:pPr>
        <w:pStyle w:val="SubsectionHead"/>
      </w:pPr>
      <w:r w:rsidRPr="00D141FC">
        <w:t>Prior notices or applications may be withdrawn at any time</w:t>
      </w:r>
    </w:p>
    <w:p w:rsidR="00C41D9B" w:rsidRPr="00D141FC" w:rsidRDefault="00C41D9B" w:rsidP="00C41D9B">
      <w:pPr>
        <w:pStyle w:val="subsection"/>
      </w:pPr>
      <w:r w:rsidRPr="00D141FC">
        <w:tab/>
        <w:t>(1)</w:t>
      </w:r>
      <w:r w:rsidRPr="00D141FC">
        <w:tab/>
        <w:t>Either of the following may be withdrawn by written notice to the Department:</w:t>
      </w:r>
    </w:p>
    <w:p w:rsidR="00C41D9B" w:rsidRPr="00D141FC" w:rsidRDefault="00C41D9B" w:rsidP="00C41D9B">
      <w:pPr>
        <w:pStyle w:val="paragraph"/>
      </w:pPr>
      <w:r w:rsidRPr="00D141FC">
        <w:tab/>
        <w:t>(a)</w:t>
      </w:r>
      <w:r w:rsidRPr="00D141FC">
        <w:tab/>
      </w:r>
      <w:r w:rsidR="00C92F06" w:rsidRPr="00D141FC">
        <w:t xml:space="preserve">a notice (a </w:t>
      </w:r>
      <w:r w:rsidR="00C92F06" w:rsidRPr="00D141FC">
        <w:rPr>
          <w:b/>
          <w:i/>
        </w:rPr>
        <w:t>prior notice</w:t>
      </w:r>
      <w:r w:rsidR="00C92F06" w:rsidRPr="00D141FC">
        <w:t>) under subregulation</w:t>
      </w:r>
      <w:r w:rsidR="00D141FC" w:rsidRPr="00D141FC">
        <w:t> </w:t>
      </w:r>
      <w:r w:rsidR="00C92F06" w:rsidRPr="00D141FC">
        <w:t>2</w:t>
      </w:r>
      <w:r w:rsidR="00A07EDA" w:rsidRPr="00D141FC">
        <w:t>.</w:t>
      </w:r>
      <w:r w:rsidR="00C92F06" w:rsidRPr="00D141FC">
        <w:t>15(1) given about a proposed application;</w:t>
      </w:r>
    </w:p>
    <w:p w:rsidR="00C41D9B" w:rsidRPr="00D141FC" w:rsidRDefault="00C41D9B" w:rsidP="00C41D9B">
      <w:pPr>
        <w:pStyle w:val="paragraph"/>
      </w:pPr>
      <w:r w:rsidRPr="00D141FC">
        <w:tab/>
        <w:t>(b)</w:t>
      </w:r>
      <w:r w:rsidRPr="00D141FC">
        <w:tab/>
        <w:t>an application</w:t>
      </w:r>
      <w:r w:rsidR="00716DDB" w:rsidRPr="00D141FC">
        <w:t xml:space="preserve"> </w:t>
      </w:r>
      <w:r w:rsidR="00682BCE" w:rsidRPr="00D141FC">
        <w:t>under this Part</w:t>
      </w:r>
      <w:r w:rsidR="00A07EDA" w:rsidRPr="00D141FC">
        <w:t>.</w:t>
      </w:r>
    </w:p>
    <w:p w:rsidR="00FB60A4" w:rsidRPr="00D141FC" w:rsidRDefault="00FB60A4" w:rsidP="00FB60A4">
      <w:pPr>
        <w:pStyle w:val="SubsectionHead"/>
      </w:pPr>
      <w:r w:rsidRPr="00D141FC">
        <w:t>When a withdrawal will result in a refund</w:t>
      </w:r>
    </w:p>
    <w:p w:rsidR="00DC7E94" w:rsidRPr="00D141FC" w:rsidRDefault="00C41D9B" w:rsidP="00DC7E94">
      <w:pPr>
        <w:pStyle w:val="subsection"/>
      </w:pPr>
      <w:r w:rsidRPr="00D141FC">
        <w:tab/>
        <w:t>(2)</w:t>
      </w:r>
      <w:r w:rsidRPr="00D141FC">
        <w:tab/>
      </w:r>
      <w:r w:rsidR="00DC7E94" w:rsidRPr="00D141FC">
        <w:t xml:space="preserve">If the prior notice is withdrawn within 14 days after </w:t>
      </w:r>
      <w:r w:rsidR="006F4D0E" w:rsidRPr="00D141FC">
        <w:t xml:space="preserve">the day </w:t>
      </w:r>
      <w:r w:rsidR="00DC7E94" w:rsidRPr="00D141FC">
        <w:t>a notification is given under subregulation</w:t>
      </w:r>
      <w:r w:rsidR="00D141FC" w:rsidRPr="00D141FC">
        <w:t> </w:t>
      </w:r>
      <w:r w:rsidR="00DC7E94" w:rsidRPr="00D141FC">
        <w:t>2</w:t>
      </w:r>
      <w:r w:rsidR="00A07EDA" w:rsidRPr="00D141FC">
        <w:t>.</w:t>
      </w:r>
      <w:r w:rsidR="00DC7E94" w:rsidRPr="00D141FC">
        <w:t xml:space="preserve">17(1) about the prior notice, the Department must refund any fee paid for providing submission services in response to the proposed application except for the deposit referred to in </w:t>
      </w:r>
      <w:r w:rsidR="004378BC" w:rsidRPr="00D141FC">
        <w:t>sub</w:t>
      </w:r>
      <w:r w:rsidR="00DC7E94" w:rsidRPr="00D141FC">
        <w:t>regulation</w:t>
      </w:r>
      <w:r w:rsidR="00D141FC" w:rsidRPr="00D141FC">
        <w:t> </w:t>
      </w:r>
      <w:r w:rsidR="00DC7E94" w:rsidRPr="00D141FC">
        <w:t>2</w:t>
      </w:r>
      <w:r w:rsidR="00A07EDA" w:rsidRPr="00D141FC">
        <w:t>.</w:t>
      </w:r>
      <w:r w:rsidR="00DC7E94" w:rsidRPr="00D141FC">
        <w:t>2</w:t>
      </w:r>
      <w:r w:rsidR="004378BC" w:rsidRPr="00D141FC">
        <w:t>(2)</w:t>
      </w:r>
      <w:r w:rsidR="00A07EDA" w:rsidRPr="00D141FC">
        <w:t>.</w:t>
      </w:r>
    </w:p>
    <w:p w:rsidR="00DC7E94" w:rsidRPr="00D141FC" w:rsidRDefault="00DC7E94" w:rsidP="00DC7E94">
      <w:pPr>
        <w:pStyle w:val="subsection"/>
      </w:pPr>
      <w:r w:rsidRPr="00D141FC">
        <w:tab/>
        <w:t>(3)</w:t>
      </w:r>
      <w:r w:rsidRPr="00D141FC">
        <w:tab/>
        <w:t>If</w:t>
      </w:r>
      <w:r w:rsidR="00682BCE" w:rsidRPr="00D141FC">
        <w:t xml:space="preserve"> all of the following apply</w:t>
      </w:r>
      <w:r w:rsidRPr="00D141FC">
        <w:t>:</w:t>
      </w:r>
    </w:p>
    <w:p w:rsidR="00682BCE" w:rsidRPr="00D141FC" w:rsidRDefault="00682BCE" w:rsidP="00DC7E94">
      <w:pPr>
        <w:pStyle w:val="paragraph"/>
      </w:pPr>
      <w:r w:rsidRPr="00D141FC">
        <w:tab/>
        <w:t>(a)</w:t>
      </w:r>
      <w:r w:rsidRPr="00D141FC">
        <w:tab/>
        <w:t>prior notice of the application is not required under subregulation</w:t>
      </w:r>
      <w:r w:rsidR="00D141FC" w:rsidRPr="00D141FC">
        <w:t> </w:t>
      </w:r>
      <w:r w:rsidRPr="00D141FC">
        <w:t>2.15(1);</w:t>
      </w:r>
    </w:p>
    <w:p w:rsidR="00DC7E94" w:rsidRPr="00D141FC" w:rsidRDefault="00DC7E94" w:rsidP="00DC7E94">
      <w:pPr>
        <w:pStyle w:val="paragraph"/>
      </w:pPr>
      <w:r w:rsidRPr="00D141FC">
        <w:tab/>
        <w:t>(</w:t>
      </w:r>
      <w:r w:rsidR="00682BCE" w:rsidRPr="00D141FC">
        <w:t>b</w:t>
      </w:r>
      <w:r w:rsidRPr="00D141FC">
        <w:t>)</w:t>
      </w:r>
      <w:r w:rsidRPr="00D141FC">
        <w:tab/>
        <w:t>a notification is given under subregulation</w:t>
      </w:r>
      <w:r w:rsidR="00D141FC" w:rsidRPr="00D141FC">
        <w:t> </w:t>
      </w:r>
      <w:r w:rsidRPr="00D141FC">
        <w:t>2</w:t>
      </w:r>
      <w:r w:rsidR="00A07EDA" w:rsidRPr="00D141FC">
        <w:t>.</w:t>
      </w:r>
      <w:r w:rsidR="00682BCE" w:rsidRPr="00D141FC">
        <w:t>17(2) about the application;</w:t>
      </w:r>
    </w:p>
    <w:p w:rsidR="00DC7E94" w:rsidRPr="00D141FC" w:rsidRDefault="00682BCE" w:rsidP="00DC7E94">
      <w:pPr>
        <w:pStyle w:val="paragraph"/>
      </w:pPr>
      <w:r w:rsidRPr="00D141FC">
        <w:tab/>
        <w:t>(c</w:t>
      </w:r>
      <w:r w:rsidR="00DC7E94" w:rsidRPr="00D141FC">
        <w:t>)</w:t>
      </w:r>
      <w:r w:rsidR="00DC7E94" w:rsidRPr="00D141FC">
        <w:tab/>
        <w:t>the application is withdrawn within 14 days after</w:t>
      </w:r>
      <w:r w:rsidR="006F4D0E" w:rsidRPr="00D141FC">
        <w:t xml:space="preserve"> the day</w:t>
      </w:r>
      <w:r w:rsidR="00DC7E94" w:rsidRPr="00D141FC">
        <w:t xml:space="preserve"> that notification is given;</w:t>
      </w:r>
    </w:p>
    <w:p w:rsidR="00DC7E94" w:rsidRPr="00D141FC" w:rsidRDefault="00DC7E94" w:rsidP="00DC7E94">
      <w:pPr>
        <w:pStyle w:val="subsection2"/>
      </w:pPr>
      <w:r w:rsidRPr="00D141FC">
        <w:t>the Department must refund any fee paid for providing submission services in response to the application</w:t>
      </w:r>
      <w:r w:rsidR="00A07EDA" w:rsidRPr="00D141FC">
        <w:t>.</w:t>
      </w:r>
    </w:p>
    <w:p w:rsidR="00D0350A" w:rsidRPr="00D141FC" w:rsidRDefault="00E66960" w:rsidP="00D0350A">
      <w:pPr>
        <w:pStyle w:val="ActHead5"/>
      </w:pPr>
      <w:bookmarkStart w:id="36" w:name="_Toc3993180"/>
      <w:r w:rsidRPr="00D141FC">
        <w:rPr>
          <w:rStyle w:val="CharSectno"/>
        </w:rPr>
        <w:t>2</w:t>
      </w:r>
      <w:r w:rsidR="00A07EDA" w:rsidRPr="00D141FC">
        <w:rPr>
          <w:rStyle w:val="CharSectno"/>
        </w:rPr>
        <w:t>.</w:t>
      </w:r>
      <w:r w:rsidRPr="00D141FC">
        <w:rPr>
          <w:rStyle w:val="CharSectno"/>
        </w:rPr>
        <w:t>19</w:t>
      </w:r>
      <w:r w:rsidR="00D0350A" w:rsidRPr="00D141FC">
        <w:t xml:space="preserve">  Resending applications</w:t>
      </w:r>
      <w:bookmarkEnd w:id="36"/>
    </w:p>
    <w:p w:rsidR="009C7F54" w:rsidRPr="00D141FC" w:rsidRDefault="009C7F54" w:rsidP="009C7F54">
      <w:pPr>
        <w:pStyle w:val="subsection"/>
      </w:pPr>
      <w:r w:rsidRPr="00D141FC">
        <w:tab/>
        <w:t>(1)</w:t>
      </w:r>
      <w:r w:rsidRPr="00D141FC">
        <w:tab/>
        <w:t xml:space="preserve">An applicant for an application </w:t>
      </w:r>
      <w:r w:rsidR="00C656FA" w:rsidRPr="00D141FC">
        <w:t>under this Part</w:t>
      </w:r>
      <w:r w:rsidRPr="00D141FC">
        <w:t xml:space="preserve"> may remake and resend the application in the same or an amended form. These Regulations apply to the resent application as if it were a new application.</w:t>
      </w:r>
    </w:p>
    <w:p w:rsidR="009C7F54" w:rsidRPr="00D141FC" w:rsidRDefault="009C7F54" w:rsidP="009C7F54">
      <w:pPr>
        <w:pStyle w:val="notetext"/>
      </w:pPr>
      <w:r w:rsidRPr="00D141FC">
        <w:t>Note:</w:t>
      </w:r>
      <w:r w:rsidRPr="00D141FC">
        <w:tab/>
        <w:t>This means, for example, that the resent application will attract a new fee under regulation</w:t>
      </w:r>
      <w:r w:rsidR="00D141FC" w:rsidRPr="00D141FC">
        <w:t> </w:t>
      </w:r>
      <w:r w:rsidRPr="00D141FC">
        <w:t>2.2.</w:t>
      </w:r>
    </w:p>
    <w:p w:rsidR="00FB60A4" w:rsidRPr="00D141FC" w:rsidRDefault="00FB60A4" w:rsidP="00FB60A4">
      <w:pPr>
        <w:pStyle w:val="subsection"/>
      </w:pPr>
      <w:r w:rsidRPr="00D141FC">
        <w:tab/>
        <w:t>(2)</w:t>
      </w:r>
      <w:r w:rsidRPr="00D141FC">
        <w:tab/>
        <w:t xml:space="preserve">Despite </w:t>
      </w:r>
      <w:r w:rsidR="009C7F54" w:rsidRPr="00D141FC">
        <w:t>subregulation</w:t>
      </w:r>
      <w:r w:rsidR="00D141FC" w:rsidRPr="00D141FC">
        <w:t> </w:t>
      </w:r>
      <w:r w:rsidR="009C7F54" w:rsidRPr="00D141FC">
        <w:t>(1)</w:t>
      </w:r>
      <w:r w:rsidRPr="00D141FC">
        <w:t xml:space="preserve"> and regulation</w:t>
      </w:r>
      <w:r w:rsidR="00D141FC" w:rsidRPr="00D141FC">
        <w:t> </w:t>
      </w:r>
      <w:r w:rsidRPr="00D141FC">
        <w:t>2</w:t>
      </w:r>
      <w:r w:rsidR="00A07EDA" w:rsidRPr="00D141FC">
        <w:t>.</w:t>
      </w:r>
      <w:r w:rsidRPr="00D141FC">
        <w:t>15, prior notice under subregulation</w:t>
      </w:r>
      <w:r w:rsidR="00D141FC" w:rsidRPr="00D141FC">
        <w:t> </w:t>
      </w:r>
      <w:r w:rsidRPr="00D141FC">
        <w:t>2</w:t>
      </w:r>
      <w:r w:rsidR="00A07EDA" w:rsidRPr="00D141FC">
        <w:t>.</w:t>
      </w:r>
      <w:r w:rsidRPr="00D141FC">
        <w:t xml:space="preserve">15(1) of the resent application </w:t>
      </w:r>
      <w:r w:rsidR="00B36C2A" w:rsidRPr="00D141FC">
        <w:t>is not required</w:t>
      </w:r>
      <w:r w:rsidRPr="00D141FC">
        <w:t xml:space="preserve"> if the Secretary agrees to this under subregulation</w:t>
      </w:r>
      <w:r w:rsidR="00D141FC" w:rsidRPr="00D141FC">
        <w:t> </w:t>
      </w:r>
      <w:r w:rsidRPr="00D141FC">
        <w:t>(3) of this regulation</w:t>
      </w:r>
      <w:r w:rsidR="00A07EDA" w:rsidRPr="00D141FC">
        <w:t>.</w:t>
      </w:r>
    </w:p>
    <w:p w:rsidR="00C65B07" w:rsidRPr="00D141FC" w:rsidRDefault="00676DD4" w:rsidP="00676DD4">
      <w:pPr>
        <w:pStyle w:val="notetext"/>
      </w:pPr>
      <w:r w:rsidRPr="00D141FC">
        <w:t>Note:</w:t>
      </w:r>
      <w:r w:rsidRPr="00D141FC">
        <w:tab/>
        <w:t xml:space="preserve">Prior notice will also not be required if the resent application </w:t>
      </w:r>
      <w:r w:rsidR="00C65B07" w:rsidRPr="00D141FC">
        <w:t>is</w:t>
      </w:r>
      <w:r w:rsidRPr="00D141FC">
        <w:t xml:space="preserve"> in </w:t>
      </w:r>
      <w:r w:rsidR="00C65B07" w:rsidRPr="00D141FC">
        <w:t>one of the evaluation categories in items</w:t>
      </w:r>
      <w:r w:rsidR="00D141FC" w:rsidRPr="00D141FC">
        <w:t> </w:t>
      </w:r>
      <w:r w:rsidR="00C65B07" w:rsidRPr="00D141FC">
        <w:t>3 to 5 of the table in subregulation</w:t>
      </w:r>
      <w:r w:rsidR="00D141FC" w:rsidRPr="00D141FC">
        <w:t> </w:t>
      </w:r>
      <w:r w:rsidR="00C65B07" w:rsidRPr="00D141FC">
        <w:t>2.2(1).</w:t>
      </w:r>
    </w:p>
    <w:p w:rsidR="00FB60A4" w:rsidRPr="00D141FC" w:rsidRDefault="00FB60A4" w:rsidP="00FB60A4">
      <w:pPr>
        <w:pStyle w:val="subsection"/>
      </w:pPr>
      <w:r w:rsidRPr="00D141FC">
        <w:tab/>
        <w:t>(3)</w:t>
      </w:r>
      <w:r w:rsidRPr="00D141FC">
        <w:tab/>
        <w:t>The Secretary may, by written notice given to the applicant, agree that prior notice under subregulation</w:t>
      </w:r>
      <w:r w:rsidR="00D141FC" w:rsidRPr="00D141FC">
        <w:t> </w:t>
      </w:r>
      <w:r w:rsidRPr="00D141FC">
        <w:t>2</w:t>
      </w:r>
      <w:r w:rsidR="00A07EDA" w:rsidRPr="00D141FC">
        <w:t>.</w:t>
      </w:r>
      <w:r w:rsidRPr="00D141FC">
        <w:t xml:space="preserve">15(1) of the resent application </w:t>
      </w:r>
      <w:r w:rsidR="00B36C2A" w:rsidRPr="00D141FC">
        <w:t xml:space="preserve">is not required </w:t>
      </w:r>
      <w:r w:rsidRPr="00D141FC">
        <w:t>if the Secretary is satisfied that:</w:t>
      </w:r>
    </w:p>
    <w:p w:rsidR="00FB60A4" w:rsidRPr="00D141FC" w:rsidRDefault="00FB60A4" w:rsidP="00FB60A4">
      <w:pPr>
        <w:pStyle w:val="paragraph"/>
      </w:pPr>
      <w:r w:rsidRPr="00D141FC">
        <w:tab/>
        <w:t>(a)</w:t>
      </w:r>
      <w:r w:rsidRPr="00D141FC">
        <w:tab/>
      </w:r>
      <w:r w:rsidR="002865A5" w:rsidRPr="00D141FC">
        <w:t>the absence of prior notice</w:t>
      </w:r>
      <w:r w:rsidRPr="00D141FC">
        <w:t xml:space="preserve"> would not unduly affect the provision of submission services in response to the resent application; and</w:t>
      </w:r>
    </w:p>
    <w:p w:rsidR="00FB60A4" w:rsidRPr="00D141FC" w:rsidRDefault="00FB60A4" w:rsidP="00FB60A4">
      <w:pPr>
        <w:pStyle w:val="paragraph"/>
      </w:pPr>
      <w:r w:rsidRPr="00D141FC">
        <w:tab/>
        <w:t>(b)</w:t>
      </w:r>
      <w:r w:rsidRPr="00D141FC">
        <w:tab/>
        <w:t>the resent application would be in the minor category (see Subdivision</w:t>
      </w:r>
      <w:r w:rsidR="00D141FC" w:rsidRPr="00D141FC">
        <w:t> </w:t>
      </w:r>
      <w:r w:rsidRPr="00D141FC">
        <w:t>3 of Division</w:t>
      </w:r>
      <w:r w:rsidR="00D141FC" w:rsidRPr="00D141FC">
        <w:t> </w:t>
      </w:r>
      <w:r w:rsidRPr="00D141FC">
        <w:t>2</w:t>
      </w:r>
      <w:r w:rsidR="00A07EDA" w:rsidRPr="00D141FC">
        <w:t>.</w:t>
      </w:r>
      <w:r w:rsidRPr="00D141FC">
        <w:t>1)</w:t>
      </w:r>
      <w:r w:rsidR="00220012" w:rsidRPr="00D141FC">
        <w:t xml:space="preserve"> for consideration at the next meeting of the Committee</w:t>
      </w:r>
      <w:r w:rsidR="00A07EDA" w:rsidRPr="00D141FC">
        <w:t>.</w:t>
      </w:r>
    </w:p>
    <w:p w:rsidR="00A473BB" w:rsidRPr="00D141FC" w:rsidRDefault="00A473BB" w:rsidP="00A473BB">
      <w:pPr>
        <w:pStyle w:val="ActHead3"/>
      </w:pPr>
      <w:bookmarkStart w:id="37" w:name="_Toc3993181"/>
      <w:r w:rsidRPr="00D141FC">
        <w:rPr>
          <w:rStyle w:val="CharDivNo"/>
        </w:rPr>
        <w:t>Division</w:t>
      </w:r>
      <w:r w:rsidR="00D141FC" w:rsidRPr="00D141FC">
        <w:rPr>
          <w:rStyle w:val="CharDivNo"/>
        </w:rPr>
        <w:t> </w:t>
      </w:r>
      <w:r w:rsidRPr="00D141FC">
        <w:rPr>
          <w:rStyle w:val="CharDivNo"/>
        </w:rPr>
        <w:t>2</w:t>
      </w:r>
      <w:r w:rsidR="00A07EDA" w:rsidRPr="00D141FC">
        <w:rPr>
          <w:rStyle w:val="CharDivNo"/>
        </w:rPr>
        <w:t>.</w:t>
      </w:r>
      <w:r w:rsidRPr="00D141FC">
        <w:rPr>
          <w:rStyle w:val="CharDivNo"/>
        </w:rPr>
        <w:t>3</w:t>
      </w:r>
      <w:r w:rsidRPr="00D141FC">
        <w:t>—</w:t>
      </w:r>
      <w:r w:rsidRPr="00D141FC">
        <w:rPr>
          <w:rStyle w:val="CharDivText"/>
        </w:rPr>
        <w:t>Validating evaluation categor</w:t>
      </w:r>
      <w:r w:rsidR="007A1656" w:rsidRPr="00D141FC">
        <w:rPr>
          <w:rStyle w:val="CharDivText"/>
        </w:rPr>
        <w:t>ies</w:t>
      </w:r>
      <w:r w:rsidR="00E955F5" w:rsidRPr="00D141FC">
        <w:rPr>
          <w:rStyle w:val="CharDivText"/>
        </w:rPr>
        <w:t xml:space="preserve"> and assessing application</w:t>
      </w:r>
      <w:r w:rsidR="007A1656" w:rsidRPr="00D141FC">
        <w:rPr>
          <w:rStyle w:val="CharDivText"/>
        </w:rPr>
        <w:t>s</w:t>
      </w:r>
      <w:bookmarkEnd w:id="37"/>
    </w:p>
    <w:p w:rsidR="00A473BB" w:rsidRPr="00D141FC" w:rsidRDefault="00E66960" w:rsidP="00A473BB">
      <w:pPr>
        <w:pStyle w:val="ActHead5"/>
      </w:pPr>
      <w:bookmarkStart w:id="38" w:name="_Toc3993182"/>
      <w:r w:rsidRPr="00D141FC">
        <w:rPr>
          <w:rStyle w:val="CharSectno"/>
        </w:rPr>
        <w:t>2</w:t>
      </w:r>
      <w:r w:rsidR="00A07EDA" w:rsidRPr="00D141FC">
        <w:rPr>
          <w:rStyle w:val="CharSectno"/>
        </w:rPr>
        <w:t>.</w:t>
      </w:r>
      <w:r w:rsidRPr="00D141FC">
        <w:rPr>
          <w:rStyle w:val="CharSectno"/>
        </w:rPr>
        <w:t>20</w:t>
      </w:r>
      <w:r w:rsidR="00A473BB" w:rsidRPr="00D141FC">
        <w:t xml:space="preserve">  Validating an application’s evaluation category</w:t>
      </w:r>
      <w:bookmarkEnd w:id="38"/>
    </w:p>
    <w:p w:rsidR="00A473BB" w:rsidRPr="00D141FC" w:rsidRDefault="00A473BB" w:rsidP="00A473BB">
      <w:pPr>
        <w:pStyle w:val="subsection"/>
      </w:pPr>
      <w:r w:rsidRPr="00D141FC">
        <w:tab/>
        <w:t>(1)</w:t>
      </w:r>
      <w:r w:rsidRPr="00D141FC">
        <w:tab/>
        <w:t>After</w:t>
      </w:r>
      <w:r w:rsidR="0098117C" w:rsidRPr="00D141FC">
        <w:t xml:space="preserve"> having</w:t>
      </w:r>
      <w:r w:rsidRPr="00D141FC">
        <w:t>:</w:t>
      </w:r>
    </w:p>
    <w:p w:rsidR="0098117C" w:rsidRPr="00D141FC" w:rsidRDefault="00A473BB" w:rsidP="00A473BB">
      <w:pPr>
        <w:pStyle w:val="paragraph"/>
      </w:pPr>
      <w:r w:rsidRPr="00D141FC">
        <w:tab/>
        <w:t>(a)</w:t>
      </w:r>
      <w:r w:rsidRPr="00D141FC">
        <w:tab/>
      </w:r>
      <w:r w:rsidR="0098117C" w:rsidRPr="00D141FC">
        <w:t xml:space="preserve">had </w:t>
      </w:r>
      <w:r w:rsidRPr="00D141FC">
        <w:t xml:space="preserve">regard to the matters in </w:t>
      </w:r>
      <w:r w:rsidR="0098117C" w:rsidRPr="00D141FC">
        <w:t>Division</w:t>
      </w:r>
      <w:r w:rsidR="00D141FC" w:rsidRPr="00D141FC">
        <w:t> </w:t>
      </w:r>
      <w:r w:rsidR="0098117C" w:rsidRPr="00D141FC">
        <w:t>2</w:t>
      </w:r>
      <w:r w:rsidR="00A07EDA" w:rsidRPr="00D141FC">
        <w:t>.</w:t>
      </w:r>
      <w:r w:rsidR="0098117C" w:rsidRPr="00D141FC">
        <w:t>1; and</w:t>
      </w:r>
    </w:p>
    <w:p w:rsidR="0098117C" w:rsidRPr="00D141FC" w:rsidRDefault="0098117C" w:rsidP="00A473BB">
      <w:pPr>
        <w:pStyle w:val="paragraph"/>
      </w:pPr>
      <w:r w:rsidRPr="00D141FC">
        <w:tab/>
        <w:t>(b)</w:t>
      </w:r>
      <w:r w:rsidRPr="00D141FC">
        <w:tab/>
        <w:t>consult</w:t>
      </w:r>
      <w:r w:rsidR="00CE0135" w:rsidRPr="00D141FC">
        <w:t>ed</w:t>
      </w:r>
      <w:r w:rsidRPr="00D141FC">
        <w:t xml:space="preserve"> with the Chair of the Committee;</w:t>
      </w:r>
    </w:p>
    <w:p w:rsidR="00A473BB" w:rsidRPr="00D141FC" w:rsidRDefault="00A473BB" w:rsidP="0098117C">
      <w:pPr>
        <w:pStyle w:val="subsection2"/>
      </w:pPr>
      <w:r w:rsidRPr="00D141FC">
        <w:t>the Secretary may, in writing, determine that a</w:t>
      </w:r>
      <w:r w:rsidR="0098117C" w:rsidRPr="00D141FC">
        <w:t>n</w:t>
      </w:r>
      <w:r w:rsidRPr="00D141FC">
        <w:t xml:space="preserve"> application </w:t>
      </w:r>
      <w:r w:rsidR="005E3972" w:rsidRPr="00D141FC">
        <w:t xml:space="preserve">under this Part </w:t>
      </w:r>
      <w:r w:rsidRPr="00D141FC">
        <w:t xml:space="preserve">is in one of the </w:t>
      </w:r>
      <w:r w:rsidR="0098117C" w:rsidRPr="00D141FC">
        <w:t xml:space="preserve">evaluation </w:t>
      </w:r>
      <w:r w:rsidRPr="00D141FC">
        <w:t xml:space="preserve">categories mentioned in </w:t>
      </w:r>
      <w:r w:rsidR="0098117C" w:rsidRPr="00D141FC">
        <w:t>that Division</w:t>
      </w:r>
      <w:r w:rsidR="00A07EDA" w:rsidRPr="00D141FC">
        <w:t>.</w:t>
      </w:r>
    </w:p>
    <w:p w:rsidR="003E4700" w:rsidRPr="00D141FC" w:rsidRDefault="005C190A" w:rsidP="003E4700">
      <w:pPr>
        <w:pStyle w:val="notetext"/>
      </w:pPr>
      <w:r w:rsidRPr="00D141FC">
        <w:t>Note</w:t>
      </w:r>
      <w:r w:rsidR="003E4700" w:rsidRPr="00D141FC">
        <w:t>:</w:t>
      </w:r>
      <w:r w:rsidR="003E4700" w:rsidRPr="00D141FC">
        <w:tab/>
      </w:r>
      <w:r w:rsidR="006D6A04" w:rsidRPr="00D141FC">
        <w:t>The Secretary may initiate a review of th</w:t>
      </w:r>
      <w:r w:rsidR="000C4188" w:rsidRPr="00D141FC">
        <w:t>e</w:t>
      </w:r>
      <w:r w:rsidR="006D6A04" w:rsidRPr="00D141FC">
        <w:t xml:space="preserve"> decision to make the determination (see regulation</w:t>
      </w:r>
      <w:r w:rsidR="00D141FC" w:rsidRPr="00D141FC">
        <w:t> </w:t>
      </w:r>
      <w:r w:rsidR="006D6A04" w:rsidRPr="00D141FC">
        <w:t>6</w:t>
      </w:r>
      <w:r w:rsidR="00A07EDA" w:rsidRPr="00D141FC">
        <w:t>.</w:t>
      </w:r>
      <w:r w:rsidR="006D6A04" w:rsidRPr="00D141FC">
        <w:t>3)</w:t>
      </w:r>
      <w:r w:rsidR="00A07EDA" w:rsidRPr="00D141FC">
        <w:t>.</w:t>
      </w:r>
    </w:p>
    <w:p w:rsidR="00D23B55" w:rsidRPr="00D141FC" w:rsidRDefault="00D23B55" w:rsidP="00D23B55">
      <w:pPr>
        <w:pStyle w:val="subsection"/>
      </w:pPr>
      <w:r w:rsidRPr="00D141FC">
        <w:tab/>
        <w:t>(2)</w:t>
      </w:r>
      <w:r w:rsidRPr="00D141FC">
        <w:tab/>
        <w:t>If the evaluation category determined under subregulation</w:t>
      </w:r>
      <w:r w:rsidR="00D141FC" w:rsidRPr="00D141FC">
        <w:t> </w:t>
      </w:r>
      <w:r w:rsidRPr="00D141FC">
        <w:t>(1) for the application is different from the evaluation category used to work out the fee notified to the person under regulation</w:t>
      </w:r>
      <w:r w:rsidR="00D141FC" w:rsidRPr="00D141FC">
        <w:t> </w:t>
      </w:r>
      <w:r w:rsidRPr="00D141FC">
        <w:t>2</w:t>
      </w:r>
      <w:r w:rsidR="00A07EDA" w:rsidRPr="00D141FC">
        <w:t>.</w:t>
      </w:r>
      <w:r w:rsidRPr="00D141FC">
        <w:t>17</w:t>
      </w:r>
      <w:r w:rsidR="00D50794" w:rsidRPr="00D141FC">
        <w:t xml:space="preserve"> (or previously under this regulation)</w:t>
      </w:r>
      <w:r w:rsidRPr="00D141FC">
        <w:t xml:space="preserve">, the Secretary must </w:t>
      </w:r>
      <w:r w:rsidR="00044349" w:rsidRPr="00D141FC">
        <w:t xml:space="preserve">notify the person </w:t>
      </w:r>
      <w:r w:rsidRPr="00D141FC">
        <w:t>in writing accordingly</w:t>
      </w:r>
      <w:r w:rsidR="00A07EDA" w:rsidRPr="00D141FC">
        <w:t>.</w:t>
      </w:r>
    </w:p>
    <w:p w:rsidR="00A473BB" w:rsidRPr="00D141FC" w:rsidRDefault="00A473BB" w:rsidP="00A473BB">
      <w:pPr>
        <w:pStyle w:val="subsection"/>
      </w:pPr>
      <w:r w:rsidRPr="00D141FC">
        <w:tab/>
        <w:t>(3)</w:t>
      </w:r>
      <w:r w:rsidRPr="00D141FC">
        <w:tab/>
        <w:t>A notice under subregulation</w:t>
      </w:r>
      <w:r w:rsidR="00D141FC" w:rsidRPr="00D141FC">
        <w:t> </w:t>
      </w:r>
      <w:r w:rsidRPr="00D141FC">
        <w:t>(2) to the person must state:</w:t>
      </w:r>
    </w:p>
    <w:p w:rsidR="00A473BB" w:rsidRPr="00D141FC" w:rsidRDefault="00A473BB" w:rsidP="00A473BB">
      <w:pPr>
        <w:pStyle w:val="paragraph"/>
      </w:pPr>
      <w:r w:rsidRPr="00D141FC">
        <w:tab/>
        <w:t>(a)</w:t>
      </w:r>
      <w:r w:rsidRPr="00D141FC">
        <w:tab/>
        <w:t xml:space="preserve">the amounts of the fees payable for the </w:t>
      </w:r>
      <w:r w:rsidR="0098117C" w:rsidRPr="00D141FC">
        <w:t>submission</w:t>
      </w:r>
      <w:r w:rsidRPr="00D141FC">
        <w:t xml:space="preserve"> services that relate to each of those </w:t>
      </w:r>
      <w:r w:rsidR="0098117C" w:rsidRPr="00D141FC">
        <w:t xml:space="preserve">evaluation </w:t>
      </w:r>
      <w:r w:rsidRPr="00D141FC">
        <w:t>categories; and</w:t>
      </w:r>
    </w:p>
    <w:p w:rsidR="00A473BB" w:rsidRPr="00D141FC" w:rsidRDefault="00A473BB" w:rsidP="00A473BB">
      <w:pPr>
        <w:pStyle w:val="paragraph"/>
      </w:pPr>
      <w:r w:rsidRPr="00D141FC">
        <w:tab/>
        <w:t>(b)</w:t>
      </w:r>
      <w:r w:rsidRPr="00D141FC">
        <w:tab/>
        <w:t>the fee amount</w:t>
      </w:r>
      <w:r w:rsidR="00D50794" w:rsidRPr="00D141FC">
        <w:t>s</w:t>
      </w:r>
      <w:r w:rsidRPr="00D141FC">
        <w:t xml:space="preserve"> already paid</w:t>
      </w:r>
      <w:r w:rsidR="00D50794" w:rsidRPr="00D141FC">
        <w:t>, or refunded,</w:t>
      </w:r>
      <w:r w:rsidRPr="00D141FC">
        <w:t xml:space="preserve"> (if any) for the </w:t>
      </w:r>
      <w:r w:rsidR="0098117C" w:rsidRPr="00D141FC">
        <w:t>submission</w:t>
      </w:r>
      <w:r w:rsidRPr="00D141FC">
        <w:t xml:space="preserve"> services; and</w:t>
      </w:r>
    </w:p>
    <w:p w:rsidR="00A473BB" w:rsidRPr="00D141FC" w:rsidRDefault="00A473BB" w:rsidP="00A473BB">
      <w:pPr>
        <w:pStyle w:val="paragraph"/>
      </w:pPr>
      <w:r w:rsidRPr="00D141FC">
        <w:tab/>
        <w:t>(c)</w:t>
      </w:r>
      <w:r w:rsidRPr="00D141FC">
        <w:tab/>
        <w:t xml:space="preserve">the fee amount </w:t>
      </w:r>
      <w:r w:rsidR="00BB1F1F" w:rsidRPr="00D141FC">
        <w:t xml:space="preserve">that is </w:t>
      </w:r>
      <w:r w:rsidRPr="00D141FC">
        <w:t xml:space="preserve">to be refunded to, or </w:t>
      </w:r>
      <w:r w:rsidR="00BB1F1F" w:rsidRPr="00D141FC">
        <w:t xml:space="preserve">is </w:t>
      </w:r>
      <w:r w:rsidRPr="00D141FC">
        <w:t xml:space="preserve">payable by, the person that reflects the amounts referred to in </w:t>
      </w:r>
      <w:r w:rsidR="00D141FC" w:rsidRPr="00D141FC">
        <w:t>paragraphs (</w:t>
      </w:r>
      <w:r w:rsidRPr="00D141FC">
        <w:t>a) and (b); and</w:t>
      </w:r>
    </w:p>
    <w:p w:rsidR="00A473BB" w:rsidRPr="00D141FC" w:rsidRDefault="00A473BB" w:rsidP="00A473BB">
      <w:pPr>
        <w:pStyle w:val="paragraph"/>
      </w:pPr>
      <w:r w:rsidRPr="00D141FC">
        <w:tab/>
        <w:t>(d)</w:t>
      </w:r>
      <w:r w:rsidRPr="00D141FC">
        <w:tab/>
        <w:t xml:space="preserve">the manner for paying any amount referred to in </w:t>
      </w:r>
      <w:r w:rsidR="00D141FC" w:rsidRPr="00D141FC">
        <w:t>paragraph (</w:t>
      </w:r>
      <w:r w:rsidRPr="00D141FC">
        <w:t>c) that is payable by the person; and</w:t>
      </w:r>
    </w:p>
    <w:p w:rsidR="00A473BB" w:rsidRPr="00D141FC" w:rsidRDefault="00A473BB" w:rsidP="00A473BB">
      <w:pPr>
        <w:pStyle w:val="paragraph"/>
      </w:pPr>
      <w:r w:rsidRPr="00D141FC">
        <w:tab/>
        <w:t>(e)</w:t>
      </w:r>
      <w:r w:rsidRPr="00D141FC">
        <w:tab/>
        <w:t>the applicant’s review rights under Part</w:t>
      </w:r>
      <w:r w:rsidR="00D141FC" w:rsidRPr="00D141FC">
        <w:t> </w:t>
      </w:r>
      <w:r w:rsidRPr="00D141FC">
        <w:t>6 in relation to the determination under subregulation</w:t>
      </w:r>
      <w:r w:rsidR="00D141FC" w:rsidRPr="00D141FC">
        <w:t> </w:t>
      </w:r>
      <w:r w:rsidRPr="00D141FC">
        <w:t>(1)</w:t>
      </w:r>
      <w:r w:rsidR="00A07EDA" w:rsidRPr="00D141FC">
        <w:t>.</w:t>
      </w:r>
    </w:p>
    <w:p w:rsidR="005417DF" w:rsidRPr="00D141FC" w:rsidRDefault="005417DF" w:rsidP="005417DF">
      <w:pPr>
        <w:pStyle w:val="subsection2"/>
      </w:pPr>
      <w:r w:rsidRPr="00D141FC">
        <w:t xml:space="preserve">Any fee amount notified under </w:t>
      </w:r>
      <w:r w:rsidR="00D141FC" w:rsidRPr="00D141FC">
        <w:t>paragraph (</w:t>
      </w:r>
      <w:r w:rsidRPr="00D141FC">
        <w:t>c) as being payable is payable to the Department.</w:t>
      </w:r>
    </w:p>
    <w:p w:rsidR="00A473BB" w:rsidRPr="00D141FC" w:rsidRDefault="00A473BB" w:rsidP="00A473BB">
      <w:pPr>
        <w:pStyle w:val="notetext"/>
      </w:pPr>
      <w:r w:rsidRPr="00D141FC">
        <w:t>Note:</w:t>
      </w:r>
      <w:r w:rsidRPr="00D141FC">
        <w:tab/>
        <w:t>Part</w:t>
      </w:r>
      <w:r w:rsidR="00D141FC" w:rsidRPr="00D141FC">
        <w:t> </w:t>
      </w:r>
      <w:r w:rsidRPr="00D141FC">
        <w:t>4 deals with the payment of fees, including the time for payment (see paragraph</w:t>
      </w:r>
      <w:r w:rsidR="00D141FC" w:rsidRPr="00D141FC">
        <w:t> </w:t>
      </w:r>
      <w:r w:rsidR="00543D0E" w:rsidRPr="00D141FC">
        <w:t>4</w:t>
      </w:r>
      <w:r w:rsidR="00A07EDA" w:rsidRPr="00D141FC">
        <w:t>.</w:t>
      </w:r>
      <w:r w:rsidR="00543D0E" w:rsidRPr="00D141FC">
        <w:t>1(1)(b</w:t>
      </w:r>
      <w:r w:rsidRPr="00D141FC">
        <w:t>)</w:t>
      </w:r>
      <w:r w:rsidR="00E955F5" w:rsidRPr="00D141FC">
        <w:t>)</w:t>
      </w:r>
      <w:r w:rsidR="00A07EDA" w:rsidRPr="00D141FC">
        <w:t>.</w:t>
      </w:r>
    </w:p>
    <w:p w:rsidR="00A473BB" w:rsidRPr="00D141FC" w:rsidRDefault="00A473BB" w:rsidP="00A473BB">
      <w:pPr>
        <w:pStyle w:val="subsection"/>
      </w:pPr>
      <w:r w:rsidRPr="00D141FC">
        <w:tab/>
        <w:t>(4)</w:t>
      </w:r>
      <w:r w:rsidRPr="00D141FC">
        <w:tab/>
        <w:t xml:space="preserve">For the purposes of </w:t>
      </w:r>
      <w:r w:rsidR="00D141FC" w:rsidRPr="00D141FC">
        <w:t>paragraph (</w:t>
      </w:r>
      <w:r w:rsidRPr="00D141FC">
        <w:t xml:space="preserve">3)(a), the fee payable for the </w:t>
      </w:r>
      <w:r w:rsidR="0098117C" w:rsidRPr="00D141FC">
        <w:t>submission</w:t>
      </w:r>
      <w:r w:rsidRPr="00D141FC">
        <w:t xml:space="preserve"> services that relate</w:t>
      </w:r>
      <w:r w:rsidR="008009A3" w:rsidRPr="00D141FC">
        <w:t>s</w:t>
      </w:r>
      <w:r w:rsidRPr="00D141FC">
        <w:t xml:space="preserve"> to the </w:t>
      </w:r>
      <w:r w:rsidR="00E955F5" w:rsidRPr="00D141FC">
        <w:t xml:space="preserve">new </w:t>
      </w:r>
      <w:r w:rsidR="0098117C" w:rsidRPr="00D141FC">
        <w:t xml:space="preserve">evaluation </w:t>
      </w:r>
      <w:r w:rsidRPr="00D141FC">
        <w:t>category determined under subregulation</w:t>
      </w:r>
      <w:r w:rsidR="00D141FC" w:rsidRPr="00D141FC">
        <w:t> </w:t>
      </w:r>
      <w:r w:rsidRPr="00D141FC">
        <w:t xml:space="preserve">(1) is worked out as if that fee had been notified to the person </w:t>
      </w:r>
      <w:r w:rsidR="009A0576" w:rsidRPr="00D141FC">
        <w:t>during the same financial year as</w:t>
      </w:r>
      <w:r w:rsidRPr="00D141FC">
        <w:t xml:space="preserve"> </w:t>
      </w:r>
      <w:r w:rsidR="00682BCE" w:rsidRPr="00D141FC">
        <w:t xml:space="preserve">that in which </w:t>
      </w:r>
      <w:r w:rsidRPr="00D141FC">
        <w:t xml:space="preserve">the notification </w:t>
      </w:r>
      <w:r w:rsidR="009A0576" w:rsidRPr="00D141FC">
        <w:t>for the application</w:t>
      </w:r>
      <w:r w:rsidRPr="00D141FC">
        <w:t xml:space="preserve"> was given</w:t>
      </w:r>
      <w:r w:rsidR="001B267A" w:rsidRPr="00D141FC">
        <w:t xml:space="preserve"> to the person</w:t>
      </w:r>
      <w:r w:rsidR="00A07EDA" w:rsidRPr="00D141FC">
        <w:t>.</w:t>
      </w:r>
    </w:p>
    <w:p w:rsidR="005E3972" w:rsidRPr="00D141FC" w:rsidRDefault="00E66960" w:rsidP="005E3972">
      <w:pPr>
        <w:pStyle w:val="ActHead5"/>
      </w:pPr>
      <w:bookmarkStart w:id="39" w:name="_Toc3993183"/>
      <w:r w:rsidRPr="00D141FC">
        <w:rPr>
          <w:rStyle w:val="CharSectno"/>
        </w:rPr>
        <w:t>2</w:t>
      </w:r>
      <w:r w:rsidR="00A07EDA" w:rsidRPr="00D141FC">
        <w:rPr>
          <w:rStyle w:val="CharSectno"/>
        </w:rPr>
        <w:t>.</w:t>
      </w:r>
      <w:r w:rsidRPr="00D141FC">
        <w:rPr>
          <w:rStyle w:val="CharSectno"/>
        </w:rPr>
        <w:t>21</w:t>
      </w:r>
      <w:r w:rsidR="005E3972" w:rsidRPr="00D141FC">
        <w:t xml:space="preserve">  Assessing applications</w:t>
      </w:r>
      <w:bookmarkEnd w:id="39"/>
    </w:p>
    <w:p w:rsidR="005E3972" w:rsidRPr="00D141FC" w:rsidRDefault="005E3972" w:rsidP="005E3972">
      <w:pPr>
        <w:pStyle w:val="subsection"/>
      </w:pPr>
      <w:r w:rsidRPr="00D141FC">
        <w:tab/>
        <w:t>(1)</w:t>
      </w:r>
      <w:r w:rsidRPr="00D141FC">
        <w:tab/>
        <w:t xml:space="preserve">The Committee </w:t>
      </w:r>
      <w:r w:rsidR="00C656FA" w:rsidRPr="00D141FC">
        <w:t xml:space="preserve">or the Minister </w:t>
      </w:r>
      <w:r w:rsidRPr="00D141FC">
        <w:t xml:space="preserve">may request further information from the applicant about an application </w:t>
      </w:r>
      <w:r w:rsidR="00C656FA" w:rsidRPr="00D141FC">
        <w:t>under</w:t>
      </w:r>
      <w:r w:rsidRPr="00D141FC">
        <w:t xml:space="preserve"> this Part</w:t>
      </w:r>
      <w:r w:rsidR="00A07EDA" w:rsidRPr="00D141FC">
        <w:t>.</w:t>
      </w:r>
    </w:p>
    <w:p w:rsidR="005E3972" w:rsidRPr="00D141FC" w:rsidRDefault="005E3972" w:rsidP="005E3972">
      <w:pPr>
        <w:pStyle w:val="subsection"/>
      </w:pPr>
      <w:r w:rsidRPr="00D141FC">
        <w:tab/>
        <w:t>(2)</w:t>
      </w:r>
      <w:r w:rsidRPr="00D141FC">
        <w:tab/>
        <w:t>If the Committee</w:t>
      </w:r>
      <w:r w:rsidR="00C656FA" w:rsidRPr="00D141FC">
        <w:t>,</w:t>
      </w:r>
      <w:r w:rsidRPr="00D141FC">
        <w:t xml:space="preserve"> </w:t>
      </w:r>
      <w:r w:rsidR="00C656FA" w:rsidRPr="00D141FC">
        <w:t xml:space="preserve">or the Minister, (the </w:t>
      </w:r>
      <w:r w:rsidR="00C656FA" w:rsidRPr="00D141FC">
        <w:rPr>
          <w:b/>
          <w:i/>
        </w:rPr>
        <w:t>assessor</w:t>
      </w:r>
      <w:r w:rsidR="00C656FA" w:rsidRPr="00D141FC">
        <w:t xml:space="preserve">) </w:t>
      </w:r>
      <w:r w:rsidRPr="00D141FC">
        <w:t xml:space="preserve">is unable to assess such an application without further information, the </w:t>
      </w:r>
      <w:r w:rsidR="00C656FA" w:rsidRPr="00D141FC">
        <w:t>assessor</w:t>
      </w:r>
      <w:r w:rsidRPr="00D141FC">
        <w:t xml:space="preserve"> may ask the Secretary to consider:</w:t>
      </w:r>
    </w:p>
    <w:p w:rsidR="005E3972" w:rsidRPr="00D141FC" w:rsidRDefault="005E3972" w:rsidP="005E3972">
      <w:pPr>
        <w:pStyle w:val="paragraph"/>
      </w:pPr>
      <w:r w:rsidRPr="00D141FC">
        <w:tab/>
        <w:t>(a)</w:t>
      </w:r>
      <w:r w:rsidRPr="00D141FC">
        <w:tab/>
        <w:t>making a determination under subregulation</w:t>
      </w:r>
      <w:r w:rsidR="00D141FC" w:rsidRPr="00D141FC">
        <w:t> </w:t>
      </w:r>
      <w:r w:rsidR="00E66960" w:rsidRPr="00D141FC">
        <w:t>2</w:t>
      </w:r>
      <w:r w:rsidR="00A07EDA" w:rsidRPr="00D141FC">
        <w:t>.</w:t>
      </w:r>
      <w:r w:rsidR="00E66960" w:rsidRPr="00D141FC">
        <w:t>20</w:t>
      </w:r>
      <w:r w:rsidRPr="00D141FC">
        <w:t>(1) about the application; or</w:t>
      </w:r>
    </w:p>
    <w:p w:rsidR="005E3972" w:rsidRPr="00D141FC" w:rsidRDefault="005E3972" w:rsidP="005E3972">
      <w:pPr>
        <w:pStyle w:val="paragraph"/>
      </w:pPr>
      <w:r w:rsidRPr="00D141FC">
        <w:tab/>
        <w:t>(b)</w:t>
      </w:r>
      <w:r w:rsidRPr="00D141FC">
        <w:tab/>
        <w:t>reviewing under regulation</w:t>
      </w:r>
      <w:r w:rsidR="00D141FC" w:rsidRPr="00D141FC">
        <w:t> </w:t>
      </w:r>
      <w:r w:rsidRPr="00D141FC">
        <w:t>6</w:t>
      </w:r>
      <w:r w:rsidR="00A07EDA" w:rsidRPr="00D141FC">
        <w:t>.</w:t>
      </w:r>
      <w:r w:rsidRPr="00D141FC">
        <w:t>3 a determination under subregulation</w:t>
      </w:r>
      <w:r w:rsidR="00D141FC" w:rsidRPr="00D141FC">
        <w:t> </w:t>
      </w:r>
      <w:r w:rsidR="00E66960" w:rsidRPr="00D141FC">
        <w:t>2</w:t>
      </w:r>
      <w:r w:rsidR="00A07EDA" w:rsidRPr="00D141FC">
        <w:t>.</w:t>
      </w:r>
      <w:r w:rsidR="00E66960" w:rsidRPr="00D141FC">
        <w:t>20</w:t>
      </w:r>
      <w:r w:rsidRPr="00D141FC">
        <w:t>(1), or a decision under subregulation</w:t>
      </w:r>
      <w:r w:rsidR="00D141FC" w:rsidRPr="00D141FC">
        <w:t> </w:t>
      </w:r>
      <w:r w:rsidRPr="00D141FC">
        <w:t>5</w:t>
      </w:r>
      <w:r w:rsidR="00A07EDA" w:rsidRPr="00D141FC">
        <w:t>.</w:t>
      </w:r>
      <w:r w:rsidRPr="00D141FC">
        <w:t>2(</w:t>
      </w:r>
      <w:r w:rsidR="006B5ED3" w:rsidRPr="00D141FC">
        <w:t>1</w:t>
      </w:r>
      <w:r w:rsidRPr="00D141FC">
        <w:t>), about the application</w:t>
      </w:r>
      <w:r w:rsidR="00A07EDA" w:rsidRPr="00D141FC">
        <w:t>.</w:t>
      </w:r>
    </w:p>
    <w:p w:rsidR="008C6072" w:rsidRPr="00D141FC" w:rsidRDefault="00F9708D" w:rsidP="008C6072">
      <w:pPr>
        <w:pStyle w:val="ItemHead"/>
      </w:pPr>
      <w:r w:rsidRPr="00D141FC">
        <w:t>26</w:t>
      </w:r>
      <w:r w:rsidR="008C6072" w:rsidRPr="00D141FC">
        <w:t xml:space="preserve">  Part</w:t>
      </w:r>
      <w:r w:rsidR="00D141FC" w:rsidRPr="00D141FC">
        <w:t> </w:t>
      </w:r>
      <w:r w:rsidR="008C6072" w:rsidRPr="00D141FC">
        <w:t>3</w:t>
      </w:r>
    </w:p>
    <w:p w:rsidR="008C6072" w:rsidRPr="00D141FC" w:rsidRDefault="008C6072" w:rsidP="008C6072">
      <w:pPr>
        <w:pStyle w:val="Item"/>
      </w:pPr>
      <w:r w:rsidRPr="00D141FC">
        <w:t>Repeal the Part, substitute:</w:t>
      </w:r>
    </w:p>
    <w:p w:rsidR="0008531C" w:rsidRPr="00D141FC" w:rsidRDefault="00B6518A" w:rsidP="00CC1A08">
      <w:pPr>
        <w:pStyle w:val="ActHead2"/>
      </w:pPr>
      <w:bookmarkStart w:id="40" w:name="_Toc3993184"/>
      <w:r w:rsidRPr="00D141FC">
        <w:rPr>
          <w:rStyle w:val="CharPartNo"/>
        </w:rPr>
        <w:t>Part</w:t>
      </w:r>
      <w:r w:rsidR="00D141FC" w:rsidRPr="00D141FC">
        <w:rPr>
          <w:rStyle w:val="CharPartNo"/>
        </w:rPr>
        <w:t> </w:t>
      </w:r>
      <w:r w:rsidRPr="00D141FC">
        <w:rPr>
          <w:rStyle w:val="CharPartNo"/>
        </w:rPr>
        <w:t>3</w:t>
      </w:r>
      <w:r w:rsidR="0008531C" w:rsidRPr="00D141FC">
        <w:t>—</w:t>
      </w:r>
      <w:r w:rsidR="00A074BC" w:rsidRPr="00D141FC">
        <w:rPr>
          <w:rStyle w:val="CharPartText"/>
        </w:rPr>
        <w:t>Pricing</w:t>
      </w:r>
      <w:r w:rsidR="00D95FCA" w:rsidRPr="00D141FC">
        <w:rPr>
          <w:rStyle w:val="CharPartText"/>
        </w:rPr>
        <w:t xml:space="preserve"> services</w:t>
      </w:r>
      <w:bookmarkEnd w:id="40"/>
    </w:p>
    <w:p w:rsidR="00811D16" w:rsidRPr="00D141FC" w:rsidRDefault="00811D16" w:rsidP="00811D16">
      <w:pPr>
        <w:pStyle w:val="ActHead3"/>
      </w:pPr>
      <w:bookmarkStart w:id="41" w:name="_Toc3993185"/>
      <w:r w:rsidRPr="00D141FC">
        <w:rPr>
          <w:rStyle w:val="CharDivNo"/>
        </w:rPr>
        <w:t>Division</w:t>
      </w:r>
      <w:r w:rsidR="00D141FC" w:rsidRPr="00D141FC">
        <w:rPr>
          <w:rStyle w:val="CharDivNo"/>
        </w:rPr>
        <w:t> </w:t>
      </w:r>
      <w:r w:rsidRPr="00D141FC">
        <w:rPr>
          <w:rStyle w:val="CharDivNo"/>
        </w:rPr>
        <w:t>3.1</w:t>
      </w:r>
      <w:r w:rsidRPr="00D141FC">
        <w:t>—</w:t>
      </w:r>
      <w:r w:rsidRPr="00D141FC">
        <w:rPr>
          <w:rStyle w:val="CharDivText"/>
        </w:rPr>
        <w:t>Preliminary</w:t>
      </w:r>
      <w:bookmarkEnd w:id="41"/>
    </w:p>
    <w:p w:rsidR="00963048" w:rsidRPr="00D141FC" w:rsidRDefault="00A07EDA" w:rsidP="00963048">
      <w:pPr>
        <w:pStyle w:val="ActHead5"/>
      </w:pPr>
      <w:bookmarkStart w:id="42" w:name="_Toc3993186"/>
      <w:r w:rsidRPr="00D141FC">
        <w:rPr>
          <w:rStyle w:val="CharSectno"/>
        </w:rPr>
        <w:t>3.1</w:t>
      </w:r>
      <w:r w:rsidR="00963048" w:rsidRPr="00D141FC">
        <w:t xml:space="preserve">  Simplified outline of this Part</w:t>
      </w:r>
      <w:bookmarkEnd w:id="42"/>
    </w:p>
    <w:p w:rsidR="000621B2" w:rsidRPr="00D141FC" w:rsidRDefault="000621B2" w:rsidP="000621B2">
      <w:pPr>
        <w:pStyle w:val="SOText"/>
      </w:pPr>
      <w:r w:rsidRPr="00D141FC">
        <w:t xml:space="preserve">Pricing services may be sought after a meeting of the Committee </w:t>
      </w:r>
      <w:r w:rsidR="00BC5F8C" w:rsidRPr="00D141FC">
        <w:t xml:space="preserve">that </w:t>
      </w:r>
      <w:r w:rsidR="00C85CAA" w:rsidRPr="00D141FC">
        <w:t>results in</w:t>
      </w:r>
      <w:r w:rsidRPr="00D141FC">
        <w:t xml:space="preserve"> the Committee m</w:t>
      </w:r>
      <w:r w:rsidR="00C85CAA" w:rsidRPr="00D141FC">
        <w:t xml:space="preserve">aking a </w:t>
      </w:r>
      <w:r w:rsidR="000D540E" w:rsidRPr="00D141FC">
        <w:t xml:space="preserve">positive </w:t>
      </w:r>
      <w:r w:rsidR="00C85CAA" w:rsidRPr="00D141FC">
        <w:t>recommendation, or giving</w:t>
      </w:r>
      <w:r w:rsidRPr="00D141FC">
        <w:t xml:space="preserve"> </w:t>
      </w:r>
      <w:r w:rsidR="000D540E" w:rsidRPr="00D141FC">
        <w:t xml:space="preserve">positive </w:t>
      </w:r>
      <w:r w:rsidRPr="00D141FC">
        <w:t xml:space="preserve">advice, </w:t>
      </w:r>
      <w:r w:rsidR="00C85CAA" w:rsidRPr="00D141FC">
        <w:t>as part of</w:t>
      </w:r>
      <w:r w:rsidRPr="00D141FC">
        <w:t xml:space="preserve"> providing submission services under Part</w:t>
      </w:r>
      <w:r w:rsidR="00D141FC" w:rsidRPr="00D141FC">
        <w:t> </w:t>
      </w:r>
      <w:r w:rsidRPr="00D141FC">
        <w:t>2</w:t>
      </w:r>
      <w:r w:rsidR="00A07EDA" w:rsidRPr="00D141FC">
        <w:t>.</w:t>
      </w:r>
    </w:p>
    <w:p w:rsidR="000621B2" w:rsidRPr="00D141FC" w:rsidRDefault="00BC5F8C" w:rsidP="000621B2">
      <w:pPr>
        <w:pStyle w:val="SOText"/>
      </w:pPr>
      <w:r w:rsidRPr="00D141FC">
        <w:t>The p</w:t>
      </w:r>
      <w:r w:rsidR="000621B2" w:rsidRPr="00D141FC">
        <w:t xml:space="preserve">ricing services </w:t>
      </w:r>
      <w:r w:rsidRPr="00D141FC">
        <w:t>will be</w:t>
      </w:r>
      <w:r w:rsidR="000621B2" w:rsidRPr="00D141FC">
        <w:t xml:space="preserve"> provided in response to a person’s pricing application</w:t>
      </w:r>
      <w:r w:rsidR="00A07EDA" w:rsidRPr="00D141FC">
        <w:t>.</w:t>
      </w:r>
      <w:r w:rsidR="000621B2" w:rsidRPr="00D141FC">
        <w:t xml:space="preserve"> The amount of the fee payable for providing the pricing services depends on the category of the person’s pricing application</w:t>
      </w:r>
      <w:r w:rsidR="00A07EDA" w:rsidRPr="00D141FC">
        <w:t>.</w:t>
      </w:r>
    </w:p>
    <w:p w:rsidR="0058612B" w:rsidRPr="00D141FC" w:rsidRDefault="000621B2" w:rsidP="000621B2">
      <w:pPr>
        <w:pStyle w:val="SOText"/>
      </w:pPr>
      <w:r w:rsidRPr="00D141FC">
        <w:t>The person will need to have</w:t>
      </w:r>
      <w:r w:rsidR="00E62331" w:rsidRPr="00D141FC">
        <w:t xml:space="preserve"> given the Department at least 7</w:t>
      </w:r>
      <w:r w:rsidRPr="00D141FC">
        <w:t xml:space="preserve"> days</w:t>
      </w:r>
      <w:r w:rsidR="00C85CAA" w:rsidRPr="00D141FC">
        <w:t xml:space="preserve"> prior notice of the pricing application</w:t>
      </w:r>
      <w:r w:rsidR="00A07EDA" w:rsidRPr="00D141FC">
        <w:t>.</w:t>
      </w:r>
    </w:p>
    <w:p w:rsidR="0058612B" w:rsidRPr="00D141FC" w:rsidRDefault="0058612B" w:rsidP="0058612B">
      <w:pPr>
        <w:pStyle w:val="SOText"/>
      </w:pPr>
      <w:r w:rsidRPr="00D141FC">
        <w:t>This prior notice must include the category that the pricing application is likely to be in</w:t>
      </w:r>
      <w:r w:rsidR="00A07EDA" w:rsidRPr="00D141FC">
        <w:t>.</w:t>
      </w:r>
      <w:r w:rsidRPr="00D141FC">
        <w:t xml:space="preserve"> The person will generally be invoiced a fee for the pricing services that reflects this category</w:t>
      </w:r>
      <w:r w:rsidR="00A07EDA" w:rsidRPr="00D141FC">
        <w:t>.</w:t>
      </w:r>
    </w:p>
    <w:p w:rsidR="0058612B" w:rsidRPr="00D141FC" w:rsidRDefault="0058612B" w:rsidP="0058612B">
      <w:pPr>
        <w:pStyle w:val="SOText"/>
      </w:pPr>
      <w:r w:rsidRPr="00D141FC">
        <w:t>If the Secretary later decides that the pricing application is in a different category, the person will be notified and any difference in the fee payable will be refunded or invoiced as appropriate</w:t>
      </w:r>
      <w:r w:rsidR="00A07EDA" w:rsidRPr="00D141FC">
        <w:t>.</w:t>
      </w:r>
    </w:p>
    <w:p w:rsidR="0058612B" w:rsidRPr="00D141FC" w:rsidRDefault="0058612B" w:rsidP="000621B2">
      <w:pPr>
        <w:pStyle w:val="SOText"/>
      </w:pPr>
      <w:r w:rsidRPr="00D141FC">
        <w:t xml:space="preserve">Pricing services will </w:t>
      </w:r>
      <w:r w:rsidR="00C74B08" w:rsidRPr="00D141FC">
        <w:t xml:space="preserve">be delayed </w:t>
      </w:r>
      <w:r w:rsidRPr="00D141FC">
        <w:t>if this prior notice is not given</w:t>
      </w:r>
      <w:r w:rsidR="00A07EDA" w:rsidRPr="00D141FC">
        <w:t>.</w:t>
      </w:r>
      <w:r w:rsidRPr="00D141FC">
        <w:t xml:space="preserve"> The only exception to this is if the Secretary is satisfied that prior notice is not required because the pricing services are required </w:t>
      </w:r>
      <w:r w:rsidR="009E451E" w:rsidRPr="00D141FC">
        <w:t>to address an urgent public health need</w:t>
      </w:r>
      <w:r w:rsidR="00A07EDA" w:rsidRPr="00D141FC">
        <w:t>.</w:t>
      </w:r>
    </w:p>
    <w:p w:rsidR="006F4D0E" w:rsidRPr="00D141FC" w:rsidRDefault="006F4D0E" w:rsidP="000621B2">
      <w:pPr>
        <w:pStyle w:val="SOText"/>
      </w:pPr>
      <w:r w:rsidRPr="00D141FC">
        <w:t>The pricing application will need to be sent to the Department within 42 days after this prior notice is given.</w:t>
      </w:r>
    </w:p>
    <w:p w:rsidR="00811D16" w:rsidRPr="00D141FC" w:rsidRDefault="00811D16" w:rsidP="00641C61">
      <w:pPr>
        <w:pStyle w:val="ActHead3"/>
      </w:pPr>
      <w:bookmarkStart w:id="43" w:name="_Toc3993187"/>
      <w:r w:rsidRPr="00D141FC">
        <w:rPr>
          <w:rStyle w:val="CharDivNo"/>
        </w:rPr>
        <w:t>Division</w:t>
      </w:r>
      <w:r w:rsidR="00D141FC" w:rsidRPr="00D141FC">
        <w:rPr>
          <w:rStyle w:val="CharDivNo"/>
        </w:rPr>
        <w:t> </w:t>
      </w:r>
      <w:r w:rsidRPr="00D141FC">
        <w:rPr>
          <w:rStyle w:val="CharDivNo"/>
        </w:rPr>
        <w:t>3.2</w:t>
      </w:r>
      <w:r w:rsidRPr="00D141FC">
        <w:t>—</w:t>
      </w:r>
      <w:r w:rsidRPr="00D141FC">
        <w:rPr>
          <w:rStyle w:val="CharDivText"/>
        </w:rPr>
        <w:t>Fees and associated applications</w:t>
      </w:r>
      <w:bookmarkEnd w:id="43"/>
    </w:p>
    <w:p w:rsidR="00963048" w:rsidRPr="00D141FC" w:rsidRDefault="00A07EDA" w:rsidP="00963048">
      <w:pPr>
        <w:pStyle w:val="ActHead5"/>
      </w:pPr>
      <w:bookmarkStart w:id="44" w:name="_Toc3993188"/>
      <w:r w:rsidRPr="00D141FC">
        <w:rPr>
          <w:rStyle w:val="CharSectno"/>
        </w:rPr>
        <w:t>3.2</w:t>
      </w:r>
      <w:r w:rsidR="00963048" w:rsidRPr="00D141FC">
        <w:t xml:space="preserve">  Applications for pricing services</w:t>
      </w:r>
      <w:bookmarkEnd w:id="44"/>
    </w:p>
    <w:p w:rsidR="00F921B2" w:rsidRPr="00D141FC" w:rsidRDefault="00F921B2" w:rsidP="00F921B2">
      <w:pPr>
        <w:pStyle w:val="subsection"/>
      </w:pPr>
      <w:r w:rsidRPr="00D141FC">
        <w:tab/>
        <w:t>(1)</w:t>
      </w:r>
      <w:r w:rsidRPr="00D141FC">
        <w:tab/>
        <w:t xml:space="preserve">A person may apply (the </w:t>
      </w:r>
      <w:r w:rsidRPr="00D141FC">
        <w:rPr>
          <w:b/>
          <w:i/>
        </w:rPr>
        <w:t>pricing application</w:t>
      </w:r>
      <w:r w:rsidRPr="00D141FC">
        <w:t>) for the Commonwealth to provide services (</w:t>
      </w:r>
      <w:r w:rsidRPr="00D141FC">
        <w:rPr>
          <w:b/>
          <w:i/>
        </w:rPr>
        <w:t>pricing services</w:t>
      </w:r>
      <w:r w:rsidRPr="00D141FC">
        <w:t xml:space="preserve">) in assisting the Minister </w:t>
      </w:r>
      <w:r w:rsidR="00576AC5" w:rsidRPr="00D141FC">
        <w:t xml:space="preserve">to </w:t>
      </w:r>
      <w:r w:rsidRPr="00D141FC">
        <w:t>consider whether to exercise one or more powers under section</w:t>
      </w:r>
      <w:r w:rsidR="00D141FC" w:rsidRPr="00D141FC">
        <w:t> </w:t>
      </w:r>
      <w:r w:rsidRPr="00D141FC">
        <w:t>85AD, 85B or 85E of the Act in relation to one or more drugs or medicinal preparations</w:t>
      </w:r>
      <w:r w:rsidR="00A07EDA" w:rsidRPr="00D141FC">
        <w:t>.</w:t>
      </w:r>
    </w:p>
    <w:p w:rsidR="00F921B2" w:rsidRPr="00D141FC" w:rsidRDefault="00F921B2" w:rsidP="00F921B2">
      <w:pPr>
        <w:pStyle w:val="notetext"/>
      </w:pPr>
      <w:r w:rsidRPr="00D141FC">
        <w:t>Note:</w:t>
      </w:r>
      <w:r w:rsidRPr="00D141FC">
        <w:tab/>
        <w:t>For details about how to apply, see regulation</w:t>
      </w:r>
      <w:r w:rsidR="00D141FC" w:rsidRPr="00D141FC">
        <w:t> </w:t>
      </w:r>
      <w:r w:rsidR="00A07EDA" w:rsidRPr="00D141FC">
        <w:t>3.1</w:t>
      </w:r>
      <w:r w:rsidR="006F4D0E" w:rsidRPr="00D141FC">
        <w:t>1</w:t>
      </w:r>
      <w:r w:rsidR="00A07EDA" w:rsidRPr="00D141FC">
        <w:t>.</w:t>
      </w:r>
    </w:p>
    <w:p w:rsidR="00F921B2" w:rsidRPr="00D141FC" w:rsidRDefault="00F921B2" w:rsidP="00F921B2">
      <w:pPr>
        <w:pStyle w:val="subsection"/>
      </w:pPr>
      <w:r w:rsidRPr="00D141FC">
        <w:tab/>
        <w:t>(2)</w:t>
      </w:r>
      <w:r w:rsidRPr="00D141FC">
        <w:tab/>
        <w:t xml:space="preserve">However, the person may only make the pricing application if the Committee has made a </w:t>
      </w:r>
      <w:r w:rsidR="000D540E" w:rsidRPr="00D141FC">
        <w:t xml:space="preserve">positive </w:t>
      </w:r>
      <w:r w:rsidRPr="00D141FC">
        <w:t xml:space="preserve">recommendation, or given </w:t>
      </w:r>
      <w:r w:rsidR="000D540E" w:rsidRPr="00D141FC">
        <w:t xml:space="preserve">positive </w:t>
      </w:r>
      <w:r w:rsidRPr="00D141FC">
        <w:t xml:space="preserve">advice, in response to a single </w:t>
      </w:r>
      <w:r w:rsidR="00336922" w:rsidRPr="00D141FC">
        <w:t>Part</w:t>
      </w:r>
      <w:r w:rsidR="00D141FC" w:rsidRPr="00D141FC">
        <w:t> </w:t>
      </w:r>
      <w:r w:rsidR="00336922" w:rsidRPr="00D141FC">
        <w:t xml:space="preserve">2 </w:t>
      </w:r>
      <w:r w:rsidRPr="00D141FC">
        <w:t>submission made to the Committee by the person that covers all of those drugs or medicinal preparations</w:t>
      </w:r>
      <w:r w:rsidR="00A07EDA" w:rsidRPr="00D141FC">
        <w:t>.</w:t>
      </w:r>
    </w:p>
    <w:p w:rsidR="00963048" w:rsidRPr="00D141FC" w:rsidRDefault="00963048" w:rsidP="00963048">
      <w:pPr>
        <w:pStyle w:val="notetext"/>
      </w:pPr>
      <w:r w:rsidRPr="00D141FC">
        <w:t>Note 1:</w:t>
      </w:r>
      <w:r w:rsidRPr="00D141FC">
        <w:tab/>
        <w:t>A single submission can only cover multiple drugs or medicinal preparations in the case set out in paragraph</w:t>
      </w:r>
      <w:r w:rsidR="00D141FC" w:rsidRPr="00D141FC">
        <w:t> </w:t>
      </w:r>
      <w:r w:rsidRPr="00D141FC">
        <w:t>2</w:t>
      </w:r>
      <w:r w:rsidR="00A07EDA" w:rsidRPr="00D141FC">
        <w:t>.</w:t>
      </w:r>
      <w:r w:rsidRPr="00D141FC">
        <w:t>1(2)(b)</w:t>
      </w:r>
      <w:r w:rsidR="00A07EDA" w:rsidRPr="00D141FC">
        <w:t>.</w:t>
      </w:r>
    </w:p>
    <w:p w:rsidR="00963048" w:rsidRPr="00D141FC" w:rsidRDefault="00963048" w:rsidP="00963048">
      <w:pPr>
        <w:pStyle w:val="notetext"/>
      </w:pPr>
      <w:r w:rsidRPr="00D141FC">
        <w:t>Note 2:</w:t>
      </w:r>
      <w:r w:rsidRPr="00D141FC">
        <w:tab/>
        <w:t>A separate pricing application is required for a drug or medicinal preparation covered by a separate submission to the Committee</w:t>
      </w:r>
      <w:r w:rsidR="00A07EDA" w:rsidRPr="00D141FC">
        <w:t>.</w:t>
      </w:r>
      <w:r w:rsidRPr="00D141FC">
        <w:t xml:space="preserve"> This means separate fees under regulation</w:t>
      </w:r>
      <w:r w:rsidR="00D141FC" w:rsidRPr="00D141FC">
        <w:t> </w:t>
      </w:r>
      <w:r w:rsidR="00A07EDA" w:rsidRPr="00D141FC">
        <w:t>3.3</w:t>
      </w:r>
      <w:r w:rsidRPr="00D141FC">
        <w:t xml:space="preserve"> are payable for providing pricing services relating to the drugs or medicinal preparations covered by separate submissions to the Committee</w:t>
      </w:r>
      <w:r w:rsidR="00A07EDA" w:rsidRPr="00D141FC">
        <w:t>.</w:t>
      </w:r>
    </w:p>
    <w:p w:rsidR="00963048" w:rsidRPr="00D141FC" w:rsidRDefault="00A07EDA" w:rsidP="00963048">
      <w:pPr>
        <w:pStyle w:val="ActHead5"/>
      </w:pPr>
      <w:bookmarkStart w:id="45" w:name="_Toc3993189"/>
      <w:r w:rsidRPr="00D141FC">
        <w:rPr>
          <w:rStyle w:val="CharSectno"/>
        </w:rPr>
        <w:t>3.3</w:t>
      </w:r>
      <w:r w:rsidR="00963048" w:rsidRPr="00D141FC">
        <w:t xml:space="preserve">  Fees for providing pricing services</w:t>
      </w:r>
      <w:bookmarkEnd w:id="45"/>
    </w:p>
    <w:p w:rsidR="00963048" w:rsidRPr="00D141FC" w:rsidRDefault="00963048" w:rsidP="00963048">
      <w:pPr>
        <w:pStyle w:val="subsection"/>
      </w:pPr>
      <w:r w:rsidRPr="00D141FC">
        <w:tab/>
      </w:r>
      <w:r w:rsidR="00F71A1C" w:rsidRPr="00D141FC">
        <w:t>(1)</w:t>
      </w:r>
      <w:r w:rsidRPr="00D141FC">
        <w:tab/>
        <w:t>For the purposes of section</w:t>
      </w:r>
      <w:r w:rsidR="00D141FC" w:rsidRPr="00D141FC">
        <w:t> </w:t>
      </w:r>
      <w:r w:rsidRPr="00D141FC">
        <w:t xml:space="preserve">99YBA of the Act, the following fee </w:t>
      </w:r>
      <w:r w:rsidR="008009A3" w:rsidRPr="00D141FC">
        <w:t>is</w:t>
      </w:r>
      <w:r w:rsidRPr="00D141FC">
        <w:t xml:space="preserve"> prescribed for the pricing services provided by the Commonwealth in response to the pricing application</w:t>
      </w:r>
      <w:r w:rsidR="00A07EDA" w:rsidRPr="00D141FC">
        <w:t>.</w:t>
      </w:r>
    </w:p>
    <w:p w:rsidR="00963048" w:rsidRPr="00D141FC" w:rsidRDefault="00963048" w:rsidP="009630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963048" w:rsidRPr="00D141FC" w:rsidTr="000621B2">
        <w:trPr>
          <w:tblHeader/>
        </w:trPr>
        <w:tc>
          <w:tcPr>
            <w:tcW w:w="8313" w:type="dxa"/>
            <w:gridSpan w:val="4"/>
            <w:tcBorders>
              <w:top w:val="single" w:sz="12" w:space="0" w:color="auto"/>
              <w:bottom w:val="single" w:sz="6" w:space="0" w:color="auto"/>
            </w:tcBorders>
            <w:shd w:val="clear" w:color="auto" w:fill="auto"/>
          </w:tcPr>
          <w:p w:rsidR="00963048" w:rsidRPr="00D141FC" w:rsidRDefault="00963048" w:rsidP="000621B2">
            <w:pPr>
              <w:pStyle w:val="TableHeading"/>
            </w:pPr>
            <w:r w:rsidRPr="00D141FC">
              <w:t>Fee for providing pricing services</w:t>
            </w:r>
          </w:p>
        </w:tc>
      </w:tr>
      <w:tr w:rsidR="00963048" w:rsidRPr="00D141FC" w:rsidTr="000621B2">
        <w:trPr>
          <w:tblHeader/>
        </w:trPr>
        <w:tc>
          <w:tcPr>
            <w:tcW w:w="714" w:type="dxa"/>
            <w:tcBorders>
              <w:top w:val="single" w:sz="6" w:space="0" w:color="auto"/>
              <w:bottom w:val="single" w:sz="12" w:space="0" w:color="auto"/>
            </w:tcBorders>
            <w:shd w:val="clear" w:color="auto" w:fill="auto"/>
          </w:tcPr>
          <w:p w:rsidR="00963048" w:rsidRPr="00D141FC" w:rsidRDefault="00963048" w:rsidP="000621B2">
            <w:pPr>
              <w:pStyle w:val="TableHeading"/>
            </w:pPr>
            <w:r w:rsidRPr="00D141FC">
              <w:t>Item</w:t>
            </w:r>
          </w:p>
        </w:tc>
        <w:tc>
          <w:tcPr>
            <w:tcW w:w="2533" w:type="dxa"/>
            <w:tcBorders>
              <w:top w:val="single" w:sz="6" w:space="0" w:color="auto"/>
              <w:bottom w:val="single" w:sz="12" w:space="0" w:color="auto"/>
            </w:tcBorders>
            <w:shd w:val="clear" w:color="auto" w:fill="auto"/>
          </w:tcPr>
          <w:p w:rsidR="00963048" w:rsidRPr="00D141FC" w:rsidRDefault="00963048" w:rsidP="000621B2">
            <w:pPr>
              <w:pStyle w:val="TableHeading"/>
            </w:pPr>
            <w:r w:rsidRPr="00D141FC">
              <w:t>Pricing services provided in response to this category of pricing application:</w:t>
            </w:r>
          </w:p>
        </w:tc>
        <w:tc>
          <w:tcPr>
            <w:tcW w:w="2533" w:type="dxa"/>
            <w:tcBorders>
              <w:top w:val="single" w:sz="6" w:space="0" w:color="auto"/>
              <w:bottom w:val="single" w:sz="12" w:space="0" w:color="auto"/>
            </w:tcBorders>
            <w:shd w:val="clear" w:color="auto" w:fill="auto"/>
          </w:tcPr>
          <w:p w:rsidR="00963048" w:rsidRPr="00D141FC" w:rsidRDefault="00F71A1C" w:rsidP="00F71A1C">
            <w:pPr>
              <w:pStyle w:val="TableHeading"/>
            </w:pPr>
            <w:r w:rsidRPr="00D141FC">
              <w:t xml:space="preserve">Fee </w:t>
            </w:r>
            <w:r w:rsidR="00963048" w:rsidRPr="00D141FC">
              <w:t>if the notification for the application is given during the financial year starting on 1</w:t>
            </w:r>
            <w:r w:rsidR="00D141FC" w:rsidRPr="00D141FC">
              <w:t> </w:t>
            </w:r>
            <w:r w:rsidR="00963048" w:rsidRPr="00D141FC">
              <w:t>July 2019</w:t>
            </w:r>
          </w:p>
        </w:tc>
        <w:tc>
          <w:tcPr>
            <w:tcW w:w="2533" w:type="dxa"/>
            <w:tcBorders>
              <w:top w:val="single" w:sz="6" w:space="0" w:color="auto"/>
              <w:bottom w:val="single" w:sz="12" w:space="0" w:color="auto"/>
            </w:tcBorders>
            <w:shd w:val="clear" w:color="auto" w:fill="auto"/>
          </w:tcPr>
          <w:p w:rsidR="00963048" w:rsidRPr="00D141FC" w:rsidRDefault="00963048" w:rsidP="00F71A1C">
            <w:pPr>
              <w:pStyle w:val="TableHeading"/>
            </w:pPr>
            <w:r w:rsidRPr="00D141FC">
              <w:t>Fee if the notification for the application is given during the financial year starting on 1</w:t>
            </w:r>
            <w:r w:rsidR="00D141FC" w:rsidRPr="00D141FC">
              <w:t> </w:t>
            </w:r>
            <w:r w:rsidRPr="00D141FC">
              <w:t>July 2020</w:t>
            </w:r>
          </w:p>
        </w:tc>
      </w:tr>
      <w:tr w:rsidR="00963048" w:rsidRPr="00D141FC" w:rsidTr="000621B2">
        <w:tc>
          <w:tcPr>
            <w:tcW w:w="714" w:type="dxa"/>
            <w:tcBorders>
              <w:top w:val="single" w:sz="12" w:space="0" w:color="auto"/>
            </w:tcBorders>
            <w:shd w:val="clear" w:color="auto" w:fill="auto"/>
          </w:tcPr>
          <w:p w:rsidR="00963048" w:rsidRPr="00D141FC" w:rsidRDefault="00963048" w:rsidP="000621B2">
            <w:pPr>
              <w:pStyle w:val="Tabletext"/>
            </w:pPr>
            <w:r w:rsidRPr="00D141FC">
              <w:t>1</w:t>
            </w:r>
          </w:p>
        </w:tc>
        <w:tc>
          <w:tcPr>
            <w:tcW w:w="2533" w:type="dxa"/>
            <w:tcBorders>
              <w:top w:val="single" w:sz="12" w:space="0" w:color="auto"/>
            </w:tcBorders>
            <w:shd w:val="clear" w:color="auto" w:fill="auto"/>
          </w:tcPr>
          <w:p w:rsidR="00963048" w:rsidRPr="00D141FC" w:rsidRDefault="00963048" w:rsidP="000621B2">
            <w:pPr>
              <w:pStyle w:val="Tabletext"/>
            </w:pPr>
            <w:r w:rsidRPr="00D141FC">
              <w:t>Pricing Pathway A</w:t>
            </w:r>
          </w:p>
        </w:tc>
        <w:tc>
          <w:tcPr>
            <w:tcW w:w="2533" w:type="dxa"/>
            <w:tcBorders>
              <w:top w:val="single" w:sz="12" w:space="0" w:color="auto"/>
            </w:tcBorders>
            <w:shd w:val="clear" w:color="auto" w:fill="auto"/>
          </w:tcPr>
          <w:p w:rsidR="00963048" w:rsidRPr="00D141FC" w:rsidRDefault="00963048" w:rsidP="003B3E12">
            <w:pPr>
              <w:pStyle w:val="Tabletext"/>
              <w:jc w:val="right"/>
            </w:pPr>
            <w:r w:rsidRPr="00D141FC">
              <w:t>$119,310</w:t>
            </w:r>
          </w:p>
        </w:tc>
        <w:tc>
          <w:tcPr>
            <w:tcW w:w="2533" w:type="dxa"/>
            <w:tcBorders>
              <w:top w:val="single" w:sz="12" w:space="0" w:color="auto"/>
            </w:tcBorders>
            <w:shd w:val="clear" w:color="auto" w:fill="auto"/>
          </w:tcPr>
          <w:p w:rsidR="00963048" w:rsidRPr="00D141FC" w:rsidRDefault="00963048" w:rsidP="003B3E12">
            <w:pPr>
              <w:pStyle w:val="Tabletext"/>
              <w:jc w:val="right"/>
            </w:pPr>
            <w:r w:rsidRPr="00D141FC">
              <w:t>$120,810</w:t>
            </w:r>
          </w:p>
        </w:tc>
      </w:tr>
      <w:tr w:rsidR="00963048" w:rsidRPr="00D141FC" w:rsidTr="000621B2">
        <w:tc>
          <w:tcPr>
            <w:tcW w:w="714" w:type="dxa"/>
            <w:tcBorders>
              <w:bottom w:val="single" w:sz="2" w:space="0" w:color="auto"/>
            </w:tcBorders>
            <w:shd w:val="clear" w:color="auto" w:fill="auto"/>
          </w:tcPr>
          <w:p w:rsidR="00963048" w:rsidRPr="00D141FC" w:rsidRDefault="00963048" w:rsidP="000621B2">
            <w:pPr>
              <w:pStyle w:val="Tabletext"/>
            </w:pPr>
            <w:r w:rsidRPr="00D141FC">
              <w:t>2</w:t>
            </w:r>
          </w:p>
        </w:tc>
        <w:tc>
          <w:tcPr>
            <w:tcW w:w="2533" w:type="dxa"/>
            <w:tcBorders>
              <w:bottom w:val="single" w:sz="2" w:space="0" w:color="auto"/>
            </w:tcBorders>
            <w:shd w:val="clear" w:color="auto" w:fill="auto"/>
          </w:tcPr>
          <w:p w:rsidR="00963048" w:rsidRPr="00D141FC" w:rsidRDefault="00590EDF" w:rsidP="000621B2">
            <w:pPr>
              <w:pStyle w:val="Tabletext"/>
            </w:pPr>
            <w:r w:rsidRPr="00D141FC">
              <w:t>Pricing Pathway B</w:t>
            </w:r>
          </w:p>
        </w:tc>
        <w:tc>
          <w:tcPr>
            <w:tcW w:w="2533" w:type="dxa"/>
            <w:tcBorders>
              <w:bottom w:val="single" w:sz="2" w:space="0" w:color="auto"/>
            </w:tcBorders>
            <w:shd w:val="clear" w:color="auto" w:fill="auto"/>
          </w:tcPr>
          <w:p w:rsidR="00963048" w:rsidRPr="00D141FC" w:rsidRDefault="00963048" w:rsidP="003B3E12">
            <w:pPr>
              <w:pStyle w:val="Tabletext"/>
              <w:jc w:val="right"/>
            </w:pPr>
            <w:r w:rsidRPr="00D141FC">
              <w:t>$92,530</w:t>
            </w:r>
          </w:p>
        </w:tc>
        <w:tc>
          <w:tcPr>
            <w:tcW w:w="2533" w:type="dxa"/>
            <w:tcBorders>
              <w:bottom w:val="single" w:sz="2" w:space="0" w:color="auto"/>
            </w:tcBorders>
            <w:shd w:val="clear" w:color="auto" w:fill="auto"/>
          </w:tcPr>
          <w:p w:rsidR="00963048" w:rsidRPr="00D141FC" w:rsidRDefault="00963048" w:rsidP="003B3E12">
            <w:pPr>
              <w:pStyle w:val="Tabletext"/>
              <w:jc w:val="right"/>
            </w:pPr>
            <w:r w:rsidRPr="00D141FC">
              <w:t>$93,700</w:t>
            </w:r>
          </w:p>
        </w:tc>
      </w:tr>
      <w:tr w:rsidR="00963048" w:rsidRPr="00D141FC" w:rsidTr="000621B2">
        <w:tc>
          <w:tcPr>
            <w:tcW w:w="714" w:type="dxa"/>
            <w:shd w:val="clear" w:color="auto" w:fill="auto"/>
          </w:tcPr>
          <w:p w:rsidR="00963048" w:rsidRPr="00D141FC" w:rsidRDefault="00963048" w:rsidP="000621B2">
            <w:pPr>
              <w:pStyle w:val="Tabletext"/>
            </w:pPr>
            <w:r w:rsidRPr="00D141FC">
              <w:t>3</w:t>
            </w:r>
          </w:p>
        </w:tc>
        <w:tc>
          <w:tcPr>
            <w:tcW w:w="2533" w:type="dxa"/>
            <w:shd w:val="clear" w:color="auto" w:fill="auto"/>
          </w:tcPr>
          <w:p w:rsidR="00963048" w:rsidRPr="00D141FC" w:rsidRDefault="00590EDF" w:rsidP="000621B2">
            <w:pPr>
              <w:pStyle w:val="Tabletext"/>
            </w:pPr>
            <w:r w:rsidRPr="00D141FC">
              <w:t>Pricing Pathway C</w:t>
            </w:r>
          </w:p>
        </w:tc>
        <w:tc>
          <w:tcPr>
            <w:tcW w:w="2533" w:type="dxa"/>
            <w:shd w:val="clear" w:color="auto" w:fill="auto"/>
          </w:tcPr>
          <w:p w:rsidR="00963048" w:rsidRPr="00D141FC" w:rsidRDefault="00963048" w:rsidP="003B3E12">
            <w:pPr>
              <w:pStyle w:val="Tabletext"/>
              <w:jc w:val="right"/>
            </w:pPr>
            <w:r w:rsidRPr="00D141FC">
              <w:t>$58,180</w:t>
            </w:r>
          </w:p>
        </w:tc>
        <w:tc>
          <w:tcPr>
            <w:tcW w:w="2533" w:type="dxa"/>
            <w:shd w:val="clear" w:color="auto" w:fill="auto"/>
          </w:tcPr>
          <w:p w:rsidR="00963048" w:rsidRPr="00D141FC" w:rsidRDefault="00963048" w:rsidP="003B3E12">
            <w:pPr>
              <w:pStyle w:val="Tabletext"/>
              <w:jc w:val="right"/>
            </w:pPr>
            <w:r w:rsidRPr="00D141FC">
              <w:t>$58,920</w:t>
            </w:r>
          </w:p>
        </w:tc>
      </w:tr>
      <w:tr w:rsidR="00963048" w:rsidRPr="00D141FC" w:rsidTr="000621B2">
        <w:tc>
          <w:tcPr>
            <w:tcW w:w="714" w:type="dxa"/>
            <w:tcBorders>
              <w:top w:val="single" w:sz="2" w:space="0" w:color="auto"/>
              <w:bottom w:val="single" w:sz="2" w:space="0" w:color="auto"/>
            </w:tcBorders>
            <w:shd w:val="clear" w:color="auto" w:fill="auto"/>
          </w:tcPr>
          <w:p w:rsidR="00963048" w:rsidRPr="00D141FC" w:rsidRDefault="00963048" w:rsidP="000621B2">
            <w:pPr>
              <w:pStyle w:val="Tabletext"/>
            </w:pPr>
            <w:r w:rsidRPr="00D141FC">
              <w:t>4</w:t>
            </w:r>
          </w:p>
        </w:tc>
        <w:tc>
          <w:tcPr>
            <w:tcW w:w="2533" w:type="dxa"/>
            <w:tcBorders>
              <w:top w:val="single" w:sz="2" w:space="0" w:color="auto"/>
              <w:bottom w:val="single" w:sz="2" w:space="0" w:color="auto"/>
            </w:tcBorders>
            <w:shd w:val="clear" w:color="auto" w:fill="auto"/>
          </w:tcPr>
          <w:p w:rsidR="00963048" w:rsidRPr="00D141FC" w:rsidRDefault="00963048" w:rsidP="000621B2">
            <w:pPr>
              <w:pStyle w:val="Tabletext"/>
            </w:pPr>
            <w:r w:rsidRPr="00D141FC">
              <w:t>Pricing Pathway D</w:t>
            </w:r>
          </w:p>
        </w:tc>
        <w:tc>
          <w:tcPr>
            <w:tcW w:w="2533" w:type="dxa"/>
            <w:tcBorders>
              <w:top w:val="single" w:sz="2" w:space="0" w:color="auto"/>
              <w:bottom w:val="single" w:sz="2" w:space="0" w:color="auto"/>
            </w:tcBorders>
            <w:shd w:val="clear" w:color="auto" w:fill="auto"/>
          </w:tcPr>
          <w:p w:rsidR="00963048" w:rsidRPr="00D141FC" w:rsidRDefault="00963048" w:rsidP="00B87031">
            <w:pPr>
              <w:pStyle w:val="Tabletext"/>
              <w:jc w:val="right"/>
            </w:pPr>
            <w:r w:rsidRPr="00D141FC">
              <w:t>$1</w:t>
            </w:r>
            <w:r w:rsidR="00B87031" w:rsidRPr="00D141FC">
              <w:t>3,550</w:t>
            </w:r>
          </w:p>
        </w:tc>
        <w:tc>
          <w:tcPr>
            <w:tcW w:w="2533" w:type="dxa"/>
            <w:tcBorders>
              <w:top w:val="single" w:sz="2" w:space="0" w:color="auto"/>
              <w:bottom w:val="single" w:sz="2" w:space="0" w:color="auto"/>
            </w:tcBorders>
            <w:shd w:val="clear" w:color="auto" w:fill="auto"/>
          </w:tcPr>
          <w:p w:rsidR="00963048" w:rsidRPr="00D141FC" w:rsidRDefault="00963048" w:rsidP="003B3E12">
            <w:pPr>
              <w:pStyle w:val="Tabletext"/>
              <w:jc w:val="right"/>
            </w:pPr>
            <w:r w:rsidRPr="00D141FC">
              <w:t>$19,910</w:t>
            </w:r>
          </w:p>
        </w:tc>
      </w:tr>
      <w:tr w:rsidR="00963048" w:rsidRPr="00D141FC" w:rsidTr="000621B2">
        <w:tc>
          <w:tcPr>
            <w:tcW w:w="714" w:type="dxa"/>
            <w:tcBorders>
              <w:top w:val="single" w:sz="2" w:space="0" w:color="auto"/>
              <w:bottom w:val="single" w:sz="12" w:space="0" w:color="auto"/>
            </w:tcBorders>
            <w:shd w:val="clear" w:color="auto" w:fill="auto"/>
          </w:tcPr>
          <w:p w:rsidR="00963048" w:rsidRPr="00D141FC" w:rsidRDefault="00963048" w:rsidP="000621B2">
            <w:pPr>
              <w:pStyle w:val="Tabletext"/>
            </w:pPr>
            <w:r w:rsidRPr="00D141FC">
              <w:t>5</w:t>
            </w:r>
          </w:p>
        </w:tc>
        <w:tc>
          <w:tcPr>
            <w:tcW w:w="2533" w:type="dxa"/>
            <w:tcBorders>
              <w:top w:val="single" w:sz="2" w:space="0" w:color="auto"/>
              <w:bottom w:val="single" w:sz="12" w:space="0" w:color="auto"/>
            </w:tcBorders>
            <w:shd w:val="clear" w:color="auto" w:fill="auto"/>
          </w:tcPr>
          <w:p w:rsidR="00963048" w:rsidRPr="00D141FC" w:rsidRDefault="00963048" w:rsidP="000621B2">
            <w:pPr>
              <w:pStyle w:val="Tabletext"/>
            </w:pPr>
            <w:r w:rsidRPr="00D141FC">
              <w:t>Pricing Secretariat</w:t>
            </w:r>
          </w:p>
        </w:tc>
        <w:tc>
          <w:tcPr>
            <w:tcW w:w="2533" w:type="dxa"/>
            <w:tcBorders>
              <w:top w:val="single" w:sz="2" w:space="0" w:color="auto"/>
              <w:bottom w:val="single" w:sz="12" w:space="0" w:color="auto"/>
            </w:tcBorders>
            <w:shd w:val="clear" w:color="auto" w:fill="auto"/>
          </w:tcPr>
          <w:p w:rsidR="00963048" w:rsidRPr="00D141FC" w:rsidRDefault="00963048" w:rsidP="00B87031">
            <w:pPr>
              <w:pStyle w:val="Tabletext"/>
              <w:jc w:val="right"/>
            </w:pPr>
            <w:r w:rsidRPr="00D141FC">
              <w:t>$</w:t>
            </w:r>
            <w:r w:rsidR="00B87031" w:rsidRPr="00D141FC">
              <w:t>6,140</w:t>
            </w:r>
          </w:p>
        </w:tc>
        <w:tc>
          <w:tcPr>
            <w:tcW w:w="2533" w:type="dxa"/>
            <w:tcBorders>
              <w:top w:val="single" w:sz="2" w:space="0" w:color="auto"/>
              <w:bottom w:val="single" w:sz="12" w:space="0" w:color="auto"/>
            </w:tcBorders>
            <w:shd w:val="clear" w:color="auto" w:fill="auto"/>
          </w:tcPr>
          <w:p w:rsidR="00963048" w:rsidRPr="00D141FC" w:rsidRDefault="00963048" w:rsidP="003B3E12">
            <w:pPr>
              <w:pStyle w:val="Tabletext"/>
              <w:jc w:val="right"/>
            </w:pPr>
            <w:r w:rsidRPr="00D141FC">
              <w:t>$10,890</w:t>
            </w:r>
          </w:p>
        </w:tc>
      </w:tr>
    </w:tbl>
    <w:p w:rsidR="00F71A1C" w:rsidRPr="00D141FC" w:rsidRDefault="00F71A1C" w:rsidP="00F71A1C">
      <w:pPr>
        <w:pStyle w:val="subsection"/>
      </w:pPr>
      <w:r w:rsidRPr="00D141FC">
        <w:tab/>
        <w:t>(2)</w:t>
      </w:r>
      <w:r w:rsidRPr="00D141FC">
        <w:tab/>
        <w:t>Each of these fees includes a deposit of:</w:t>
      </w:r>
    </w:p>
    <w:p w:rsidR="00F71A1C" w:rsidRPr="00D141FC" w:rsidRDefault="00F71A1C" w:rsidP="00F71A1C">
      <w:pPr>
        <w:pStyle w:val="paragraph"/>
      </w:pPr>
      <w:r w:rsidRPr="00D141FC">
        <w:tab/>
        <w:t>(a)</w:t>
      </w:r>
      <w:r w:rsidRPr="00D141FC">
        <w:tab/>
        <w:t xml:space="preserve">if the notification for the </w:t>
      </w:r>
      <w:r w:rsidR="008009A3" w:rsidRPr="00D141FC">
        <w:t xml:space="preserve">pricing </w:t>
      </w:r>
      <w:r w:rsidRPr="00D141FC">
        <w:t>application is given during the financial year starting on 1</w:t>
      </w:r>
      <w:r w:rsidR="00D141FC" w:rsidRPr="00D141FC">
        <w:t> </w:t>
      </w:r>
      <w:r w:rsidRPr="00D141FC">
        <w:t>July 2019—$390; or</w:t>
      </w:r>
    </w:p>
    <w:p w:rsidR="00F71A1C" w:rsidRPr="00D141FC" w:rsidRDefault="00F71A1C" w:rsidP="00F71A1C">
      <w:pPr>
        <w:pStyle w:val="paragraph"/>
      </w:pPr>
      <w:r w:rsidRPr="00D141FC">
        <w:tab/>
        <w:t>(b)</w:t>
      </w:r>
      <w:r w:rsidRPr="00D141FC">
        <w:tab/>
        <w:t xml:space="preserve">if the notification for the </w:t>
      </w:r>
      <w:r w:rsidR="008009A3" w:rsidRPr="00D141FC">
        <w:t xml:space="preserve">pricing </w:t>
      </w:r>
      <w:r w:rsidRPr="00D141FC">
        <w:t>application is given during the financial year starting on 1</w:t>
      </w:r>
      <w:r w:rsidR="00D141FC" w:rsidRPr="00D141FC">
        <w:t> </w:t>
      </w:r>
      <w:r w:rsidRPr="00D141FC">
        <w:t>July 2020—$400</w:t>
      </w:r>
      <w:r w:rsidR="00A07EDA" w:rsidRPr="00D141FC">
        <w:t>.</w:t>
      </w:r>
    </w:p>
    <w:p w:rsidR="00F71A1C" w:rsidRPr="00D141FC" w:rsidRDefault="00F71A1C" w:rsidP="00F71A1C">
      <w:pPr>
        <w:pStyle w:val="notetext"/>
      </w:pPr>
      <w:r w:rsidRPr="00D141FC">
        <w:t>Note:</w:t>
      </w:r>
      <w:r w:rsidRPr="00D141FC">
        <w:tab/>
        <w:t>These fees and deposits are indexed for later financial years (see regulation</w:t>
      </w:r>
      <w:r w:rsidR="00D141FC" w:rsidRPr="00D141FC">
        <w:t> </w:t>
      </w:r>
      <w:r w:rsidRPr="00D141FC">
        <w:t>4</w:t>
      </w:r>
      <w:r w:rsidR="00A07EDA" w:rsidRPr="00D141FC">
        <w:t>.</w:t>
      </w:r>
      <w:r w:rsidRPr="00D141FC">
        <w:t>7)</w:t>
      </w:r>
      <w:r w:rsidR="00A07EDA" w:rsidRPr="00D141FC">
        <w:t>.</w:t>
      </w:r>
    </w:p>
    <w:p w:rsidR="00963048" w:rsidRPr="00D141FC" w:rsidRDefault="00A07EDA" w:rsidP="00963048">
      <w:pPr>
        <w:pStyle w:val="ActHead5"/>
      </w:pPr>
      <w:bookmarkStart w:id="46" w:name="_Toc3993190"/>
      <w:r w:rsidRPr="00D141FC">
        <w:rPr>
          <w:rStyle w:val="CharSectno"/>
        </w:rPr>
        <w:t>3.4</w:t>
      </w:r>
      <w:r w:rsidR="00963048" w:rsidRPr="00D141FC">
        <w:t xml:space="preserve">  Pricing Pathway A applications</w:t>
      </w:r>
      <w:bookmarkEnd w:id="46"/>
    </w:p>
    <w:p w:rsidR="002116CE" w:rsidRPr="00D141FC" w:rsidRDefault="002116CE" w:rsidP="002116CE">
      <w:pPr>
        <w:pStyle w:val="subsection"/>
      </w:pPr>
      <w:r w:rsidRPr="00D141FC">
        <w:tab/>
      </w:r>
      <w:r w:rsidRPr="00D141FC">
        <w:tab/>
        <w:t>A person’s pricing application is in the Pricing Pathway A category if:</w:t>
      </w:r>
    </w:p>
    <w:p w:rsidR="002116CE" w:rsidRPr="00D141FC" w:rsidRDefault="002116CE" w:rsidP="002116CE">
      <w:pPr>
        <w:pStyle w:val="paragraph"/>
      </w:pPr>
      <w:r w:rsidRPr="00D141FC">
        <w:tab/>
        <w:t>(a)</w:t>
      </w:r>
      <w:r w:rsidRPr="00D141FC">
        <w:tab/>
      </w:r>
      <w:r w:rsidR="000E0198" w:rsidRPr="00D141FC">
        <w:t xml:space="preserve">as part of </w:t>
      </w:r>
      <w:r w:rsidRPr="00D141FC">
        <w:t xml:space="preserve">the Committee’s recommendation or advice responding to the person’s </w:t>
      </w:r>
      <w:r w:rsidR="00336922" w:rsidRPr="00D141FC">
        <w:t>Part</w:t>
      </w:r>
      <w:r w:rsidR="00D141FC" w:rsidRPr="00D141FC">
        <w:t> </w:t>
      </w:r>
      <w:r w:rsidR="00336922" w:rsidRPr="00D141FC">
        <w:t xml:space="preserve">2 </w:t>
      </w:r>
      <w:r w:rsidRPr="00D141FC">
        <w:t>submission covering the drugs or medicinal preparations to which the pricing application relates, the Committee finds that:</w:t>
      </w:r>
    </w:p>
    <w:p w:rsidR="002116CE" w:rsidRPr="00D141FC" w:rsidRDefault="002116CE" w:rsidP="002116CE">
      <w:pPr>
        <w:pStyle w:val="paragraphsub"/>
      </w:pPr>
      <w:r w:rsidRPr="00D141FC">
        <w:tab/>
        <w:t>(i)</w:t>
      </w:r>
      <w:r w:rsidRPr="00D141FC">
        <w:tab/>
        <w:t>the drugs or medicinal preparations are expected to provide a substantial and clinically relevant improvement in efficacy, or reduction of toxicity, over any alternative therap</w:t>
      </w:r>
      <w:r w:rsidR="00363258" w:rsidRPr="00D141FC">
        <w:t>y</w:t>
      </w:r>
      <w:r w:rsidRPr="00D141FC">
        <w:t>; and</w:t>
      </w:r>
    </w:p>
    <w:p w:rsidR="002116CE" w:rsidRPr="00D141FC" w:rsidRDefault="002116CE" w:rsidP="002116CE">
      <w:pPr>
        <w:pStyle w:val="paragraphsub"/>
      </w:pPr>
      <w:r w:rsidRPr="00D141FC">
        <w:tab/>
        <w:t>(ii)</w:t>
      </w:r>
      <w:r w:rsidRPr="00D141FC">
        <w:tab/>
        <w:t>the drugs or medicinal preparations address a high and urgent unmet clinical need; and</w:t>
      </w:r>
    </w:p>
    <w:p w:rsidR="002116CE" w:rsidRPr="00D141FC" w:rsidRDefault="002116CE" w:rsidP="002116CE">
      <w:pPr>
        <w:pStyle w:val="paragraphsub"/>
      </w:pPr>
      <w:r w:rsidRPr="00D141FC">
        <w:tab/>
        <w:t>(ii</w:t>
      </w:r>
      <w:r w:rsidR="007451C9" w:rsidRPr="00D141FC">
        <w:t>i</w:t>
      </w:r>
      <w:r w:rsidRPr="00D141FC">
        <w:t>)</w:t>
      </w:r>
      <w:r w:rsidRPr="00D141FC">
        <w:tab/>
        <w:t>it would be in the public interest for a pricing application relating to the drugs or medicinal preparations to be in th</w:t>
      </w:r>
      <w:r w:rsidR="000E0198" w:rsidRPr="00D141FC">
        <w:t>is</w:t>
      </w:r>
      <w:r w:rsidRPr="00D141FC">
        <w:t xml:space="preserve"> category; and</w:t>
      </w:r>
    </w:p>
    <w:p w:rsidR="002116CE" w:rsidRPr="00D141FC" w:rsidRDefault="002116CE" w:rsidP="002116CE">
      <w:pPr>
        <w:pStyle w:val="paragraph"/>
      </w:pPr>
      <w:r w:rsidRPr="00D141FC">
        <w:tab/>
        <w:t>(b)</w:t>
      </w:r>
      <w:r w:rsidRPr="00D141FC">
        <w:tab/>
      </w:r>
      <w:r w:rsidR="00D91D0E" w:rsidRPr="00D141FC">
        <w:t xml:space="preserve">the </w:t>
      </w:r>
      <w:r w:rsidRPr="00D141FC">
        <w:t>pricing application</w:t>
      </w:r>
      <w:r w:rsidR="00D91D0E" w:rsidRPr="00D141FC">
        <w:t xml:space="preserve"> state</w:t>
      </w:r>
      <w:r w:rsidR="000E0198" w:rsidRPr="00D141FC">
        <w:t>s</w:t>
      </w:r>
      <w:r w:rsidR="00D91D0E" w:rsidRPr="00D141FC">
        <w:t xml:space="preserve"> that the application i</w:t>
      </w:r>
      <w:r w:rsidR="007A62E0" w:rsidRPr="00D141FC">
        <w:t>s to be in th</w:t>
      </w:r>
      <w:r w:rsidR="000E0198" w:rsidRPr="00D141FC">
        <w:t>is category</w:t>
      </w:r>
      <w:r w:rsidR="00A07EDA" w:rsidRPr="00D141FC">
        <w:t>.</w:t>
      </w:r>
    </w:p>
    <w:p w:rsidR="000E0198" w:rsidRPr="00D141FC" w:rsidRDefault="007A62E0" w:rsidP="007A62E0">
      <w:pPr>
        <w:pStyle w:val="notetext"/>
      </w:pPr>
      <w:r w:rsidRPr="00D141FC">
        <w:t>Note:</w:t>
      </w:r>
      <w:r w:rsidRPr="00D141FC">
        <w:tab/>
      </w:r>
      <w:r w:rsidR="000E0198" w:rsidRPr="00D141FC">
        <w:t>Prior notice of the pricing application will also need to state that the pricing application is to be in this category (see subregulation</w:t>
      </w:r>
      <w:r w:rsidR="00D141FC" w:rsidRPr="00D141FC">
        <w:t> </w:t>
      </w:r>
      <w:r w:rsidR="00A07EDA" w:rsidRPr="00D141FC">
        <w:t>3.10</w:t>
      </w:r>
      <w:r w:rsidR="00363258" w:rsidRPr="00D141FC">
        <w:t>(5</w:t>
      </w:r>
      <w:r w:rsidR="000E0198" w:rsidRPr="00D141FC">
        <w:t>))</w:t>
      </w:r>
      <w:r w:rsidR="00A07EDA" w:rsidRPr="00D141FC">
        <w:t>.</w:t>
      </w:r>
    </w:p>
    <w:p w:rsidR="00963048" w:rsidRPr="00D141FC" w:rsidRDefault="00A07EDA" w:rsidP="00963048">
      <w:pPr>
        <w:pStyle w:val="ActHead5"/>
      </w:pPr>
      <w:bookmarkStart w:id="47" w:name="_Toc3993191"/>
      <w:r w:rsidRPr="00D141FC">
        <w:rPr>
          <w:rStyle w:val="CharSectno"/>
        </w:rPr>
        <w:t>3.5</w:t>
      </w:r>
      <w:r w:rsidR="000A5F5A" w:rsidRPr="00D141FC">
        <w:t xml:space="preserve">  Pricing Pathway B</w:t>
      </w:r>
      <w:r w:rsidR="00963048" w:rsidRPr="00D141FC">
        <w:t xml:space="preserve"> applications</w:t>
      </w:r>
      <w:bookmarkEnd w:id="47"/>
    </w:p>
    <w:p w:rsidR="00590EDF" w:rsidRPr="00D141FC" w:rsidRDefault="00590EDF" w:rsidP="00590EDF">
      <w:pPr>
        <w:pStyle w:val="subsection"/>
      </w:pPr>
      <w:r w:rsidRPr="00D141FC">
        <w:tab/>
      </w:r>
      <w:r w:rsidR="009F6EE1" w:rsidRPr="00D141FC">
        <w:t>(1)</w:t>
      </w:r>
      <w:r w:rsidRPr="00D141FC">
        <w:tab/>
        <w:t>A person’s pricing applica</w:t>
      </w:r>
      <w:r w:rsidR="000A5F5A" w:rsidRPr="00D141FC">
        <w:t>tion is in the Pricing Pathway B</w:t>
      </w:r>
      <w:r w:rsidRPr="00D141FC">
        <w:t xml:space="preserve"> category if:</w:t>
      </w:r>
    </w:p>
    <w:p w:rsidR="00590EDF" w:rsidRPr="00D141FC" w:rsidRDefault="00590EDF" w:rsidP="00590EDF">
      <w:pPr>
        <w:pStyle w:val="paragraph"/>
      </w:pPr>
      <w:r w:rsidRPr="00D141FC">
        <w:tab/>
        <w:t>(a)</w:t>
      </w:r>
      <w:r w:rsidRPr="00D141FC">
        <w:tab/>
        <w:t>the pricing application seeks the entering into of a deed under section</w:t>
      </w:r>
      <w:r w:rsidR="00D141FC" w:rsidRPr="00D141FC">
        <w:t> </w:t>
      </w:r>
      <w:r w:rsidRPr="00D141FC">
        <w:t>85E of the Act for the drugs or medicinal preparations to which the pricing application relates</w:t>
      </w:r>
      <w:r w:rsidR="00286757" w:rsidRPr="00D141FC">
        <w:t xml:space="preserve"> (the </w:t>
      </w:r>
      <w:r w:rsidR="00C938EA" w:rsidRPr="00D141FC">
        <w:rPr>
          <w:b/>
          <w:i/>
        </w:rPr>
        <w:t>new drugs</w:t>
      </w:r>
      <w:r w:rsidR="00C938EA" w:rsidRPr="00D141FC">
        <w:t>)</w:t>
      </w:r>
      <w:r w:rsidRPr="00D141FC">
        <w:t>; and</w:t>
      </w:r>
    </w:p>
    <w:p w:rsidR="003A20CD" w:rsidRPr="00D141FC" w:rsidRDefault="006F73D7" w:rsidP="00590EDF">
      <w:pPr>
        <w:pStyle w:val="paragraph"/>
      </w:pPr>
      <w:r w:rsidRPr="00D141FC">
        <w:tab/>
        <w:t>(</w:t>
      </w:r>
      <w:r w:rsidR="00A31B84" w:rsidRPr="00D141FC">
        <w:t>b</w:t>
      </w:r>
      <w:r w:rsidRPr="00D141FC">
        <w:t>)</w:t>
      </w:r>
      <w:r w:rsidRPr="00D141FC">
        <w:tab/>
        <w:t>no deed under that section</w:t>
      </w:r>
      <w:r w:rsidR="006C72F1" w:rsidRPr="00D141FC">
        <w:t xml:space="preserve"> </w:t>
      </w:r>
      <w:r w:rsidR="00B2439C" w:rsidRPr="00D141FC">
        <w:t xml:space="preserve">is in force (between the Commonwealth and any person) </w:t>
      </w:r>
      <w:r w:rsidR="00205402" w:rsidRPr="00D141FC">
        <w:t>that contains</w:t>
      </w:r>
      <w:r w:rsidR="009D1077" w:rsidRPr="00D141FC">
        <w:t xml:space="preserve"> terms </w:t>
      </w:r>
      <w:r w:rsidR="00C70933" w:rsidRPr="00D141FC">
        <w:t xml:space="preserve">about the following (the </w:t>
      </w:r>
      <w:r w:rsidR="00C70933" w:rsidRPr="00D141FC">
        <w:rPr>
          <w:b/>
          <w:i/>
        </w:rPr>
        <w:t>pricing terms</w:t>
      </w:r>
      <w:r w:rsidR="00C70933" w:rsidRPr="00D141FC">
        <w:t>)</w:t>
      </w:r>
      <w:r w:rsidR="00A41748" w:rsidRPr="00D141FC">
        <w:t>:</w:t>
      </w:r>
    </w:p>
    <w:p w:rsidR="006F73D7" w:rsidRPr="00D141FC" w:rsidRDefault="003A20CD" w:rsidP="003A20CD">
      <w:pPr>
        <w:pStyle w:val="paragraphsub"/>
      </w:pPr>
      <w:r w:rsidRPr="00D141FC">
        <w:tab/>
        <w:t>(i)</w:t>
      </w:r>
      <w:r w:rsidRPr="00D141FC">
        <w:tab/>
      </w:r>
      <w:r w:rsidR="006A6ECE" w:rsidRPr="00D141FC">
        <w:t>reimbursing the Commonwealth;</w:t>
      </w:r>
    </w:p>
    <w:p w:rsidR="003A20CD" w:rsidRPr="00D141FC" w:rsidRDefault="003A20CD" w:rsidP="003A20CD">
      <w:pPr>
        <w:pStyle w:val="paragraphsub"/>
      </w:pPr>
      <w:r w:rsidRPr="00D141FC">
        <w:tab/>
        <w:t>(ii)</w:t>
      </w:r>
      <w:r w:rsidRPr="00D141FC">
        <w:tab/>
        <w:t>providing the Commonwealth with information;</w:t>
      </w:r>
    </w:p>
    <w:p w:rsidR="003A20CD" w:rsidRPr="00D141FC" w:rsidRDefault="003A20CD" w:rsidP="00590EDF">
      <w:pPr>
        <w:pStyle w:val="paragraph"/>
      </w:pPr>
      <w:r w:rsidRPr="00D141FC">
        <w:tab/>
      </w:r>
      <w:r w:rsidRPr="00D141FC">
        <w:tab/>
      </w:r>
      <w:r w:rsidR="00E637CC" w:rsidRPr="00D141FC">
        <w:t xml:space="preserve">that are substantially similar to those </w:t>
      </w:r>
      <w:r w:rsidR="009F6EE1" w:rsidRPr="00D141FC">
        <w:t xml:space="preserve">appropriate for </w:t>
      </w:r>
      <w:r w:rsidR="004712F6" w:rsidRPr="00D141FC">
        <w:t>the new drugs</w:t>
      </w:r>
      <w:r w:rsidR="00E637CC" w:rsidRPr="00D141FC">
        <w:t>; and</w:t>
      </w:r>
    </w:p>
    <w:p w:rsidR="00590EDF" w:rsidRPr="00D141FC" w:rsidRDefault="00A31B84" w:rsidP="00590EDF">
      <w:pPr>
        <w:pStyle w:val="paragraph"/>
      </w:pPr>
      <w:r w:rsidRPr="00D141FC">
        <w:tab/>
        <w:t>(c</w:t>
      </w:r>
      <w:r w:rsidR="00590EDF" w:rsidRPr="00D141FC">
        <w:t>)</w:t>
      </w:r>
      <w:r w:rsidR="00590EDF" w:rsidRPr="00D141FC">
        <w:tab/>
        <w:t>the pricing application is not in the Pricing Pathway A category</w:t>
      </w:r>
      <w:r w:rsidR="00A07EDA" w:rsidRPr="00D141FC">
        <w:t>.</w:t>
      </w:r>
    </w:p>
    <w:p w:rsidR="002979FF" w:rsidRPr="00D141FC" w:rsidRDefault="002979FF" w:rsidP="002979FF">
      <w:pPr>
        <w:pStyle w:val="notetext"/>
      </w:pPr>
      <w:r w:rsidRPr="00D141FC">
        <w:t>Note:</w:t>
      </w:r>
      <w:r w:rsidRPr="00D141FC">
        <w:tab/>
        <w:t>Regulation</w:t>
      </w:r>
      <w:r w:rsidR="00D141FC" w:rsidRPr="00D141FC">
        <w:t> </w:t>
      </w:r>
      <w:r w:rsidR="00A07EDA" w:rsidRPr="00D141FC">
        <w:t>3.7</w:t>
      </w:r>
      <w:r w:rsidRPr="00D141FC">
        <w:t xml:space="preserve"> is relevant to </w:t>
      </w:r>
      <w:r w:rsidR="00D141FC" w:rsidRPr="00D141FC">
        <w:t>paragraph (</w:t>
      </w:r>
      <w:r w:rsidR="004C78F1" w:rsidRPr="00D141FC">
        <w:t>b</w:t>
      </w:r>
      <w:r w:rsidRPr="00D141FC">
        <w:t>)</w:t>
      </w:r>
      <w:r w:rsidR="00A07EDA" w:rsidRPr="00D141FC">
        <w:t>.</w:t>
      </w:r>
    </w:p>
    <w:p w:rsidR="009F6EE1" w:rsidRPr="00D141FC" w:rsidRDefault="009F6EE1" w:rsidP="009F6EE1">
      <w:pPr>
        <w:pStyle w:val="subsection"/>
      </w:pPr>
      <w:r w:rsidRPr="00D141FC">
        <w:tab/>
        <w:t>(2)</w:t>
      </w:r>
      <w:r w:rsidRPr="00D141FC">
        <w:tab/>
        <w:t xml:space="preserve">For the purposes of </w:t>
      </w:r>
      <w:r w:rsidR="00D141FC" w:rsidRPr="00D141FC">
        <w:t>paragraph (</w:t>
      </w:r>
      <w:r w:rsidRPr="00D141FC">
        <w:t xml:space="preserve">1)(b), </w:t>
      </w:r>
      <w:r w:rsidR="00363258" w:rsidRPr="00D141FC">
        <w:t xml:space="preserve">the pricing </w:t>
      </w:r>
      <w:r w:rsidRPr="00D141FC">
        <w:t xml:space="preserve">terms will be appropriate for the new drugs if they are consistent with the Committee’s recommendation or advice responding to the person’s </w:t>
      </w:r>
      <w:r w:rsidR="00336922" w:rsidRPr="00D141FC">
        <w:t>Part</w:t>
      </w:r>
      <w:r w:rsidR="00D141FC" w:rsidRPr="00D141FC">
        <w:t> </w:t>
      </w:r>
      <w:r w:rsidR="00336922" w:rsidRPr="00D141FC">
        <w:t xml:space="preserve">2 </w:t>
      </w:r>
      <w:r w:rsidRPr="00D141FC">
        <w:t>submission covering the new drugs.</w:t>
      </w:r>
    </w:p>
    <w:p w:rsidR="00EB4AD3" w:rsidRPr="00D141FC" w:rsidRDefault="00A07EDA" w:rsidP="00EB4AD3">
      <w:pPr>
        <w:pStyle w:val="ActHead5"/>
      </w:pPr>
      <w:bookmarkStart w:id="48" w:name="_Toc3993192"/>
      <w:r w:rsidRPr="00D141FC">
        <w:rPr>
          <w:rStyle w:val="CharSectno"/>
        </w:rPr>
        <w:t>3.6</w:t>
      </w:r>
      <w:r w:rsidR="00EB4AD3" w:rsidRPr="00D141FC">
        <w:t xml:space="preserve">  Pricing Pathway C applications</w:t>
      </w:r>
      <w:bookmarkEnd w:id="48"/>
    </w:p>
    <w:p w:rsidR="00EB4AD3" w:rsidRPr="00D141FC" w:rsidRDefault="00EB4AD3" w:rsidP="00EB4AD3">
      <w:pPr>
        <w:pStyle w:val="subsection"/>
      </w:pPr>
      <w:r w:rsidRPr="00D141FC">
        <w:tab/>
      </w:r>
      <w:r w:rsidR="009F6EE1" w:rsidRPr="00D141FC">
        <w:t>(1)</w:t>
      </w:r>
      <w:r w:rsidRPr="00D141FC">
        <w:tab/>
        <w:t>A person’s pricing application is in the Pricing Pathway C category if:</w:t>
      </w:r>
    </w:p>
    <w:p w:rsidR="00EB4AD3" w:rsidRPr="00D141FC" w:rsidRDefault="00EB4AD3" w:rsidP="00EB4AD3">
      <w:pPr>
        <w:pStyle w:val="paragraph"/>
      </w:pPr>
      <w:r w:rsidRPr="00D141FC">
        <w:tab/>
        <w:t>(a)</w:t>
      </w:r>
      <w:r w:rsidRPr="00D141FC">
        <w:tab/>
        <w:t>the pricing application seeks the entering into of a deed under section</w:t>
      </w:r>
      <w:r w:rsidR="00D141FC" w:rsidRPr="00D141FC">
        <w:t> </w:t>
      </w:r>
      <w:r w:rsidRPr="00D141FC">
        <w:t>85E of the Act for the drugs or medicinal preparations to which the pricing application relates</w:t>
      </w:r>
      <w:r w:rsidR="00C938EA" w:rsidRPr="00D141FC">
        <w:t xml:space="preserve"> (the </w:t>
      </w:r>
      <w:r w:rsidR="00C938EA" w:rsidRPr="00D141FC">
        <w:rPr>
          <w:b/>
          <w:i/>
        </w:rPr>
        <w:t>new drugs</w:t>
      </w:r>
      <w:r w:rsidR="00C938EA" w:rsidRPr="00D141FC">
        <w:t>)</w:t>
      </w:r>
      <w:r w:rsidRPr="00D141FC">
        <w:t>; and</w:t>
      </w:r>
    </w:p>
    <w:p w:rsidR="00AF7DB7" w:rsidRPr="00D141FC" w:rsidRDefault="00A31B84" w:rsidP="00AF7DB7">
      <w:pPr>
        <w:pStyle w:val="paragraph"/>
      </w:pPr>
      <w:r w:rsidRPr="00D141FC">
        <w:tab/>
        <w:t>(b</w:t>
      </w:r>
      <w:r w:rsidR="00EB4AD3" w:rsidRPr="00D141FC">
        <w:t>)</w:t>
      </w:r>
      <w:r w:rsidR="00EB4AD3" w:rsidRPr="00D141FC">
        <w:tab/>
        <w:t>a deed under that section is in force</w:t>
      </w:r>
      <w:r w:rsidR="00AF7DB7" w:rsidRPr="00D141FC">
        <w:t xml:space="preserve"> (between the Commonwealth and any person) </w:t>
      </w:r>
      <w:r w:rsidR="00205402" w:rsidRPr="00D141FC">
        <w:t xml:space="preserve">that contains </w:t>
      </w:r>
      <w:r w:rsidR="009D1077" w:rsidRPr="00D141FC">
        <w:t xml:space="preserve">terms </w:t>
      </w:r>
      <w:r w:rsidR="00C70933" w:rsidRPr="00D141FC">
        <w:t xml:space="preserve">about the following (the </w:t>
      </w:r>
      <w:r w:rsidR="00C70933" w:rsidRPr="00D141FC">
        <w:rPr>
          <w:b/>
          <w:i/>
        </w:rPr>
        <w:t>pricing terms</w:t>
      </w:r>
      <w:r w:rsidR="00C70933" w:rsidRPr="00D141FC">
        <w:t>)</w:t>
      </w:r>
      <w:r w:rsidR="00AF7DB7" w:rsidRPr="00D141FC">
        <w:t>:</w:t>
      </w:r>
    </w:p>
    <w:p w:rsidR="00AF7DB7" w:rsidRPr="00D141FC" w:rsidRDefault="00AF7DB7" w:rsidP="00AF7DB7">
      <w:pPr>
        <w:pStyle w:val="paragraphsub"/>
      </w:pPr>
      <w:r w:rsidRPr="00D141FC">
        <w:tab/>
        <w:t>(i)</w:t>
      </w:r>
      <w:r w:rsidRPr="00D141FC">
        <w:tab/>
      </w:r>
      <w:r w:rsidR="006A6ECE" w:rsidRPr="00D141FC">
        <w:t>reimbursing the Commonwealth;</w:t>
      </w:r>
    </w:p>
    <w:p w:rsidR="00AF7DB7" w:rsidRPr="00D141FC" w:rsidRDefault="00AF7DB7" w:rsidP="00AF7DB7">
      <w:pPr>
        <w:pStyle w:val="paragraphsub"/>
      </w:pPr>
      <w:r w:rsidRPr="00D141FC">
        <w:tab/>
        <w:t>(ii)</w:t>
      </w:r>
      <w:r w:rsidRPr="00D141FC">
        <w:tab/>
        <w:t>providing the Commonwealth with information;</w:t>
      </w:r>
    </w:p>
    <w:p w:rsidR="00AF7DB7" w:rsidRPr="00D141FC" w:rsidRDefault="00AF7DB7" w:rsidP="00AF7DB7">
      <w:pPr>
        <w:pStyle w:val="paragraph"/>
      </w:pPr>
      <w:r w:rsidRPr="00D141FC">
        <w:tab/>
      </w:r>
      <w:r w:rsidRPr="00D141FC">
        <w:tab/>
        <w:t xml:space="preserve">that are substantially similar to those </w:t>
      </w:r>
      <w:r w:rsidR="009F6EE1" w:rsidRPr="00D141FC">
        <w:t>appropriate for the new drugs</w:t>
      </w:r>
      <w:r w:rsidRPr="00D141FC">
        <w:t>; and</w:t>
      </w:r>
    </w:p>
    <w:p w:rsidR="00AF7DB7" w:rsidRPr="00D141FC" w:rsidRDefault="00A31B84" w:rsidP="00AF7DB7">
      <w:pPr>
        <w:pStyle w:val="paragraph"/>
      </w:pPr>
      <w:r w:rsidRPr="00D141FC">
        <w:tab/>
        <w:t>(c</w:t>
      </w:r>
      <w:r w:rsidR="00AF7DB7" w:rsidRPr="00D141FC">
        <w:t>)</w:t>
      </w:r>
      <w:r w:rsidR="00AF7DB7" w:rsidRPr="00D141FC">
        <w:tab/>
        <w:t>the pricing application is not in the Pricing Pathway A category</w:t>
      </w:r>
      <w:r w:rsidR="00A07EDA" w:rsidRPr="00D141FC">
        <w:t>.</w:t>
      </w:r>
    </w:p>
    <w:p w:rsidR="002979FF" w:rsidRPr="00D141FC" w:rsidRDefault="002979FF" w:rsidP="002979FF">
      <w:pPr>
        <w:pStyle w:val="notetext"/>
      </w:pPr>
      <w:r w:rsidRPr="00D141FC">
        <w:t>Note:</w:t>
      </w:r>
      <w:r w:rsidRPr="00D141FC">
        <w:tab/>
        <w:t>Regulation</w:t>
      </w:r>
      <w:r w:rsidR="00D141FC" w:rsidRPr="00D141FC">
        <w:t> </w:t>
      </w:r>
      <w:r w:rsidR="00A07EDA" w:rsidRPr="00D141FC">
        <w:t>3.7</w:t>
      </w:r>
      <w:r w:rsidRPr="00D141FC">
        <w:t xml:space="preserve"> is relevant to </w:t>
      </w:r>
      <w:r w:rsidR="00D141FC" w:rsidRPr="00D141FC">
        <w:t>paragraph (</w:t>
      </w:r>
      <w:r w:rsidR="004C78F1" w:rsidRPr="00D141FC">
        <w:t>b</w:t>
      </w:r>
      <w:r w:rsidRPr="00D141FC">
        <w:t>)</w:t>
      </w:r>
      <w:r w:rsidR="00A07EDA" w:rsidRPr="00D141FC">
        <w:t>.</w:t>
      </w:r>
    </w:p>
    <w:p w:rsidR="009F6EE1" w:rsidRPr="00D141FC" w:rsidRDefault="009F6EE1" w:rsidP="009F6EE1">
      <w:pPr>
        <w:pStyle w:val="subsection"/>
      </w:pPr>
      <w:r w:rsidRPr="00D141FC">
        <w:tab/>
        <w:t>(2)</w:t>
      </w:r>
      <w:r w:rsidRPr="00D141FC">
        <w:tab/>
        <w:t xml:space="preserve">For the purposes of </w:t>
      </w:r>
      <w:r w:rsidR="00D141FC" w:rsidRPr="00D141FC">
        <w:t>paragraph (</w:t>
      </w:r>
      <w:r w:rsidRPr="00D141FC">
        <w:t xml:space="preserve">1)(b), </w:t>
      </w:r>
      <w:r w:rsidR="00363258" w:rsidRPr="00D141FC">
        <w:t xml:space="preserve">the pricing </w:t>
      </w:r>
      <w:r w:rsidRPr="00D141FC">
        <w:t xml:space="preserve">terms will be appropriate for the new drugs if they are consistent with the Committee’s recommendation or advice responding to the person’s </w:t>
      </w:r>
      <w:r w:rsidR="00336922" w:rsidRPr="00D141FC">
        <w:t>Part</w:t>
      </w:r>
      <w:r w:rsidR="00D141FC" w:rsidRPr="00D141FC">
        <w:t> </w:t>
      </w:r>
      <w:r w:rsidR="00336922" w:rsidRPr="00D141FC">
        <w:t xml:space="preserve">2 </w:t>
      </w:r>
      <w:r w:rsidRPr="00D141FC">
        <w:t>submission covering the new drugs.</w:t>
      </w:r>
    </w:p>
    <w:p w:rsidR="00EB4AD3" w:rsidRPr="00D141FC" w:rsidRDefault="00A07EDA" w:rsidP="00AF7DB7">
      <w:pPr>
        <w:pStyle w:val="ActHead5"/>
      </w:pPr>
      <w:bookmarkStart w:id="49" w:name="_Toc3993193"/>
      <w:r w:rsidRPr="00D141FC">
        <w:rPr>
          <w:rStyle w:val="CharSectno"/>
        </w:rPr>
        <w:t>3.7</w:t>
      </w:r>
      <w:r w:rsidR="00AF7DB7" w:rsidRPr="00D141FC">
        <w:t xml:space="preserve">  When </w:t>
      </w:r>
      <w:r w:rsidR="00C70933" w:rsidRPr="00D141FC">
        <w:t xml:space="preserve">pricing </w:t>
      </w:r>
      <w:r w:rsidR="00AF7DB7" w:rsidRPr="00D141FC">
        <w:t xml:space="preserve">terms are </w:t>
      </w:r>
      <w:r w:rsidR="00E2092A" w:rsidRPr="00D141FC">
        <w:t>substantially similar to those appropriate</w:t>
      </w:r>
      <w:r w:rsidR="00AF7DB7" w:rsidRPr="00D141FC">
        <w:t xml:space="preserve"> for the </w:t>
      </w:r>
      <w:r w:rsidR="00C938EA" w:rsidRPr="00D141FC">
        <w:t>new drugs</w:t>
      </w:r>
      <w:bookmarkEnd w:id="49"/>
    </w:p>
    <w:p w:rsidR="00AF7DB7" w:rsidRPr="00D141FC" w:rsidRDefault="00AF7DB7" w:rsidP="00963048">
      <w:pPr>
        <w:pStyle w:val="subsection"/>
      </w:pPr>
      <w:r w:rsidRPr="00D141FC">
        <w:tab/>
        <w:t>(1)</w:t>
      </w:r>
      <w:r w:rsidRPr="00D141FC">
        <w:tab/>
        <w:t>This regulation applies for the purposes of</w:t>
      </w:r>
      <w:r w:rsidR="000C4188" w:rsidRPr="00D141FC">
        <w:t xml:space="preserve"> </w:t>
      </w:r>
      <w:r w:rsidRPr="00D141FC">
        <w:t xml:space="preserve">paragraphs </w:t>
      </w:r>
      <w:r w:rsidR="00A07EDA" w:rsidRPr="00D141FC">
        <w:t>3.5</w:t>
      </w:r>
      <w:r w:rsidR="009F6EE1" w:rsidRPr="00D141FC">
        <w:t>(1)</w:t>
      </w:r>
      <w:r w:rsidRPr="00D141FC">
        <w:t>(</w:t>
      </w:r>
      <w:r w:rsidR="00A31B84" w:rsidRPr="00D141FC">
        <w:t>b</w:t>
      </w:r>
      <w:r w:rsidRPr="00D141FC">
        <w:t xml:space="preserve">) and </w:t>
      </w:r>
      <w:r w:rsidR="00A07EDA" w:rsidRPr="00D141FC">
        <w:t>3.6</w:t>
      </w:r>
      <w:r w:rsidR="009F6EE1" w:rsidRPr="00D141FC">
        <w:t>(1)</w:t>
      </w:r>
      <w:r w:rsidRPr="00D141FC">
        <w:t>(</w:t>
      </w:r>
      <w:r w:rsidR="00A31B84" w:rsidRPr="00D141FC">
        <w:t>b</w:t>
      </w:r>
      <w:r w:rsidRPr="00D141FC">
        <w:t>)</w:t>
      </w:r>
      <w:r w:rsidR="00A07EDA" w:rsidRPr="00D141FC">
        <w:t>.</w:t>
      </w:r>
    </w:p>
    <w:p w:rsidR="000C4188" w:rsidRPr="00D141FC" w:rsidRDefault="000C4188" w:rsidP="000C4188">
      <w:pPr>
        <w:pStyle w:val="SubsectionHead"/>
      </w:pPr>
      <w:r w:rsidRPr="00D141FC">
        <w:t>When terms are substantially similar to those appropriate for the new drugs</w:t>
      </w:r>
    </w:p>
    <w:p w:rsidR="0054188E" w:rsidRPr="00D141FC" w:rsidRDefault="0054188E" w:rsidP="0054188E">
      <w:pPr>
        <w:pStyle w:val="subsection"/>
      </w:pPr>
      <w:r w:rsidRPr="00D141FC">
        <w:tab/>
        <w:t>(2)</w:t>
      </w:r>
      <w:r w:rsidRPr="00D141FC">
        <w:tab/>
        <w:t xml:space="preserve">The </w:t>
      </w:r>
      <w:r w:rsidR="00C70933" w:rsidRPr="00D141FC">
        <w:t xml:space="preserve">pricing </w:t>
      </w:r>
      <w:r w:rsidRPr="00D141FC">
        <w:t xml:space="preserve">terms in an existing deed will be </w:t>
      </w:r>
      <w:r w:rsidR="009F6EE1" w:rsidRPr="00D141FC">
        <w:t xml:space="preserve">substantially similar to those </w:t>
      </w:r>
      <w:r w:rsidRPr="00D141FC">
        <w:t>appropriate for the new drugs if</w:t>
      </w:r>
      <w:r w:rsidR="001311DC" w:rsidRPr="00D141FC">
        <w:t>, under those terms,</w:t>
      </w:r>
      <w:r w:rsidRPr="00D141FC">
        <w:t xml:space="preserve"> the new drugs </w:t>
      </w:r>
      <w:r w:rsidR="001311DC" w:rsidRPr="00D141FC">
        <w:t>can</w:t>
      </w:r>
      <w:r w:rsidR="009F6EE1" w:rsidRPr="00D141FC">
        <w:t xml:space="preserve"> share an </w:t>
      </w:r>
      <w:r w:rsidRPr="00D141FC">
        <w:t xml:space="preserve">existing </w:t>
      </w:r>
      <w:r w:rsidR="009F6EE1" w:rsidRPr="00D141FC">
        <w:t xml:space="preserve">subsidisation </w:t>
      </w:r>
      <w:r w:rsidRPr="00D141FC">
        <w:t>cap with the drugs or medicinal preparations in the existing deed</w:t>
      </w:r>
      <w:r w:rsidR="00A07EDA" w:rsidRPr="00D141FC">
        <w:t>.</w:t>
      </w:r>
    </w:p>
    <w:p w:rsidR="00AF7DB7" w:rsidRPr="00D141FC" w:rsidRDefault="0054188E" w:rsidP="00963048">
      <w:pPr>
        <w:pStyle w:val="subsection"/>
      </w:pPr>
      <w:r w:rsidRPr="00D141FC">
        <w:tab/>
        <w:t>(3</w:t>
      </w:r>
      <w:r w:rsidR="00AF7DB7" w:rsidRPr="00D141FC">
        <w:t>)</w:t>
      </w:r>
      <w:r w:rsidR="00AF7DB7" w:rsidRPr="00D141FC">
        <w:tab/>
      </w:r>
      <w:r w:rsidR="00286757" w:rsidRPr="00D141FC">
        <w:t xml:space="preserve">The </w:t>
      </w:r>
      <w:r w:rsidR="00C70933" w:rsidRPr="00D141FC">
        <w:t xml:space="preserve">pricing </w:t>
      </w:r>
      <w:r w:rsidR="00286757" w:rsidRPr="00D141FC">
        <w:t xml:space="preserve">terms in an existing deed will be </w:t>
      </w:r>
      <w:r w:rsidR="006D20B5" w:rsidRPr="00D141FC">
        <w:t xml:space="preserve">substantially similar to those </w:t>
      </w:r>
      <w:r w:rsidR="00286757" w:rsidRPr="00D141FC">
        <w:t xml:space="preserve">appropriate for the </w:t>
      </w:r>
      <w:r w:rsidR="00C938EA" w:rsidRPr="00D141FC">
        <w:t xml:space="preserve">new </w:t>
      </w:r>
      <w:r w:rsidR="00286757" w:rsidRPr="00D141FC">
        <w:t>drugs if:</w:t>
      </w:r>
    </w:p>
    <w:p w:rsidR="00286757" w:rsidRPr="00D141FC" w:rsidRDefault="005614EB" w:rsidP="0054188E">
      <w:pPr>
        <w:pStyle w:val="paragraph"/>
      </w:pPr>
      <w:r w:rsidRPr="00D141FC">
        <w:tab/>
        <w:t>(a</w:t>
      </w:r>
      <w:r w:rsidR="00286757" w:rsidRPr="00D141FC">
        <w:t>)</w:t>
      </w:r>
      <w:r w:rsidR="00286757" w:rsidRPr="00D141FC">
        <w:tab/>
        <w:t xml:space="preserve">the Committee’s recommendation or advice responding to the person’s </w:t>
      </w:r>
      <w:r w:rsidR="00336922" w:rsidRPr="00D141FC">
        <w:t>Part</w:t>
      </w:r>
      <w:r w:rsidR="00D141FC" w:rsidRPr="00D141FC">
        <w:t> </w:t>
      </w:r>
      <w:r w:rsidR="00336922" w:rsidRPr="00D141FC">
        <w:t xml:space="preserve">2 </w:t>
      </w:r>
      <w:r w:rsidR="00286757" w:rsidRPr="00D141FC">
        <w:t xml:space="preserve">submission covering the </w:t>
      </w:r>
      <w:r w:rsidR="00C938EA" w:rsidRPr="00D141FC">
        <w:t>new drugs</w:t>
      </w:r>
      <w:r w:rsidR="0054188E" w:rsidRPr="00D141FC">
        <w:t xml:space="preserve"> suggested </w:t>
      </w:r>
      <w:r w:rsidR="00286757" w:rsidRPr="00D141FC">
        <w:t xml:space="preserve">that the </w:t>
      </w:r>
      <w:r w:rsidR="00C70933" w:rsidRPr="00D141FC">
        <w:t xml:space="preserve">pricing </w:t>
      </w:r>
      <w:r w:rsidR="00286757" w:rsidRPr="00D141FC">
        <w:t xml:space="preserve">terms in the existing deed would be appropriate for the </w:t>
      </w:r>
      <w:r w:rsidR="00C938EA" w:rsidRPr="00D141FC">
        <w:t>new drugs; and</w:t>
      </w:r>
    </w:p>
    <w:p w:rsidR="0054188E" w:rsidRPr="00D141FC" w:rsidRDefault="0054188E" w:rsidP="0054188E">
      <w:pPr>
        <w:pStyle w:val="paragraph"/>
      </w:pPr>
      <w:r w:rsidRPr="00D141FC">
        <w:tab/>
        <w:t>(b)</w:t>
      </w:r>
      <w:r w:rsidRPr="00D141FC">
        <w:tab/>
      </w:r>
      <w:r w:rsidR="00533F43" w:rsidRPr="00D141FC">
        <w:t>th</w:t>
      </w:r>
      <w:r w:rsidR="001311DC" w:rsidRPr="00D141FC">
        <w:t>is</w:t>
      </w:r>
      <w:r w:rsidR="00533F43" w:rsidRPr="00D141FC">
        <w:t xml:space="preserve"> suggestion relates to</w:t>
      </w:r>
      <w:r w:rsidRPr="00D141FC">
        <w:t xml:space="preserve"> </w:t>
      </w:r>
      <w:r w:rsidR="006D20B5" w:rsidRPr="00D141FC">
        <w:t>claims</w:t>
      </w:r>
      <w:r w:rsidRPr="00D141FC">
        <w:t xml:space="preserve"> in that submission</w:t>
      </w:r>
      <w:r w:rsidR="006D20B5" w:rsidRPr="00D141FC">
        <w:t xml:space="preserve"> of the kind referred to in subparagraphs</w:t>
      </w:r>
      <w:r w:rsidR="00D141FC" w:rsidRPr="00D141FC">
        <w:t> </w:t>
      </w:r>
      <w:r w:rsidR="006D20B5" w:rsidRPr="00D141FC">
        <w:t>3.8(2)(a)(i), (ii) and (iii)</w:t>
      </w:r>
      <w:r w:rsidR="00A07EDA" w:rsidRPr="00D141FC">
        <w:t>.</w:t>
      </w:r>
    </w:p>
    <w:p w:rsidR="000C4188" w:rsidRPr="00D141FC" w:rsidRDefault="000C4188" w:rsidP="000C4188">
      <w:pPr>
        <w:pStyle w:val="SubsectionHead"/>
      </w:pPr>
      <w:r w:rsidRPr="00D141FC">
        <w:t>When terms are not substantially similar to those appropriate for the new drugs</w:t>
      </w:r>
    </w:p>
    <w:p w:rsidR="00C938EA" w:rsidRPr="00D141FC" w:rsidRDefault="00533F43" w:rsidP="00533F43">
      <w:pPr>
        <w:pStyle w:val="subsection"/>
      </w:pPr>
      <w:r w:rsidRPr="00D141FC">
        <w:tab/>
        <w:t>(4)</w:t>
      </w:r>
      <w:r w:rsidRPr="00D141FC">
        <w:tab/>
      </w:r>
      <w:r w:rsidR="00997F34" w:rsidRPr="00D141FC">
        <w:t>Despite subregulations (2) and (3), t</w:t>
      </w:r>
      <w:r w:rsidRPr="00D141FC">
        <w:t xml:space="preserve">he </w:t>
      </w:r>
      <w:r w:rsidR="00C70933" w:rsidRPr="00D141FC">
        <w:t xml:space="preserve">pricing </w:t>
      </w:r>
      <w:r w:rsidRPr="00D141FC">
        <w:t xml:space="preserve">terms in an existing deed will not be </w:t>
      </w:r>
      <w:r w:rsidR="006D20B5" w:rsidRPr="00D141FC">
        <w:t xml:space="preserve">substantially similar to those </w:t>
      </w:r>
      <w:r w:rsidRPr="00D141FC">
        <w:t>appropriate for the new drugs if:</w:t>
      </w:r>
    </w:p>
    <w:p w:rsidR="00533F43" w:rsidRPr="00D141FC" w:rsidRDefault="00533F43" w:rsidP="00533F43">
      <w:pPr>
        <w:pStyle w:val="paragraph"/>
      </w:pPr>
      <w:r w:rsidRPr="00D141FC">
        <w:tab/>
        <w:t>(a)</w:t>
      </w:r>
      <w:r w:rsidRPr="00D141FC">
        <w:tab/>
        <w:t>th</w:t>
      </w:r>
      <w:r w:rsidR="001311DC" w:rsidRPr="00D141FC">
        <w:t>os</w:t>
      </w:r>
      <w:r w:rsidRPr="00D141FC">
        <w:t xml:space="preserve">e terms relate to </w:t>
      </w:r>
      <w:r w:rsidR="006D20B5" w:rsidRPr="00D141FC">
        <w:t xml:space="preserve">further </w:t>
      </w:r>
      <w:r w:rsidRPr="00D141FC">
        <w:t>clinical testing</w:t>
      </w:r>
      <w:r w:rsidR="009C19B4" w:rsidRPr="00D141FC">
        <w:t>,</w:t>
      </w:r>
      <w:r w:rsidRPr="00D141FC">
        <w:t xml:space="preserve"> or </w:t>
      </w:r>
      <w:r w:rsidR="009C19B4" w:rsidRPr="00D141FC">
        <w:t xml:space="preserve">to </w:t>
      </w:r>
      <w:r w:rsidRPr="00D141FC">
        <w:t>the collection of further clinical data on the effectiveness</w:t>
      </w:r>
      <w:r w:rsidR="009C19B4" w:rsidRPr="00D141FC">
        <w:t>,</w:t>
      </w:r>
      <w:r w:rsidRPr="00D141FC">
        <w:t xml:space="preserve"> of </w:t>
      </w:r>
      <w:r w:rsidR="005614EB" w:rsidRPr="00D141FC">
        <w:t>d</w:t>
      </w:r>
      <w:r w:rsidR="006D20B5" w:rsidRPr="00D141FC">
        <w:t>rugs or medicinal preparations</w:t>
      </w:r>
      <w:r w:rsidRPr="00D141FC">
        <w:t>; or</w:t>
      </w:r>
    </w:p>
    <w:p w:rsidR="005614EB" w:rsidRPr="00D141FC" w:rsidRDefault="005614EB" w:rsidP="005614EB">
      <w:pPr>
        <w:pStyle w:val="paragraph"/>
      </w:pPr>
      <w:r w:rsidRPr="00D141FC">
        <w:tab/>
        <w:t>(b)</w:t>
      </w:r>
      <w:r w:rsidRPr="00D141FC">
        <w:tab/>
        <w:t>th</w:t>
      </w:r>
      <w:r w:rsidR="001311DC" w:rsidRPr="00D141FC">
        <w:t>os</w:t>
      </w:r>
      <w:r w:rsidRPr="00D141FC">
        <w:t>e terms</w:t>
      </w:r>
      <w:r w:rsidR="001311DC" w:rsidRPr="00D141FC">
        <w:t>, to the extent that they reimburse the Commonwealth,</w:t>
      </w:r>
      <w:r w:rsidR="006D20B5" w:rsidRPr="00D141FC">
        <w:t xml:space="preserve"> </w:t>
      </w:r>
      <w:r w:rsidRPr="00D141FC">
        <w:t xml:space="preserve">include taking into account the clinical response of patients to </w:t>
      </w:r>
      <w:r w:rsidR="006D20B5" w:rsidRPr="00D141FC">
        <w:t>drugs or medicinal preparations</w:t>
      </w:r>
      <w:r w:rsidRPr="00D141FC">
        <w:t>;</w:t>
      </w:r>
      <w:r w:rsidR="00217E65" w:rsidRPr="00D141FC">
        <w:t xml:space="preserve"> or</w:t>
      </w:r>
    </w:p>
    <w:p w:rsidR="006D20B5" w:rsidRPr="00D141FC" w:rsidRDefault="006D20B5" w:rsidP="005614EB">
      <w:pPr>
        <w:pStyle w:val="paragraph"/>
      </w:pPr>
      <w:r w:rsidRPr="00D141FC">
        <w:tab/>
        <w:t>(c)</w:t>
      </w:r>
      <w:r w:rsidRPr="00D141FC">
        <w:tab/>
        <w:t>those terms include an existing subsidisation cap that cannot be shared with the new drugs; or</w:t>
      </w:r>
    </w:p>
    <w:p w:rsidR="005614EB" w:rsidRPr="00D141FC" w:rsidRDefault="005614EB" w:rsidP="00533F43">
      <w:pPr>
        <w:pStyle w:val="paragraph"/>
      </w:pPr>
      <w:r w:rsidRPr="00D141FC">
        <w:tab/>
        <w:t>(</w:t>
      </w:r>
      <w:r w:rsidR="002979FF" w:rsidRPr="00D141FC">
        <w:t>d</w:t>
      </w:r>
      <w:r w:rsidRPr="00D141FC">
        <w:t>)</w:t>
      </w:r>
      <w:r w:rsidRPr="00D141FC">
        <w:tab/>
      </w:r>
      <w:r w:rsidR="001311DC" w:rsidRPr="00D141FC">
        <w:t xml:space="preserve">those terms, to the extent that they reimburse the Commonwealth, </w:t>
      </w:r>
      <w:r w:rsidR="00C357E9" w:rsidRPr="00D141FC">
        <w:t xml:space="preserve">relate to Commonwealth expenditure on a therapy </w:t>
      </w:r>
      <w:r w:rsidR="001311DC" w:rsidRPr="00D141FC">
        <w:t xml:space="preserve">that involves </w:t>
      </w:r>
      <w:r w:rsidR="00C357E9" w:rsidRPr="00D141FC">
        <w:t xml:space="preserve">using the </w:t>
      </w:r>
      <w:r w:rsidR="002979FF" w:rsidRPr="00D141FC">
        <w:t xml:space="preserve">new </w:t>
      </w:r>
      <w:r w:rsidR="00C357E9" w:rsidRPr="00D141FC">
        <w:t>drug</w:t>
      </w:r>
      <w:r w:rsidR="002979FF" w:rsidRPr="00D141FC">
        <w:t>s</w:t>
      </w:r>
      <w:r w:rsidR="00C357E9" w:rsidRPr="00D141FC">
        <w:t xml:space="preserve"> in combination with </w:t>
      </w:r>
      <w:r w:rsidR="006D20B5" w:rsidRPr="00D141FC">
        <w:t xml:space="preserve">any of the </w:t>
      </w:r>
      <w:r w:rsidR="00C357E9" w:rsidRPr="00D141FC">
        <w:t>drugs or medicinal preparations</w:t>
      </w:r>
      <w:r w:rsidR="006D20B5" w:rsidRPr="00D141FC">
        <w:t xml:space="preserve"> covered by the existing deed</w:t>
      </w:r>
      <w:r w:rsidR="00A07EDA" w:rsidRPr="00D141FC">
        <w:t>.</w:t>
      </w:r>
    </w:p>
    <w:p w:rsidR="000C4188" w:rsidRPr="00D141FC" w:rsidRDefault="000C4188" w:rsidP="000C4188">
      <w:pPr>
        <w:pStyle w:val="SubsectionHead"/>
      </w:pPr>
      <w:r w:rsidRPr="00D141FC">
        <w:t>Circumstances in the above subregulations are not exhaustive</w:t>
      </w:r>
    </w:p>
    <w:p w:rsidR="00A74EA8" w:rsidRPr="00D141FC" w:rsidRDefault="000C4188" w:rsidP="000C4188">
      <w:pPr>
        <w:pStyle w:val="subsection"/>
      </w:pPr>
      <w:r w:rsidRPr="00D141FC">
        <w:tab/>
        <w:t>(5)</w:t>
      </w:r>
      <w:r w:rsidRPr="00D141FC">
        <w:tab/>
      </w:r>
      <w:r w:rsidR="00A74EA8" w:rsidRPr="00D141FC">
        <w:t>This regulation does not set out the only circumstances in which the pricing terms in an existing deed will be, or will not be, substantially similar to those appropriate for the new drugs.</w:t>
      </w:r>
    </w:p>
    <w:p w:rsidR="00963048" w:rsidRPr="00D141FC" w:rsidRDefault="00A07EDA" w:rsidP="00963048">
      <w:pPr>
        <w:pStyle w:val="ActHead5"/>
      </w:pPr>
      <w:bookmarkStart w:id="50" w:name="_Toc3993194"/>
      <w:r w:rsidRPr="00D141FC">
        <w:rPr>
          <w:rStyle w:val="CharSectno"/>
        </w:rPr>
        <w:t>3.8</w:t>
      </w:r>
      <w:r w:rsidR="00963048" w:rsidRPr="00D141FC">
        <w:t xml:space="preserve">  Pricing Pathway D applications</w:t>
      </w:r>
      <w:bookmarkEnd w:id="50"/>
    </w:p>
    <w:p w:rsidR="00146936" w:rsidRPr="00D141FC" w:rsidRDefault="00146936" w:rsidP="00146936">
      <w:pPr>
        <w:pStyle w:val="subsection"/>
      </w:pPr>
      <w:r w:rsidRPr="00D141FC">
        <w:tab/>
        <w:t>(1)</w:t>
      </w:r>
      <w:r w:rsidRPr="00D141FC">
        <w:tab/>
        <w:t>A person’s pricing application is in the Pricing Pathway D category if:</w:t>
      </w:r>
    </w:p>
    <w:p w:rsidR="00146936" w:rsidRPr="00D141FC" w:rsidRDefault="00146936" w:rsidP="00146936">
      <w:pPr>
        <w:pStyle w:val="paragraph"/>
      </w:pPr>
      <w:r w:rsidRPr="00D141FC">
        <w:tab/>
        <w:t>(a)</w:t>
      </w:r>
      <w:r w:rsidRPr="00D141FC">
        <w:tab/>
        <w:t>subregulation</w:t>
      </w:r>
      <w:r w:rsidR="00D141FC" w:rsidRPr="00D141FC">
        <w:t> </w:t>
      </w:r>
      <w:r w:rsidRPr="00D141FC">
        <w:t>(2), (3)</w:t>
      </w:r>
      <w:r w:rsidR="00771738" w:rsidRPr="00D141FC">
        <w:t>, (4)</w:t>
      </w:r>
      <w:r w:rsidRPr="00D141FC">
        <w:t xml:space="preserve"> or (</w:t>
      </w:r>
      <w:r w:rsidR="00771738" w:rsidRPr="00D141FC">
        <w:t>5</w:t>
      </w:r>
      <w:r w:rsidRPr="00D141FC">
        <w:t>) applies to the pricing application; and</w:t>
      </w:r>
    </w:p>
    <w:p w:rsidR="00146936" w:rsidRPr="00D141FC" w:rsidRDefault="00146936" w:rsidP="00146936">
      <w:pPr>
        <w:pStyle w:val="paragraph"/>
      </w:pPr>
      <w:r w:rsidRPr="00D141FC">
        <w:tab/>
        <w:t>(</w:t>
      </w:r>
      <w:r w:rsidR="00B233FD" w:rsidRPr="00D141FC">
        <w:t>b</w:t>
      </w:r>
      <w:r w:rsidRPr="00D141FC">
        <w:t>)</w:t>
      </w:r>
      <w:r w:rsidRPr="00D141FC">
        <w:tab/>
        <w:t>the pricing application does not seek the entering into of a deed under section</w:t>
      </w:r>
      <w:r w:rsidR="00D141FC" w:rsidRPr="00D141FC">
        <w:t> </w:t>
      </w:r>
      <w:r w:rsidRPr="00D141FC">
        <w:t>85E of the Act for the drugs or medicinal preparations</w:t>
      </w:r>
      <w:r w:rsidR="00B233FD" w:rsidRPr="00D141FC">
        <w:t xml:space="preserve"> to which the pricing application relates (the </w:t>
      </w:r>
      <w:r w:rsidR="00B233FD" w:rsidRPr="00D141FC">
        <w:rPr>
          <w:b/>
          <w:i/>
        </w:rPr>
        <w:t>new drugs</w:t>
      </w:r>
      <w:r w:rsidR="00B233FD" w:rsidRPr="00D141FC">
        <w:t>)</w:t>
      </w:r>
      <w:r w:rsidRPr="00D141FC">
        <w:t>; and</w:t>
      </w:r>
    </w:p>
    <w:p w:rsidR="00146936" w:rsidRPr="00D141FC" w:rsidRDefault="00B233FD" w:rsidP="00146936">
      <w:pPr>
        <w:pStyle w:val="paragraph"/>
      </w:pPr>
      <w:r w:rsidRPr="00D141FC">
        <w:tab/>
        <w:t>(c</w:t>
      </w:r>
      <w:r w:rsidR="00146936" w:rsidRPr="00D141FC">
        <w:t>)</w:t>
      </w:r>
      <w:r w:rsidR="00146936" w:rsidRPr="00D141FC">
        <w:tab/>
      </w:r>
      <w:r w:rsidRPr="00D141FC">
        <w:t xml:space="preserve">the pricing application </w:t>
      </w:r>
      <w:r w:rsidR="00146936" w:rsidRPr="00D141FC">
        <w:t>is not in the Pricing Pathway A category</w:t>
      </w:r>
      <w:r w:rsidR="00A07EDA" w:rsidRPr="00D141FC">
        <w:t>.</w:t>
      </w:r>
    </w:p>
    <w:p w:rsidR="00146936" w:rsidRPr="00D141FC" w:rsidRDefault="00B233FD" w:rsidP="00963048">
      <w:pPr>
        <w:pStyle w:val="subsection"/>
      </w:pPr>
      <w:r w:rsidRPr="00D141FC">
        <w:tab/>
        <w:t>(2)</w:t>
      </w:r>
      <w:r w:rsidRPr="00D141FC">
        <w:tab/>
        <w:t>This subregulation</w:t>
      </w:r>
      <w:r w:rsidR="00D141FC" w:rsidRPr="00D141FC">
        <w:t> </w:t>
      </w:r>
      <w:r w:rsidRPr="00D141FC">
        <w:t>applies to the pricing application if the pricing application:</w:t>
      </w:r>
    </w:p>
    <w:p w:rsidR="00B233FD" w:rsidRPr="00D141FC" w:rsidRDefault="00B233FD" w:rsidP="00B233FD">
      <w:pPr>
        <w:pStyle w:val="paragraph"/>
      </w:pPr>
      <w:r w:rsidRPr="00D141FC">
        <w:tab/>
        <w:t>(a)</w:t>
      </w:r>
      <w:r w:rsidRPr="00D141FC">
        <w:tab/>
        <w:t xml:space="preserve">notes that the person’s </w:t>
      </w:r>
      <w:r w:rsidR="00336922" w:rsidRPr="00D141FC">
        <w:t>Part</w:t>
      </w:r>
      <w:r w:rsidR="00D141FC" w:rsidRPr="00D141FC">
        <w:t> </w:t>
      </w:r>
      <w:r w:rsidR="00336922" w:rsidRPr="00D141FC">
        <w:t xml:space="preserve">2 </w:t>
      </w:r>
      <w:r w:rsidRPr="00D141FC">
        <w:t xml:space="preserve">submission to the Committee covering the new </w:t>
      </w:r>
      <w:r w:rsidR="007B0404" w:rsidRPr="00D141FC">
        <w:t xml:space="preserve">drugs </w:t>
      </w:r>
      <w:r w:rsidRPr="00D141FC">
        <w:t xml:space="preserve">included </w:t>
      </w:r>
      <w:r w:rsidR="0037559E" w:rsidRPr="00D141FC">
        <w:t>one or more</w:t>
      </w:r>
      <w:r w:rsidR="00865A90" w:rsidRPr="00D141FC">
        <w:t xml:space="preserve"> of </w:t>
      </w:r>
      <w:r w:rsidRPr="00D141FC">
        <w:t>the following claims about the new drugs</w:t>
      </w:r>
      <w:r w:rsidR="008978F3" w:rsidRPr="00D141FC">
        <w:t xml:space="preserve"> and an alternative therapy</w:t>
      </w:r>
      <w:r w:rsidRPr="00D141FC">
        <w:t>:</w:t>
      </w:r>
    </w:p>
    <w:p w:rsidR="00B233FD" w:rsidRPr="00D141FC" w:rsidRDefault="00B233FD" w:rsidP="00B233FD">
      <w:pPr>
        <w:pStyle w:val="paragraphsub"/>
      </w:pPr>
      <w:r w:rsidRPr="00D141FC">
        <w:tab/>
        <w:t>(i)</w:t>
      </w:r>
      <w:r w:rsidRPr="00D141FC">
        <w:tab/>
        <w:t>a claim that the effectiveness of specified doses of the new drugs is equivale</w:t>
      </w:r>
      <w:r w:rsidR="00B43B8A" w:rsidRPr="00D141FC">
        <w:t>nt to</w:t>
      </w:r>
      <w:r w:rsidR="00363258" w:rsidRPr="00D141FC">
        <w:t xml:space="preserve"> specified</w:t>
      </w:r>
      <w:r w:rsidR="00B43B8A" w:rsidRPr="00D141FC">
        <w:t xml:space="preserve"> dose</w:t>
      </w:r>
      <w:r w:rsidR="00363258" w:rsidRPr="00D141FC">
        <w:t>s</w:t>
      </w:r>
      <w:r w:rsidR="00B43B8A" w:rsidRPr="00D141FC">
        <w:t xml:space="preserve"> of </w:t>
      </w:r>
      <w:r w:rsidR="008978F3" w:rsidRPr="00D141FC">
        <w:t>the alternative therapy</w:t>
      </w:r>
      <w:r w:rsidRPr="00D141FC">
        <w:t>;</w:t>
      </w:r>
    </w:p>
    <w:p w:rsidR="00B233FD" w:rsidRPr="00D141FC" w:rsidRDefault="00B233FD" w:rsidP="00B233FD">
      <w:pPr>
        <w:pStyle w:val="paragraphsub"/>
      </w:pPr>
      <w:r w:rsidRPr="00D141FC">
        <w:tab/>
        <w:t>(ii)</w:t>
      </w:r>
      <w:r w:rsidRPr="00D141FC">
        <w:tab/>
        <w:t xml:space="preserve">a claim that the new drugs will provide similar health benefits to those provided by the </w:t>
      </w:r>
      <w:r w:rsidR="008978F3" w:rsidRPr="00D141FC">
        <w:t>alternative therapy</w:t>
      </w:r>
      <w:r w:rsidRPr="00D141FC">
        <w:t>;</w:t>
      </w:r>
    </w:p>
    <w:p w:rsidR="00B233FD" w:rsidRPr="00D141FC" w:rsidRDefault="00B233FD" w:rsidP="00B233FD">
      <w:pPr>
        <w:pStyle w:val="paragraphsub"/>
      </w:pPr>
      <w:r w:rsidRPr="00D141FC">
        <w:tab/>
        <w:t>(iii)</w:t>
      </w:r>
      <w:r w:rsidRPr="00D141FC">
        <w:tab/>
        <w:t xml:space="preserve">a claim that the new drugs may be supplied at the same or a lower price per treatment, or price per unit, as that for the </w:t>
      </w:r>
      <w:r w:rsidR="008978F3" w:rsidRPr="00D141FC">
        <w:t>alternative therapy</w:t>
      </w:r>
      <w:r w:rsidRPr="00D141FC">
        <w:t>; and</w:t>
      </w:r>
    </w:p>
    <w:p w:rsidR="00B233FD" w:rsidRPr="00D141FC" w:rsidRDefault="00B233FD" w:rsidP="00B233FD">
      <w:pPr>
        <w:pStyle w:val="paragraph"/>
      </w:pPr>
      <w:r w:rsidRPr="00D141FC">
        <w:tab/>
        <w:t>(b)</w:t>
      </w:r>
      <w:r w:rsidRPr="00D141FC">
        <w:tab/>
        <w:t xml:space="preserve">notes that the </w:t>
      </w:r>
      <w:r w:rsidR="00581A18" w:rsidRPr="00D141FC">
        <w:t xml:space="preserve">claims are consistent with the </w:t>
      </w:r>
      <w:r w:rsidRPr="00D141FC">
        <w:t xml:space="preserve">Committee’s recommendation or advice to the Minister </w:t>
      </w:r>
      <w:r w:rsidR="0025270A" w:rsidRPr="00D141FC">
        <w:t>responding to that submissio</w:t>
      </w:r>
      <w:r w:rsidR="00581A18" w:rsidRPr="00D141FC">
        <w:t>n</w:t>
      </w:r>
      <w:r w:rsidRPr="00D141FC">
        <w:t>; and</w:t>
      </w:r>
    </w:p>
    <w:p w:rsidR="00B233FD" w:rsidRPr="00D141FC" w:rsidRDefault="00B233FD" w:rsidP="00B233FD">
      <w:pPr>
        <w:pStyle w:val="paragraph"/>
      </w:pPr>
      <w:r w:rsidRPr="00D141FC">
        <w:tab/>
        <w:t>(c)</w:t>
      </w:r>
      <w:r w:rsidRPr="00D141FC">
        <w:tab/>
        <w:t>suggests a price based on the claims</w:t>
      </w:r>
      <w:r w:rsidR="00A07EDA" w:rsidRPr="00D141FC">
        <w:t>.</w:t>
      </w:r>
    </w:p>
    <w:p w:rsidR="005A4628" w:rsidRPr="00D141FC" w:rsidRDefault="005A4628" w:rsidP="005A4628">
      <w:pPr>
        <w:pStyle w:val="subsection"/>
      </w:pPr>
      <w:r w:rsidRPr="00D141FC">
        <w:tab/>
        <w:t>(3)</w:t>
      </w:r>
      <w:r w:rsidRPr="00D141FC">
        <w:tab/>
        <w:t>This subregulation</w:t>
      </w:r>
      <w:r w:rsidR="00D141FC" w:rsidRPr="00D141FC">
        <w:t> </w:t>
      </w:r>
      <w:r w:rsidRPr="00D141FC">
        <w:t>applies to the pricing application if:</w:t>
      </w:r>
    </w:p>
    <w:p w:rsidR="005A4628" w:rsidRPr="00D141FC" w:rsidRDefault="005A4628" w:rsidP="005A4628">
      <w:pPr>
        <w:pStyle w:val="paragraph"/>
      </w:pPr>
      <w:r w:rsidRPr="00D141FC">
        <w:tab/>
        <w:t>(a)</w:t>
      </w:r>
      <w:r w:rsidRPr="00D141FC">
        <w:tab/>
        <w:t xml:space="preserve">the pricing application notes that the person’s </w:t>
      </w:r>
      <w:r w:rsidR="00336922" w:rsidRPr="00D141FC">
        <w:t>Part</w:t>
      </w:r>
      <w:r w:rsidR="00D141FC" w:rsidRPr="00D141FC">
        <w:t> </w:t>
      </w:r>
      <w:r w:rsidR="00336922" w:rsidRPr="00D141FC">
        <w:t xml:space="preserve">2 </w:t>
      </w:r>
      <w:r w:rsidRPr="00D141FC">
        <w:t>submission to the Committee covering the new drugs:</w:t>
      </w:r>
    </w:p>
    <w:p w:rsidR="005A4628" w:rsidRPr="00D141FC" w:rsidRDefault="005A4628" w:rsidP="005A4628">
      <w:pPr>
        <w:pStyle w:val="paragraphsub"/>
      </w:pPr>
      <w:r w:rsidRPr="00D141FC">
        <w:tab/>
        <w:t>(i)</w:t>
      </w:r>
      <w:r w:rsidRPr="00D141FC">
        <w:tab/>
        <w:t>claimed that the use of the new drugs provides a significant improvement in the efficacy or reduction in toxicity compared to an</w:t>
      </w:r>
      <w:r w:rsidR="008978F3" w:rsidRPr="00D141FC">
        <w:t>y alternative therapy</w:t>
      </w:r>
      <w:r w:rsidRPr="00D141FC">
        <w:t>; and</w:t>
      </w:r>
    </w:p>
    <w:p w:rsidR="005A4628" w:rsidRPr="00D141FC" w:rsidRDefault="005A4628" w:rsidP="005A4628">
      <w:pPr>
        <w:pStyle w:val="paragraphsub"/>
      </w:pPr>
      <w:r w:rsidRPr="00D141FC">
        <w:tab/>
        <w:t>(ii)</w:t>
      </w:r>
      <w:r w:rsidRPr="00D141FC">
        <w:tab/>
        <w:t>requested for the new drugs a higher price per treatment, or price per unit, than that for an alternative therapy; and</w:t>
      </w:r>
    </w:p>
    <w:p w:rsidR="005A4628" w:rsidRPr="00D141FC" w:rsidRDefault="005A4628" w:rsidP="005A4628">
      <w:pPr>
        <w:pStyle w:val="paragraph"/>
      </w:pPr>
      <w:r w:rsidRPr="00D141FC">
        <w:tab/>
        <w:t>(b)</w:t>
      </w:r>
      <w:r w:rsidRPr="00D141FC">
        <w:tab/>
        <w:t>the pricing application requests for the new drugs a higher price per treatment, or price per unit, than that for:</w:t>
      </w:r>
    </w:p>
    <w:p w:rsidR="005A4628" w:rsidRPr="00D141FC" w:rsidRDefault="005A4628" w:rsidP="005A4628">
      <w:pPr>
        <w:pStyle w:val="paragraphsub"/>
      </w:pPr>
      <w:r w:rsidRPr="00D141FC">
        <w:tab/>
        <w:t>(i)</w:t>
      </w:r>
      <w:r w:rsidRPr="00D141FC">
        <w:tab/>
        <w:t xml:space="preserve">the </w:t>
      </w:r>
      <w:r w:rsidR="00E044E2" w:rsidRPr="00D141FC">
        <w:t xml:space="preserve">alternative therapy </w:t>
      </w:r>
      <w:r w:rsidRPr="00D141FC">
        <w:t xml:space="preserve">referred to in </w:t>
      </w:r>
      <w:r w:rsidR="00D141FC" w:rsidRPr="00D141FC">
        <w:t>subparagraph (</w:t>
      </w:r>
      <w:r w:rsidRPr="00D141FC">
        <w:t>a)</w:t>
      </w:r>
      <w:r w:rsidR="008978F3" w:rsidRPr="00D141FC">
        <w:t>(ii)</w:t>
      </w:r>
      <w:r w:rsidRPr="00D141FC">
        <w:t>; or</w:t>
      </w:r>
    </w:p>
    <w:p w:rsidR="007C4F16" w:rsidRPr="00D141FC" w:rsidRDefault="005A4628" w:rsidP="005A4628">
      <w:pPr>
        <w:pStyle w:val="paragraphsub"/>
      </w:pPr>
      <w:r w:rsidRPr="00D141FC">
        <w:tab/>
        <w:t>(ii)</w:t>
      </w:r>
      <w:r w:rsidRPr="00D141FC">
        <w:tab/>
      </w:r>
      <w:r w:rsidR="007C4F16" w:rsidRPr="00D141FC">
        <w:t xml:space="preserve">another </w:t>
      </w:r>
      <w:r w:rsidR="008978F3" w:rsidRPr="00D141FC">
        <w:t xml:space="preserve">alternative </w:t>
      </w:r>
      <w:r w:rsidR="00E044E2" w:rsidRPr="00D141FC">
        <w:t>therapy</w:t>
      </w:r>
      <w:r w:rsidR="007C4F16" w:rsidRPr="00D141FC">
        <w:t xml:space="preserve"> if, as part of the Committee’s recommendation or advice (the </w:t>
      </w:r>
      <w:r w:rsidR="007C4F16" w:rsidRPr="00D141FC">
        <w:rPr>
          <w:b/>
          <w:i/>
        </w:rPr>
        <w:t>Committee’s response</w:t>
      </w:r>
      <w:r w:rsidR="007C4F16" w:rsidRPr="00D141FC">
        <w:t xml:space="preserve">) responding to </w:t>
      </w:r>
      <w:r w:rsidR="00363258" w:rsidRPr="00D141FC">
        <w:t>that submission</w:t>
      </w:r>
      <w:r w:rsidR="007C4F16" w:rsidRPr="00D141FC">
        <w:t xml:space="preserve">, the Committee </w:t>
      </w:r>
      <w:r w:rsidR="006D0870" w:rsidRPr="00D141FC">
        <w:t>finds</w:t>
      </w:r>
      <w:r w:rsidR="007C4F16" w:rsidRPr="00D141FC">
        <w:t xml:space="preserve"> that th</w:t>
      </w:r>
      <w:r w:rsidR="00474308" w:rsidRPr="00D141FC">
        <w:t>e</w:t>
      </w:r>
      <w:r w:rsidR="007C4F16" w:rsidRPr="00D141FC">
        <w:t xml:space="preserve"> other </w:t>
      </w:r>
      <w:r w:rsidR="00E044E2" w:rsidRPr="00D141FC">
        <w:t>therapy</w:t>
      </w:r>
      <w:r w:rsidR="007C4F16" w:rsidRPr="00D141FC">
        <w:t xml:space="preserve"> is clinically comparable to the new drugs; and</w:t>
      </w:r>
    </w:p>
    <w:p w:rsidR="005A4628" w:rsidRPr="00D141FC" w:rsidRDefault="005A4628" w:rsidP="005A4628">
      <w:pPr>
        <w:pStyle w:val="paragraph"/>
      </w:pPr>
      <w:r w:rsidRPr="00D141FC">
        <w:tab/>
        <w:t>(c)</w:t>
      </w:r>
      <w:r w:rsidRPr="00D141FC">
        <w:tab/>
        <w:t xml:space="preserve">the claim in </w:t>
      </w:r>
      <w:r w:rsidR="00D141FC" w:rsidRPr="00D141FC">
        <w:t>paragraph (</w:t>
      </w:r>
      <w:r w:rsidRPr="00D141FC">
        <w:t xml:space="preserve">a) and the requests in </w:t>
      </w:r>
      <w:r w:rsidR="00D141FC" w:rsidRPr="00D141FC">
        <w:t>paragraphs (</w:t>
      </w:r>
      <w:r w:rsidRPr="00D141FC">
        <w:t>a) and (b)</w:t>
      </w:r>
      <w:r w:rsidR="000431F9" w:rsidRPr="00D141FC">
        <w:t xml:space="preserve"> are consistent with </w:t>
      </w:r>
      <w:r w:rsidR="00860627" w:rsidRPr="00D141FC">
        <w:t>the Committee’s response</w:t>
      </w:r>
      <w:r w:rsidR="000431F9" w:rsidRPr="00D141FC">
        <w:t>.</w:t>
      </w:r>
    </w:p>
    <w:p w:rsidR="00801C91" w:rsidRPr="00D141FC" w:rsidRDefault="00801C91" w:rsidP="00801C91">
      <w:pPr>
        <w:pStyle w:val="subsection"/>
      </w:pPr>
      <w:r w:rsidRPr="00D141FC">
        <w:tab/>
        <w:t>(4)</w:t>
      </w:r>
      <w:r w:rsidRPr="00D141FC">
        <w:tab/>
        <w:t>This subregulation</w:t>
      </w:r>
      <w:r w:rsidR="00D141FC" w:rsidRPr="00D141FC">
        <w:t> </w:t>
      </w:r>
      <w:r w:rsidRPr="00D141FC">
        <w:t>applies to the pricing application if:</w:t>
      </w:r>
    </w:p>
    <w:p w:rsidR="00801C91" w:rsidRPr="00D141FC" w:rsidRDefault="00801C91" w:rsidP="00801C91">
      <w:pPr>
        <w:pStyle w:val="paragraph"/>
      </w:pPr>
      <w:r w:rsidRPr="00D141FC">
        <w:tab/>
        <w:t>(a)</w:t>
      </w:r>
      <w:r w:rsidRPr="00D141FC">
        <w:tab/>
        <w:t xml:space="preserve">the pricing application notes that the person’s </w:t>
      </w:r>
      <w:r w:rsidR="00336922" w:rsidRPr="00D141FC">
        <w:t>Part</w:t>
      </w:r>
      <w:r w:rsidR="00D141FC" w:rsidRPr="00D141FC">
        <w:t> </w:t>
      </w:r>
      <w:r w:rsidR="00336922" w:rsidRPr="00D141FC">
        <w:t xml:space="preserve">2 </w:t>
      </w:r>
      <w:r w:rsidRPr="00D141FC">
        <w:t>submission to the Committee covering the new drugs included a request for a review of the existing price for a listed drug; and</w:t>
      </w:r>
    </w:p>
    <w:p w:rsidR="00801C91" w:rsidRPr="00D141FC" w:rsidRDefault="00174E30" w:rsidP="00801C91">
      <w:pPr>
        <w:pStyle w:val="paragraph"/>
      </w:pPr>
      <w:r w:rsidRPr="00D141FC">
        <w:tab/>
        <w:t>(b)</w:t>
      </w:r>
      <w:r w:rsidRPr="00D141FC">
        <w:tab/>
        <w:t>the resulting price</w:t>
      </w:r>
      <w:r w:rsidR="00801C91" w:rsidRPr="00D141FC">
        <w:t xml:space="preserve"> </w:t>
      </w:r>
      <w:r w:rsidR="00DC1D5D" w:rsidRPr="00D141FC">
        <w:t xml:space="preserve">requested in the pricing application </w:t>
      </w:r>
      <w:r w:rsidR="00801C91" w:rsidRPr="00D141FC">
        <w:t xml:space="preserve">is consistent with the Committee’s recommendation or advice </w:t>
      </w:r>
      <w:r w:rsidR="00865A90" w:rsidRPr="00D141FC">
        <w:t xml:space="preserve">to the Minister </w:t>
      </w:r>
      <w:r w:rsidR="00801C91" w:rsidRPr="00D141FC">
        <w:t>responding to that submission.</w:t>
      </w:r>
    </w:p>
    <w:p w:rsidR="00B43B8A" w:rsidRPr="00D141FC" w:rsidRDefault="00B43B8A" w:rsidP="00B43B8A">
      <w:pPr>
        <w:pStyle w:val="subsection"/>
      </w:pPr>
      <w:r w:rsidRPr="00D141FC">
        <w:tab/>
        <w:t>(5)</w:t>
      </w:r>
      <w:r w:rsidRPr="00D141FC">
        <w:tab/>
        <w:t>This subregulation</w:t>
      </w:r>
      <w:r w:rsidR="00D141FC" w:rsidRPr="00D141FC">
        <w:t> </w:t>
      </w:r>
      <w:r w:rsidRPr="00D141FC">
        <w:t>applies to the pricing application if:</w:t>
      </w:r>
    </w:p>
    <w:p w:rsidR="00B43B8A" w:rsidRPr="00D141FC" w:rsidRDefault="00B43B8A" w:rsidP="00B43B8A">
      <w:pPr>
        <w:pStyle w:val="paragraph"/>
      </w:pPr>
      <w:r w:rsidRPr="00D141FC">
        <w:tab/>
        <w:t>(a)</w:t>
      </w:r>
      <w:r w:rsidRPr="00D141FC">
        <w:tab/>
        <w:t xml:space="preserve">the pricing application notes that the person’s </w:t>
      </w:r>
      <w:r w:rsidR="00336922" w:rsidRPr="00D141FC">
        <w:t>Part</w:t>
      </w:r>
      <w:r w:rsidR="00D141FC" w:rsidRPr="00D141FC">
        <w:t> </w:t>
      </w:r>
      <w:r w:rsidR="00336922" w:rsidRPr="00D141FC">
        <w:t xml:space="preserve">2 </w:t>
      </w:r>
      <w:r w:rsidRPr="00D141FC">
        <w:t xml:space="preserve">submission to the Committee covering the new drugs included </w:t>
      </w:r>
      <w:r w:rsidR="00865A90" w:rsidRPr="00D141FC">
        <w:t xml:space="preserve">both of </w:t>
      </w:r>
      <w:r w:rsidRPr="00D141FC">
        <w:t>the following claims about the new drugs</w:t>
      </w:r>
      <w:r w:rsidR="008978F3" w:rsidRPr="00D141FC">
        <w:t xml:space="preserve"> and an alternative therapy</w:t>
      </w:r>
      <w:r w:rsidRPr="00D141FC">
        <w:t>:</w:t>
      </w:r>
    </w:p>
    <w:p w:rsidR="00B43B8A" w:rsidRPr="00D141FC" w:rsidRDefault="00B43B8A" w:rsidP="00B43B8A">
      <w:pPr>
        <w:pStyle w:val="paragraphsub"/>
      </w:pPr>
      <w:r w:rsidRPr="00D141FC">
        <w:tab/>
        <w:t>(i)</w:t>
      </w:r>
      <w:r w:rsidRPr="00D141FC">
        <w:tab/>
        <w:t xml:space="preserve">a claim that the new drugs will provide similar health benefits to those provided by </w:t>
      </w:r>
      <w:r w:rsidR="008978F3" w:rsidRPr="00D141FC">
        <w:t>the alternative therapy</w:t>
      </w:r>
      <w:r w:rsidRPr="00D141FC">
        <w:t>;</w:t>
      </w:r>
    </w:p>
    <w:p w:rsidR="00B43B8A" w:rsidRPr="00D141FC" w:rsidRDefault="00B43B8A" w:rsidP="00B43B8A">
      <w:pPr>
        <w:pStyle w:val="paragraphsub"/>
      </w:pPr>
      <w:r w:rsidRPr="00D141FC">
        <w:tab/>
        <w:t>(ii)</w:t>
      </w:r>
      <w:r w:rsidRPr="00D141FC">
        <w:tab/>
        <w:t xml:space="preserve">a claim that the new drugs may be supplied at the same or a lower price per treatment, or price per unit, as that for </w:t>
      </w:r>
      <w:r w:rsidR="008978F3" w:rsidRPr="00D141FC">
        <w:t>the alternative therapy</w:t>
      </w:r>
      <w:r w:rsidRPr="00D141FC">
        <w:t>; and</w:t>
      </w:r>
    </w:p>
    <w:p w:rsidR="00146936" w:rsidRPr="00D141FC" w:rsidRDefault="00B43B8A" w:rsidP="00B43B8A">
      <w:pPr>
        <w:pStyle w:val="paragraph"/>
      </w:pPr>
      <w:r w:rsidRPr="00D141FC">
        <w:tab/>
        <w:t>(b)</w:t>
      </w:r>
      <w:r w:rsidRPr="00D141FC">
        <w:tab/>
        <w:t xml:space="preserve">the </w:t>
      </w:r>
      <w:r w:rsidR="00917403" w:rsidRPr="00D141FC">
        <w:t xml:space="preserve">claims are consistent with the </w:t>
      </w:r>
      <w:r w:rsidRPr="00D141FC">
        <w:t xml:space="preserve">Committee’s recommendation or advice to the Minister </w:t>
      </w:r>
      <w:r w:rsidR="00917403" w:rsidRPr="00D141FC">
        <w:t>responding to that submission</w:t>
      </w:r>
      <w:r w:rsidR="00A07EDA" w:rsidRPr="00D141FC">
        <w:t>.</w:t>
      </w:r>
    </w:p>
    <w:p w:rsidR="00963048" w:rsidRPr="00D141FC" w:rsidRDefault="00A07EDA" w:rsidP="00963048">
      <w:pPr>
        <w:pStyle w:val="ActHead5"/>
      </w:pPr>
      <w:bookmarkStart w:id="51" w:name="_Toc3993195"/>
      <w:r w:rsidRPr="00D141FC">
        <w:rPr>
          <w:rStyle w:val="CharSectno"/>
        </w:rPr>
        <w:t>3.9</w:t>
      </w:r>
      <w:r w:rsidR="00963048" w:rsidRPr="00D141FC">
        <w:t xml:space="preserve">  Pricing Secretariat applications</w:t>
      </w:r>
      <w:bookmarkEnd w:id="51"/>
    </w:p>
    <w:p w:rsidR="00963048" w:rsidRPr="00D141FC" w:rsidRDefault="00963048" w:rsidP="00963048">
      <w:pPr>
        <w:pStyle w:val="subsection"/>
      </w:pPr>
      <w:r w:rsidRPr="00D141FC">
        <w:tab/>
      </w:r>
      <w:r w:rsidRPr="00D141FC">
        <w:tab/>
        <w:t>A person’s pricing application is in the Pricing Secretariat category if it is not in the Pricing Pathway A, B, C or D category</w:t>
      </w:r>
      <w:r w:rsidR="00A07EDA" w:rsidRPr="00D141FC">
        <w:t>.</w:t>
      </w:r>
    </w:p>
    <w:p w:rsidR="00811D16" w:rsidRPr="00D141FC" w:rsidRDefault="00811D16" w:rsidP="00811D16">
      <w:pPr>
        <w:pStyle w:val="ActHead3"/>
      </w:pPr>
      <w:bookmarkStart w:id="52" w:name="_Toc3993196"/>
      <w:r w:rsidRPr="00D141FC">
        <w:rPr>
          <w:rStyle w:val="CharDivNo"/>
        </w:rPr>
        <w:t>Division</w:t>
      </w:r>
      <w:r w:rsidR="00D141FC" w:rsidRPr="00D141FC">
        <w:rPr>
          <w:rStyle w:val="CharDivNo"/>
        </w:rPr>
        <w:t> </w:t>
      </w:r>
      <w:r w:rsidRPr="00D141FC">
        <w:rPr>
          <w:rStyle w:val="CharDivNo"/>
        </w:rPr>
        <w:t>3.3</w:t>
      </w:r>
      <w:r w:rsidRPr="00D141FC">
        <w:t>—</w:t>
      </w:r>
      <w:r w:rsidRPr="00D141FC">
        <w:rPr>
          <w:rStyle w:val="CharDivText"/>
        </w:rPr>
        <w:t>Application procedure including prior notice</w:t>
      </w:r>
      <w:bookmarkEnd w:id="52"/>
    </w:p>
    <w:p w:rsidR="00963048" w:rsidRPr="00D141FC" w:rsidRDefault="00A07EDA" w:rsidP="00963048">
      <w:pPr>
        <w:pStyle w:val="ActHead5"/>
      </w:pPr>
      <w:bookmarkStart w:id="53" w:name="_Toc3993197"/>
      <w:r w:rsidRPr="00D141FC">
        <w:rPr>
          <w:rStyle w:val="CharSectno"/>
        </w:rPr>
        <w:t>3.10</w:t>
      </w:r>
      <w:r w:rsidR="00963048" w:rsidRPr="00D141FC">
        <w:t xml:space="preserve">  </w:t>
      </w:r>
      <w:r w:rsidR="00A95699" w:rsidRPr="00D141FC">
        <w:t>Prior notice of pricing applications needed</w:t>
      </w:r>
      <w:bookmarkEnd w:id="53"/>
    </w:p>
    <w:p w:rsidR="00BB17FF" w:rsidRPr="00D141FC" w:rsidRDefault="00BB17FF" w:rsidP="00BB17FF">
      <w:pPr>
        <w:pStyle w:val="SubsectionHead"/>
      </w:pPr>
      <w:r w:rsidRPr="00D141FC">
        <w:t>Prior notice required</w:t>
      </w:r>
    </w:p>
    <w:p w:rsidR="00363258" w:rsidRPr="00D141FC" w:rsidRDefault="00363258" w:rsidP="00363258">
      <w:pPr>
        <w:pStyle w:val="subsection"/>
      </w:pPr>
      <w:r w:rsidRPr="00D141FC">
        <w:tab/>
        <w:t>(1)</w:t>
      </w:r>
      <w:r w:rsidRPr="00D141FC">
        <w:tab/>
        <w:t>A person proposing to make and send a pricing application:</w:t>
      </w:r>
    </w:p>
    <w:p w:rsidR="00363258" w:rsidRPr="00D141FC" w:rsidRDefault="00363258" w:rsidP="00363258">
      <w:pPr>
        <w:pStyle w:val="paragraph"/>
      </w:pPr>
      <w:r w:rsidRPr="00D141FC">
        <w:tab/>
        <w:t>(a)</w:t>
      </w:r>
      <w:r w:rsidRPr="00D141FC">
        <w:tab/>
        <w:t>must give the Department prior notice of the pricing application in accordance with subregulation</w:t>
      </w:r>
      <w:r w:rsidR="00D141FC" w:rsidRPr="00D141FC">
        <w:t> </w:t>
      </w:r>
      <w:r w:rsidRPr="00D141FC">
        <w:t>(5); and</w:t>
      </w:r>
    </w:p>
    <w:p w:rsidR="00363258" w:rsidRPr="00D141FC" w:rsidRDefault="00363258" w:rsidP="00363258">
      <w:pPr>
        <w:pStyle w:val="paragraph"/>
      </w:pPr>
      <w:r w:rsidRPr="00D141FC">
        <w:tab/>
        <w:t>(b)</w:t>
      </w:r>
      <w:r w:rsidRPr="00D141FC">
        <w:tab/>
        <w:t>must do so at least 7 days before the day the person sends the proposed pricing application to the Department.</w:t>
      </w:r>
    </w:p>
    <w:p w:rsidR="00363258" w:rsidRPr="00D141FC" w:rsidRDefault="00363258" w:rsidP="00363258">
      <w:pPr>
        <w:pStyle w:val="notetext"/>
      </w:pPr>
      <w:r w:rsidRPr="00D141FC">
        <w:t>Note 1:</w:t>
      </w:r>
      <w:r w:rsidRPr="00D141FC">
        <w:tab/>
        <w:t>Requiring this prior notice allows the Commonwealth to properly prepare for the provision of pricing services in response to the pricing application.</w:t>
      </w:r>
    </w:p>
    <w:p w:rsidR="00363258" w:rsidRPr="00D141FC" w:rsidRDefault="00363258" w:rsidP="00363258">
      <w:pPr>
        <w:pStyle w:val="notetext"/>
      </w:pPr>
      <w:r w:rsidRPr="00D141FC">
        <w:t>Note 2:</w:t>
      </w:r>
      <w:r w:rsidRPr="00D141FC">
        <w:tab/>
        <w:t>The pricing application will need to be sent to the Department within 42 days after this prior notice is given (see paragraph</w:t>
      </w:r>
      <w:r w:rsidR="00D141FC" w:rsidRPr="00D141FC">
        <w:t> </w:t>
      </w:r>
      <w:r w:rsidRPr="00D141FC">
        <w:t>3.11(1)(d)).</w:t>
      </w:r>
    </w:p>
    <w:p w:rsidR="00BB17FF" w:rsidRPr="00D141FC" w:rsidRDefault="00BB17FF" w:rsidP="00BB17FF">
      <w:pPr>
        <w:pStyle w:val="SubsectionHead"/>
      </w:pPr>
      <w:r w:rsidRPr="00D141FC">
        <w:t>Exception if an urgent public health need</w:t>
      </w:r>
    </w:p>
    <w:p w:rsidR="008D121A" w:rsidRPr="00D141FC" w:rsidRDefault="00BB17FF" w:rsidP="00BB17FF">
      <w:pPr>
        <w:pStyle w:val="subsection"/>
      </w:pPr>
      <w:r w:rsidRPr="00D141FC">
        <w:tab/>
        <w:t>(2)</w:t>
      </w:r>
      <w:r w:rsidRPr="00D141FC">
        <w:tab/>
      </w:r>
      <w:r w:rsidR="008D121A" w:rsidRPr="00D141FC">
        <w:t xml:space="preserve">However, prior notice of the </w:t>
      </w:r>
      <w:r w:rsidRPr="00D141FC">
        <w:t xml:space="preserve">pricing </w:t>
      </w:r>
      <w:r w:rsidR="008D121A" w:rsidRPr="00D141FC">
        <w:t xml:space="preserve">application </w:t>
      </w:r>
      <w:r w:rsidR="000C619B" w:rsidRPr="00D141FC">
        <w:t>is</w:t>
      </w:r>
      <w:r w:rsidR="008D121A" w:rsidRPr="00D141FC">
        <w:t xml:space="preserve"> not required under subregulation</w:t>
      </w:r>
      <w:r w:rsidR="00D141FC" w:rsidRPr="00D141FC">
        <w:t> </w:t>
      </w:r>
      <w:r w:rsidR="008D121A" w:rsidRPr="00D141FC">
        <w:t>(1) if the Secretary decides under subregulation</w:t>
      </w:r>
      <w:r w:rsidR="00D141FC" w:rsidRPr="00D141FC">
        <w:t> </w:t>
      </w:r>
      <w:r w:rsidR="008D121A" w:rsidRPr="00D141FC">
        <w:t xml:space="preserve">(3) that providing pricing services </w:t>
      </w:r>
      <w:r w:rsidR="0081275C" w:rsidRPr="00D141FC">
        <w:t xml:space="preserve">in response to the pricing application </w:t>
      </w:r>
      <w:r w:rsidR="008D121A" w:rsidRPr="00D141FC">
        <w:t>is required to address an urgent public health need.</w:t>
      </w:r>
    </w:p>
    <w:p w:rsidR="008D121A" w:rsidRPr="00D141FC" w:rsidRDefault="008D121A" w:rsidP="008D121A">
      <w:pPr>
        <w:pStyle w:val="subsection"/>
      </w:pPr>
      <w:r w:rsidRPr="00D141FC">
        <w:tab/>
        <w:t>(3)</w:t>
      </w:r>
      <w:r w:rsidRPr="00D141FC">
        <w:tab/>
        <w:t xml:space="preserve">The Secretary may, in writing, decide whether or not providing pricing services </w:t>
      </w:r>
      <w:r w:rsidR="0081275C" w:rsidRPr="00D141FC">
        <w:t xml:space="preserve">in response to the pricing application </w:t>
      </w:r>
      <w:r w:rsidRPr="00D141FC">
        <w:t>is required to address an urgent public health need.</w:t>
      </w:r>
    </w:p>
    <w:p w:rsidR="008D121A" w:rsidRPr="00D141FC" w:rsidRDefault="008D121A" w:rsidP="008D121A">
      <w:pPr>
        <w:pStyle w:val="notetext"/>
      </w:pPr>
      <w:r w:rsidRPr="00D141FC">
        <w:t>Note:</w:t>
      </w:r>
      <w:r w:rsidRPr="00D141FC">
        <w:tab/>
        <w:t>A decision that providing the pricing services is not required to address an urgent public health need is reviewable (see regulation</w:t>
      </w:r>
      <w:r w:rsidR="00D141FC" w:rsidRPr="00D141FC">
        <w:t> </w:t>
      </w:r>
      <w:r w:rsidRPr="00D141FC">
        <w:t>6.1A).</w:t>
      </w:r>
    </w:p>
    <w:p w:rsidR="00BB17FF" w:rsidRPr="00D141FC" w:rsidRDefault="00BB17FF" w:rsidP="00BB17FF">
      <w:pPr>
        <w:pStyle w:val="SubsectionHead"/>
      </w:pPr>
      <w:r w:rsidRPr="00D141FC">
        <w:t>Consequence if prior notice is required but not given</w:t>
      </w:r>
    </w:p>
    <w:p w:rsidR="00E62331" w:rsidRPr="00D141FC" w:rsidRDefault="00E62331" w:rsidP="00E62331">
      <w:pPr>
        <w:pStyle w:val="subsection"/>
      </w:pPr>
      <w:r w:rsidRPr="00D141FC">
        <w:tab/>
        <w:t>(4)</w:t>
      </w:r>
      <w:r w:rsidRPr="00D141FC">
        <w:tab/>
        <w:t xml:space="preserve">The provision of pricing services in response to a pricing application will be delayed if prior notice of the </w:t>
      </w:r>
      <w:r w:rsidR="00F12FBF" w:rsidRPr="00D141FC">
        <w:t xml:space="preserve">pricing </w:t>
      </w:r>
      <w:r w:rsidRPr="00D141FC">
        <w:t>application:</w:t>
      </w:r>
    </w:p>
    <w:p w:rsidR="00E62331" w:rsidRPr="00D141FC" w:rsidRDefault="00E62331" w:rsidP="00E62331">
      <w:pPr>
        <w:pStyle w:val="paragraph"/>
      </w:pPr>
      <w:r w:rsidRPr="00D141FC">
        <w:tab/>
        <w:t>(a)</w:t>
      </w:r>
      <w:r w:rsidRPr="00D141FC">
        <w:tab/>
        <w:t>is required under subregulation</w:t>
      </w:r>
      <w:r w:rsidR="00D141FC" w:rsidRPr="00D141FC">
        <w:t> </w:t>
      </w:r>
      <w:r w:rsidRPr="00D141FC">
        <w:t>(1); and</w:t>
      </w:r>
    </w:p>
    <w:p w:rsidR="00E62331" w:rsidRPr="00D141FC" w:rsidRDefault="00E62331" w:rsidP="00E62331">
      <w:pPr>
        <w:pStyle w:val="paragraph"/>
      </w:pPr>
      <w:r w:rsidRPr="00D141FC">
        <w:tab/>
        <w:t>(b)</w:t>
      </w:r>
      <w:r w:rsidRPr="00D141FC">
        <w:tab/>
        <w:t>is not given in accordance with that subregulation.</w:t>
      </w:r>
    </w:p>
    <w:p w:rsidR="00E62331" w:rsidRPr="00D141FC" w:rsidRDefault="00E62331" w:rsidP="00E62331">
      <w:pPr>
        <w:pStyle w:val="subsection2"/>
      </w:pPr>
      <w:r w:rsidRPr="00D141FC">
        <w:t xml:space="preserve">The pricing services will not begin to be provided until </w:t>
      </w:r>
      <w:r w:rsidR="007A42AC" w:rsidRPr="00D141FC">
        <w:t xml:space="preserve">at least </w:t>
      </w:r>
      <w:r w:rsidRPr="00D141FC">
        <w:t>7 days after the day the pricing application is sent to the Department</w:t>
      </w:r>
      <w:r w:rsidR="00A02CC3" w:rsidRPr="00D141FC">
        <w:t>.</w:t>
      </w:r>
    </w:p>
    <w:p w:rsidR="00BB17FF" w:rsidRPr="00D141FC" w:rsidRDefault="00BB17FF" w:rsidP="00BB17FF">
      <w:pPr>
        <w:pStyle w:val="SubsectionHead"/>
      </w:pPr>
      <w:r w:rsidRPr="00D141FC">
        <w:t>How to provide prior notice</w:t>
      </w:r>
    </w:p>
    <w:p w:rsidR="00A95699" w:rsidRPr="00D141FC" w:rsidRDefault="00A95699" w:rsidP="00A95699">
      <w:pPr>
        <w:pStyle w:val="subsection"/>
      </w:pPr>
      <w:r w:rsidRPr="00D141FC">
        <w:tab/>
        <w:t>(</w:t>
      </w:r>
      <w:r w:rsidR="00BB17FF" w:rsidRPr="00D141FC">
        <w:t>5</w:t>
      </w:r>
      <w:r w:rsidRPr="00D141FC">
        <w:t>)</w:t>
      </w:r>
      <w:r w:rsidRPr="00D141FC">
        <w:tab/>
        <w:t>A prior notice under subregulation</w:t>
      </w:r>
      <w:r w:rsidR="00D141FC" w:rsidRPr="00D141FC">
        <w:t> </w:t>
      </w:r>
      <w:r w:rsidRPr="00D141FC">
        <w:t>(1) must:</w:t>
      </w:r>
    </w:p>
    <w:p w:rsidR="00A95699" w:rsidRPr="00D141FC" w:rsidRDefault="00A95699" w:rsidP="00A95699">
      <w:pPr>
        <w:pStyle w:val="paragraph"/>
      </w:pPr>
      <w:r w:rsidRPr="00D141FC">
        <w:tab/>
        <w:t>(a)</w:t>
      </w:r>
      <w:r w:rsidRPr="00D141FC">
        <w:tab/>
        <w:t>be made in writing, in the approved form, to the Secretary; and</w:t>
      </w:r>
    </w:p>
    <w:p w:rsidR="00A95699" w:rsidRPr="00D141FC" w:rsidRDefault="00A95699" w:rsidP="00A95699">
      <w:pPr>
        <w:pStyle w:val="paragraph"/>
      </w:pPr>
      <w:r w:rsidRPr="00D141FC">
        <w:tab/>
        <w:t>(b)</w:t>
      </w:r>
      <w:r w:rsidRPr="00D141FC">
        <w:tab/>
        <w:t xml:space="preserve">state, with reasons, why the proposed </w:t>
      </w:r>
      <w:r w:rsidR="002F5BBA" w:rsidRPr="00D141FC">
        <w:t xml:space="preserve">pricing </w:t>
      </w:r>
      <w:r w:rsidRPr="00D141FC">
        <w:t>application is to be in a particular category; and</w:t>
      </w:r>
    </w:p>
    <w:p w:rsidR="00A95699" w:rsidRPr="00D141FC" w:rsidRDefault="00A95699" w:rsidP="00A95699">
      <w:pPr>
        <w:pStyle w:val="paragraph"/>
      </w:pPr>
      <w:r w:rsidRPr="00D141FC">
        <w:tab/>
        <w:t>(c)</w:t>
      </w:r>
      <w:r w:rsidRPr="00D141FC">
        <w:tab/>
        <w:t xml:space="preserve">be sent to the office of the Department </w:t>
      </w:r>
      <w:r w:rsidR="002F5BBA" w:rsidRPr="00D141FC">
        <w:t>arranging pricing services</w:t>
      </w:r>
      <w:r w:rsidR="00A07EDA" w:rsidRPr="00D141FC">
        <w:t>.</w:t>
      </w:r>
    </w:p>
    <w:p w:rsidR="00A95699" w:rsidRPr="00D141FC" w:rsidRDefault="00A95699" w:rsidP="00A95699">
      <w:pPr>
        <w:pStyle w:val="notetext"/>
      </w:pPr>
      <w:r w:rsidRPr="00D141FC">
        <w:t>Note:</w:t>
      </w:r>
      <w:r w:rsidRPr="00D141FC">
        <w:tab/>
        <w:t xml:space="preserve">The address for the office </w:t>
      </w:r>
      <w:r w:rsidR="002F5BBA" w:rsidRPr="00D141FC">
        <w:t xml:space="preserve">arranging pricing services </w:t>
      </w:r>
      <w:r w:rsidRPr="00D141FC">
        <w:t>can be found on the Department’s website</w:t>
      </w:r>
      <w:r w:rsidR="00A07EDA" w:rsidRPr="00D141FC">
        <w:t>.</w:t>
      </w:r>
    </w:p>
    <w:p w:rsidR="00A95699" w:rsidRPr="00D141FC" w:rsidRDefault="00F535CB" w:rsidP="00A95699">
      <w:pPr>
        <w:pStyle w:val="subsection"/>
      </w:pPr>
      <w:r w:rsidRPr="00D141FC">
        <w:tab/>
        <w:t>(</w:t>
      </w:r>
      <w:r w:rsidR="00BB17FF" w:rsidRPr="00D141FC">
        <w:t>6</w:t>
      </w:r>
      <w:r w:rsidR="00A95699" w:rsidRPr="00D141FC">
        <w:t>)</w:t>
      </w:r>
      <w:r w:rsidR="00A95699" w:rsidRPr="00D141FC">
        <w:tab/>
        <w:t>The Secretary may, in writing, approve forms for use in giving a prior noti</w:t>
      </w:r>
      <w:r w:rsidR="00FC73F8" w:rsidRPr="00D141FC">
        <w:t>ce under subregulation</w:t>
      </w:r>
      <w:r w:rsidR="00D141FC" w:rsidRPr="00D141FC">
        <w:t> </w:t>
      </w:r>
      <w:r w:rsidR="00FC73F8" w:rsidRPr="00D141FC">
        <w:t>(1) of a pricing application</w:t>
      </w:r>
      <w:r w:rsidR="00A07EDA" w:rsidRPr="00D141FC">
        <w:t>.</w:t>
      </w:r>
    </w:p>
    <w:p w:rsidR="00A95699" w:rsidRPr="00D141FC" w:rsidRDefault="00A07EDA" w:rsidP="00A95699">
      <w:pPr>
        <w:pStyle w:val="ActHead5"/>
      </w:pPr>
      <w:bookmarkStart w:id="54" w:name="_Toc3993198"/>
      <w:r w:rsidRPr="00D141FC">
        <w:rPr>
          <w:rStyle w:val="CharSectno"/>
        </w:rPr>
        <w:t>3.11</w:t>
      </w:r>
      <w:r w:rsidR="00A95699" w:rsidRPr="00D141FC">
        <w:t xml:space="preserve">  How to apply for </w:t>
      </w:r>
      <w:r w:rsidR="0011477A" w:rsidRPr="00D141FC">
        <w:t>pricing</w:t>
      </w:r>
      <w:r w:rsidR="00A95699" w:rsidRPr="00D141FC">
        <w:t xml:space="preserve"> services</w:t>
      </w:r>
      <w:bookmarkEnd w:id="54"/>
    </w:p>
    <w:p w:rsidR="00A95699" w:rsidRPr="00D141FC" w:rsidRDefault="00A95699" w:rsidP="00A95699">
      <w:pPr>
        <w:pStyle w:val="subsection"/>
      </w:pPr>
      <w:r w:rsidRPr="00D141FC">
        <w:tab/>
        <w:t>(1)</w:t>
      </w:r>
      <w:r w:rsidRPr="00D141FC">
        <w:tab/>
        <w:t>A</w:t>
      </w:r>
      <w:r w:rsidR="00646B8B" w:rsidRPr="00D141FC">
        <w:t xml:space="preserve"> pricing</w:t>
      </w:r>
      <w:r w:rsidRPr="00D141FC">
        <w:t xml:space="preserve"> application must:</w:t>
      </w:r>
    </w:p>
    <w:p w:rsidR="00A95699" w:rsidRPr="00D141FC" w:rsidRDefault="00A95699" w:rsidP="00A95699">
      <w:pPr>
        <w:pStyle w:val="paragraph"/>
      </w:pPr>
      <w:r w:rsidRPr="00D141FC">
        <w:tab/>
        <w:t>(a)</w:t>
      </w:r>
      <w:r w:rsidRPr="00D141FC">
        <w:tab/>
        <w:t>be made in writing, in the approved form, to the Secretary; and</w:t>
      </w:r>
    </w:p>
    <w:p w:rsidR="00A95699" w:rsidRPr="00D141FC" w:rsidRDefault="00A95699" w:rsidP="00A95699">
      <w:pPr>
        <w:pStyle w:val="paragraph"/>
      </w:pPr>
      <w:r w:rsidRPr="00D141FC">
        <w:tab/>
        <w:t>(b)</w:t>
      </w:r>
      <w:r w:rsidRPr="00D141FC">
        <w:tab/>
        <w:t>if prior notice of the</w:t>
      </w:r>
      <w:r w:rsidR="0011477A" w:rsidRPr="00D141FC">
        <w:t xml:space="preserve"> pricing</w:t>
      </w:r>
      <w:r w:rsidRPr="00D141FC">
        <w:t xml:space="preserve"> application is not </w:t>
      </w:r>
      <w:r w:rsidR="007A42AC" w:rsidRPr="00D141FC">
        <w:t>given as described in paragraph</w:t>
      </w:r>
      <w:r w:rsidR="00D141FC" w:rsidRPr="00D141FC">
        <w:t> </w:t>
      </w:r>
      <w:r w:rsidR="007A42AC" w:rsidRPr="00D141FC">
        <w:t>3.10(1)(a)</w:t>
      </w:r>
      <w:r w:rsidRPr="00D141FC">
        <w:t xml:space="preserve">—state, with reasons, why the </w:t>
      </w:r>
      <w:r w:rsidR="00DC16AC" w:rsidRPr="00D141FC">
        <w:t xml:space="preserve">pricing </w:t>
      </w:r>
      <w:r w:rsidRPr="00D141FC">
        <w:t>application is to be in a particular category; and</w:t>
      </w:r>
    </w:p>
    <w:p w:rsidR="00E62331" w:rsidRPr="00D141FC" w:rsidRDefault="00E62331" w:rsidP="00E62331">
      <w:pPr>
        <w:pStyle w:val="paragraph"/>
      </w:pPr>
      <w:r w:rsidRPr="00D141FC">
        <w:tab/>
        <w:t>(c)</w:t>
      </w:r>
      <w:r w:rsidRPr="00D141FC">
        <w:tab/>
        <w:t>be sent to the office of the Depart</w:t>
      </w:r>
      <w:r w:rsidR="00F5692D" w:rsidRPr="00D141FC">
        <w:t>ment arranging pricing services; and</w:t>
      </w:r>
    </w:p>
    <w:p w:rsidR="00E62331" w:rsidRPr="00D141FC" w:rsidRDefault="00F5692D" w:rsidP="00A95699">
      <w:pPr>
        <w:pStyle w:val="paragraph"/>
      </w:pPr>
      <w:r w:rsidRPr="00D141FC">
        <w:tab/>
        <w:t>(d)</w:t>
      </w:r>
      <w:r w:rsidRPr="00D141FC">
        <w:tab/>
        <w:t xml:space="preserve">if prior notice of the pricing application is </w:t>
      </w:r>
      <w:r w:rsidR="007A42AC" w:rsidRPr="00D141FC">
        <w:t>given as described in paragraph</w:t>
      </w:r>
      <w:r w:rsidR="00D141FC" w:rsidRPr="00D141FC">
        <w:t> </w:t>
      </w:r>
      <w:r w:rsidR="007A42AC" w:rsidRPr="00D141FC">
        <w:t>3.10(1)(a)—</w:t>
      </w:r>
      <w:r w:rsidRPr="00D141FC">
        <w:t>be sent to that office of the Department within 42 days after</w:t>
      </w:r>
      <w:r w:rsidR="007A42AC" w:rsidRPr="00D141FC">
        <w:t xml:space="preserve"> the day</w:t>
      </w:r>
      <w:r w:rsidRPr="00D141FC">
        <w:t xml:space="preserve"> the prior notice is </w:t>
      </w:r>
      <w:r w:rsidR="007A42AC" w:rsidRPr="00D141FC">
        <w:t xml:space="preserve">so </w:t>
      </w:r>
      <w:r w:rsidRPr="00D141FC">
        <w:t>given.</w:t>
      </w:r>
    </w:p>
    <w:p w:rsidR="00646B8B" w:rsidRPr="00D141FC" w:rsidRDefault="00646B8B" w:rsidP="00646B8B">
      <w:pPr>
        <w:pStyle w:val="notetext"/>
      </w:pPr>
      <w:r w:rsidRPr="00D141FC">
        <w:t>Note:</w:t>
      </w:r>
      <w:r w:rsidRPr="00D141FC">
        <w:tab/>
        <w:t>The address for the office arranging pricing services can be found on the Department’s website</w:t>
      </w:r>
      <w:r w:rsidR="00A07EDA" w:rsidRPr="00D141FC">
        <w:t>.</w:t>
      </w:r>
    </w:p>
    <w:p w:rsidR="000C619B" w:rsidRPr="00D141FC" w:rsidRDefault="000C619B" w:rsidP="000C619B">
      <w:pPr>
        <w:pStyle w:val="subsection"/>
      </w:pPr>
      <w:r w:rsidRPr="00D141FC">
        <w:tab/>
        <w:t>(2)</w:t>
      </w:r>
      <w:r w:rsidRPr="00D141FC">
        <w:tab/>
        <w:t>If:</w:t>
      </w:r>
    </w:p>
    <w:p w:rsidR="000C619B" w:rsidRPr="00D141FC" w:rsidRDefault="000C619B" w:rsidP="000C619B">
      <w:pPr>
        <w:pStyle w:val="paragraph"/>
      </w:pPr>
      <w:r w:rsidRPr="00D141FC">
        <w:tab/>
        <w:t>(a)</w:t>
      </w:r>
      <w:r w:rsidRPr="00D141FC">
        <w:tab/>
        <w:t xml:space="preserve">prior notice of </w:t>
      </w:r>
      <w:r w:rsidR="009B401E" w:rsidRPr="00D141FC">
        <w:t>a</w:t>
      </w:r>
      <w:r w:rsidRPr="00D141FC">
        <w:t xml:space="preserve"> </w:t>
      </w:r>
      <w:r w:rsidR="004C05F9" w:rsidRPr="00D141FC">
        <w:t xml:space="preserve">proposed </w:t>
      </w:r>
      <w:r w:rsidRPr="00D141FC">
        <w:t>pricing application is given as described in paragraph</w:t>
      </w:r>
      <w:r w:rsidR="00D141FC" w:rsidRPr="00D141FC">
        <w:t> </w:t>
      </w:r>
      <w:r w:rsidRPr="00D141FC">
        <w:t xml:space="preserve">3.10(1)(a); </w:t>
      </w:r>
      <w:r w:rsidR="009B401E" w:rsidRPr="00D141FC">
        <w:t>but</w:t>
      </w:r>
    </w:p>
    <w:p w:rsidR="000C619B" w:rsidRPr="00D141FC" w:rsidRDefault="000C619B" w:rsidP="000C619B">
      <w:pPr>
        <w:pStyle w:val="paragraph"/>
      </w:pPr>
      <w:r w:rsidRPr="00D141FC">
        <w:tab/>
        <w:t>(b)</w:t>
      </w:r>
      <w:r w:rsidRPr="00D141FC">
        <w:tab/>
        <w:t xml:space="preserve">the </w:t>
      </w:r>
      <w:r w:rsidR="004C05F9" w:rsidRPr="00D141FC">
        <w:t xml:space="preserve">proposed </w:t>
      </w:r>
      <w:r w:rsidRPr="00D141FC">
        <w:t xml:space="preserve">pricing application is not sent as required under </w:t>
      </w:r>
      <w:r w:rsidR="00D141FC" w:rsidRPr="00D141FC">
        <w:t>paragraph (</w:t>
      </w:r>
      <w:r w:rsidRPr="00D141FC">
        <w:t>1)(d) of this regulation;</w:t>
      </w:r>
    </w:p>
    <w:p w:rsidR="000C619B" w:rsidRPr="00D141FC" w:rsidRDefault="000C619B" w:rsidP="000C619B">
      <w:pPr>
        <w:pStyle w:val="subsection2"/>
      </w:pPr>
      <w:r w:rsidRPr="00D141FC">
        <w:t>the Department must refund any fee paid for providing pricing services in response to the proposed pricing application except for the deposit referred to in subregulation</w:t>
      </w:r>
      <w:r w:rsidR="00D141FC" w:rsidRPr="00D141FC">
        <w:t> </w:t>
      </w:r>
      <w:r w:rsidRPr="00D141FC">
        <w:t>3.3(2).</w:t>
      </w:r>
    </w:p>
    <w:p w:rsidR="00280296" w:rsidRPr="00D141FC" w:rsidRDefault="00280296" w:rsidP="00280296">
      <w:pPr>
        <w:pStyle w:val="notetext"/>
      </w:pPr>
      <w:r w:rsidRPr="00D141FC">
        <w:t>Note:</w:t>
      </w:r>
      <w:r w:rsidRPr="00D141FC">
        <w:tab/>
      </w:r>
      <w:r w:rsidR="00C74B08" w:rsidRPr="00D141FC">
        <w:t xml:space="preserve">If the person still seeks the pricing services, the person will need to give </w:t>
      </w:r>
      <w:r w:rsidRPr="00D141FC">
        <w:t>prior notice again</w:t>
      </w:r>
      <w:r w:rsidR="00C74B08" w:rsidRPr="00D141FC">
        <w:t xml:space="preserve"> under regulation</w:t>
      </w:r>
      <w:r w:rsidR="00D141FC" w:rsidRPr="00D141FC">
        <w:t> </w:t>
      </w:r>
      <w:r w:rsidR="00C74B08" w:rsidRPr="00D141FC">
        <w:t>3.10 of a new pricing application.</w:t>
      </w:r>
    </w:p>
    <w:p w:rsidR="00A95699" w:rsidRPr="00D141FC" w:rsidRDefault="00A95699" w:rsidP="00A95699">
      <w:pPr>
        <w:pStyle w:val="subsection"/>
      </w:pPr>
      <w:r w:rsidRPr="00D141FC">
        <w:tab/>
        <w:t>(</w:t>
      </w:r>
      <w:r w:rsidR="00280296" w:rsidRPr="00D141FC">
        <w:t>3</w:t>
      </w:r>
      <w:r w:rsidRPr="00D141FC">
        <w:t>)</w:t>
      </w:r>
      <w:r w:rsidRPr="00D141FC">
        <w:tab/>
        <w:t>The Secretary may, in writing, ap</w:t>
      </w:r>
      <w:r w:rsidR="00646B8B" w:rsidRPr="00D141FC">
        <w:t>prove forms for use in making pricing</w:t>
      </w:r>
      <w:r w:rsidRPr="00D141FC">
        <w:t xml:space="preserve"> application</w:t>
      </w:r>
      <w:r w:rsidR="00646B8B" w:rsidRPr="00D141FC">
        <w:t>s</w:t>
      </w:r>
      <w:r w:rsidR="00A07EDA" w:rsidRPr="00D141FC">
        <w:t>.</w:t>
      </w:r>
    </w:p>
    <w:p w:rsidR="00A95699" w:rsidRPr="00D141FC" w:rsidRDefault="00A07EDA" w:rsidP="00A95699">
      <w:pPr>
        <w:pStyle w:val="ActHead5"/>
      </w:pPr>
      <w:bookmarkStart w:id="55" w:name="_Toc3993199"/>
      <w:r w:rsidRPr="00D141FC">
        <w:rPr>
          <w:rStyle w:val="CharSectno"/>
        </w:rPr>
        <w:t>3.12</w:t>
      </w:r>
      <w:r w:rsidR="00A95699" w:rsidRPr="00D141FC">
        <w:t xml:space="preserve">  Notification (including invoicing of fees)</w:t>
      </w:r>
      <w:bookmarkEnd w:id="55"/>
    </w:p>
    <w:p w:rsidR="00A95699" w:rsidRPr="00D141FC" w:rsidRDefault="00A95699" w:rsidP="00A95699">
      <w:pPr>
        <w:pStyle w:val="SubsectionHead"/>
      </w:pPr>
      <w:r w:rsidRPr="00D141FC">
        <w:t xml:space="preserve">Notices relating to proposed </w:t>
      </w:r>
      <w:r w:rsidR="00646B8B" w:rsidRPr="00D141FC">
        <w:t>pricing</w:t>
      </w:r>
      <w:r w:rsidRPr="00D141FC">
        <w:t xml:space="preserve"> </w:t>
      </w:r>
      <w:r w:rsidR="00646B8B" w:rsidRPr="00D141FC">
        <w:t>applications</w:t>
      </w:r>
    </w:p>
    <w:p w:rsidR="00A95699" w:rsidRPr="00D141FC" w:rsidRDefault="00A95699" w:rsidP="00A95699">
      <w:pPr>
        <w:pStyle w:val="subsection"/>
      </w:pPr>
      <w:r w:rsidRPr="00D141FC">
        <w:tab/>
        <w:t>(1)</w:t>
      </w:r>
      <w:r w:rsidRPr="00D141FC">
        <w:tab/>
        <w:t xml:space="preserve">Within 14 days after </w:t>
      </w:r>
      <w:r w:rsidR="001F628D" w:rsidRPr="00D141FC">
        <w:t xml:space="preserve">the day </w:t>
      </w:r>
      <w:r w:rsidRPr="00D141FC">
        <w:t xml:space="preserve">the Department receives a notice </w:t>
      </w:r>
      <w:r w:rsidR="001F628D" w:rsidRPr="00D141FC">
        <w:t>as described in paragraph</w:t>
      </w:r>
      <w:r w:rsidR="00D141FC" w:rsidRPr="00D141FC">
        <w:t> </w:t>
      </w:r>
      <w:r w:rsidR="001F628D" w:rsidRPr="00D141FC">
        <w:t xml:space="preserve">3.10(1)(a) </w:t>
      </w:r>
      <w:r w:rsidRPr="00D141FC">
        <w:t xml:space="preserve">from a person about a proposed </w:t>
      </w:r>
      <w:r w:rsidR="00646B8B" w:rsidRPr="00D141FC">
        <w:t xml:space="preserve">pricing </w:t>
      </w:r>
      <w:r w:rsidRPr="00D141FC">
        <w:t xml:space="preserve">application, the </w:t>
      </w:r>
      <w:r w:rsidR="00044349" w:rsidRPr="00D141FC">
        <w:t>Secretary must notify the person in writing</w:t>
      </w:r>
      <w:r w:rsidRPr="00D141FC">
        <w:t>:</w:t>
      </w:r>
    </w:p>
    <w:p w:rsidR="00A95699" w:rsidRPr="00D141FC" w:rsidRDefault="00A95699" w:rsidP="00A95699">
      <w:pPr>
        <w:pStyle w:val="paragraph"/>
      </w:pPr>
      <w:r w:rsidRPr="00D141FC">
        <w:tab/>
        <w:t>(a)</w:t>
      </w:r>
      <w:r w:rsidRPr="00D141FC">
        <w:tab/>
        <w:t xml:space="preserve">that the Department has received </w:t>
      </w:r>
      <w:r w:rsidR="00BB17FF" w:rsidRPr="00D141FC">
        <w:t>the</w:t>
      </w:r>
      <w:r w:rsidRPr="00D141FC">
        <w:t xml:space="preserve"> notice; and</w:t>
      </w:r>
    </w:p>
    <w:p w:rsidR="00A95699" w:rsidRPr="00D141FC" w:rsidRDefault="00A95699" w:rsidP="00A95699">
      <w:pPr>
        <w:pStyle w:val="paragraph"/>
      </w:pPr>
      <w:r w:rsidRPr="00D141FC">
        <w:rPr>
          <w:i/>
        </w:rPr>
        <w:tab/>
      </w:r>
      <w:r w:rsidRPr="00D141FC">
        <w:t>(b)</w:t>
      </w:r>
      <w:r w:rsidRPr="00D141FC">
        <w:tab/>
        <w:t xml:space="preserve">based on the statement in the notice about the category of the proposed </w:t>
      </w:r>
      <w:r w:rsidR="00646B8B" w:rsidRPr="00D141FC">
        <w:t xml:space="preserve">pricing </w:t>
      </w:r>
      <w:r w:rsidRPr="00D141FC">
        <w:t xml:space="preserve">application—of the amount of the fee that is payable for providing </w:t>
      </w:r>
      <w:r w:rsidR="00646B8B" w:rsidRPr="00D141FC">
        <w:t>pricing</w:t>
      </w:r>
      <w:r w:rsidRPr="00D141FC">
        <w:t xml:space="preserve"> services in response to the proposed </w:t>
      </w:r>
      <w:r w:rsidR="00646B8B" w:rsidRPr="00D141FC">
        <w:t xml:space="preserve">pricing </w:t>
      </w:r>
      <w:r w:rsidRPr="00D141FC">
        <w:t>application; and</w:t>
      </w:r>
    </w:p>
    <w:p w:rsidR="00A95699" w:rsidRPr="00D141FC" w:rsidRDefault="00A95699" w:rsidP="00A95699">
      <w:pPr>
        <w:pStyle w:val="paragraph"/>
      </w:pPr>
      <w:r w:rsidRPr="00D141FC">
        <w:tab/>
        <w:t>(c)</w:t>
      </w:r>
      <w:r w:rsidRPr="00D141FC">
        <w:tab/>
        <w:t>of the manner for paying that fee</w:t>
      </w:r>
      <w:r w:rsidR="00A07EDA" w:rsidRPr="00D141FC">
        <w:t>.</w:t>
      </w:r>
    </w:p>
    <w:p w:rsidR="005417DF" w:rsidRPr="00D141FC" w:rsidRDefault="005417DF" w:rsidP="005417DF">
      <w:pPr>
        <w:pStyle w:val="subsection2"/>
      </w:pPr>
      <w:r w:rsidRPr="00D141FC">
        <w:t>The fee for the pricing services is payable to the Department.</w:t>
      </w:r>
    </w:p>
    <w:p w:rsidR="00321FC3" w:rsidRPr="00D141FC" w:rsidRDefault="00321FC3" w:rsidP="00321FC3">
      <w:pPr>
        <w:pStyle w:val="notetext"/>
      </w:pPr>
      <w:r w:rsidRPr="00D141FC">
        <w:t>Note 1:</w:t>
      </w:r>
      <w:r w:rsidRPr="00D141FC">
        <w:tab/>
        <w:t xml:space="preserve">The fee must be paid within </w:t>
      </w:r>
      <w:r w:rsidR="007F366E" w:rsidRPr="00D141FC">
        <w:t>a period starting when</w:t>
      </w:r>
      <w:r w:rsidRPr="00D141FC">
        <w:t xml:space="preserve"> this notification is given (see paragraph</w:t>
      </w:r>
      <w:r w:rsidR="00D141FC" w:rsidRPr="00D141FC">
        <w:t> </w:t>
      </w:r>
      <w:r w:rsidRPr="00D141FC">
        <w:t>4.1(1)(b)).</w:t>
      </w:r>
    </w:p>
    <w:p w:rsidR="00321FC3" w:rsidRPr="00D141FC" w:rsidRDefault="00321FC3" w:rsidP="00321FC3">
      <w:pPr>
        <w:pStyle w:val="notetext"/>
      </w:pPr>
      <w:r w:rsidRPr="00D141FC">
        <w:t>Note 2:</w:t>
      </w:r>
      <w:r w:rsidRPr="00D141FC">
        <w:tab/>
      </w:r>
      <w:r w:rsidR="00512898" w:rsidRPr="00D141FC">
        <w:t>For the table in subregulation</w:t>
      </w:r>
      <w:r w:rsidR="00D141FC" w:rsidRPr="00D141FC">
        <w:t> </w:t>
      </w:r>
      <w:r w:rsidR="00512898" w:rsidRPr="00D141FC">
        <w:t xml:space="preserve">3.3(1), the financial year for working out the fee is the financial year in which this notification is given </w:t>
      </w:r>
      <w:r w:rsidRPr="00D141FC">
        <w:t xml:space="preserve">(see </w:t>
      </w:r>
      <w:r w:rsidR="00D141FC" w:rsidRPr="00D141FC">
        <w:t>paragraph (</w:t>
      </w:r>
      <w:r w:rsidRPr="00D141FC">
        <w:t xml:space="preserve">e) of the definition of </w:t>
      </w:r>
      <w:r w:rsidRPr="00D141FC">
        <w:rPr>
          <w:b/>
          <w:i/>
        </w:rPr>
        <w:t>notification</w:t>
      </w:r>
      <w:r w:rsidRPr="00D141FC">
        <w:t xml:space="preserve"> in regulation</w:t>
      </w:r>
      <w:r w:rsidR="00D141FC" w:rsidRPr="00D141FC">
        <w:t> </w:t>
      </w:r>
      <w:r w:rsidRPr="00D141FC">
        <w:t>1.3).</w:t>
      </w:r>
    </w:p>
    <w:p w:rsidR="00321FC3" w:rsidRPr="00D141FC" w:rsidRDefault="00321FC3" w:rsidP="00321FC3">
      <w:pPr>
        <w:pStyle w:val="notetext"/>
      </w:pPr>
      <w:r w:rsidRPr="00D141FC">
        <w:t>Note 3:</w:t>
      </w:r>
      <w:r w:rsidRPr="00D141FC">
        <w:tab/>
        <w:t>If it is later found that a fee exemption or waiver under regulation</w:t>
      </w:r>
      <w:r w:rsidR="00D141FC" w:rsidRPr="00D141FC">
        <w:t> </w:t>
      </w:r>
      <w:r w:rsidRPr="00D141FC">
        <w:t>5.1 or 5.2 applies, a refund may be payable (see subregulation</w:t>
      </w:r>
      <w:r w:rsidR="00D141FC" w:rsidRPr="00D141FC">
        <w:t> </w:t>
      </w:r>
      <w:r w:rsidRPr="00D141FC">
        <w:t>4.1(4)).</w:t>
      </w:r>
    </w:p>
    <w:p w:rsidR="003766C5" w:rsidRPr="00D141FC" w:rsidRDefault="003766C5" w:rsidP="003766C5">
      <w:pPr>
        <w:pStyle w:val="SubsectionHead"/>
      </w:pPr>
      <w:r w:rsidRPr="00D141FC">
        <w:t>Notices relating to pricing applications</w:t>
      </w:r>
    </w:p>
    <w:p w:rsidR="003766C5" w:rsidRPr="00D141FC" w:rsidRDefault="000D540E" w:rsidP="003766C5">
      <w:pPr>
        <w:pStyle w:val="subsection"/>
      </w:pPr>
      <w:r w:rsidRPr="00D141FC">
        <w:tab/>
        <w:t>(2)</w:t>
      </w:r>
      <w:r w:rsidRPr="00D141FC">
        <w:tab/>
        <w:t>Within 21</w:t>
      </w:r>
      <w:r w:rsidR="003766C5" w:rsidRPr="00D141FC">
        <w:t xml:space="preserve"> days after </w:t>
      </w:r>
      <w:r w:rsidR="001F628D" w:rsidRPr="00D141FC">
        <w:t xml:space="preserve">the day </w:t>
      </w:r>
      <w:r w:rsidR="003766C5" w:rsidRPr="00D141FC">
        <w:t>the Department receives a pricing application, the Secretary must notify the applicant in writing:</w:t>
      </w:r>
    </w:p>
    <w:p w:rsidR="003766C5" w:rsidRPr="00D141FC" w:rsidRDefault="003766C5" w:rsidP="003766C5">
      <w:pPr>
        <w:pStyle w:val="paragraph"/>
      </w:pPr>
      <w:r w:rsidRPr="00D141FC">
        <w:tab/>
        <w:t>(a)</w:t>
      </w:r>
      <w:r w:rsidRPr="00D141FC">
        <w:tab/>
        <w:t>that the Department has received the pricing application; and</w:t>
      </w:r>
    </w:p>
    <w:p w:rsidR="004625C2" w:rsidRPr="00D141FC" w:rsidRDefault="004625C2" w:rsidP="004625C2">
      <w:pPr>
        <w:pStyle w:val="paragraph"/>
      </w:pPr>
      <w:r w:rsidRPr="00D141FC">
        <w:tab/>
        <w:t>(b)</w:t>
      </w:r>
      <w:r w:rsidRPr="00D141FC">
        <w:tab/>
        <w:t>if the applicant requests a fee exemption or waiver under regulation</w:t>
      </w:r>
      <w:r w:rsidR="00D141FC" w:rsidRPr="00D141FC">
        <w:t> </w:t>
      </w:r>
      <w:r w:rsidRPr="00D141FC">
        <w:t>5.1 or 5.2:</w:t>
      </w:r>
    </w:p>
    <w:p w:rsidR="004625C2" w:rsidRPr="00D141FC" w:rsidRDefault="004625C2" w:rsidP="004625C2">
      <w:pPr>
        <w:pStyle w:val="paragraphsub"/>
      </w:pPr>
      <w:r w:rsidRPr="00D141FC">
        <w:tab/>
        <w:t>(i)</w:t>
      </w:r>
      <w:r w:rsidRPr="00D141FC">
        <w:tab/>
        <w:t>whether the fee exemption applies, or the fee is waived or partially waived; and</w:t>
      </w:r>
    </w:p>
    <w:p w:rsidR="004625C2" w:rsidRPr="00D141FC" w:rsidRDefault="004625C2" w:rsidP="004625C2">
      <w:pPr>
        <w:pStyle w:val="paragraphsub"/>
      </w:pPr>
      <w:r w:rsidRPr="00D141FC">
        <w:tab/>
        <w:t>(ii)</w:t>
      </w:r>
      <w:r w:rsidRPr="00D141FC">
        <w:tab/>
        <w:t>in relation to a request for a waiver—of the applicant’s review rights under Part</w:t>
      </w:r>
      <w:r w:rsidR="00D141FC" w:rsidRPr="00D141FC">
        <w:t> </w:t>
      </w:r>
      <w:r w:rsidRPr="00D141FC">
        <w:t>6; and</w:t>
      </w:r>
    </w:p>
    <w:p w:rsidR="003766C5" w:rsidRPr="00D141FC" w:rsidRDefault="003766C5" w:rsidP="003766C5">
      <w:pPr>
        <w:pStyle w:val="paragraph"/>
      </w:pPr>
      <w:r w:rsidRPr="00D141FC">
        <w:tab/>
        <w:t>(c)</w:t>
      </w:r>
      <w:r w:rsidRPr="00D141FC">
        <w:tab/>
        <w:t xml:space="preserve">if prior notice of the pricing application is not </w:t>
      </w:r>
      <w:r w:rsidR="001F628D" w:rsidRPr="00D141FC">
        <w:t>given as described in paragraph</w:t>
      </w:r>
      <w:r w:rsidR="00D141FC" w:rsidRPr="00D141FC">
        <w:t> </w:t>
      </w:r>
      <w:r w:rsidR="001F628D" w:rsidRPr="00D141FC">
        <w:t>3.10(1)(a)</w:t>
      </w:r>
      <w:r w:rsidRPr="00D141FC">
        <w:t>:</w:t>
      </w:r>
    </w:p>
    <w:p w:rsidR="003766C5" w:rsidRPr="00D141FC" w:rsidRDefault="003766C5" w:rsidP="003766C5">
      <w:pPr>
        <w:pStyle w:val="paragraphsub"/>
      </w:pPr>
      <w:r w:rsidRPr="00D141FC">
        <w:tab/>
        <w:t>(i)</w:t>
      </w:r>
      <w:r w:rsidRPr="00D141FC">
        <w:tab/>
        <w:t>of the amount of the fee payable for providing pricing services in response to the pricing application, worked out based on the statement in the pricing application about its category; and</w:t>
      </w:r>
    </w:p>
    <w:p w:rsidR="003766C5" w:rsidRPr="00D141FC" w:rsidRDefault="003766C5" w:rsidP="003766C5">
      <w:pPr>
        <w:pStyle w:val="paragraphsub"/>
      </w:pPr>
      <w:r w:rsidRPr="00D141FC">
        <w:tab/>
        <w:t>(ii)</w:t>
      </w:r>
      <w:r w:rsidRPr="00D141FC">
        <w:tab/>
        <w:t>of the manner for paying that fee.</w:t>
      </w:r>
    </w:p>
    <w:p w:rsidR="004625C2" w:rsidRPr="00D141FC" w:rsidRDefault="004625C2" w:rsidP="004625C2">
      <w:pPr>
        <w:pStyle w:val="subsection"/>
      </w:pPr>
      <w:r w:rsidRPr="00D141FC">
        <w:tab/>
        <w:t>(3)</w:t>
      </w:r>
      <w:r w:rsidRPr="00D141FC">
        <w:tab/>
        <w:t xml:space="preserve">If </w:t>
      </w:r>
      <w:r w:rsidR="00D141FC" w:rsidRPr="00D141FC">
        <w:t>paragraph (</w:t>
      </w:r>
      <w:r w:rsidRPr="00D141FC">
        <w:t>2)(c) applies, the fee for the pricing services, or any part of the fee that has not been waived, is payable to the Department unless:</w:t>
      </w:r>
    </w:p>
    <w:p w:rsidR="004625C2" w:rsidRPr="00D141FC" w:rsidRDefault="004625C2" w:rsidP="004625C2">
      <w:pPr>
        <w:pStyle w:val="paragraph"/>
      </w:pPr>
      <w:r w:rsidRPr="00D141FC">
        <w:tab/>
        <w:t>(a)</w:t>
      </w:r>
      <w:r w:rsidRPr="00D141FC">
        <w:tab/>
        <w:t>a fee exemption applies; or</w:t>
      </w:r>
    </w:p>
    <w:p w:rsidR="004625C2" w:rsidRPr="00D141FC" w:rsidRDefault="004625C2" w:rsidP="004625C2">
      <w:pPr>
        <w:pStyle w:val="paragraph"/>
      </w:pPr>
      <w:r w:rsidRPr="00D141FC">
        <w:tab/>
        <w:t>(b)</w:t>
      </w:r>
      <w:r w:rsidRPr="00D141FC">
        <w:tab/>
        <w:t>the fee is waived in its entirety.</w:t>
      </w:r>
    </w:p>
    <w:p w:rsidR="00A95699" w:rsidRPr="00D141FC" w:rsidRDefault="00A95699" w:rsidP="00A95699">
      <w:pPr>
        <w:pStyle w:val="notetext"/>
      </w:pPr>
      <w:r w:rsidRPr="00D141FC">
        <w:t>Note:</w:t>
      </w:r>
      <w:r w:rsidRPr="00D141FC">
        <w:tab/>
        <w:t>Part</w:t>
      </w:r>
      <w:r w:rsidR="00D141FC" w:rsidRPr="00D141FC">
        <w:t> </w:t>
      </w:r>
      <w:r w:rsidRPr="00D141FC">
        <w:t>4 deals with the payment of fees, including the time for payment (see paragraph</w:t>
      </w:r>
      <w:r w:rsidR="00D141FC" w:rsidRPr="00D141FC">
        <w:t> </w:t>
      </w:r>
      <w:r w:rsidRPr="00D141FC">
        <w:t>4</w:t>
      </w:r>
      <w:r w:rsidR="00A07EDA" w:rsidRPr="00D141FC">
        <w:t>.</w:t>
      </w:r>
      <w:r w:rsidRPr="00D141FC">
        <w:t>1(1)(b))</w:t>
      </w:r>
      <w:r w:rsidR="00A07EDA" w:rsidRPr="00D141FC">
        <w:t>.</w:t>
      </w:r>
    </w:p>
    <w:p w:rsidR="002C66F0" w:rsidRPr="00D141FC" w:rsidRDefault="00A07EDA" w:rsidP="002C66F0">
      <w:pPr>
        <w:pStyle w:val="ActHead5"/>
      </w:pPr>
      <w:bookmarkStart w:id="56" w:name="_Toc3993200"/>
      <w:r w:rsidRPr="00D141FC">
        <w:rPr>
          <w:rStyle w:val="CharSectno"/>
        </w:rPr>
        <w:t>3.13</w:t>
      </w:r>
      <w:r w:rsidR="002C66F0" w:rsidRPr="00D141FC">
        <w:t xml:space="preserve">  Withdrawal</w:t>
      </w:r>
      <w:bookmarkEnd w:id="56"/>
    </w:p>
    <w:p w:rsidR="002C66F0" w:rsidRPr="00D141FC" w:rsidRDefault="002C66F0" w:rsidP="002C66F0">
      <w:pPr>
        <w:pStyle w:val="SubsectionHead"/>
      </w:pPr>
      <w:r w:rsidRPr="00D141FC">
        <w:t>Prior notices or pricing applications may be withdrawn at any time</w:t>
      </w:r>
    </w:p>
    <w:p w:rsidR="002C66F0" w:rsidRPr="00D141FC" w:rsidRDefault="002C66F0" w:rsidP="002C66F0">
      <w:pPr>
        <w:pStyle w:val="subsection"/>
      </w:pPr>
      <w:r w:rsidRPr="00D141FC">
        <w:tab/>
        <w:t>(1)</w:t>
      </w:r>
      <w:r w:rsidRPr="00D141FC">
        <w:tab/>
        <w:t>Either of the following may be withdrawn by written notice to the Department:</w:t>
      </w:r>
    </w:p>
    <w:p w:rsidR="002C66F0" w:rsidRPr="00D141FC" w:rsidRDefault="002C66F0" w:rsidP="002C66F0">
      <w:pPr>
        <w:pStyle w:val="paragraph"/>
      </w:pPr>
      <w:r w:rsidRPr="00D141FC">
        <w:tab/>
        <w:t>(a)</w:t>
      </w:r>
      <w:r w:rsidRPr="00D141FC">
        <w:tab/>
        <w:t xml:space="preserve">a notice (a </w:t>
      </w:r>
      <w:r w:rsidRPr="00D141FC">
        <w:rPr>
          <w:b/>
          <w:i/>
        </w:rPr>
        <w:t>prior notice</w:t>
      </w:r>
      <w:r w:rsidRPr="00D141FC">
        <w:t xml:space="preserve">) </w:t>
      </w:r>
      <w:r w:rsidR="001F628D" w:rsidRPr="00D141FC">
        <w:t>given as described in paragraph</w:t>
      </w:r>
      <w:r w:rsidR="00D141FC" w:rsidRPr="00D141FC">
        <w:t> </w:t>
      </w:r>
      <w:r w:rsidR="001F628D" w:rsidRPr="00D141FC">
        <w:t xml:space="preserve">3.10(1)(a) </w:t>
      </w:r>
      <w:r w:rsidRPr="00D141FC">
        <w:t>about a proposed pricing application;</w:t>
      </w:r>
    </w:p>
    <w:p w:rsidR="002C66F0" w:rsidRPr="00D141FC" w:rsidRDefault="002C66F0" w:rsidP="002C66F0">
      <w:pPr>
        <w:pStyle w:val="paragraph"/>
      </w:pPr>
      <w:r w:rsidRPr="00D141FC">
        <w:tab/>
        <w:t>(b)</w:t>
      </w:r>
      <w:r w:rsidRPr="00D141FC">
        <w:tab/>
        <w:t>a pricing application</w:t>
      </w:r>
      <w:r w:rsidR="00A07EDA" w:rsidRPr="00D141FC">
        <w:t>.</w:t>
      </w:r>
    </w:p>
    <w:p w:rsidR="002C66F0" w:rsidRPr="00D141FC" w:rsidRDefault="002C66F0" w:rsidP="002C66F0">
      <w:pPr>
        <w:pStyle w:val="SubsectionHead"/>
      </w:pPr>
      <w:r w:rsidRPr="00D141FC">
        <w:t>When a withdrawal will result in a refund</w:t>
      </w:r>
    </w:p>
    <w:p w:rsidR="002C66F0" w:rsidRPr="00D141FC" w:rsidRDefault="002C66F0" w:rsidP="002C66F0">
      <w:pPr>
        <w:pStyle w:val="subsection"/>
      </w:pPr>
      <w:r w:rsidRPr="00D141FC">
        <w:tab/>
        <w:t>(2)</w:t>
      </w:r>
      <w:r w:rsidRPr="00D141FC">
        <w:tab/>
        <w:t xml:space="preserve">If the prior notice is withdrawn within 14 days after </w:t>
      </w:r>
      <w:r w:rsidR="001F628D" w:rsidRPr="00D141FC">
        <w:t xml:space="preserve">the day </w:t>
      </w:r>
      <w:r w:rsidRPr="00D141FC">
        <w:t>a notification is given under subregulation</w:t>
      </w:r>
      <w:r w:rsidR="00D141FC" w:rsidRPr="00D141FC">
        <w:t> </w:t>
      </w:r>
      <w:r w:rsidR="00A07EDA" w:rsidRPr="00D141FC">
        <w:t>3.12</w:t>
      </w:r>
      <w:r w:rsidRPr="00D141FC">
        <w:t>(1) about the prior notice, the Department must refund any fee paid for providing pricing services in response to the proposed pricing application except for the deposit referred to in subregulation</w:t>
      </w:r>
      <w:r w:rsidR="00D141FC" w:rsidRPr="00D141FC">
        <w:t> </w:t>
      </w:r>
      <w:r w:rsidR="00A07EDA" w:rsidRPr="00D141FC">
        <w:t>3.3</w:t>
      </w:r>
      <w:r w:rsidRPr="00D141FC">
        <w:t>(2)</w:t>
      </w:r>
      <w:r w:rsidR="00A07EDA" w:rsidRPr="00D141FC">
        <w:t>.</w:t>
      </w:r>
    </w:p>
    <w:p w:rsidR="002C66F0" w:rsidRPr="00D141FC" w:rsidRDefault="002C66F0" w:rsidP="002C66F0">
      <w:pPr>
        <w:pStyle w:val="subsection"/>
      </w:pPr>
      <w:r w:rsidRPr="00D141FC">
        <w:tab/>
        <w:t>(3)</w:t>
      </w:r>
      <w:r w:rsidRPr="00D141FC">
        <w:tab/>
        <w:t>If</w:t>
      </w:r>
      <w:r w:rsidR="00EC1121" w:rsidRPr="00D141FC">
        <w:t xml:space="preserve"> all of the following apply</w:t>
      </w:r>
      <w:r w:rsidRPr="00D141FC">
        <w:t>:</w:t>
      </w:r>
    </w:p>
    <w:p w:rsidR="00EC1121" w:rsidRPr="00D141FC" w:rsidRDefault="00EC1121" w:rsidP="002C66F0">
      <w:pPr>
        <w:pStyle w:val="paragraph"/>
      </w:pPr>
      <w:r w:rsidRPr="00D141FC">
        <w:tab/>
        <w:t>(a)</w:t>
      </w:r>
      <w:r w:rsidRPr="00D141FC">
        <w:tab/>
        <w:t xml:space="preserve">prior notice of the pricing application is not </w:t>
      </w:r>
      <w:r w:rsidR="001F628D" w:rsidRPr="00D141FC">
        <w:t>given as described in paragraph</w:t>
      </w:r>
      <w:r w:rsidR="00D141FC" w:rsidRPr="00D141FC">
        <w:t> </w:t>
      </w:r>
      <w:r w:rsidR="001F628D" w:rsidRPr="00D141FC">
        <w:t>3.10(1)(a);</w:t>
      </w:r>
    </w:p>
    <w:p w:rsidR="002C66F0" w:rsidRPr="00D141FC" w:rsidRDefault="002C66F0" w:rsidP="002C66F0">
      <w:pPr>
        <w:pStyle w:val="paragraph"/>
      </w:pPr>
      <w:r w:rsidRPr="00D141FC">
        <w:tab/>
        <w:t>(</w:t>
      </w:r>
      <w:r w:rsidR="00EC1121" w:rsidRPr="00D141FC">
        <w:t>b</w:t>
      </w:r>
      <w:r w:rsidRPr="00D141FC">
        <w:t>)</w:t>
      </w:r>
      <w:r w:rsidRPr="00D141FC">
        <w:tab/>
        <w:t>a notification is given under subregulation</w:t>
      </w:r>
      <w:r w:rsidR="00D141FC" w:rsidRPr="00D141FC">
        <w:t> </w:t>
      </w:r>
      <w:r w:rsidR="00A07EDA" w:rsidRPr="00D141FC">
        <w:t>3.12</w:t>
      </w:r>
      <w:r w:rsidRPr="00D141FC">
        <w:t>(2) ab</w:t>
      </w:r>
      <w:r w:rsidR="00EC1121" w:rsidRPr="00D141FC">
        <w:t>out the pricing application;</w:t>
      </w:r>
    </w:p>
    <w:p w:rsidR="002C66F0" w:rsidRPr="00D141FC" w:rsidRDefault="00EC1121" w:rsidP="002C66F0">
      <w:pPr>
        <w:pStyle w:val="paragraph"/>
      </w:pPr>
      <w:r w:rsidRPr="00D141FC">
        <w:tab/>
        <w:t>(c</w:t>
      </w:r>
      <w:r w:rsidR="002C66F0" w:rsidRPr="00D141FC">
        <w:t>)</w:t>
      </w:r>
      <w:r w:rsidR="002C66F0" w:rsidRPr="00D141FC">
        <w:tab/>
        <w:t xml:space="preserve">the pricing application is withdrawn within 14 days after </w:t>
      </w:r>
      <w:r w:rsidR="001F628D" w:rsidRPr="00D141FC">
        <w:t xml:space="preserve">the day </w:t>
      </w:r>
      <w:r w:rsidR="002C66F0" w:rsidRPr="00D141FC">
        <w:t>that notification is given;</w:t>
      </w:r>
    </w:p>
    <w:p w:rsidR="002C66F0" w:rsidRPr="00D141FC" w:rsidRDefault="002C66F0" w:rsidP="002C66F0">
      <w:pPr>
        <w:pStyle w:val="subsection2"/>
      </w:pPr>
      <w:r w:rsidRPr="00D141FC">
        <w:t>the Department must refund any fee paid for providing pricing services in response to the pricing application</w:t>
      </w:r>
      <w:r w:rsidR="00A07EDA" w:rsidRPr="00D141FC">
        <w:t>.</w:t>
      </w:r>
    </w:p>
    <w:p w:rsidR="00811D16" w:rsidRPr="00D141FC" w:rsidRDefault="00811D16" w:rsidP="00811D16">
      <w:pPr>
        <w:pStyle w:val="ActHead3"/>
      </w:pPr>
      <w:bookmarkStart w:id="57" w:name="_Toc3993201"/>
      <w:r w:rsidRPr="00D141FC">
        <w:rPr>
          <w:rStyle w:val="CharDivNo"/>
        </w:rPr>
        <w:t>Division</w:t>
      </w:r>
      <w:r w:rsidR="00D141FC" w:rsidRPr="00D141FC">
        <w:rPr>
          <w:rStyle w:val="CharDivNo"/>
        </w:rPr>
        <w:t> </w:t>
      </w:r>
      <w:r w:rsidRPr="00D141FC">
        <w:rPr>
          <w:rStyle w:val="CharDivNo"/>
        </w:rPr>
        <w:t>3.4</w:t>
      </w:r>
      <w:r w:rsidRPr="00D141FC">
        <w:t>—</w:t>
      </w:r>
      <w:r w:rsidRPr="00D141FC">
        <w:rPr>
          <w:rStyle w:val="CharDivText"/>
        </w:rPr>
        <w:t>Validating categories of pricing applications</w:t>
      </w:r>
      <w:bookmarkEnd w:id="57"/>
    </w:p>
    <w:p w:rsidR="00811D16" w:rsidRPr="00D141FC" w:rsidRDefault="008B545D" w:rsidP="00811D16">
      <w:pPr>
        <w:pStyle w:val="ActHead5"/>
      </w:pPr>
      <w:bookmarkStart w:id="58" w:name="_Toc3993202"/>
      <w:r w:rsidRPr="00D141FC">
        <w:rPr>
          <w:rStyle w:val="CharSectno"/>
        </w:rPr>
        <w:t>3.14</w:t>
      </w:r>
      <w:r w:rsidR="00811D16" w:rsidRPr="00D141FC">
        <w:t xml:space="preserve">  Validating a pricing application’s category</w:t>
      </w:r>
      <w:bookmarkEnd w:id="58"/>
    </w:p>
    <w:p w:rsidR="00811D16" w:rsidRPr="00D141FC" w:rsidRDefault="00811D16" w:rsidP="00811D16">
      <w:pPr>
        <w:pStyle w:val="subsection"/>
      </w:pPr>
      <w:r w:rsidRPr="00D141FC">
        <w:tab/>
        <w:t>(1)</w:t>
      </w:r>
      <w:r w:rsidRPr="00D141FC">
        <w:tab/>
        <w:t>After having had regard to the matters in regulations</w:t>
      </w:r>
      <w:r w:rsidR="00D141FC" w:rsidRPr="00D141FC">
        <w:t> </w:t>
      </w:r>
      <w:r w:rsidRPr="00D141FC">
        <w:t>3.4 to 3.9, the Secretary may, in writing, determine that a pricing application is in one of the categories mentioned in those regulations.</w:t>
      </w:r>
    </w:p>
    <w:p w:rsidR="00811D16" w:rsidRPr="00D141FC" w:rsidRDefault="00811D16" w:rsidP="00811D16">
      <w:pPr>
        <w:pStyle w:val="notetext"/>
      </w:pPr>
      <w:r w:rsidRPr="00D141FC">
        <w:t>Note:</w:t>
      </w:r>
      <w:r w:rsidRPr="00D141FC">
        <w:tab/>
        <w:t>The Secretary may initiate a review of th</w:t>
      </w:r>
      <w:r w:rsidR="00A44750" w:rsidRPr="00D141FC">
        <w:t>e</w:t>
      </w:r>
      <w:r w:rsidRPr="00D141FC">
        <w:t xml:space="preserve"> decision to make the determination (see regulation</w:t>
      </w:r>
      <w:r w:rsidR="00D141FC" w:rsidRPr="00D141FC">
        <w:t> </w:t>
      </w:r>
      <w:r w:rsidRPr="00D141FC">
        <w:t>6.3).</w:t>
      </w:r>
    </w:p>
    <w:p w:rsidR="00811D16" w:rsidRPr="00D141FC" w:rsidRDefault="00811D16" w:rsidP="00811D16">
      <w:pPr>
        <w:pStyle w:val="subsection"/>
      </w:pPr>
      <w:r w:rsidRPr="00D141FC">
        <w:tab/>
        <w:t>(2)</w:t>
      </w:r>
      <w:r w:rsidRPr="00D141FC">
        <w:tab/>
        <w:t>If the category determined under subregulation</w:t>
      </w:r>
      <w:r w:rsidR="00D141FC" w:rsidRPr="00D141FC">
        <w:t> </w:t>
      </w:r>
      <w:r w:rsidRPr="00D141FC">
        <w:t>(1) for a pricing application is different from the category used to work out the fee notified to the person under regulation</w:t>
      </w:r>
      <w:r w:rsidR="00D141FC" w:rsidRPr="00D141FC">
        <w:t> </w:t>
      </w:r>
      <w:r w:rsidRPr="00D141FC">
        <w:t>3.12</w:t>
      </w:r>
      <w:r w:rsidR="00BB17FF" w:rsidRPr="00D141FC">
        <w:t xml:space="preserve"> (or previously under this regulation)</w:t>
      </w:r>
      <w:r w:rsidRPr="00D141FC">
        <w:t>, the Secretary must notify the person in writing accordingly.</w:t>
      </w:r>
    </w:p>
    <w:p w:rsidR="00811D16" w:rsidRPr="00D141FC" w:rsidRDefault="00811D16" w:rsidP="00811D16">
      <w:pPr>
        <w:pStyle w:val="subsection"/>
      </w:pPr>
      <w:r w:rsidRPr="00D141FC">
        <w:tab/>
        <w:t>(3)</w:t>
      </w:r>
      <w:r w:rsidRPr="00D141FC">
        <w:tab/>
        <w:t>A notice under subregulation</w:t>
      </w:r>
      <w:r w:rsidR="00D141FC" w:rsidRPr="00D141FC">
        <w:t> </w:t>
      </w:r>
      <w:r w:rsidRPr="00D141FC">
        <w:t>(2) to the person must state:</w:t>
      </w:r>
    </w:p>
    <w:p w:rsidR="00811D16" w:rsidRPr="00D141FC" w:rsidRDefault="00811D16" w:rsidP="00811D16">
      <w:pPr>
        <w:pStyle w:val="paragraph"/>
      </w:pPr>
      <w:r w:rsidRPr="00D141FC">
        <w:tab/>
        <w:t>(a)</w:t>
      </w:r>
      <w:r w:rsidRPr="00D141FC">
        <w:tab/>
        <w:t>the amounts of the fees payable for the pricing services that relate to each of those categories; and</w:t>
      </w:r>
    </w:p>
    <w:p w:rsidR="00811D16" w:rsidRPr="00D141FC" w:rsidRDefault="00811D16" w:rsidP="00811D16">
      <w:pPr>
        <w:pStyle w:val="paragraph"/>
      </w:pPr>
      <w:r w:rsidRPr="00D141FC">
        <w:tab/>
        <w:t>(b)</w:t>
      </w:r>
      <w:r w:rsidRPr="00D141FC">
        <w:tab/>
        <w:t>the fee amount</w:t>
      </w:r>
      <w:r w:rsidR="00BB17FF" w:rsidRPr="00D141FC">
        <w:t>s</w:t>
      </w:r>
      <w:r w:rsidRPr="00D141FC">
        <w:t xml:space="preserve"> already paid</w:t>
      </w:r>
      <w:r w:rsidR="00BB17FF" w:rsidRPr="00D141FC">
        <w:t>, or refunded,</w:t>
      </w:r>
      <w:r w:rsidRPr="00D141FC">
        <w:t xml:space="preserve"> (if any) for the pricing services; and</w:t>
      </w:r>
    </w:p>
    <w:p w:rsidR="00811D16" w:rsidRPr="00D141FC" w:rsidRDefault="00811D16" w:rsidP="00811D16">
      <w:pPr>
        <w:pStyle w:val="paragraph"/>
      </w:pPr>
      <w:r w:rsidRPr="00D141FC">
        <w:tab/>
        <w:t>(c)</w:t>
      </w:r>
      <w:r w:rsidRPr="00D141FC">
        <w:tab/>
        <w:t xml:space="preserve">the fee amount that is to be refunded to, or is payable by, the person that reflects the amounts referred to in </w:t>
      </w:r>
      <w:r w:rsidR="00D141FC" w:rsidRPr="00D141FC">
        <w:t>paragraphs (</w:t>
      </w:r>
      <w:r w:rsidRPr="00D141FC">
        <w:t>a) and (b); and</w:t>
      </w:r>
    </w:p>
    <w:p w:rsidR="00811D16" w:rsidRPr="00D141FC" w:rsidRDefault="00811D16" w:rsidP="00811D16">
      <w:pPr>
        <w:pStyle w:val="paragraph"/>
      </w:pPr>
      <w:r w:rsidRPr="00D141FC">
        <w:tab/>
        <w:t>(d)</w:t>
      </w:r>
      <w:r w:rsidRPr="00D141FC">
        <w:tab/>
        <w:t xml:space="preserve">the manner for paying any amount referred to in </w:t>
      </w:r>
      <w:r w:rsidR="00D141FC" w:rsidRPr="00D141FC">
        <w:t>paragraph (</w:t>
      </w:r>
      <w:r w:rsidRPr="00D141FC">
        <w:t>c) that is payable by the person; and</w:t>
      </w:r>
    </w:p>
    <w:p w:rsidR="00811D16" w:rsidRPr="00D141FC" w:rsidRDefault="00811D16" w:rsidP="00811D16">
      <w:pPr>
        <w:pStyle w:val="paragraph"/>
      </w:pPr>
      <w:r w:rsidRPr="00D141FC">
        <w:tab/>
        <w:t>(e)</w:t>
      </w:r>
      <w:r w:rsidRPr="00D141FC">
        <w:tab/>
        <w:t>the applicant’s review rights under Part</w:t>
      </w:r>
      <w:r w:rsidR="00D141FC" w:rsidRPr="00D141FC">
        <w:t> </w:t>
      </w:r>
      <w:r w:rsidRPr="00D141FC">
        <w:t>6 in relation to the determination under subregulation</w:t>
      </w:r>
      <w:r w:rsidR="00D141FC" w:rsidRPr="00D141FC">
        <w:t> </w:t>
      </w:r>
      <w:r w:rsidRPr="00D141FC">
        <w:t>(1).</w:t>
      </w:r>
    </w:p>
    <w:p w:rsidR="005417DF" w:rsidRPr="00D141FC" w:rsidRDefault="005417DF" w:rsidP="005417DF">
      <w:pPr>
        <w:pStyle w:val="subsection2"/>
      </w:pPr>
      <w:r w:rsidRPr="00D141FC">
        <w:t xml:space="preserve">Any fee amount notified under </w:t>
      </w:r>
      <w:r w:rsidR="00D141FC" w:rsidRPr="00D141FC">
        <w:t>paragraph (</w:t>
      </w:r>
      <w:r w:rsidRPr="00D141FC">
        <w:t>c) as being payable is payable to the Department.</w:t>
      </w:r>
    </w:p>
    <w:p w:rsidR="00811D16" w:rsidRPr="00D141FC" w:rsidRDefault="00811D16" w:rsidP="00811D16">
      <w:pPr>
        <w:pStyle w:val="notetext"/>
      </w:pPr>
      <w:r w:rsidRPr="00D141FC">
        <w:t>Note:</w:t>
      </w:r>
      <w:r w:rsidRPr="00D141FC">
        <w:tab/>
        <w:t>Part</w:t>
      </w:r>
      <w:r w:rsidR="00D141FC" w:rsidRPr="00D141FC">
        <w:t> </w:t>
      </w:r>
      <w:r w:rsidRPr="00D141FC">
        <w:t>4 deals with the payment of fees, including the time for payment (see paragraph</w:t>
      </w:r>
      <w:r w:rsidR="00D141FC" w:rsidRPr="00D141FC">
        <w:t> </w:t>
      </w:r>
      <w:r w:rsidRPr="00D141FC">
        <w:t>4.1(1)(b)).</w:t>
      </w:r>
    </w:p>
    <w:p w:rsidR="00811D16" w:rsidRPr="00D141FC" w:rsidRDefault="00811D16" w:rsidP="00811D16">
      <w:pPr>
        <w:pStyle w:val="subsection"/>
      </w:pPr>
      <w:r w:rsidRPr="00D141FC">
        <w:tab/>
        <w:t>(4)</w:t>
      </w:r>
      <w:r w:rsidRPr="00D141FC">
        <w:tab/>
        <w:t xml:space="preserve">For the purposes of </w:t>
      </w:r>
      <w:r w:rsidR="00D141FC" w:rsidRPr="00D141FC">
        <w:t>paragraph (</w:t>
      </w:r>
      <w:r w:rsidRPr="00D141FC">
        <w:t>3)(a), the fee payable for the pricing services that relates to the new category determined under subregulation</w:t>
      </w:r>
      <w:r w:rsidR="00D141FC" w:rsidRPr="00D141FC">
        <w:t> </w:t>
      </w:r>
      <w:r w:rsidRPr="00D141FC">
        <w:t xml:space="preserve">(1) is worked out as if that fee had been notified to the person </w:t>
      </w:r>
      <w:r w:rsidR="009A0576" w:rsidRPr="00D141FC">
        <w:t>during the same financial year as</w:t>
      </w:r>
      <w:r w:rsidRPr="00D141FC">
        <w:t xml:space="preserve"> </w:t>
      </w:r>
      <w:r w:rsidR="00324BF6" w:rsidRPr="00D141FC">
        <w:t xml:space="preserve">that in which </w:t>
      </w:r>
      <w:r w:rsidRPr="00D141FC">
        <w:t xml:space="preserve">the notification </w:t>
      </w:r>
      <w:r w:rsidR="009A0576" w:rsidRPr="00D141FC">
        <w:t>for the pricing application</w:t>
      </w:r>
      <w:r w:rsidRPr="00D141FC">
        <w:t xml:space="preserve"> was given to the person.</w:t>
      </w:r>
    </w:p>
    <w:p w:rsidR="00963048" w:rsidRPr="00D141FC" w:rsidRDefault="00963048" w:rsidP="00963048">
      <w:pPr>
        <w:pStyle w:val="ActHead2"/>
      </w:pPr>
      <w:bookmarkStart w:id="59" w:name="_Toc3993203"/>
      <w:r w:rsidRPr="00D141FC">
        <w:rPr>
          <w:rStyle w:val="CharPartNo"/>
        </w:rPr>
        <w:t>Part</w:t>
      </w:r>
      <w:r w:rsidR="00D141FC" w:rsidRPr="00D141FC">
        <w:rPr>
          <w:rStyle w:val="CharPartNo"/>
        </w:rPr>
        <w:t> </w:t>
      </w:r>
      <w:r w:rsidRPr="00D141FC">
        <w:rPr>
          <w:rStyle w:val="CharPartNo"/>
        </w:rPr>
        <w:t>3A</w:t>
      </w:r>
      <w:r w:rsidRPr="00D141FC">
        <w:t>—</w:t>
      </w:r>
      <w:r w:rsidRPr="00D141FC">
        <w:rPr>
          <w:rStyle w:val="CharPartText"/>
        </w:rPr>
        <w:t>List management services</w:t>
      </w:r>
      <w:bookmarkEnd w:id="59"/>
    </w:p>
    <w:p w:rsidR="00963048" w:rsidRPr="00D141FC" w:rsidRDefault="00963048" w:rsidP="00963048">
      <w:pPr>
        <w:pStyle w:val="Header"/>
      </w:pPr>
      <w:r w:rsidRPr="00D141FC">
        <w:rPr>
          <w:rStyle w:val="CharDivNo"/>
        </w:rPr>
        <w:t xml:space="preserve"> </w:t>
      </w:r>
      <w:r w:rsidRPr="00D141FC">
        <w:rPr>
          <w:rStyle w:val="CharDivText"/>
        </w:rPr>
        <w:t xml:space="preserve"> </w:t>
      </w:r>
    </w:p>
    <w:p w:rsidR="00963048" w:rsidRPr="00D141FC" w:rsidRDefault="00A07EDA" w:rsidP="00963048">
      <w:pPr>
        <w:pStyle w:val="ActHead5"/>
      </w:pPr>
      <w:bookmarkStart w:id="60" w:name="_Toc3993204"/>
      <w:r w:rsidRPr="00D141FC">
        <w:rPr>
          <w:rStyle w:val="CharSectno"/>
        </w:rPr>
        <w:t>3A.1</w:t>
      </w:r>
      <w:r w:rsidR="00963048" w:rsidRPr="00D141FC">
        <w:t xml:space="preserve">  Fees for providing list management services</w:t>
      </w:r>
      <w:bookmarkEnd w:id="60"/>
    </w:p>
    <w:p w:rsidR="00FF5A9A" w:rsidRPr="00D141FC" w:rsidRDefault="00FF5A9A" w:rsidP="00FF5A9A">
      <w:pPr>
        <w:pStyle w:val="subsection"/>
      </w:pPr>
      <w:r w:rsidRPr="00D141FC">
        <w:tab/>
      </w:r>
      <w:r w:rsidR="006D1795" w:rsidRPr="00D141FC">
        <w:t>(1)</w:t>
      </w:r>
      <w:r w:rsidRPr="00D141FC">
        <w:tab/>
        <w:t>For the purposes of section</w:t>
      </w:r>
      <w:r w:rsidR="00D141FC" w:rsidRPr="00D141FC">
        <w:t> </w:t>
      </w:r>
      <w:r w:rsidRPr="00D141FC">
        <w:t xml:space="preserve">99YBA of the Act, the fee set out in an item of the following table is prescribed for the Commonwealth providing services (the </w:t>
      </w:r>
      <w:r w:rsidRPr="00D141FC">
        <w:rPr>
          <w:b/>
          <w:i/>
        </w:rPr>
        <w:t>list management services</w:t>
      </w:r>
      <w:r w:rsidRPr="00D141FC">
        <w:t>):</w:t>
      </w:r>
    </w:p>
    <w:p w:rsidR="00FF5A9A" w:rsidRPr="00D141FC" w:rsidRDefault="00FF5A9A" w:rsidP="00FF5A9A">
      <w:pPr>
        <w:pStyle w:val="paragraph"/>
      </w:pPr>
      <w:r w:rsidRPr="00D141FC">
        <w:tab/>
        <w:t>(a)</w:t>
      </w:r>
      <w:r w:rsidRPr="00D141FC">
        <w:tab/>
        <w:t xml:space="preserve">in response to an application (the </w:t>
      </w:r>
      <w:r w:rsidRPr="00D141FC">
        <w:rPr>
          <w:b/>
          <w:i/>
        </w:rPr>
        <w:t>list management application</w:t>
      </w:r>
      <w:r w:rsidRPr="00D141FC">
        <w:t>) by a person; and</w:t>
      </w:r>
    </w:p>
    <w:p w:rsidR="00FF5A9A" w:rsidRPr="00D141FC" w:rsidRDefault="00FF5A9A" w:rsidP="00FF5A9A">
      <w:pPr>
        <w:pStyle w:val="paragraph"/>
      </w:pPr>
      <w:r w:rsidRPr="00D141FC">
        <w:tab/>
        <w:t>(b)</w:t>
      </w:r>
      <w:r w:rsidRPr="00D141FC">
        <w:tab/>
        <w:t xml:space="preserve">in assisting the Minister </w:t>
      </w:r>
      <w:r w:rsidR="00576AC5" w:rsidRPr="00D141FC">
        <w:t xml:space="preserve">to </w:t>
      </w:r>
      <w:r w:rsidRPr="00D141FC">
        <w:t>consider whether to exercise a power under a provision of Part</w:t>
      </w:r>
      <w:r w:rsidR="00D141FC" w:rsidRPr="00D141FC">
        <w:t> </w:t>
      </w:r>
      <w:r w:rsidRPr="00D141FC">
        <w:t>VII of the Act set out in that item of the table.</w:t>
      </w:r>
    </w:p>
    <w:p w:rsidR="00963048" w:rsidRPr="00D141FC" w:rsidRDefault="00963048" w:rsidP="009630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2383"/>
        <w:gridCol w:w="2533"/>
      </w:tblGrid>
      <w:tr w:rsidR="00963048" w:rsidRPr="00D141FC" w:rsidTr="000F75D9">
        <w:trPr>
          <w:tblHeader/>
        </w:trPr>
        <w:tc>
          <w:tcPr>
            <w:tcW w:w="8313" w:type="dxa"/>
            <w:gridSpan w:val="4"/>
            <w:tcBorders>
              <w:top w:val="single" w:sz="12" w:space="0" w:color="auto"/>
              <w:bottom w:val="single" w:sz="6" w:space="0" w:color="auto"/>
            </w:tcBorders>
            <w:shd w:val="clear" w:color="auto" w:fill="auto"/>
          </w:tcPr>
          <w:p w:rsidR="00963048" w:rsidRPr="00D141FC" w:rsidRDefault="00963048" w:rsidP="000621B2">
            <w:pPr>
              <w:pStyle w:val="TableHeading"/>
            </w:pPr>
            <w:r w:rsidRPr="00D141FC">
              <w:t>Fee for providing list management services</w:t>
            </w:r>
          </w:p>
        </w:tc>
      </w:tr>
      <w:tr w:rsidR="00963048" w:rsidRPr="00D141FC" w:rsidTr="000F75D9">
        <w:trPr>
          <w:tblHeader/>
        </w:trPr>
        <w:tc>
          <w:tcPr>
            <w:tcW w:w="714" w:type="dxa"/>
            <w:tcBorders>
              <w:top w:val="single" w:sz="6" w:space="0" w:color="auto"/>
              <w:bottom w:val="single" w:sz="12" w:space="0" w:color="auto"/>
            </w:tcBorders>
            <w:shd w:val="clear" w:color="auto" w:fill="auto"/>
          </w:tcPr>
          <w:p w:rsidR="00963048" w:rsidRPr="00D141FC" w:rsidRDefault="00963048" w:rsidP="000621B2">
            <w:pPr>
              <w:pStyle w:val="TableHeading"/>
            </w:pPr>
            <w:r w:rsidRPr="00D141FC">
              <w:t>Item</w:t>
            </w:r>
          </w:p>
        </w:tc>
        <w:tc>
          <w:tcPr>
            <w:tcW w:w="2683" w:type="dxa"/>
            <w:tcBorders>
              <w:top w:val="single" w:sz="6" w:space="0" w:color="auto"/>
              <w:bottom w:val="single" w:sz="12" w:space="0" w:color="auto"/>
            </w:tcBorders>
            <w:shd w:val="clear" w:color="auto" w:fill="auto"/>
          </w:tcPr>
          <w:p w:rsidR="00963048" w:rsidRPr="00D141FC" w:rsidRDefault="00963048" w:rsidP="000621B2">
            <w:pPr>
              <w:pStyle w:val="TableHeading"/>
            </w:pPr>
            <w:r w:rsidRPr="00D141FC">
              <w:t>List management services provided in assisting the Minister exercise a power under this provision of Part</w:t>
            </w:r>
            <w:r w:rsidR="00D141FC" w:rsidRPr="00D141FC">
              <w:t> </w:t>
            </w:r>
            <w:r w:rsidRPr="00D141FC">
              <w:t>VII of the Act:</w:t>
            </w:r>
          </w:p>
        </w:tc>
        <w:tc>
          <w:tcPr>
            <w:tcW w:w="2383" w:type="dxa"/>
            <w:tcBorders>
              <w:top w:val="single" w:sz="6" w:space="0" w:color="auto"/>
              <w:bottom w:val="single" w:sz="12" w:space="0" w:color="auto"/>
            </w:tcBorders>
            <w:shd w:val="clear" w:color="auto" w:fill="auto"/>
          </w:tcPr>
          <w:p w:rsidR="00963048" w:rsidRPr="00D141FC" w:rsidRDefault="00963048" w:rsidP="008531E6">
            <w:pPr>
              <w:pStyle w:val="TableHeading"/>
            </w:pPr>
            <w:r w:rsidRPr="00D141FC">
              <w:t>Fee if the notification for the application for those services is given during the financial year starting on 1</w:t>
            </w:r>
            <w:r w:rsidR="00D141FC" w:rsidRPr="00D141FC">
              <w:t> </w:t>
            </w:r>
            <w:r w:rsidRPr="00D141FC">
              <w:t>July 2019</w:t>
            </w:r>
          </w:p>
        </w:tc>
        <w:tc>
          <w:tcPr>
            <w:tcW w:w="2533" w:type="dxa"/>
            <w:tcBorders>
              <w:top w:val="single" w:sz="6" w:space="0" w:color="auto"/>
              <w:bottom w:val="single" w:sz="12" w:space="0" w:color="auto"/>
            </w:tcBorders>
            <w:shd w:val="clear" w:color="auto" w:fill="auto"/>
          </w:tcPr>
          <w:p w:rsidR="00963048" w:rsidRPr="00D141FC" w:rsidRDefault="00963048" w:rsidP="008531E6">
            <w:pPr>
              <w:pStyle w:val="TableHeading"/>
            </w:pPr>
            <w:r w:rsidRPr="00D141FC">
              <w:t>Fee</w:t>
            </w:r>
            <w:r w:rsidR="008531E6" w:rsidRPr="00D141FC">
              <w:t xml:space="preserve"> </w:t>
            </w:r>
            <w:r w:rsidRPr="00D141FC">
              <w:t>if the notification for the application for those services is given during the financial year starting on 1</w:t>
            </w:r>
            <w:r w:rsidR="00D141FC" w:rsidRPr="00D141FC">
              <w:t> </w:t>
            </w:r>
            <w:r w:rsidRPr="00D141FC">
              <w:t>July 2020</w:t>
            </w:r>
          </w:p>
        </w:tc>
      </w:tr>
      <w:tr w:rsidR="00963048" w:rsidRPr="00D141FC" w:rsidTr="000F75D9">
        <w:tc>
          <w:tcPr>
            <w:tcW w:w="714" w:type="dxa"/>
            <w:tcBorders>
              <w:top w:val="single" w:sz="12" w:space="0" w:color="auto"/>
              <w:bottom w:val="single" w:sz="2" w:space="0" w:color="auto"/>
            </w:tcBorders>
            <w:shd w:val="clear" w:color="auto" w:fill="auto"/>
          </w:tcPr>
          <w:p w:rsidR="00963048" w:rsidRPr="00D141FC" w:rsidRDefault="000F75D9" w:rsidP="000621B2">
            <w:pPr>
              <w:pStyle w:val="Tabletext"/>
            </w:pPr>
            <w:r w:rsidRPr="00D141FC">
              <w:t>1</w:t>
            </w:r>
          </w:p>
        </w:tc>
        <w:tc>
          <w:tcPr>
            <w:tcW w:w="2683" w:type="dxa"/>
            <w:tcBorders>
              <w:top w:val="single" w:sz="12" w:space="0" w:color="auto"/>
              <w:bottom w:val="single" w:sz="2" w:space="0" w:color="auto"/>
            </w:tcBorders>
            <w:shd w:val="clear" w:color="auto" w:fill="auto"/>
          </w:tcPr>
          <w:p w:rsidR="0012005D" w:rsidRPr="00D141FC" w:rsidRDefault="0012005D" w:rsidP="0012005D">
            <w:pPr>
              <w:pStyle w:val="Tablea"/>
            </w:pPr>
            <w:r w:rsidRPr="00D141FC">
              <w:t>(a) subsection</w:t>
            </w:r>
            <w:r w:rsidR="00D141FC" w:rsidRPr="00D141FC">
              <w:t> </w:t>
            </w:r>
            <w:r w:rsidRPr="00D141FC">
              <w:t>85AD(1) (about price agreements); or</w:t>
            </w:r>
          </w:p>
          <w:p w:rsidR="0012005D" w:rsidRPr="00D141FC" w:rsidRDefault="0012005D" w:rsidP="0012005D">
            <w:pPr>
              <w:pStyle w:val="Tablea"/>
            </w:pPr>
            <w:r w:rsidRPr="00D141FC">
              <w:t>(b) section</w:t>
            </w:r>
            <w:r w:rsidR="00D141FC" w:rsidRPr="00D141FC">
              <w:t> </w:t>
            </w:r>
            <w:r w:rsidRPr="00D141FC">
              <w:t>85B (about price determinations);</w:t>
            </w:r>
          </w:p>
          <w:p w:rsidR="00DC2B20" w:rsidRPr="00D141FC" w:rsidRDefault="00D75BDE" w:rsidP="00937ACF">
            <w:pPr>
              <w:pStyle w:val="Tabletext"/>
            </w:pPr>
            <w:r w:rsidRPr="00D141FC">
              <w:t xml:space="preserve">in relation to a listed brand of a pharmaceutical item </w:t>
            </w:r>
            <w:r w:rsidR="0012005D" w:rsidRPr="00D141FC">
              <w:t xml:space="preserve">if </w:t>
            </w:r>
            <w:r w:rsidR="009D5500" w:rsidRPr="00D141FC">
              <w:t>subregulation</w:t>
            </w:r>
            <w:r w:rsidR="00D141FC" w:rsidRPr="00D141FC">
              <w:t> </w:t>
            </w:r>
            <w:r w:rsidR="009D5500" w:rsidRPr="00D141FC">
              <w:t>(2) applies.</w:t>
            </w:r>
          </w:p>
        </w:tc>
        <w:tc>
          <w:tcPr>
            <w:tcW w:w="2383" w:type="dxa"/>
            <w:tcBorders>
              <w:top w:val="single" w:sz="12" w:space="0" w:color="auto"/>
              <w:bottom w:val="single" w:sz="2" w:space="0" w:color="auto"/>
            </w:tcBorders>
            <w:shd w:val="clear" w:color="auto" w:fill="auto"/>
          </w:tcPr>
          <w:p w:rsidR="00963048" w:rsidRPr="00D141FC" w:rsidRDefault="00963048" w:rsidP="002159B5">
            <w:pPr>
              <w:pStyle w:val="Tabletext"/>
              <w:jc w:val="right"/>
            </w:pPr>
            <w:r w:rsidRPr="00D141FC">
              <w:t>$2,330</w:t>
            </w:r>
          </w:p>
        </w:tc>
        <w:tc>
          <w:tcPr>
            <w:tcW w:w="2533" w:type="dxa"/>
            <w:tcBorders>
              <w:top w:val="single" w:sz="12" w:space="0" w:color="auto"/>
              <w:bottom w:val="single" w:sz="2" w:space="0" w:color="auto"/>
            </w:tcBorders>
            <w:shd w:val="clear" w:color="auto" w:fill="auto"/>
          </w:tcPr>
          <w:p w:rsidR="00963048" w:rsidRPr="00D141FC" w:rsidRDefault="00963048" w:rsidP="002159B5">
            <w:pPr>
              <w:pStyle w:val="Tabletext"/>
              <w:jc w:val="right"/>
            </w:pPr>
            <w:r w:rsidRPr="00D141FC">
              <w:t>$2,370</w:t>
            </w:r>
          </w:p>
        </w:tc>
      </w:tr>
      <w:tr w:rsidR="00963048" w:rsidRPr="00D141FC" w:rsidTr="000F75D9">
        <w:tc>
          <w:tcPr>
            <w:tcW w:w="714" w:type="dxa"/>
            <w:tcBorders>
              <w:top w:val="single" w:sz="2" w:space="0" w:color="auto"/>
              <w:bottom w:val="single" w:sz="12" w:space="0" w:color="auto"/>
            </w:tcBorders>
            <w:shd w:val="clear" w:color="auto" w:fill="auto"/>
          </w:tcPr>
          <w:p w:rsidR="00963048" w:rsidRPr="00D141FC" w:rsidRDefault="000F75D9" w:rsidP="000621B2">
            <w:pPr>
              <w:pStyle w:val="Tabletext"/>
            </w:pPr>
            <w:r w:rsidRPr="00D141FC">
              <w:t>2</w:t>
            </w:r>
          </w:p>
        </w:tc>
        <w:tc>
          <w:tcPr>
            <w:tcW w:w="2683" w:type="dxa"/>
            <w:tcBorders>
              <w:top w:val="single" w:sz="2" w:space="0" w:color="auto"/>
              <w:bottom w:val="single" w:sz="12" w:space="0" w:color="auto"/>
            </w:tcBorders>
            <w:shd w:val="clear" w:color="auto" w:fill="auto"/>
          </w:tcPr>
          <w:p w:rsidR="00963048" w:rsidRPr="00D141FC" w:rsidRDefault="00963048" w:rsidP="000621B2">
            <w:pPr>
              <w:pStyle w:val="Tablea"/>
            </w:pPr>
            <w:r w:rsidRPr="00D141FC">
              <w:t>(a) subsection</w:t>
            </w:r>
            <w:r w:rsidR="00D141FC" w:rsidRPr="00D141FC">
              <w:t> </w:t>
            </w:r>
            <w:r w:rsidRPr="00D141FC">
              <w:t>99ACB(6A); or</w:t>
            </w:r>
          </w:p>
          <w:p w:rsidR="00963048" w:rsidRPr="00D141FC" w:rsidRDefault="00963048" w:rsidP="000621B2">
            <w:pPr>
              <w:pStyle w:val="Tablea"/>
            </w:pPr>
            <w:r w:rsidRPr="00D141FC">
              <w:t>(b) subsection</w:t>
            </w:r>
            <w:r w:rsidR="00D141FC" w:rsidRPr="00D141FC">
              <w:t> </w:t>
            </w:r>
            <w:r w:rsidRPr="00D141FC">
              <w:t>99ACB(6B); or</w:t>
            </w:r>
          </w:p>
          <w:p w:rsidR="000B6247" w:rsidRPr="00D141FC" w:rsidRDefault="000B6247" w:rsidP="000621B2">
            <w:pPr>
              <w:pStyle w:val="Tablea"/>
            </w:pPr>
            <w:r w:rsidRPr="00D141FC">
              <w:t>(c) subsection</w:t>
            </w:r>
            <w:r w:rsidR="00D141FC" w:rsidRPr="00D141FC">
              <w:t> </w:t>
            </w:r>
            <w:r w:rsidRPr="00D141FC">
              <w:t>99ACBA(1); or</w:t>
            </w:r>
          </w:p>
          <w:p w:rsidR="00963048" w:rsidRPr="00D141FC" w:rsidRDefault="000B6247" w:rsidP="000621B2">
            <w:pPr>
              <w:pStyle w:val="Tablea"/>
            </w:pPr>
            <w:r w:rsidRPr="00D141FC">
              <w:t>(d</w:t>
            </w:r>
            <w:r w:rsidR="00963048" w:rsidRPr="00D141FC">
              <w:t>) subsection</w:t>
            </w:r>
            <w:r w:rsidR="00D141FC" w:rsidRPr="00D141FC">
              <w:t> </w:t>
            </w:r>
            <w:r w:rsidR="00963048" w:rsidRPr="00D141FC">
              <w:t>99ACD(7A); or</w:t>
            </w:r>
          </w:p>
          <w:p w:rsidR="00963048" w:rsidRPr="00D141FC" w:rsidRDefault="000B6247" w:rsidP="000621B2">
            <w:pPr>
              <w:pStyle w:val="Tablea"/>
            </w:pPr>
            <w:r w:rsidRPr="00D141FC">
              <w:t>(e</w:t>
            </w:r>
            <w:r w:rsidR="00963048" w:rsidRPr="00D141FC">
              <w:t>) subsection</w:t>
            </w:r>
            <w:r w:rsidR="00D141FC" w:rsidRPr="00D141FC">
              <w:t> </w:t>
            </w:r>
            <w:r w:rsidR="00963048" w:rsidRPr="00D141FC">
              <w:t>99ACD(7B); or</w:t>
            </w:r>
          </w:p>
          <w:p w:rsidR="00963048" w:rsidRPr="00D141FC" w:rsidRDefault="000B6247" w:rsidP="000621B2">
            <w:pPr>
              <w:pStyle w:val="Tablea"/>
            </w:pPr>
            <w:r w:rsidRPr="00D141FC">
              <w:t>(f</w:t>
            </w:r>
            <w:r w:rsidR="00963048" w:rsidRPr="00D141FC">
              <w:t>) subsection</w:t>
            </w:r>
            <w:r w:rsidR="00D141FC" w:rsidRPr="00D141FC">
              <w:t> </w:t>
            </w:r>
            <w:r w:rsidR="00963048" w:rsidRPr="00D141FC">
              <w:t>99ACE(5); or</w:t>
            </w:r>
          </w:p>
          <w:p w:rsidR="00963048" w:rsidRPr="00D141FC" w:rsidRDefault="000B6247" w:rsidP="000621B2">
            <w:pPr>
              <w:pStyle w:val="Tablea"/>
            </w:pPr>
            <w:r w:rsidRPr="00D141FC">
              <w:t>(g</w:t>
            </w:r>
            <w:r w:rsidR="00963048" w:rsidRPr="00D141FC">
              <w:t>) subsection</w:t>
            </w:r>
            <w:r w:rsidR="00D141FC" w:rsidRPr="00D141FC">
              <w:t> </w:t>
            </w:r>
            <w:r w:rsidR="00963048" w:rsidRPr="00D141FC">
              <w:t>99ACE(5A); or</w:t>
            </w:r>
          </w:p>
          <w:p w:rsidR="000B6247" w:rsidRPr="00D141FC" w:rsidRDefault="000B6247" w:rsidP="000621B2">
            <w:pPr>
              <w:pStyle w:val="Tablea"/>
            </w:pPr>
            <w:r w:rsidRPr="00D141FC">
              <w:t>(h) subsection</w:t>
            </w:r>
            <w:r w:rsidR="00D141FC" w:rsidRPr="00D141FC">
              <w:t> </w:t>
            </w:r>
            <w:r w:rsidRPr="00D141FC">
              <w:t>99ACEA(1); or</w:t>
            </w:r>
          </w:p>
          <w:p w:rsidR="00963048" w:rsidRPr="00D141FC" w:rsidRDefault="000B6247" w:rsidP="000621B2">
            <w:pPr>
              <w:pStyle w:val="Tablea"/>
            </w:pPr>
            <w:r w:rsidRPr="00D141FC">
              <w:t>(i</w:t>
            </w:r>
            <w:r w:rsidR="00963048" w:rsidRPr="00D141FC">
              <w:t>) subsection</w:t>
            </w:r>
            <w:r w:rsidR="00D141FC" w:rsidRPr="00D141FC">
              <w:t> </w:t>
            </w:r>
            <w:r w:rsidR="00963048" w:rsidRPr="00D141FC">
              <w:t>99ACF(3); or</w:t>
            </w:r>
          </w:p>
          <w:p w:rsidR="00A11645" w:rsidRPr="00D141FC" w:rsidRDefault="000B6247" w:rsidP="000621B2">
            <w:pPr>
              <w:pStyle w:val="Tablea"/>
            </w:pPr>
            <w:r w:rsidRPr="00D141FC">
              <w:t>(j</w:t>
            </w:r>
            <w:r w:rsidR="00963048" w:rsidRPr="00D141FC">
              <w:t>) subsection</w:t>
            </w:r>
            <w:r w:rsidR="00D141FC" w:rsidRPr="00D141FC">
              <w:t> </w:t>
            </w:r>
            <w:r w:rsidR="00963048" w:rsidRPr="00D141FC">
              <w:t>99ACF(3A</w:t>
            </w:r>
            <w:r w:rsidR="00A11645" w:rsidRPr="00D141FC">
              <w:t>A</w:t>
            </w:r>
            <w:r w:rsidR="00963048" w:rsidRPr="00D141FC">
              <w:t>)</w:t>
            </w:r>
            <w:r w:rsidR="00A11645" w:rsidRPr="00D141FC">
              <w:t>; or</w:t>
            </w:r>
          </w:p>
          <w:p w:rsidR="00963048" w:rsidRPr="00D141FC" w:rsidRDefault="00A11645" w:rsidP="000621B2">
            <w:pPr>
              <w:pStyle w:val="Tablea"/>
            </w:pPr>
            <w:r w:rsidRPr="00D141FC">
              <w:t>(k) subsection</w:t>
            </w:r>
            <w:r w:rsidR="00D141FC" w:rsidRPr="00D141FC">
              <w:t> </w:t>
            </w:r>
            <w:r w:rsidRPr="00D141FC">
              <w:t>99ACF(3AB)</w:t>
            </w:r>
            <w:r w:rsidR="00A07EDA" w:rsidRPr="00D141FC">
              <w:t>.</w:t>
            </w:r>
          </w:p>
        </w:tc>
        <w:tc>
          <w:tcPr>
            <w:tcW w:w="2383" w:type="dxa"/>
            <w:tcBorders>
              <w:top w:val="single" w:sz="2" w:space="0" w:color="auto"/>
              <w:bottom w:val="single" w:sz="12" w:space="0" w:color="auto"/>
            </w:tcBorders>
            <w:shd w:val="clear" w:color="auto" w:fill="auto"/>
          </w:tcPr>
          <w:p w:rsidR="00963048" w:rsidRPr="00D141FC" w:rsidRDefault="00963048" w:rsidP="002159B5">
            <w:pPr>
              <w:pStyle w:val="Tabletext"/>
              <w:jc w:val="right"/>
            </w:pPr>
            <w:r w:rsidRPr="00D141FC">
              <w:t>$3,480</w:t>
            </w:r>
          </w:p>
        </w:tc>
        <w:tc>
          <w:tcPr>
            <w:tcW w:w="2533" w:type="dxa"/>
            <w:tcBorders>
              <w:top w:val="single" w:sz="2" w:space="0" w:color="auto"/>
              <w:bottom w:val="single" w:sz="12" w:space="0" w:color="auto"/>
            </w:tcBorders>
            <w:shd w:val="clear" w:color="auto" w:fill="auto"/>
          </w:tcPr>
          <w:p w:rsidR="00963048" w:rsidRPr="00D141FC" w:rsidRDefault="00963048" w:rsidP="002159B5">
            <w:pPr>
              <w:pStyle w:val="Tabletext"/>
              <w:jc w:val="right"/>
            </w:pPr>
            <w:r w:rsidRPr="00D141FC">
              <w:t>$3,540</w:t>
            </w:r>
          </w:p>
        </w:tc>
      </w:tr>
    </w:tbl>
    <w:p w:rsidR="00963048" w:rsidRPr="00D141FC" w:rsidRDefault="00963048" w:rsidP="00963048">
      <w:pPr>
        <w:pStyle w:val="notetext"/>
      </w:pPr>
      <w:r w:rsidRPr="00D141FC">
        <w:t>Note:</w:t>
      </w:r>
      <w:r w:rsidRPr="00D141FC">
        <w:tab/>
        <w:t>Each of these fees is indexed for later financial years (see regulation</w:t>
      </w:r>
      <w:r w:rsidR="00D141FC" w:rsidRPr="00D141FC">
        <w:t> </w:t>
      </w:r>
      <w:r w:rsidRPr="00D141FC">
        <w:t>4</w:t>
      </w:r>
      <w:r w:rsidR="00A07EDA" w:rsidRPr="00D141FC">
        <w:t>.</w:t>
      </w:r>
      <w:r w:rsidRPr="00D141FC">
        <w:t>7)</w:t>
      </w:r>
      <w:r w:rsidR="00A07EDA" w:rsidRPr="00D141FC">
        <w:t>.</w:t>
      </w:r>
    </w:p>
    <w:p w:rsidR="009D5500" w:rsidRPr="00D141FC" w:rsidRDefault="009D5500" w:rsidP="009D5500">
      <w:pPr>
        <w:pStyle w:val="subsection"/>
      </w:pPr>
      <w:r w:rsidRPr="00D141FC">
        <w:tab/>
        <w:t>(2)</w:t>
      </w:r>
      <w:r w:rsidRPr="00D141FC">
        <w:tab/>
        <w:t>This subregulation</w:t>
      </w:r>
      <w:r w:rsidR="00D141FC" w:rsidRPr="00D141FC">
        <w:t> </w:t>
      </w:r>
      <w:r w:rsidRPr="00D141FC">
        <w:t>applies if:</w:t>
      </w:r>
    </w:p>
    <w:p w:rsidR="009D5500" w:rsidRPr="00D141FC" w:rsidRDefault="009D5500" w:rsidP="009D5500">
      <w:pPr>
        <w:pStyle w:val="paragraph"/>
      </w:pPr>
      <w:r w:rsidRPr="00D141FC">
        <w:tab/>
        <w:t>(a)</w:t>
      </w:r>
      <w:r w:rsidRPr="00D141FC">
        <w:tab/>
        <w:t>either:</w:t>
      </w:r>
    </w:p>
    <w:p w:rsidR="009D5500" w:rsidRPr="00D141FC" w:rsidRDefault="009D5500" w:rsidP="009D5500">
      <w:pPr>
        <w:pStyle w:val="paragraphsub"/>
      </w:pPr>
      <w:r w:rsidRPr="00D141FC">
        <w:tab/>
        <w:t>(i)</w:t>
      </w:r>
      <w:r w:rsidRPr="00D141FC">
        <w:tab/>
      </w:r>
      <w:r w:rsidR="00D75BDE" w:rsidRPr="00D141FC">
        <w:t>a price agreement under section</w:t>
      </w:r>
      <w:r w:rsidR="00D141FC" w:rsidRPr="00D141FC">
        <w:t> </w:t>
      </w:r>
      <w:r w:rsidR="00D75BDE" w:rsidRPr="00D141FC">
        <w:t>85AD of the Act is in force betwe</w:t>
      </w:r>
      <w:r w:rsidR="000266E6" w:rsidRPr="00D141FC">
        <w:t>en the person and the Minister</w:t>
      </w:r>
      <w:r w:rsidR="00D75BDE" w:rsidRPr="00D141FC">
        <w:t xml:space="preserve"> for the list</w:t>
      </w:r>
      <w:r w:rsidR="00473574" w:rsidRPr="00D141FC">
        <w:t xml:space="preserve">ed brand of </w:t>
      </w:r>
      <w:r w:rsidR="00AD77A4" w:rsidRPr="00D141FC">
        <w:t xml:space="preserve">the </w:t>
      </w:r>
      <w:r w:rsidR="00473574" w:rsidRPr="00D141FC">
        <w:t>pharmaceutical item; or</w:t>
      </w:r>
    </w:p>
    <w:p w:rsidR="00473574" w:rsidRPr="00D141FC" w:rsidRDefault="00473574" w:rsidP="009D5500">
      <w:pPr>
        <w:pStyle w:val="paragraphsub"/>
      </w:pPr>
      <w:r w:rsidRPr="00D141FC">
        <w:tab/>
        <w:t>(ii)</w:t>
      </w:r>
      <w:r w:rsidRPr="00D141FC">
        <w:tab/>
        <w:t>determination</w:t>
      </w:r>
      <w:r w:rsidR="00BC6730" w:rsidRPr="00D141FC">
        <w:t>s</w:t>
      </w:r>
      <w:r w:rsidRPr="00D141FC">
        <w:t xml:space="preserve"> under subsection</w:t>
      </w:r>
      <w:r w:rsidR="00A11645" w:rsidRPr="00D141FC">
        <w:t>s</w:t>
      </w:r>
      <w:r w:rsidR="00D141FC" w:rsidRPr="00D141FC">
        <w:t> </w:t>
      </w:r>
      <w:r w:rsidRPr="00D141FC">
        <w:t xml:space="preserve">85B(2) </w:t>
      </w:r>
      <w:r w:rsidR="00BC6730" w:rsidRPr="00D141FC">
        <w:t>and</w:t>
      </w:r>
      <w:r w:rsidRPr="00D141FC">
        <w:t xml:space="preserve"> (3) </w:t>
      </w:r>
      <w:r w:rsidR="00BC6730" w:rsidRPr="00D141FC">
        <w:t>of the Act are</w:t>
      </w:r>
      <w:r w:rsidRPr="00D141FC">
        <w:t xml:space="preserve"> in force for the listed brand of </w:t>
      </w:r>
      <w:r w:rsidR="00AD77A4" w:rsidRPr="00D141FC">
        <w:t xml:space="preserve">the </w:t>
      </w:r>
      <w:r w:rsidRPr="00D141FC">
        <w:t>pharmaceutical item</w:t>
      </w:r>
      <w:r w:rsidR="00793480" w:rsidRPr="00D141FC">
        <w:t>; and</w:t>
      </w:r>
    </w:p>
    <w:p w:rsidR="00BC6730" w:rsidRPr="00D141FC" w:rsidRDefault="00793480" w:rsidP="00BC6730">
      <w:pPr>
        <w:pStyle w:val="paragraph"/>
      </w:pPr>
      <w:r w:rsidRPr="00D141FC">
        <w:tab/>
        <w:t>(b)</w:t>
      </w:r>
      <w:r w:rsidRPr="00D141FC">
        <w:tab/>
        <w:t xml:space="preserve">since that agreement or </w:t>
      </w:r>
      <w:r w:rsidR="00BC6730" w:rsidRPr="00D141FC">
        <w:t xml:space="preserve">those </w:t>
      </w:r>
      <w:r w:rsidRPr="00D141FC">
        <w:t>determination</w:t>
      </w:r>
      <w:r w:rsidR="00BC6730" w:rsidRPr="00D141FC">
        <w:t>s</w:t>
      </w:r>
      <w:r w:rsidRPr="00D141FC">
        <w:t xml:space="preserve"> entered into force, the Committee has not made a recommendation, or given advice, in response to a </w:t>
      </w:r>
      <w:r w:rsidR="00336922" w:rsidRPr="00D141FC">
        <w:t>Part</w:t>
      </w:r>
      <w:r w:rsidR="00D141FC" w:rsidRPr="00D141FC">
        <w:t> </w:t>
      </w:r>
      <w:r w:rsidR="00336922" w:rsidRPr="00D141FC">
        <w:t xml:space="preserve">2 </w:t>
      </w:r>
      <w:r w:rsidRPr="00D141FC">
        <w:t>submission made by the person in relation to</w:t>
      </w:r>
      <w:r w:rsidR="00BC6730" w:rsidRPr="00D141FC">
        <w:t>:</w:t>
      </w:r>
    </w:p>
    <w:p w:rsidR="00BC6730" w:rsidRPr="00D141FC" w:rsidRDefault="00BC6730" w:rsidP="00BC6730">
      <w:pPr>
        <w:pStyle w:val="paragraphsub"/>
      </w:pPr>
      <w:r w:rsidRPr="00D141FC">
        <w:tab/>
        <w:t>(i)</w:t>
      </w:r>
      <w:r w:rsidRPr="00D141FC">
        <w:tab/>
      </w:r>
      <w:r w:rsidR="00793480" w:rsidRPr="00D141FC">
        <w:t xml:space="preserve">the listed brand of </w:t>
      </w:r>
      <w:r w:rsidR="00AD77A4" w:rsidRPr="00D141FC">
        <w:t xml:space="preserve">the </w:t>
      </w:r>
      <w:r w:rsidR="00793480" w:rsidRPr="00D141FC">
        <w:t>pharmaceutical item</w:t>
      </w:r>
      <w:r w:rsidRPr="00D141FC">
        <w:t>;</w:t>
      </w:r>
      <w:r w:rsidR="005E548C" w:rsidRPr="00D141FC">
        <w:t xml:space="preserve"> or</w:t>
      </w:r>
    </w:p>
    <w:p w:rsidR="00793480" w:rsidRPr="00D141FC" w:rsidRDefault="00BC6730" w:rsidP="00BC6730">
      <w:pPr>
        <w:pStyle w:val="paragraphsub"/>
      </w:pPr>
      <w:r w:rsidRPr="00D141FC">
        <w:tab/>
        <w:t>(ii)</w:t>
      </w:r>
      <w:r w:rsidRPr="00D141FC">
        <w:tab/>
      </w:r>
      <w:r w:rsidR="005E548C" w:rsidRPr="00D141FC">
        <w:t xml:space="preserve">the drug </w:t>
      </w:r>
      <w:r w:rsidR="000266E6" w:rsidRPr="00D141FC">
        <w:t>in</w:t>
      </w:r>
      <w:r w:rsidR="005E548C" w:rsidRPr="00D141FC">
        <w:t xml:space="preserve"> the </w:t>
      </w:r>
      <w:r w:rsidR="000266E6" w:rsidRPr="00D141FC">
        <w:t>pharmaceutical item</w:t>
      </w:r>
      <w:r w:rsidRPr="00D141FC">
        <w:t>; and</w:t>
      </w:r>
    </w:p>
    <w:p w:rsidR="00BC6730" w:rsidRPr="00D141FC" w:rsidRDefault="008825E0" w:rsidP="009D5500">
      <w:pPr>
        <w:pStyle w:val="paragraph"/>
      </w:pPr>
      <w:r w:rsidRPr="00D141FC">
        <w:tab/>
        <w:t>(c)</w:t>
      </w:r>
      <w:r w:rsidRPr="00D141FC">
        <w:tab/>
      </w:r>
      <w:r w:rsidR="0087394C" w:rsidRPr="00D141FC">
        <w:t>in the list management application, the person is seeking</w:t>
      </w:r>
      <w:r w:rsidR="00BC6730" w:rsidRPr="00D141FC">
        <w:t>:</w:t>
      </w:r>
    </w:p>
    <w:p w:rsidR="00BC6730" w:rsidRPr="00D141FC" w:rsidRDefault="00BC6730" w:rsidP="00BC6730">
      <w:pPr>
        <w:pStyle w:val="paragraphsub"/>
      </w:pPr>
      <w:r w:rsidRPr="00D141FC">
        <w:tab/>
        <w:t>(i)</w:t>
      </w:r>
      <w:r w:rsidRPr="00D141FC">
        <w:tab/>
        <w:t>through the exercise of the power in subsection</w:t>
      </w:r>
      <w:r w:rsidR="00D141FC" w:rsidRPr="00D141FC">
        <w:t> </w:t>
      </w:r>
      <w:r w:rsidRPr="00D141FC">
        <w:t>85AD(1)</w:t>
      </w:r>
      <w:r w:rsidR="003E342A" w:rsidRPr="00D141FC">
        <w:t xml:space="preserve"> of the Act</w:t>
      </w:r>
      <w:r w:rsidRPr="00D141FC">
        <w:t>—</w:t>
      </w:r>
      <w:r w:rsidR="0087394C" w:rsidRPr="00D141FC">
        <w:t xml:space="preserve">an increase </w:t>
      </w:r>
      <w:r w:rsidR="00907ED4" w:rsidRPr="00D141FC">
        <w:t>in</w:t>
      </w:r>
      <w:r w:rsidR="0087394C" w:rsidRPr="00D141FC">
        <w:t xml:space="preserve"> the </w:t>
      </w:r>
      <w:r w:rsidRPr="00D141FC">
        <w:t>approved ex</w:t>
      </w:r>
      <w:r w:rsidR="00D141FC">
        <w:noBreakHyphen/>
      </w:r>
      <w:r w:rsidRPr="00D141FC">
        <w:t>manufacturer price</w:t>
      </w:r>
      <w:r w:rsidR="0087394C" w:rsidRPr="00D141FC">
        <w:t xml:space="preserve"> of the </w:t>
      </w:r>
      <w:r w:rsidRPr="00D141FC">
        <w:t xml:space="preserve">listed </w:t>
      </w:r>
      <w:r w:rsidR="0087394C" w:rsidRPr="00D141FC">
        <w:t>brand of the pharmaceutical item</w:t>
      </w:r>
      <w:r w:rsidRPr="00D141FC">
        <w:t>; or</w:t>
      </w:r>
    </w:p>
    <w:p w:rsidR="009D5500" w:rsidRPr="00D141FC" w:rsidRDefault="00BC6730" w:rsidP="00BC6730">
      <w:pPr>
        <w:pStyle w:val="paragraphsub"/>
      </w:pPr>
      <w:r w:rsidRPr="00D141FC">
        <w:tab/>
        <w:t>(ii)</w:t>
      </w:r>
      <w:r w:rsidRPr="00D141FC">
        <w:tab/>
      </w:r>
      <w:r w:rsidR="003E342A" w:rsidRPr="00D141FC">
        <w:t>the making of a determination under subsection</w:t>
      </w:r>
      <w:r w:rsidR="00D141FC" w:rsidRPr="00D141FC">
        <w:t> </w:t>
      </w:r>
      <w:r w:rsidR="003E342A" w:rsidRPr="00D141FC">
        <w:t xml:space="preserve">85B(3) of the Act, or the increase </w:t>
      </w:r>
      <w:r w:rsidR="00907ED4" w:rsidRPr="00D141FC">
        <w:t>in</w:t>
      </w:r>
      <w:r w:rsidR="003E342A" w:rsidRPr="00D141FC">
        <w:t xml:space="preserve"> a price </w:t>
      </w:r>
      <w:r w:rsidR="00907ED4" w:rsidRPr="00D141FC">
        <w:t xml:space="preserve">earlier </w:t>
      </w:r>
      <w:r w:rsidR="003E342A" w:rsidRPr="00D141FC">
        <w:t>determined under that subsection</w:t>
      </w:r>
      <w:r w:rsidR="00AD77A4" w:rsidRPr="00D141FC">
        <w:t>, in relation to the listed brand of the pharmaceutical item</w:t>
      </w:r>
      <w:r w:rsidR="003E342A" w:rsidRPr="00D141FC">
        <w:t>.</w:t>
      </w:r>
    </w:p>
    <w:p w:rsidR="00963048" w:rsidRPr="00D141FC" w:rsidRDefault="00A07EDA" w:rsidP="00963048">
      <w:pPr>
        <w:pStyle w:val="ActHead5"/>
      </w:pPr>
      <w:bookmarkStart w:id="61" w:name="_Toc3993205"/>
      <w:r w:rsidRPr="00D141FC">
        <w:rPr>
          <w:rStyle w:val="CharSectno"/>
        </w:rPr>
        <w:t>3A.2</w:t>
      </w:r>
      <w:r w:rsidR="00963048" w:rsidRPr="00D141FC">
        <w:t xml:space="preserve">  How to apply for list management services</w:t>
      </w:r>
      <w:bookmarkEnd w:id="61"/>
    </w:p>
    <w:p w:rsidR="00963048" w:rsidRPr="00D141FC" w:rsidRDefault="00963048" w:rsidP="00963048">
      <w:pPr>
        <w:pStyle w:val="subsection"/>
      </w:pPr>
      <w:r w:rsidRPr="00D141FC">
        <w:tab/>
        <w:t>(1)</w:t>
      </w:r>
      <w:r w:rsidRPr="00D141FC">
        <w:tab/>
        <w:t>A list management application must:</w:t>
      </w:r>
    </w:p>
    <w:p w:rsidR="00963048" w:rsidRPr="00D141FC" w:rsidRDefault="00963048" w:rsidP="00963048">
      <w:pPr>
        <w:pStyle w:val="paragraph"/>
      </w:pPr>
      <w:r w:rsidRPr="00D141FC">
        <w:tab/>
        <w:t>(a)</w:t>
      </w:r>
      <w:r w:rsidRPr="00D141FC">
        <w:tab/>
        <w:t>be made in writing, in the approved form, to the Secretary; and</w:t>
      </w:r>
    </w:p>
    <w:p w:rsidR="00963048" w:rsidRPr="00D141FC" w:rsidRDefault="00963048" w:rsidP="00963048">
      <w:pPr>
        <w:pStyle w:val="paragraph"/>
      </w:pPr>
      <w:r w:rsidRPr="00D141FC">
        <w:tab/>
        <w:t>(b)</w:t>
      </w:r>
      <w:r w:rsidRPr="00D141FC">
        <w:tab/>
        <w:t>be sent to the office of the Department providing those services</w:t>
      </w:r>
      <w:r w:rsidR="00A07EDA" w:rsidRPr="00D141FC">
        <w:t>.</w:t>
      </w:r>
    </w:p>
    <w:p w:rsidR="00963048" w:rsidRPr="00D141FC" w:rsidRDefault="00963048" w:rsidP="00963048">
      <w:pPr>
        <w:pStyle w:val="notetext"/>
      </w:pPr>
      <w:r w:rsidRPr="00D141FC">
        <w:t>Note:</w:t>
      </w:r>
      <w:r w:rsidRPr="00D141FC">
        <w:tab/>
        <w:t>The address for the office providing those services can be found on the Department’s website</w:t>
      </w:r>
      <w:r w:rsidR="00A07EDA" w:rsidRPr="00D141FC">
        <w:t>.</w:t>
      </w:r>
    </w:p>
    <w:p w:rsidR="00963048" w:rsidRPr="00D141FC" w:rsidRDefault="00963048" w:rsidP="00963048">
      <w:pPr>
        <w:pStyle w:val="subsection"/>
      </w:pPr>
      <w:r w:rsidRPr="00D141FC">
        <w:tab/>
        <w:t>(2)</w:t>
      </w:r>
      <w:r w:rsidRPr="00D141FC">
        <w:tab/>
        <w:t xml:space="preserve">The Secretary may, in writing, approve forms for use in making </w:t>
      </w:r>
      <w:r w:rsidR="000F16C9" w:rsidRPr="00D141FC">
        <w:t>list management applications</w:t>
      </w:r>
      <w:r w:rsidR="00A07EDA" w:rsidRPr="00D141FC">
        <w:t>.</w:t>
      </w:r>
    </w:p>
    <w:p w:rsidR="00963048" w:rsidRPr="00D141FC" w:rsidRDefault="00A07EDA" w:rsidP="00963048">
      <w:pPr>
        <w:pStyle w:val="ActHead5"/>
      </w:pPr>
      <w:bookmarkStart w:id="62" w:name="_Toc3993206"/>
      <w:r w:rsidRPr="00D141FC">
        <w:rPr>
          <w:rStyle w:val="CharSectno"/>
        </w:rPr>
        <w:t>3A.3</w:t>
      </w:r>
      <w:r w:rsidR="00963048" w:rsidRPr="00D141FC">
        <w:t xml:space="preserve">  Notification (including invoicing of fees)</w:t>
      </w:r>
      <w:bookmarkEnd w:id="62"/>
    </w:p>
    <w:p w:rsidR="00963048" w:rsidRPr="00D141FC" w:rsidRDefault="00963048" w:rsidP="00963048">
      <w:pPr>
        <w:pStyle w:val="subsection"/>
      </w:pPr>
      <w:r w:rsidRPr="00D141FC">
        <w:tab/>
        <w:t>(1)</w:t>
      </w:r>
      <w:r w:rsidRPr="00D141FC">
        <w:tab/>
        <w:t xml:space="preserve">Within 14 days after </w:t>
      </w:r>
      <w:r w:rsidR="006C05DA" w:rsidRPr="00D141FC">
        <w:t xml:space="preserve">the day </w:t>
      </w:r>
      <w:r w:rsidRPr="00D141FC">
        <w:t xml:space="preserve">the Department receives a list management application, the </w:t>
      </w:r>
      <w:r w:rsidR="00044349" w:rsidRPr="00D141FC">
        <w:t>Secretary must notify the applicant in writing</w:t>
      </w:r>
      <w:r w:rsidRPr="00D141FC">
        <w:t>:</w:t>
      </w:r>
    </w:p>
    <w:p w:rsidR="00963048" w:rsidRPr="00D141FC" w:rsidRDefault="00963048" w:rsidP="00963048">
      <w:pPr>
        <w:pStyle w:val="paragraph"/>
      </w:pPr>
      <w:r w:rsidRPr="00D141FC">
        <w:tab/>
        <w:t>(a)</w:t>
      </w:r>
      <w:r w:rsidRPr="00D141FC">
        <w:tab/>
        <w:t>that the Department has received the application; and</w:t>
      </w:r>
    </w:p>
    <w:p w:rsidR="00963048" w:rsidRPr="00D141FC" w:rsidRDefault="00963048" w:rsidP="00963048">
      <w:pPr>
        <w:pStyle w:val="paragraph"/>
        <w:rPr>
          <w:i/>
        </w:rPr>
      </w:pPr>
      <w:r w:rsidRPr="00D141FC">
        <w:rPr>
          <w:i/>
        </w:rPr>
        <w:tab/>
      </w:r>
      <w:r w:rsidRPr="00D141FC">
        <w:t>(</w:t>
      </w:r>
      <w:r w:rsidR="00673093" w:rsidRPr="00D141FC">
        <w:t>b</w:t>
      </w:r>
      <w:r w:rsidRPr="00D141FC">
        <w:t>)</w:t>
      </w:r>
      <w:r w:rsidRPr="00D141FC">
        <w:tab/>
        <w:t>of the Ministerial power in Part</w:t>
      </w:r>
      <w:r w:rsidR="00D141FC" w:rsidRPr="00D141FC">
        <w:t> </w:t>
      </w:r>
      <w:r w:rsidRPr="00D141FC">
        <w:t>VII of the Act to which the list management services relate; and</w:t>
      </w:r>
    </w:p>
    <w:p w:rsidR="00C123D3" w:rsidRPr="00D141FC" w:rsidRDefault="00C123D3" w:rsidP="00C123D3">
      <w:pPr>
        <w:pStyle w:val="paragraph"/>
      </w:pPr>
      <w:r w:rsidRPr="00D141FC">
        <w:tab/>
        <w:t>(c)</w:t>
      </w:r>
      <w:r w:rsidRPr="00D141FC">
        <w:tab/>
        <w:t>if the applicant requests a fee exemption or waiver under regulation</w:t>
      </w:r>
      <w:r w:rsidR="00D141FC" w:rsidRPr="00D141FC">
        <w:t> </w:t>
      </w:r>
      <w:r w:rsidRPr="00D141FC">
        <w:t>5.1 or 5.2:</w:t>
      </w:r>
    </w:p>
    <w:p w:rsidR="00C123D3" w:rsidRPr="00D141FC" w:rsidRDefault="00C123D3" w:rsidP="00C123D3">
      <w:pPr>
        <w:pStyle w:val="paragraphsub"/>
      </w:pPr>
      <w:r w:rsidRPr="00D141FC">
        <w:tab/>
        <w:t>(i)</w:t>
      </w:r>
      <w:r w:rsidRPr="00D141FC">
        <w:tab/>
        <w:t>whether the fee exemption applies, or the fee is waived or partially waived; and</w:t>
      </w:r>
    </w:p>
    <w:p w:rsidR="00C123D3" w:rsidRPr="00D141FC" w:rsidRDefault="00C123D3" w:rsidP="00C123D3">
      <w:pPr>
        <w:pStyle w:val="paragraphsub"/>
      </w:pPr>
      <w:r w:rsidRPr="00D141FC">
        <w:tab/>
        <w:t>(ii)</w:t>
      </w:r>
      <w:r w:rsidRPr="00D141FC">
        <w:tab/>
        <w:t>in relation to a request for a waiver—of the applicant’s review rights under Part</w:t>
      </w:r>
      <w:r w:rsidR="00D141FC" w:rsidRPr="00D141FC">
        <w:t> </w:t>
      </w:r>
      <w:r w:rsidRPr="00D141FC">
        <w:t>6; and</w:t>
      </w:r>
    </w:p>
    <w:p w:rsidR="00963048" w:rsidRPr="00D141FC" w:rsidRDefault="00D91D25" w:rsidP="00963048">
      <w:pPr>
        <w:pStyle w:val="paragraph"/>
      </w:pPr>
      <w:r w:rsidRPr="00D141FC">
        <w:tab/>
        <w:t>(d</w:t>
      </w:r>
      <w:r w:rsidR="00963048" w:rsidRPr="00D141FC">
        <w:t>)</w:t>
      </w:r>
      <w:r w:rsidR="00963048" w:rsidRPr="00D141FC">
        <w:tab/>
        <w:t>of the amount of the fee that is payable for providing those services</w:t>
      </w:r>
      <w:r w:rsidR="000F16C9" w:rsidRPr="00D141FC">
        <w:t>; and</w:t>
      </w:r>
    </w:p>
    <w:p w:rsidR="00963048" w:rsidRPr="00D141FC" w:rsidRDefault="00D91D25" w:rsidP="00963048">
      <w:pPr>
        <w:pStyle w:val="paragraph"/>
      </w:pPr>
      <w:r w:rsidRPr="00D141FC">
        <w:tab/>
        <w:t>(e</w:t>
      </w:r>
      <w:r w:rsidR="00963048" w:rsidRPr="00D141FC">
        <w:t>)</w:t>
      </w:r>
      <w:r w:rsidR="00963048" w:rsidRPr="00D141FC">
        <w:tab/>
        <w:t>of the manner for paying that fee</w:t>
      </w:r>
      <w:r w:rsidR="00A07EDA" w:rsidRPr="00D141FC">
        <w:t>.</w:t>
      </w:r>
    </w:p>
    <w:p w:rsidR="00C123D3" w:rsidRPr="00D141FC" w:rsidRDefault="00C123D3" w:rsidP="00C123D3">
      <w:pPr>
        <w:pStyle w:val="subsection"/>
      </w:pPr>
      <w:r w:rsidRPr="00D141FC">
        <w:tab/>
        <w:t>(2)</w:t>
      </w:r>
      <w:r w:rsidRPr="00D141FC">
        <w:tab/>
        <w:t>The fee for the list management services, or any part of the fee that has not been waived, is payable to the Department unless:</w:t>
      </w:r>
    </w:p>
    <w:p w:rsidR="00C123D3" w:rsidRPr="00D141FC" w:rsidRDefault="00C123D3" w:rsidP="00C123D3">
      <w:pPr>
        <w:pStyle w:val="paragraph"/>
      </w:pPr>
      <w:r w:rsidRPr="00D141FC">
        <w:tab/>
        <w:t>(a)</w:t>
      </w:r>
      <w:r w:rsidRPr="00D141FC">
        <w:tab/>
        <w:t>a fee exemption applies; or</w:t>
      </w:r>
    </w:p>
    <w:p w:rsidR="00C123D3" w:rsidRPr="00D141FC" w:rsidRDefault="00C123D3" w:rsidP="00C123D3">
      <w:pPr>
        <w:pStyle w:val="paragraph"/>
      </w:pPr>
      <w:r w:rsidRPr="00D141FC">
        <w:tab/>
        <w:t>(b)</w:t>
      </w:r>
      <w:r w:rsidRPr="00D141FC">
        <w:tab/>
        <w:t>the fee is waived in its entirety.</w:t>
      </w:r>
    </w:p>
    <w:p w:rsidR="00963048" w:rsidRPr="00D141FC" w:rsidRDefault="00963048" w:rsidP="00963048">
      <w:pPr>
        <w:pStyle w:val="notetext"/>
      </w:pPr>
      <w:r w:rsidRPr="00D141FC">
        <w:t>Note:</w:t>
      </w:r>
      <w:r w:rsidRPr="00D141FC">
        <w:tab/>
        <w:t>Part</w:t>
      </w:r>
      <w:r w:rsidR="00D141FC" w:rsidRPr="00D141FC">
        <w:t> </w:t>
      </w:r>
      <w:r w:rsidRPr="00D141FC">
        <w:t>4 deals with the payment of fees, including the time for payment (see paragraph</w:t>
      </w:r>
      <w:r w:rsidR="00D141FC" w:rsidRPr="00D141FC">
        <w:t> </w:t>
      </w:r>
      <w:r w:rsidRPr="00D141FC">
        <w:t>4</w:t>
      </w:r>
      <w:r w:rsidR="00A07EDA" w:rsidRPr="00D141FC">
        <w:t>.</w:t>
      </w:r>
      <w:r w:rsidRPr="00D141FC">
        <w:t>1(1)(b)</w:t>
      </w:r>
      <w:r w:rsidR="00A07EDA" w:rsidRPr="00D141FC">
        <w:t>.</w:t>
      </w:r>
    </w:p>
    <w:p w:rsidR="00963048" w:rsidRPr="00D141FC" w:rsidRDefault="00A07EDA" w:rsidP="00963048">
      <w:pPr>
        <w:pStyle w:val="ActHead5"/>
      </w:pPr>
      <w:bookmarkStart w:id="63" w:name="_Toc3993207"/>
      <w:r w:rsidRPr="00D141FC">
        <w:rPr>
          <w:rStyle w:val="CharSectno"/>
        </w:rPr>
        <w:t>3A.4</w:t>
      </w:r>
      <w:r w:rsidR="00035FE6" w:rsidRPr="00D141FC">
        <w:t xml:space="preserve">  Withdrawal of a list management </w:t>
      </w:r>
      <w:r w:rsidR="00963048" w:rsidRPr="00D141FC">
        <w:t>application</w:t>
      </w:r>
      <w:bookmarkEnd w:id="63"/>
    </w:p>
    <w:p w:rsidR="00963048" w:rsidRPr="00D141FC" w:rsidRDefault="00963048" w:rsidP="00963048">
      <w:pPr>
        <w:pStyle w:val="subsection"/>
      </w:pPr>
      <w:r w:rsidRPr="00D141FC">
        <w:tab/>
        <w:t>(1)</w:t>
      </w:r>
      <w:r w:rsidRPr="00D141FC">
        <w:tab/>
        <w:t>A list management application may be withdrawn by written notice to the Department</w:t>
      </w:r>
      <w:r w:rsidR="00A07EDA" w:rsidRPr="00D141FC">
        <w:t>.</w:t>
      </w:r>
    </w:p>
    <w:p w:rsidR="00963048" w:rsidRPr="00D141FC" w:rsidRDefault="00963048" w:rsidP="00963048">
      <w:pPr>
        <w:pStyle w:val="subsection"/>
      </w:pPr>
      <w:r w:rsidRPr="00D141FC">
        <w:tab/>
        <w:t>(2)</w:t>
      </w:r>
      <w:r w:rsidRPr="00D141FC">
        <w:tab/>
        <w:t xml:space="preserve">If the application is withdrawn within 14 days after </w:t>
      </w:r>
      <w:r w:rsidR="006C05DA" w:rsidRPr="00D141FC">
        <w:t xml:space="preserve">the day </w:t>
      </w:r>
      <w:r w:rsidRPr="00D141FC">
        <w:t>notice about the application is given under regulation</w:t>
      </w:r>
      <w:r w:rsidR="00D141FC" w:rsidRPr="00D141FC">
        <w:t> </w:t>
      </w:r>
      <w:r w:rsidR="00A07EDA" w:rsidRPr="00D141FC">
        <w:t>3A.3</w:t>
      </w:r>
      <w:r w:rsidRPr="00D141FC">
        <w:t xml:space="preserve">, the Department must refund any fee paid for the provision of </w:t>
      </w:r>
      <w:r w:rsidR="00035FE6" w:rsidRPr="00D141FC">
        <w:t xml:space="preserve">list management </w:t>
      </w:r>
      <w:r w:rsidRPr="00D141FC">
        <w:t>services relating to the application</w:t>
      </w:r>
      <w:r w:rsidR="00A07EDA" w:rsidRPr="00D141FC">
        <w:t>.</w:t>
      </w:r>
    </w:p>
    <w:p w:rsidR="008F0EA6" w:rsidRPr="00D141FC" w:rsidRDefault="00F9708D" w:rsidP="00B55438">
      <w:pPr>
        <w:pStyle w:val="ItemHead"/>
      </w:pPr>
      <w:r w:rsidRPr="00D141FC">
        <w:t>27</w:t>
      </w:r>
      <w:r w:rsidR="00B55438" w:rsidRPr="00D141FC">
        <w:t xml:space="preserve">  Part</w:t>
      </w:r>
      <w:r w:rsidR="00D141FC" w:rsidRPr="00D141FC">
        <w:t> </w:t>
      </w:r>
      <w:r w:rsidR="00B55438" w:rsidRPr="00D141FC">
        <w:t>4 (heading)</w:t>
      </w:r>
    </w:p>
    <w:p w:rsidR="00B55438" w:rsidRPr="00D141FC" w:rsidRDefault="00B55438" w:rsidP="00B55438">
      <w:pPr>
        <w:pStyle w:val="Item"/>
      </w:pPr>
      <w:r w:rsidRPr="00D141FC">
        <w:t>Repeal the heading, substitute:</w:t>
      </w:r>
    </w:p>
    <w:p w:rsidR="00B55438" w:rsidRPr="00D141FC" w:rsidRDefault="00B55438" w:rsidP="00B55438">
      <w:pPr>
        <w:pStyle w:val="ActHead2"/>
      </w:pPr>
      <w:bookmarkStart w:id="64" w:name="_Toc3993208"/>
      <w:r w:rsidRPr="00D141FC">
        <w:rPr>
          <w:rStyle w:val="CharPartNo"/>
        </w:rPr>
        <w:t>Part</w:t>
      </w:r>
      <w:r w:rsidR="00D141FC" w:rsidRPr="00D141FC">
        <w:rPr>
          <w:rStyle w:val="CharPartNo"/>
        </w:rPr>
        <w:t> </w:t>
      </w:r>
      <w:r w:rsidRPr="00D141FC">
        <w:rPr>
          <w:rStyle w:val="CharPartNo"/>
        </w:rPr>
        <w:t>4</w:t>
      </w:r>
      <w:r w:rsidRPr="00D141FC">
        <w:t>—</w:t>
      </w:r>
      <w:r w:rsidRPr="00D141FC">
        <w:rPr>
          <w:rStyle w:val="CharPartText"/>
        </w:rPr>
        <w:t>Fees: common rules</w:t>
      </w:r>
      <w:r w:rsidR="001A0A89" w:rsidRPr="00D141FC">
        <w:rPr>
          <w:rStyle w:val="CharPartText"/>
        </w:rPr>
        <w:t xml:space="preserve"> and independent review fee</w:t>
      </w:r>
      <w:bookmarkEnd w:id="64"/>
    </w:p>
    <w:p w:rsidR="0015105F" w:rsidRPr="00D141FC" w:rsidRDefault="00F9708D" w:rsidP="0015105F">
      <w:pPr>
        <w:pStyle w:val="ItemHead"/>
      </w:pPr>
      <w:r w:rsidRPr="00D141FC">
        <w:t>28</w:t>
      </w:r>
      <w:r w:rsidR="0015105F" w:rsidRPr="00D141FC">
        <w:t xml:space="preserve">  Regulation</w:t>
      </w:r>
      <w:r w:rsidR="00C27D0E" w:rsidRPr="00D141FC">
        <w:t>s</w:t>
      </w:r>
      <w:r w:rsidR="00D141FC" w:rsidRPr="00D141FC">
        <w:t> </w:t>
      </w:r>
      <w:r w:rsidR="0015105F" w:rsidRPr="00D141FC">
        <w:t>4</w:t>
      </w:r>
      <w:r w:rsidR="00A07EDA" w:rsidRPr="00D141FC">
        <w:t>.</w:t>
      </w:r>
      <w:r w:rsidR="0015105F" w:rsidRPr="00D141FC">
        <w:t>1</w:t>
      </w:r>
      <w:r w:rsidR="0023421E" w:rsidRPr="00D141FC">
        <w:t xml:space="preserve"> </w:t>
      </w:r>
      <w:r w:rsidR="0083782E" w:rsidRPr="00D141FC">
        <w:t>and</w:t>
      </w:r>
      <w:r w:rsidR="0023421E" w:rsidRPr="00D141FC">
        <w:t xml:space="preserve"> 4</w:t>
      </w:r>
      <w:r w:rsidR="00A07EDA" w:rsidRPr="00D141FC">
        <w:t>.</w:t>
      </w:r>
      <w:r w:rsidR="009D761D" w:rsidRPr="00D141FC">
        <w:t>2</w:t>
      </w:r>
    </w:p>
    <w:p w:rsidR="0015105F" w:rsidRPr="00D141FC" w:rsidRDefault="0015105F" w:rsidP="0015105F">
      <w:pPr>
        <w:pStyle w:val="Item"/>
      </w:pPr>
      <w:r w:rsidRPr="00D141FC">
        <w:t>Repeal the regulation</w:t>
      </w:r>
      <w:r w:rsidR="00C27D0E" w:rsidRPr="00D141FC">
        <w:t>s</w:t>
      </w:r>
      <w:r w:rsidR="00543D0E" w:rsidRPr="00D141FC">
        <w:t>, substitute:</w:t>
      </w:r>
    </w:p>
    <w:p w:rsidR="00543D0E" w:rsidRPr="00D141FC" w:rsidRDefault="00543D0E" w:rsidP="00543D0E">
      <w:pPr>
        <w:pStyle w:val="ActHead5"/>
      </w:pPr>
      <w:bookmarkStart w:id="65" w:name="_Toc3993209"/>
      <w:r w:rsidRPr="00D141FC">
        <w:rPr>
          <w:rStyle w:val="CharSectno"/>
        </w:rPr>
        <w:t>4</w:t>
      </w:r>
      <w:r w:rsidR="00A07EDA" w:rsidRPr="00D141FC">
        <w:rPr>
          <w:rStyle w:val="CharSectno"/>
        </w:rPr>
        <w:t>.</w:t>
      </w:r>
      <w:r w:rsidRPr="00D141FC">
        <w:rPr>
          <w:rStyle w:val="CharSectno"/>
        </w:rPr>
        <w:t>1</w:t>
      </w:r>
      <w:r w:rsidRPr="00D141FC">
        <w:t xml:space="preserve">  Payment of fees</w:t>
      </w:r>
      <w:bookmarkEnd w:id="65"/>
    </w:p>
    <w:p w:rsidR="00226D22" w:rsidRPr="00D141FC" w:rsidRDefault="00226D22" w:rsidP="00226D22">
      <w:pPr>
        <w:pStyle w:val="subsection"/>
      </w:pPr>
      <w:r w:rsidRPr="00D141FC">
        <w:tab/>
        <w:t>(1)</w:t>
      </w:r>
      <w:r w:rsidRPr="00D141FC">
        <w:tab/>
        <w:t>A fee payable under these Regulations for services provided by the Commonwealth in response to an application must be paid:</w:t>
      </w:r>
    </w:p>
    <w:p w:rsidR="00226D22" w:rsidRPr="00D141FC" w:rsidRDefault="00226D22" w:rsidP="00226D22">
      <w:pPr>
        <w:pStyle w:val="paragraph"/>
      </w:pPr>
      <w:r w:rsidRPr="00D141FC">
        <w:tab/>
        <w:t>(a)</w:t>
      </w:r>
      <w:r w:rsidRPr="00D141FC">
        <w:tab/>
        <w:t>in full to the Commonwealth; and</w:t>
      </w:r>
    </w:p>
    <w:p w:rsidR="00226D22" w:rsidRPr="00D141FC" w:rsidRDefault="00226D22" w:rsidP="00226D22">
      <w:pPr>
        <w:pStyle w:val="paragraph"/>
      </w:pPr>
      <w:r w:rsidRPr="00D141FC">
        <w:tab/>
        <w:t>(b)</w:t>
      </w:r>
      <w:r w:rsidRPr="00D141FC">
        <w:tab/>
      </w:r>
      <w:r w:rsidR="00714447" w:rsidRPr="00D141FC">
        <w:t>before the end of the following period of days</w:t>
      </w:r>
      <w:r w:rsidR="00315747" w:rsidRPr="00D141FC">
        <w:t xml:space="preserve"> starting on </w:t>
      </w:r>
      <w:r w:rsidRPr="00D141FC">
        <w:t xml:space="preserve">the day </w:t>
      </w:r>
      <w:r w:rsidR="00714447" w:rsidRPr="00D141FC">
        <w:t xml:space="preserve">that </w:t>
      </w:r>
      <w:r w:rsidRPr="00D141FC">
        <w:t>the Department gives notice under these Regulations to the applicant that the fee is payable</w:t>
      </w:r>
      <w:r w:rsidR="00315747" w:rsidRPr="00D141FC">
        <w:t>:</w:t>
      </w:r>
    </w:p>
    <w:p w:rsidR="00315747" w:rsidRPr="00D141FC" w:rsidRDefault="00315747" w:rsidP="00315747">
      <w:pPr>
        <w:pStyle w:val="paragraphsub"/>
      </w:pPr>
      <w:r w:rsidRPr="00D141FC">
        <w:tab/>
        <w:t>(i)</w:t>
      </w:r>
      <w:r w:rsidRPr="00D141FC">
        <w:tab/>
        <w:t>if the notice is given under subregulation</w:t>
      </w:r>
      <w:r w:rsidR="00D141FC" w:rsidRPr="00D141FC">
        <w:t> </w:t>
      </w:r>
      <w:r w:rsidRPr="00D141FC">
        <w:t>2.17(1) about prior notice of a proposed application under Part</w:t>
      </w:r>
      <w:r w:rsidR="00D141FC" w:rsidRPr="00D141FC">
        <w:t> </w:t>
      </w:r>
      <w:r w:rsidRPr="00D141FC">
        <w:t xml:space="preserve">2 that, when sent to the Department, includes </w:t>
      </w:r>
      <w:r w:rsidR="006B5ED3" w:rsidRPr="00D141FC">
        <w:t>a request</w:t>
      </w:r>
      <w:r w:rsidRPr="00D141FC">
        <w:t xml:space="preserve"> for the Secretary to waive </w:t>
      </w:r>
      <w:r w:rsidR="00210E21" w:rsidRPr="00D141FC">
        <w:t>under subregulation</w:t>
      </w:r>
      <w:r w:rsidR="00D141FC" w:rsidRPr="00D141FC">
        <w:t> </w:t>
      </w:r>
      <w:r w:rsidR="00210E21" w:rsidRPr="00D141FC">
        <w:t xml:space="preserve">5.2(1) </w:t>
      </w:r>
      <w:r w:rsidRPr="00D141FC">
        <w:t>all or part of the fee</w:t>
      </w:r>
      <w:r w:rsidR="006A6ECE" w:rsidRPr="00D141FC">
        <w:t>—42 days;</w:t>
      </w:r>
    </w:p>
    <w:p w:rsidR="00315747" w:rsidRPr="00D141FC" w:rsidRDefault="00315747" w:rsidP="00315747">
      <w:pPr>
        <w:pStyle w:val="paragraphsub"/>
      </w:pPr>
      <w:r w:rsidRPr="00D141FC">
        <w:tab/>
        <w:t>(ii)</w:t>
      </w:r>
      <w:r w:rsidRPr="00D141FC">
        <w:tab/>
        <w:t>if the notice is given under subregulation</w:t>
      </w:r>
      <w:r w:rsidR="00D141FC" w:rsidRPr="00D141FC">
        <w:t> </w:t>
      </w:r>
      <w:r w:rsidRPr="00D141FC">
        <w:t xml:space="preserve">3.12(1) about prior notice of a proposed pricing application that, when sent to the Department, includes </w:t>
      </w:r>
      <w:r w:rsidR="006B5ED3" w:rsidRPr="00D141FC">
        <w:t>a request</w:t>
      </w:r>
      <w:r w:rsidRPr="00D141FC">
        <w:t xml:space="preserve"> for the Secretary to waive </w:t>
      </w:r>
      <w:r w:rsidR="00210E21" w:rsidRPr="00D141FC">
        <w:t>under subregulation</w:t>
      </w:r>
      <w:r w:rsidR="00D141FC" w:rsidRPr="00D141FC">
        <w:t> </w:t>
      </w:r>
      <w:r w:rsidR="00210E21" w:rsidRPr="00D141FC">
        <w:t xml:space="preserve">5.2(1) </w:t>
      </w:r>
      <w:r w:rsidRPr="00D141FC">
        <w:t>all or part of the fee</w:t>
      </w:r>
      <w:r w:rsidR="006A6ECE" w:rsidRPr="00D141FC">
        <w:t>—42 days;</w:t>
      </w:r>
    </w:p>
    <w:p w:rsidR="00315747" w:rsidRPr="00D141FC" w:rsidRDefault="00315747" w:rsidP="00315747">
      <w:pPr>
        <w:pStyle w:val="paragraphsub"/>
      </w:pPr>
      <w:r w:rsidRPr="00D141FC">
        <w:tab/>
        <w:t>(iii)</w:t>
      </w:r>
      <w:r w:rsidRPr="00D141FC">
        <w:tab/>
        <w:t>otherwise—28 days.</w:t>
      </w:r>
    </w:p>
    <w:p w:rsidR="00543D0E" w:rsidRPr="00D141FC" w:rsidRDefault="001179AF" w:rsidP="001179AF">
      <w:pPr>
        <w:pStyle w:val="subsection"/>
      </w:pPr>
      <w:r w:rsidRPr="00D141FC">
        <w:tab/>
        <w:t>(2)</w:t>
      </w:r>
      <w:r w:rsidRPr="00D141FC">
        <w:tab/>
        <w:t>However, the Secretary may agree, in writing, to accept payment by instalment</w:t>
      </w:r>
      <w:r w:rsidR="00365DB4" w:rsidRPr="00D141FC">
        <w:t>s</w:t>
      </w:r>
      <w:r w:rsidR="00A07EDA" w:rsidRPr="00D141FC">
        <w:t>.</w:t>
      </w:r>
    </w:p>
    <w:p w:rsidR="001179AF" w:rsidRPr="00D141FC" w:rsidRDefault="001179AF" w:rsidP="001179AF">
      <w:pPr>
        <w:pStyle w:val="subsection"/>
      </w:pPr>
      <w:r w:rsidRPr="00D141FC">
        <w:tab/>
        <w:t>(3)</w:t>
      </w:r>
      <w:r w:rsidRPr="00D141FC">
        <w:tab/>
        <w:t>If</w:t>
      </w:r>
      <w:r w:rsidR="00155F4F" w:rsidRPr="00D141FC">
        <w:t xml:space="preserve">, because of a decision notified under these Regulations to a person, the person has paid </w:t>
      </w:r>
      <w:r w:rsidRPr="00D141FC">
        <w:t xml:space="preserve">a fee amount under these Regulations that falls short of the amount </w:t>
      </w:r>
      <w:r w:rsidR="00155F4F" w:rsidRPr="00D141FC">
        <w:t>mentioned in that notice</w:t>
      </w:r>
      <w:r w:rsidRPr="00D141FC">
        <w:t xml:space="preserve"> </w:t>
      </w:r>
      <w:r w:rsidR="00FF5557" w:rsidRPr="00D141FC">
        <w:t>as being payable</w:t>
      </w:r>
      <w:r w:rsidRPr="00D141FC">
        <w:t xml:space="preserve">, the </w:t>
      </w:r>
      <w:r w:rsidR="00155F4F" w:rsidRPr="00D141FC">
        <w:t>person</w:t>
      </w:r>
      <w:r w:rsidRPr="00D141FC">
        <w:t xml:space="preserve"> must pay </w:t>
      </w:r>
      <w:r w:rsidR="00FF5557" w:rsidRPr="00D141FC">
        <w:t xml:space="preserve">the Commonwealth an amount equal to </w:t>
      </w:r>
      <w:r w:rsidRPr="00D141FC">
        <w:t xml:space="preserve">the </w:t>
      </w:r>
      <w:r w:rsidR="00FF0C95" w:rsidRPr="00D141FC">
        <w:t>short</w:t>
      </w:r>
      <w:r w:rsidR="00FF5557" w:rsidRPr="00D141FC">
        <w:t>fall</w:t>
      </w:r>
      <w:r w:rsidRPr="00D141FC">
        <w:t xml:space="preserve"> within:</w:t>
      </w:r>
    </w:p>
    <w:p w:rsidR="001179AF" w:rsidRPr="00D141FC" w:rsidRDefault="001179AF" w:rsidP="00FF5557">
      <w:pPr>
        <w:pStyle w:val="paragraph"/>
      </w:pPr>
      <w:r w:rsidRPr="00D141FC">
        <w:tab/>
        <w:t>(a)</w:t>
      </w:r>
      <w:r w:rsidRPr="00D141FC">
        <w:tab/>
        <w:t xml:space="preserve">28 days after </w:t>
      </w:r>
      <w:r w:rsidR="00254A4B" w:rsidRPr="00D141FC">
        <w:t xml:space="preserve">the day of </w:t>
      </w:r>
      <w:r w:rsidR="0055134D" w:rsidRPr="00D141FC">
        <w:t>that notice</w:t>
      </w:r>
      <w:r w:rsidRPr="00D141FC">
        <w:t>; or</w:t>
      </w:r>
    </w:p>
    <w:p w:rsidR="001179AF" w:rsidRPr="00D141FC" w:rsidRDefault="001179AF" w:rsidP="00FF5557">
      <w:pPr>
        <w:pStyle w:val="paragraph"/>
      </w:pPr>
      <w:r w:rsidRPr="00D141FC">
        <w:tab/>
        <w:t>(b)</w:t>
      </w:r>
      <w:r w:rsidRPr="00D141FC">
        <w:tab/>
        <w:t>a</w:t>
      </w:r>
      <w:r w:rsidR="00FF5557" w:rsidRPr="00D141FC">
        <w:t xml:space="preserve"> longer</w:t>
      </w:r>
      <w:r w:rsidRPr="00D141FC">
        <w:t xml:space="preserve"> period allowed by the Secretary</w:t>
      </w:r>
      <w:r w:rsidR="00A07EDA" w:rsidRPr="00D141FC">
        <w:t>.</w:t>
      </w:r>
    </w:p>
    <w:p w:rsidR="0055134D" w:rsidRPr="00D141FC" w:rsidRDefault="00C81FEA" w:rsidP="00741B82">
      <w:pPr>
        <w:pStyle w:val="notetext"/>
      </w:pPr>
      <w:r w:rsidRPr="00D141FC">
        <w:t>Note:</w:t>
      </w:r>
      <w:r w:rsidRPr="00D141FC">
        <w:tab/>
        <w:t xml:space="preserve">The notice by the </w:t>
      </w:r>
      <w:r w:rsidR="009C16D3" w:rsidRPr="00D141FC">
        <w:t>Secretary</w:t>
      </w:r>
      <w:r w:rsidRPr="00D141FC">
        <w:t xml:space="preserve"> could be</w:t>
      </w:r>
      <w:r w:rsidR="008879F8" w:rsidRPr="00D141FC">
        <w:t>, for example</w:t>
      </w:r>
      <w:r w:rsidR="0055134D" w:rsidRPr="00D141FC">
        <w:t>:</w:t>
      </w:r>
    </w:p>
    <w:p w:rsidR="00C81FEA" w:rsidRPr="00D141FC" w:rsidRDefault="0055134D" w:rsidP="0055134D">
      <w:pPr>
        <w:pStyle w:val="notepara"/>
      </w:pPr>
      <w:r w:rsidRPr="00D141FC">
        <w:t>(a)</w:t>
      </w:r>
      <w:r w:rsidRPr="00D141FC">
        <w:tab/>
      </w:r>
      <w:r w:rsidR="00285FF8" w:rsidRPr="00D141FC">
        <w:t xml:space="preserve">a notice </w:t>
      </w:r>
      <w:r w:rsidR="00C81FEA" w:rsidRPr="00D141FC">
        <w:t>relating to a different category determined under subregulation</w:t>
      </w:r>
      <w:r w:rsidR="00D141FC" w:rsidRPr="00D141FC">
        <w:t> </w:t>
      </w:r>
      <w:r w:rsidR="00E66960" w:rsidRPr="00D141FC">
        <w:t>2</w:t>
      </w:r>
      <w:r w:rsidR="00A07EDA" w:rsidRPr="00D141FC">
        <w:t>.</w:t>
      </w:r>
      <w:r w:rsidR="00E66960" w:rsidRPr="00D141FC">
        <w:t>20</w:t>
      </w:r>
      <w:r w:rsidR="00C81FEA" w:rsidRPr="00D141FC">
        <w:t xml:space="preserve">(1) or </w:t>
      </w:r>
      <w:r w:rsidR="008B545D" w:rsidRPr="00D141FC">
        <w:t>3.14</w:t>
      </w:r>
      <w:r w:rsidR="00C81FEA" w:rsidRPr="00D141FC">
        <w:t>(1)</w:t>
      </w:r>
      <w:r w:rsidRPr="00D141FC">
        <w:t>; or</w:t>
      </w:r>
    </w:p>
    <w:p w:rsidR="0055134D" w:rsidRPr="00D141FC" w:rsidRDefault="0055134D" w:rsidP="0055134D">
      <w:pPr>
        <w:pStyle w:val="notepara"/>
      </w:pPr>
      <w:r w:rsidRPr="00D141FC">
        <w:t>(b)</w:t>
      </w:r>
      <w:r w:rsidRPr="00D141FC">
        <w:tab/>
        <w:t>a notice under regulation</w:t>
      </w:r>
      <w:r w:rsidR="00D141FC" w:rsidRPr="00D141FC">
        <w:t> </w:t>
      </w:r>
      <w:r w:rsidRPr="00D141FC">
        <w:t>6.4 about an underpayment because of a replacement decision made as part of a review under Part</w:t>
      </w:r>
      <w:r w:rsidR="00D141FC" w:rsidRPr="00D141FC">
        <w:t> </w:t>
      </w:r>
      <w:r w:rsidRPr="00D141FC">
        <w:t>6.</w:t>
      </w:r>
    </w:p>
    <w:p w:rsidR="001179AF" w:rsidRPr="00D141FC" w:rsidRDefault="001179AF" w:rsidP="001179AF">
      <w:pPr>
        <w:pStyle w:val="subsection"/>
      </w:pPr>
      <w:r w:rsidRPr="00D141FC">
        <w:tab/>
        <w:t>(</w:t>
      </w:r>
      <w:r w:rsidR="00C81FEA" w:rsidRPr="00D141FC">
        <w:t>4</w:t>
      </w:r>
      <w:r w:rsidR="00B9528A" w:rsidRPr="00D141FC">
        <w:t>)</w:t>
      </w:r>
      <w:r w:rsidR="00B9528A" w:rsidRPr="00D141FC">
        <w:tab/>
        <w:t xml:space="preserve">If a person </w:t>
      </w:r>
      <w:r w:rsidRPr="00D141FC">
        <w:t xml:space="preserve">pays </w:t>
      </w:r>
      <w:r w:rsidR="00FF5557" w:rsidRPr="00D141FC">
        <w:t xml:space="preserve">a fee amount under these Regulations that exceeds the amount notified by the </w:t>
      </w:r>
      <w:r w:rsidR="00445E55" w:rsidRPr="00D141FC">
        <w:t>Secretary</w:t>
      </w:r>
      <w:r w:rsidR="00FF5557" w:rsidRPr="00D141FC">
        <w:t xml:space="preserve"> as being payable,</w:t>
      </w:r>
      <w:r w:rsidRPr="00D141FC">
        <w:t xml:space="preserve"> the </w:t>
      </w:r>
      <w:r w:rsidR="00FF5557" w:rsidRPr="00D141FC">
        <w:t>Commonwealth</w:t>
      </w:r>
      <w:r w:rsidRPr="00D141FC">
        <w:t xml:space="preserve"> must refund to the </w:t>
      </w:r>
      <w:r w:rsidR="00B9528A" w:rsidRPr="00D141FC">
        <w:t>person</w:t>
      </w:r>
      <w:r w:rsidRPr="00D141FC">
        <w:t xml:space="preserve"> </w:t>
      </w:r>
      <w:r w:rsidR="00FF5557" w:rsidRPr="00D141FC">
        <w:t xml:space="preserve">an amount equal to the excess within </w:t>
      </w:r>
      <w:r w:rsidRPr="00D141FC">
        <w:t>28 days after the later of:</w:t>
      </w:r>
    </w:p>
    <w:p w:rsidR="001179AF" w:rsidRPr="00D141FC" w:rsidRDefault="001179AF" w:rsidP="00FF5557">
      <w:pPr>
        <w:pStyle w:val="paragraph"/>
      </w:pPr>
      <w:r w:rsidRPr="00D141FC">
        <w:tab/>
        <w:t>(a)</w:t>
      </w:r>
      <w:r w:rsidRPr="00D141FC">
        <w:tab/>
      </w:r>
      <w:r w:rsidR="00254A4B" w:rsidRPr="00D141FC">
        <w:t xml:space="preserve">the day of </w:t>
      </w:r>
      <w:r w:rsidR="00FF5557" w:rsidRPr="00D141FC">
        <w:t xml:space="preserve">that </w:t>
      </w:r>
      <w:r w:rsidRPr="00D141FC">
        <w:t xml:space="preserve">payment </w:t>
      </w:r>
      <w:r w:rsidR="00FF5557" w:rsidRPr="00D141FC">
        <w:t xml:space="preserve">by the </w:t>
      </w:r>
      <w:r w:rsidR="00B9528A" w:rsidRPr="00D141FC">
        <w:t>person</w:t>
      </w:r>
      <w:r w:rsidR="00FF5557" w:rsidRPr="00D141FC">
        <w:t xml:space="preserve"> </w:t>
      </w:r>
      <w:r w:rsidRPr="00D141FC">
        <w:t>of the fee</w:t>
      </w:r>
      <w:r w:rsidR="00FF5557" w:rsidRPr="00D141FC">
        <w:t xml:space="preserve"> amount</w:t>
      </w:r>
      <w:r w:rsidRPr="00D141FC">
        <w:t>; and</w:t>
      </w:r>
    </w:p>
    <w:p w:rsidR="001179AF" w:rsidRPr="00D141FC" w:rsidRDefault="001179AF" w:rsidP="00FF5557">
      <w:pPr>
        <w:pStyle w:val="paragraph"/>
      </w:pPr>
      <w:r w:rsidRPr="00D141FC">
        <w:tab/>
        <w:t>(b)</w:t>
      </w:r>
      <w:r w:rsidRPr="00D141FC">
        <w:tab/>
      </w:r>
      <w:r w:rsidR="00254A4B" w:rsidRPr="00D141FC">
        <w:t xml:space="preserve">the day of </w:t>
      </w:r>
      <w:r w:rsidR="00FF5557" w:rsidRPr="00D141FC">
        <w:t xml:space="preserve">that </w:t>
      </w:r>
      <w:r w:rsidRPr="00D141FC">
        <w:t>noti</w:t>
      </w:r>
      <w:r w:rsidR="00C81FEA" w:rsidRPr="00D141FC">
        <w:t>ce</w:t>
      </w:r>
      <w:r w:rsidRPr="00D141FC">
        <w:t xml:space="preserve"> by the </w:t>
      </w:r>
      <w:r w:rsidR="00445E55" w:rsidRPr="00D141FC">
        <w:t>Secretary</w:t>
      </w:r>
      <w:r w:rsidRPr="00D141FC">
        <w:t xml:space="preserve"> of </w:t>
      </w:r>
      <w:r w:rsidR="00FF5557" w:rsidRPr="00D141FC">
        <w:t>the amount payable</w:t>
      </w:r>
      <w:r w:rsidR="00A07EDA" w:rsidRPr="00D141FC">
        <w:t>.</w:t>
      </w:r>
    </w:p>
    <w:p w:rsidR="008879F8" w:rsidRPr="00D141FC" w:rsidRDefault="00C81FEA" w:rsidP="00C81FEA">
      <w:pPr>
        <w:pStyle w:val="notetext"/>
      </w:pPr>
      <w:r w:rsidRPr="00D141FC">
        <w:t>Note:</w:t>
      </w:r>
      <w:r w:rsidRPr="00D141FC">
        <w:tab/>
        <w:t xml:space="preserve">The notice by the </w:t>
      </w:r>
      <w:r w:rsidR="00445E55" w:rsidRPr="00D141FC">
        <w:t>Secretary</w:t>
      </w:r>
      <w:r w:rsidRPr="00D141FC">
        <w:t xml:space="preserve"> could be</w:t>
      </w:r>
      <w:r w:rsidR="008879F8" w:rsidRPr="00D141FC">
        <w:t>, for example:</w:t>
      </w:r>
    </w:p>
    <w:p w:rsidR="00C81FEA" w:rsidRPr="00D141FC" w:rsidRDefault="008879F8" w:rsidP="008879F8">
      <w:pPr>
        <w:pStyle w:val="notepara"/>
      </w:pPr>
      <w:r w:rsidRPr="00D141FC">
        <w:t>(a)</w:t>
      </w:r>
      <w:r w:rsidRPr="00D141FC">
        <w:tab/>
      </w:r>
      <w:r w:rsidR="00741B82" w:rsidRPr="00D141FC">
        <w:t>a notice relating to a different category determined under subregulation</w:t>
      </w:r>
      <w:r w:rsidR="00D141FC" w:rsidRPr="00D141FC">
        <w:t> </w:t>
      </w:r>
      <w:r w:rsidR="00741B82" w:rsidRPr="00D141FC">
        <w:t>2.20(1) or 3.14(1)</w:t>
      </w:r>
      <w:r w:rsidRPr="00D141FC">
        <w:t>; or</w:t>
      </w:r>
    </w:p>
    <w:p w:rsidR="008879F8" w:rsidRPr="00D141FC" w:rsidRDefault="008879F8" w:rsidP="008879F8">
      <w:pPr>
        <w:pStyle w:val="notepara"/>
      </w:pPr>
      <w:r w:rsidRPr="00D141FC">
        <w:t>(b)</w:t>
      </w:r>
      <w:r w:rsidRPr="00D141FC">
        <w:tab/>
        <w:t>a notice under subregulation</w:t>
      </w:r>
      <w:r w:rsidR="00D141FC" w:rsidRPr="00D141FC">
        <w:t> </w:t>
      </w:r>
      <w:r w:rsidR="006C05DA" w:rsidRPr="00D141FC">
        <w:t>2.17(2)</w:t>
      </w:r>
      <w:r w:rsidRPr="00D141FC">
        <w:t xml:space="preserve"> of a decision under subregulation</w:t>
      </w:r>
      <w:r w:rsidR="00D141FC" w:rsidRPr="00D141FC">
        <w:t> </w:t>
      </w:r>
      <w:r w:rsidRPr="00D141FC">
        <w:t>5</w:t>
      </w:r>
      <w:r w:rsidR="00A07EDA" w:rsidRPr="00D141FC">
        <w:t>.</w:t>
      </w:r>
      <w:r w:rsidRPr="00D141FC">
        <w:t>2(</w:t>
      </w:r>
      <w:r w:rsidR="006B5ED3" w:rsidRPr="00D141FC">
        <w:t>1</w:t>
      </w:r>
      <w:r w:rsidRPr="00D141FC">
        <w:t>) to waive all or part of the fee</w:t>
      </w:r>
      <w:r w:rsidR="00741B82" w:rsidRPr="00D141FC">
        <w:t>; or</w:t>
      </w:r>
    </w:p>
    <w:p w:rsidR="00741B82" w:rsidRPr="00D141FC" w:rsidRDefault="00741B82" w:rsidP="008879F8">
      <w:pPr>
        <w:pStyle w:val="notepara"/>
      </w:pPr>
      <w:r w:rsidRPr="00D141FC">
        <w:t>(c)</w:t>
      </w:r>
      <w:r w:rsidRPr="00D141FC">
        <w:tab/>
        <w:t>a notice under regulation</w:t>
      </w:r>
      <w:r w:rsidR="00D141FC" w:rsidRPr="00D141FC">
        <w:t> </w:t>
      </w:r>
      <w:r w:rsidRPr="00D141FC">
        <w:t xml:space="preserve">6.4 about an </w:t>
      </w:r>
      <w:r w:rsidR="00B9528A" w:rsidRPr="00D141FC">
        <w:t>over</w:t>
      </w:r>
      <w:r w:rsidRPr="00D141FC">
        <w:t>payment because of a replacement decision made as part of a review under Part</w:t>
      </w:r>
      <w:r w:rsidR="00D141FC" w:rsidRPr="00D141FC">
        <w:t> </w:t>
      </w:r>
      <w:r w:rsidRPr="00D141FC">
        <w:t>6.</w:t>
      </w:r>
    </w:p>
    <w:p w:rsidR="001A0A89" w:rsidRPr="00D141FC" w:rsidRDefault="001A0A89" w:rsidP="001A0A89">
      <w:pPr>
        <w:pStyle w:val="subsection"/>
      </w:pPr>
      <w:r w:rsidRPr="00D141FC">
        <w:tab/>
        <w:t>(5)</w:t>
      </w:r>
      <w:r w:rsidRPr="00D141FC">
        <w:tab/>
        <w:t>This regulation does not apply in relation to a fee mentioned in regulation</w:t>
      </w:r>
      <w:r w:rsidR="00D141FC" w:rsidRPr="00D141FC">
        <w:t> </w:t>
      </w:r>
      <w:r w:rsidRPr="00D141FC">
        <w:t>4</w:t>
      </w:r>
      <w:r w:rsidR="00A07EDA" w:rsidRPr="00D141FC">
        <w:t>.</w:t>
      </w:r>
      <w:r w:rsidRPr="00D141FC">
        <w:t>3</w:t>
      </w:r>
      <w:r w:rsidR="00A07EDA" w:rsidRPr="00D141FC">
        <w:t>.</w:t>
      </w:r>
    </w:p>
    <w:p w:rsidR="00B55438" w:rsidRPr="00D141FC" w:rsidRDefault="0023421E" w:rsidP="00B55438">
      <w:pPr>
        <w:pStyle w:val="ActHead5"/>
      </w:pPr>
      <w:bookmarkStart w:id="66" w:name="_Toc3993210"/>
      <w:r w:rsidRPr="00D141FC">
        <w:rPr>
          <w:rStyle w:val="CharSectno"/>
        </w:rPr>
        <w:t>4</w:t>
      </w:r>
      <w:r w:rsidR="00A07EDA" w:rsidRPr="00D141FC">
        <w:rPr>
          <w:rStyle w:val="CharSectno"/>
        </w:rPr>
        <w:t>.</w:t>
      </w:r>
      <w:r w:rsidRPr="00D141FC">
        <w:rPr>
          <w:rStyle w:val="CharSectno"/>
        </w:rPr>
        <w:t>2</w:t>
      </w:r>
      <w:r w:rsidR="00B55438" w:rsidRPr="00D141FC">
        <w:t xml:space="preserve">  Delay in paying a fee</w:t>
      </w:r>
      <w:bookmarkEnd w:id="66"/>
    </w:p>
    <w:p w:rsidR="0023421E" w:rsidRPr="00D141FC" w:rsidRDefault="007A2E52" w:rsidP="007A2E52">
      <w:pPr>
        <w:pStyle w:val="subsection"/>
      </w:pPr>
      <w:r w:rsidRPr="00D141FC">
        <w:tab/>
        <w:t>(1)</w:t>
      </w:r>
      <w:r w:rsidRPr="00D141FC">
        <w:tab/>
        <w:t xml:space="preserve">If a fee payable under these Regulations by a person is not paid </w:t>
      </w:r>
      <w:r w:rsidR="00254A4B" w:rsidRPr="00D141FC">
        <w:t>before</w:t>
      </w:r>
      <w:r w:rsidRPr="00D141FC">
        <w:t xml:space="preserve"> the time </w:t>
      </w:r>
      <w:r w:rsidR="00254A4B" w:rsidRPr="00D141FC">
        <w:t>the fee must be paid</w:t>
      </w:r>
      <w:r w:rsidR="0023421E" w:rsidRPr="00D141FC">
        <w:t>, the Commonwealth may do either or both of the following until the fee is paid or no longer payable:</w:t>
      </w:r>
    </w:p>
    <w:p w:rsidR="007A2E52" w:rsidRPr="00D141FC" w:rsidRDefault="0023421E" w:rsidP="0023421E">
      <w:pPr>
        <w:pStyle w:val="paragraph"/>
      </w:pPr>
      <w:r w:rsidRPr="00D141FC">
        <w:tab/>
        <w:t>(a)</w:t>
      </w:r>
      <w:r w:rsidRPr="00D141FC">
        <w:tab/>
      </w:r>
      <w:r w:rsidR="007A2E52" w:rsidRPr="00D141FC">
        <w:t xml:space="preserve">refuse to consider any application </w:t>
      </w:r>
      <w:r w:rsidRPr="00D141FC">
        <w:t>sent</w:t>
      </w:r>
      <w:r w:rsidR="007A2E52" w:rsidRPr="00D141FC">
        <w:t xml:space="preserve"> </w:t>
      </w:r>
      <w:r w:rsidR="006E0FAB" w:rsidRPr="00D141FC">
        <w:t xml:space="preserve">(or to be </w:t>
      </w:r>
      <w:r w:rsidRPr="00D141FC">
        <w:t>sent</w:t>
      </w:r>
      <w:r w:rsidR="006E0FAB" w:rsidRPr="00D141FC">
        <w:t xml:space="preserve">) </w:t>
      </w:r>
      <w:r w:rsidR="007A2E52" w:rsidRPr="00D141FC">
        <w:t>by the</w:t>
      </w:r>
      <w:r w:rsidRPr="00D141FC">
        <w:t xml:space="preserve"> person under these Regulations;</w:t>
      </w:r>
    </w:p>
    <w:p w:rsidR="0023421E" w:rsidRPr="00D141FC" w:rsidRDefault="0023421E" w:rsidP="0023421E">
      <w:pPr>
        <w:pStyle w:val="paragraph"/>
      </w:pPr>
      <w:r w:rsidRPr="00D141FC">
        <w:tab/>
        <w:t>(b)</w:t>
      </w:r>
      <w:r w:rsidRPr="00D141FC">
        <w:tab/>
      </w:r>
      <w:r w:rsidR="00217E65" w:rsidRPr="00D141FC">
        <w:t>refuse to provide</w:t>
      </w:r>
      <w:r w:rsidRPr="00D141FC">
        <w:t xml:space="preserve"> </w:t>
      </w:r>
      <w:r w:rsidR="00E85A7A" w:rsidRPr="00D141FC">
        <w:t xml:space="preserve">any services </w:t>
      </w:r>
      <w:r w:rsidRPr="00D141FC">
        <w:t xml:space="preserve">relating to </w:t>
      </w:r>
      <w:r w:rsidR="008D546B" w:rsidRPr="00D141FC">
        <w:t>such an</w:t>
      </w:r>
      <w:r w:rsidRPr="00D141FC">
        <w:t xml:space="preserve"> application</w:t>
      </w:r>
      <w:r w:rsidR="00A07EDA" w:rsidRPr="00D141FC">
        <w:t>.</w:t>
      </w:r>
    </w:p>
    <w:p w:rsidR="008D546B" w:rsidRPr="00D141FC" w:rsidRDefault="008D546B" w:rsidP="008D546B">
      <w:pPr>
        <w:pStyle w:val="notetext"/>
      </w:pPr>
      <w:r w:rsidRPr="00D141FC">
        <w:t>Note 1:</w:t>
      </w:r>
      <w:r w:rsidRPr="00D141FC">
        <w:tab/>
      </w:r>
      <w:r w:rsidR="00D141FC" w:rsidRPr="00D141FC">
        <w:t>Paragraph (</w:t>
      </w:r>
      <w:r w:rsidRPr="00D141FC">
        <w:t>a) means, for example, that the Committee or ATAGI could refuse to consider the person’s current or future applications under these Regulations until the fee is paid or no longer payable</w:t>
      </w:r>
      <w:r w:rsidR="00A07EDA" w:rsidRPr="00D141FC">
        <w:t>.</w:t>
      </w:r>
    </w:p>
    <w:p w:rsidR="0023421E" w:rsidRPr="00D141FC" w:rsidRDefault="0023421E" w:rsidP="0023421E">
      <w:pPr>
        <w:pStyle w:val="notetext"/>
      </w:pPr>
      <w:r w:rsidRPr="00D141FC">
        <w:t xml:space="preserve">Note </w:t>
      </w:r>
      <w:r w:rsidR="00F72319" w:rsidRPr="00D141FC">
        <w:t>2</w:t>
      </w:r>
      <w:r w:rsidRPr="00D141FC">
        <w:t>:</w:t>
      </w:r>
      <w:r w:rsidRPr="00D141FC">
        <w:tab/>
        <w:t xml:space="preserve">The Commonwealth could, instead of or in addition to </w:t>
      </w:r>
      <w:r w:rsidR="006C6929" w:rsidRPr="00D141FC">
        <w:t>refusing to do these things</w:t>
      </w:r>
      <w:r w:rsidRPr="00D141FC">
        <w:t>, seek to reco</w:t>
      </w:r>
      <w:r w:rsidR="00C82AA2" w:rsidRPr="00D141FC">
        <w:t>ver the unpaid fee as a debt</w:t>
      </w:r>
      <w:r w:rsidRPr="00D141FC">
        <w:t xml:space="preserve"> (see subsection</w:t>
      </w:r>
      <w:r w:rsidR="00D141FC" w:rsidRPr="00D141FC">
        <w:t> </w:t>
      </w:r>
      <w:r w:rsidRPr="00D141FC">
        <w:t>99YBA(5) of the Act)</w:t>
      </w:r>
      <w:r w:rsidR="00A07EDA" w:rsidRPr="00D141FC">
        <w:t>.</w:t>
      </w:r>
    </w:p>
    <w:p w:rsidR="002E0B7C" w:rsidRPr="00D141FC" w:rsidRDefault="002E0B7C" w:rsidP="002E0B7C">
      <w:pPr>
        <w:pStyle w:val="subsection"/>
      </w:pPr>
      <w:r w:rsidRPr="00D141FC">
        <w:tab/>
        <w:t>(2)</w:t>
      </w:r>
      <w:r w:rsidRPr="00D141FC">
        <w:tab/>
        <w:t>This regulation does not apply in relation to a fee mentioned in regulation</w:t>
      </w:r>
      <w:r w:rsidR="00D141FC" w:rsidRPr="00D141FC">
        <w:t> </w:t>
      </w:r>
      <w:r w:rsidRPr="00D141FC">
        <w:t>4</w:t>
      </w:r>
      <w:r w:rsidR="00A07EDA" w:rsidRPr="00D141FC">
        <w:t>.</w:t>
      </w:r>
      <w:r w:rsidRPr="00D141FC">
        <w:t>3</w:t>
      </w:r>
      <w:r w:rsidR="00A07EDA" w:rsidRPr="00D141FC">
        <w:t>.</w:t>
      </w:r>
    </w:p>
    <w:p w:rsidR="0083782E" w:rsidRPr="00D141FC" w:rsidRDefault="00F9708D" w:rsidP="0083782E">
      <w:pPr>
        <w:pStyle w:val="ItemHead"/>
      </w:pPr>
      <w:r w:rsidRPr="00D141FC">
        <w:t>29</w:t>
      </w:r>
      <w:r w:rsidR="0083782E" w:rsidRPr="00D141FC">
        <w:t xml:space="preserve">  Subregulation</w:t>
      </w:r>
      <w:r w:rsidR="00D141FC" w:rsidRPr="00D141FC">
        <w:t> </w:t>
      </w:r>
      <w:r w:rsidR="0083782E" w:rsidRPr="00D141FC">
        <w:t>4</w:t>
      </w:r>
      <w:r w:rsidR="00A07EDA" w:rsidRPr="00D141FC">
        <w:t>.</w:t>
      </w:r>
      <w:r w:rsidR="0083782E" w:rsidRPr="00D141FC">
        <w:t>3(3)</w:t>
      </w:r>
    </w:p>
    <w:p w:rsidR="0083782E" w:rsidRPr="00D141FC" w:rsidRDefault="0083782E" w:rsidP="0083782E">
      <w:pPr>
        <w:pStyle w:val="Item"/>
      </w:pPr>
      <w:r w:rsidRPr="00D141FC">
        <w:t>Repeal the subregulation, substitute:</w:t>
      </w:r>
    </w:p>
    <w:p w:rsidR="0083782E" w:rsidRPr="00D141FC" w:rsidRDefault="0083782E" w:rsidP="0083782E">
      <w:pPr>
        <w:pStyle w:val="subsection"/>
      </w:pPr>
      <w:r w:rsidRPr="00D141FC">
        <w:tab/>
        <w:t>(3)</w:t>
      </w:r>
      <w:r w:rsidRPr="00D141FC">
        <w:tab/>
        <w:t>For the purposes of section</w:t>
      </w:r>
      <w:r w:rsidR="00D141FC" w:rsidRPr="00D141FC">
        <w:t> </w:t>
      </w:r>
      <w:r w:rsidRPr="00D141FC">
        <w:t xml:space="preserve">99YBA of the Act, the fee prescribed for the provision by the Commonwealth of an independent review in response to an application under this regulation is the same as </w:t>
      </w:r>
      <w:r w:rsidR="001A0A89" w:rsidRPr="00D141FC">
        <w:t>the fee that</w:t>
      </w:r>
      <w:r w:rsidRPr="00D141FC">
        <w:t xml:space="preserve"> would be payable under Part</w:t>
      </w:r>
      <w:r w:rsidR="00D141FC" w:rsidRPr="00D141FC">
        <w:t> </w:t>
      </w:r>
      <w:r w:rsidRPr="00D141FC">
        <w:t>2 for submission services:</w:t>
      </w:r>
    </w:p>
    <w:p w:rsidR="0083782E" w:rsidRPr="00D141FC" w:rsidRDefault="0083782E" w:rsidP="0083782E">
      <w:pPr>
        <w:pStyle w:val="paragraph"/>
      </w:pPr>
      <w:r w:rsidRPr="00D141FC">
        <w:tab/>
        <w:t>(a)</w:t>
      </w:r>
      <w:r w:rsidRPr="00D141FC">
        <w:tab/>
        <w:t>provided in response to an application under Part</w:t>
      </w:r>
      <w:r w:rsidR="00D141FC" w:rsidRPr="00D141FC">
        <w:t> </w:t>
      </w:r>
      <w:r w:rsidRPr="00D141FC">
        <w:t>2</w:t>
      </w:r>
      <w:r w:rsidR="00014D1F" w:rsidRPr="00D141FC">
        <w:t xml:space="preserve"> that is</w:t>
      </w:r>
      <w:r w:rsidRPr="00D141FC">
        <w:t xml:space="preserve"> in the major evaluation category (see table item</w:t>
      </w:r>
      <w:r w:rsidR="00D141FC" w:rsidRPr="00D141FC">
        <w:t> </w:t>
      </w:r>
      <w:r w:rsidRPr="00D141FC">
        <w:t xml:space="preserve">1 in </w:t>
      </w:r>
      <w:r w:rsidR="004378BC" w:rsidRPr="00D141FC">
        <w:t>sub</w:t>
      </w:r>
      <w:r w:rsidRPr="00D141FC">
        <w:t>regulation</w:t>
      </w:r>
      <w:r w:rsidR="00D141FC" w:rsidRPr="00D141FC">
        <w:t> </w:t>
      </w:r>
      <w:r w:rsidRPr="00D141FC">
        <w:t>2</w:t>
      </w:r>
      <w:r w:rsidR="00A07EDA" w:rsidRPr="00D141FC">
        <w:t>.</w:t>
      </w:r>
      <w:r w:rsidRPr="00D141FC">
        <w:t>2</w:t>
      </w:r>
      <w:r w:rsidR="004378BC" w:rsidRPr="00D141FC">
        <w:t>(1)</w:t>
      </w:r>
      <w:r w:rsidRPr="00D141FC">
        <w:t>); and</w:t>
      </w:r>
    </w:p>
    <w:p w:rsidR="00936BA8" w:rsidRPr="00D141FC" w:rsidRDefault="0083782E" w:rsidP="0083782E">
      <w:pPr>
        <w:pStyle w:val="paragraph"/>
      </w:pPr>
      <w:r w:rsidRPr="00D141FC">
        <w:tab/>
        <w:t>(b)</w:t>
      </w:r>
      <w:r w:rsidRPr="00D141FC">
        <w:tab/>
        <w:t xml:space="preserve">for which a notification under that Part is given at the same time as the </w:t>
      </w:r>
      <w:r w:rsidR="00936BA8" w:rsidRPr="00D141FC">
        <w:t>time the application under this regulation is submitted</w:t>
      </w:r>
      <w:r w:rsidR="00A07EDA" w:rsidRPr="00D141FC">
        <w:t>.</w:t>
      </w:r>
    </w:p>
    <w:p w:rsidR="001A0A89" w:rsidRPr="00D141FC" w:rsidRDefault="001A0A89" w:rsidP="001A0A89">
      <w:pPr>
        <w:pStyle w:val="subsection2"/>
      </w:pPr>
      <w:r w:rsidRPr="00D141FC">
        <w:t xml:space="preserve">This fee for the independent review </w:t>
      </w:r>
      <w:r w:rsidR="00254A4B" w:rsidRPr="00D141FC">
        <w:t>must be paid</w:t>
      </w:r>
      <w:r w:rsidRPr="00D141FC">
        <w:t xml:space="preserve"> in full to the Commonwealth at the time the application under this regulation is submitted</w:t>
      </w:r>
      <w:r w:rsidR="00A07EDA" w:rsidRPr="00D141FC">
        <w:t>.</w:t>
      </w:r>
    </w:p>
    <w:p w:rsidR="00137693" w:rsidRPr="00D141FC" w:rsidRDefault="00AA5873" w:rsidP="00AA5873">
      <w:pPr>
        <w:pStyle w:val="notetext"/>
      </w:pPr>
      <w:r w:rsidRPr="00D141FC">
        <w:t>Note:</w:t>
      </w:r>
      <w:r w:rsidRPr="00D141FC">
        <w:tab/>
      </w:r>
      <w:r w:rsidR="00137693" w:rsidRPr="00D141FC">
        <w:t>The independent review will not commence until the fee is paid.</w:t>
      </w:r>
    </w:p>
    <w:p w:rsidR="0083782E" w:rsidRPr="00D141FC" w:rsidRDefault="00F9708D" w:rsidP="0083782E">
      <w:pPr>
        <w:pStyle w:val="ItemHead"/>
      </w:pPr>
      <w:r w:rsidRPr="00D141FC">
        <w:t>30</w:t>
      </w:r>
      <w:r w:rsidR="0083782E" w:rsidRPr="00D141FC">
        <w:t xml:space="preserve">  Regulations</w:t>
      </w:r>
      <w:r w:rsidR="00D141FC" w:rsidRPr="00D141FC">
        <w:t> </w:t>
      </w:r>
      <w:r w:rsidR="0083782E" w:rsidRPr="00D141FC">
        <w:t>4</w:t>
      </w:r>
      <w:r w:rsidR="00A07EDA" w:rsidRPr="00D141FC">
        <w:t>.</w:t>
      </w:r>
      <w:r w:rsidR="0083782E" w:rsidRPr="00D141FC">
        <w:t>4 to 4</w:t>
      </w:r>
      <w:r w:rsidR="00A07EDA" w:rsidRPr="00D141FC">
        <w:t>.</w:t>
      </w:r>
      <w:r w:rsidR="0083782E" w:rsidRPr="00D141FC">
        <w:t>6</w:t>
      </w:r>
    </w:p>
    <w:p w:rsidR="0083782E" w:rsidRPr="00D141FC" w:rsidRDefault="0083782E" w:rsidP="0083782E">
      <w:pPr>
        <w:pStyle w:val="Item"/>
      </w:pPr>
      <w:r w:rsidRPr="00D141FC">
        <w:t>Repeal the regulations</w:t>
      </w:r>
      <w:r w:rsidR="00A07EDA" w:rsidRPr="00D141FC">
        <w:t>.</w:t>
      </w:r>
    </w:p>
    <w:p w:rsidR="005C190A" w:rsidRPr="00D141FC" w:rsidRDefault="00F9708D" w:rsidP="005C190A">
      <w:pPr>
        <w:pStyle w:val="ItemHead"/>
      </w:pPr>
      <w:r w:rsidRPr="00D141FC">
        <w:t>31</w:t>
      </w:r>
      <w:r w:rsidR="005C190A" w:rsidRPr="00D141FC">
        <w:t xml:space="preserve">  Subregulation</w:t>
      </w:r>
      <w:r w:rsidR="00D141FC" w:rsidRPr="00D141FC">
        <w:t> </w:t>
      </w:r>
      <w:r w:rsidR="005C190A" w:rsidRPr="00D141FC">
        <w:t>4</w:t>
      </w:r>
      <w:r w:rsidR="00A07EDA" w:rsidRPr="00D141FC">
        <w:t>.</w:t>
      </w:r>
      <w:r w:rsidR="005C190A" w:rsidRPr="00D141FC">
        <w:t>7(1)</w:t>
      </w:r>
    </w:p>
    <w:p w:rsidR="005C190A" w:rsidRPr="00D141FC" w:rsidRDefault="005C190A" w:rsidP="005C190A">
      <w:pPr>
        <w:pStyle w:val="Item"/>
      </w:pPr>
      <w:r w:rsidRPr="00D141FC">
        <w:t>Insert:</w:t>
      </w:r>
    </w:p>
    <w:p w:rsidR="005C190A" w:rsidRPr="00D141FC" w:rsidRDefault="005C190A" w:rsidP="005C190A">
      <w:pPr>
        <w:pStyle w:val="Definition"/>
      </w:pPr>
      <w:r w:rsidRPr="00D141FC">
        <w:rPr>
          <w:b/>
          <w:i/>
        </w:rPr>
        <w:t>fee</w:t>
      </w:r>
      <w:r w:rsidRPr="00D141FC">
        <w:t xml:space="preserve"> includes:</w:t>
      </w:r>
    </w:p>
    <w:p w:rsidR="005C190A" w:rsidRPr="00D141FC" w:rsidRDefault="005C190A" w:rsidP="005C190A">
      <w:pPr>
        <w:pStyle w:val="paragraph"/>
      </w:pPr>
      <w:r w:rsidRPr="00D141FC">
        <w:tab/>
        <w:t>(a)</w:t>
      </w:r>
      <w:r w:rsidRPr="00D141FC">
        <w:tab/>
        <w:t>so much of a fee under Part</w:t>
      </w:r>
      <w:r w:rsidR="00D141FC" w:rsidRPr="00D141FC">
        <w:t> </w:t>
      </w:r>
      <w:r w:rsidRPr="00D141FC">
        <w:t xml:space="preserve">2 that </w:t>
      </w:r>
      <w:r w:rsidR="00707397" w:rsidRPr="00D141FC">
        <w:t xml:space="preserve">is specified by </w:t>
      </w:r>
      <w:r w:rsidR="00157265" w:rsidRPr="00D141FC">
        <w:t>sub</w:t>
      </w:r>
      <w:r w:rsidR="00707397" w:rsidRPr="00D141FC">
        <w:t>regulation</w:t>
      </w:r>
      <w:r w:rsidR="00D141FC" w:rsidRPr="00D141FC">
        <w:t> </w:t>
      </w:r>
      <w:r w:rsidR="00707397" w:rsidRPr="00D141FC">
        <w:t>2</w:t>
      </w:r>
      <w:r w:rsidR="00A07EDA" w:rsidRPr="00D141FC">
        <w:t>.</w:t>
      </w:r>
      <w:r w:rsidR="00707397" w:rsidRPr="00D141FC">
        <w:t>2</w:t>
      </w:r>
      <w:r w:rsidR="00157265" w:rsidRPr="00D141FC">
        <w:t>(2)</w:t>
      </w:r>
      <w:r w:rsidR="00707397" w:rsidRPr="00D141FC">
        <w:t xml:space="preserve"> to be a deposit;</w:t>
      </w:r>
      <w:r w:rsidRPr="00D141FC">
        <w:t xml:space="preserve"> and</w:t>
      </w:r>
    </w:p>
    <w:p w:rsidR="005C190A" w:rsidRPr="00D141FC" w:rsidRDefault="005C190A" w:rsidP="005C190A">
      <w:pPr>
        <w:pStyle w:val="paragraph"/>
      </w:pPr>
      <w:r w:rsidRPr="00D141FC">
        <w:tab/>
        <w:t>(b)</w:t>
      </w:r>
      <w:r w:rsidRPr="00D141FC">
        <w:tab/>
        <w:t>so much of a fee under Part</w:t>
      </w:r>
      <w:r w:rsidR="00D141FC" w:rsidRPr="00D141FC">
        <w:t> </w:t>
      </w:r>
      <w:r w:rsidRPr="00D141FC">
        <w:t xml:space="preserve">3 that </w:t>
      </w:r>
      <w:r w:rsidR="00707397" w:rsidRPr="00D141FC">
        <w:t xml:space="preserve">is specified by </w:t>
      </w:r>
      <w:r w:rsidR="00E0351D" w:rsidRPr="00D141FC">
        <w:t>sub</w:t>
      </w:r>
      <w:r w:rsidR="00707397" w:rsidRPr="00D141FC">
        <w:t>regulation</w:t>
      </w:r>
      <w:r w:rsidR="00D141FC" w:rsidRPr="00D141FC">
        <w:t> </w:t>
      </w:r>
      <w:r w:rsidR="00A07EDA" w:rsidRPr="00D141FC">
        <w:t>3.3</w:t>
      </w:r>
      <w:r w:rsidR="00E0351D" w:rsidRPr="00D141FC">
        <w:t>(2)</w:t>
      </w:r>
      <w:r w:rsidR="00707397" w:rsidRPr="00D141FC">
        <w:t xml:space="preserve"> to be a deposit</w:t>
      </w:r>
      <w:r w:rsidR="00A07EDA" w:rsidRPr="00D141FC">
        <w:t>.</w:t>
      </w:r>
    </w:p>
    <w:p w:rsidR="00933177" w:rsidRPr="00D141FC" w:rsidRDefault="00F9708D" w:rsidP="00933177">
      <w:pPr>
        <w:pStyle w:val="ItemHead"/>
      </w:pPr>
      <w:r w:rsidRPr="00D141FC">
        <w:t>32</w:t>
      </w:r>
      <w:r w:rsidR="00B55438" w:rsidRPr="00D141FC">
        <w:t xml:space="preserve">  Subregulation</w:t>
      </w:r>
      <w:r w:rsidR="00D141FC" w:rsidRPr="00D141FC">
        <w:t> </w:t>
      </w:r>
      <w:r w:rsidR="00B55438" w:rsidRPr="00D141FC">
        <w:t>4</w:t>
      </w:r>
      <w:r w:rsidR="00A07EDA" w:rsidRPr="00D141FC">
        <w:t>.</w:t>
      </w:r>
      <w:r w:rsidR="00B55438" w:rsidRPr="00D141FC">
        <w:t>7</w:t>
      </w:r>
      <w:r w:rsidR="00933177" w:rsidRPr="00D141FC">
        <w:t xml:space="preserve">(1) (definition of </w:t>
      </w:r>
      <w:r w:rsidR="00933177" w:rsidRPr="00D141FC">
        <w:rPr>
          <w:i/>
        </w:rPr>
        <w:t>relevant financial year</w:t>
      </w:r>
      <w:r w:rsidR="00933177" w:rsidRPr="00D141FC">
        <w:t>)</w:t>
      </w:r>
    </w:p>
    <w:p w:rsidR="00933177" w:rsidRPr="00D141FC" w:rsidRDefault="00933177" w:rsidP="00933177">
      <w:pPr>
        <w:pStyle w:val="Item"/>
      </w:pPr>
      <w:r w:rsidRPr="00D141FC">
        <w:t>Omit “30</w:t>
      </w:r>
      <w:r w:rsidR="00D141FC" w:rsidRPr="00D141FC">
        <w:t> </w:t>
      </w:r>
      <w:r w:rsidRPr="00D141FC">
        <w:t>June 2011”, substitute “30</w:t>
      </w:r>
      <w:r w:rsidR="00D141FC" w:rsidRPr="00D141FC">
        <w:t> </w:t>
      </w:r>
      <w:r w:rsidRPr="00D141FC">
        <w:t>June 2021”</w:t>
      </w:r>
      <w:r w:rsidR="00A07EDA" w:rsidRPr="00D141FC">
        <w:t>.</w:t>
      </w:r>
    </w:p>
    <w:p w:rsidR="001D1B2B" w:rsidRPr="00D141FC" w:rsidRDefault="00F9708D" w:rsidP="001D1B2B">
      <w:pPr>
        <w:pStyle w:val="ItemHead"/>
      </w:pPr>
      <w:r w:rsidRPr="00D141FC">
        <w:t>33</w:t>
      </w:r>
      <w:r w:rsidR="001D1B2B" w:rsidRPr="00D141FC">
        <w:t xml:space="preserve">  Before subregulation</w:t>
      </w:r>
      <w:r w:rsidR="00D141FC" w:rsidRPr="00D141FC">
        <w:t> </w:t>
      </w:r>
      <w:r w:rsidR="001D1B2B" w:rsidRPr="00D141FC">
        <w:t>5</w:t>
      </w:r>
      <w:r w:rsidR="00A07EDA" w:rsidRPr="00D141FC">
        <w:t>.</w:t>
      </w:r>
      <w:r w:rsidR="001D1B2B" w:rsidRPr="00D141FC">
        <w:t>1(1)</w:t>
      </w:r>
    </w:p>
    <w:p w:rsidR="001D1B2B" w:rsidRPr="00D141FC" w:rsidRDefault="001D1B2B" w:rsidP="001D1B2B">
      <w:pPr>
        <w:pStyle w:val="Item"/>
      </w:pPr>
      <w:r w:rsidRPr="00D141FC">
        <w:t>Insert:</w:t>
      </w:r>
    </w:p>
    <w:p w:rsidR="001D1B2B" w:rsidRPr="00D141FC" w:rsidRDefault="001D1B2B" w:rsidP="001D1B2B">
      <w:pPr>
        <w:pStyle w:val="SubsectionHead"/>
      </w:pPr>
      <w:r w:rsidRPr="00D141FC">
        <w:t>Exemptions for services</w:t>
      </w:r>
    </w:p>
    <w:p w:rsidR="00BA3BDA" w:rsidRPr="00D141FC" w:rsidRDefault="00F9708D" w:rsidP="00BA3BDA">
      <w:pPr>
        <w:pStyle w:val="ItemHead"/>
      </w:pPr>
      <w:r w:rsidRPr="00D141FC">
        <w:t>34</w:t>
      </w:r>
      <w:r w:rsidR="00BA3BDA" w:rsidRPr="00D141FC">
        <w:t xml:space="preserve">  Subregulation</w:t>
      </w:r>
      <w:r w:rsidR="00D141FC" w:rsidRPr="00D141FC">
        <w:t> </w:t>
      </w:r>
      <w:r w:rsidR="00BA3BDA" w:rsidRPr="00D141FC">
        <w:t>5</w:t>
      </w:r>
      <w:r w:rsidR="00A07EDA" w:rsidRPr="00D141FC">
        <w:t>.</w:t>
      </w:r>
      <w:r w:rsidR="00BA3BDA" w:rsidRPr="00D141FC">
        <w:t>1(1)</w:t>
      </w:r>
    </w:p>
    <w:p w:rsidR="00BA3BDA" w:rsidRPr="00D141FC" w:rsidRDefault="009D7BD8" w:rsidP="00BA3BDA">
      <w:pPr>
        <w:pStyle w:val="Item"/>
      </w:pPr>
      <w:r w:rsidRPr="00D141FC">
        <w:t>Omit</w:t>
      </w:r>
      <w:r w:rsidR="00BA3BDA" w:rsidRPr="00D141FC">
        <w:t xml:space="preserve"> “</w:t>
      </w:r>
      <w:r w:rsidRPr="00D141FC">
        <w:t>No fee is payable for an application for any of the following matters</w:t>
      </w:r>
      <w:r w:rsidR="00BA3BDA" w:rsidRPr="00D141FC">
        <w:t xml:space="preserve">”, </w:t>
      </w:r>
      <w:r w:rsidRPr="00D141FC">
        <w:t>substitute</w:t>
      </w:r>
      <w:r w:rsidR="00BA3BDA" w:rsidRPr="00D141FC">
        <w:t xml:space="preserve"> “</w:t>
      </w:r>
      <w:r w:rsidRPr="00D141FC">
        <w:t xml:space="preserve">No fee is payable </w:t>
      </w:r>
      <w:r w:rsidR="00A635BF" w:rsidRPr="00D141FC">
        <w:t xml:space="preserve">under these Regulations </w:t>
      </w:r>
      <w:r w:rsidR="001D1B2B" w:rsidRPr="00D141FC">
        <w:t xml:space="preserve">for </w:t>
      </w:r>
      <w:r w:rsidRPr="00D141FC">
        <w:t>service</w:t>
      </w:r>
      <w:r w:rsidR="001D1B2B" w:rsidRPr="00D141FC">
        <w:t>s</w:t>
      </w:r>
      <w:r w:rsidRPr="00D141FC">
        <w:t xml:space="preserve"> if the application for the service</w:t>
      </w:r>
      <w:r w:rsidR="001D1B2B" w:rsidRPr="00D141FC">
        <w:t>s</w:t>
      </w:r>
      <w:r w:rsidRPr="00D141FC">
        <w:t xml:space="preserve"> relates to</w:t>
      </w:r>
      <w:r w:rsidR="00012919" w:rsidRPr="00D141FC">
        <w:t>, or is for,</w:t>
      </w:r>
      <w:r w:rsidRPr="00D141FC">
        <w:t xml:space="preserve"> any of the following matters</w:t>
      </w:r>
      <w:r w:rsidR="00BA3BDA" w:rsidRPr="00D141FC">
        <w:t>”</w:t>
      </w:r>
      <w:r w:rsidR="00A07EDA" w:rsidRPr="00D141FC">
        <w:t>.</w:t>
      </w:r>
    </w:p>
    <w:p w:rsidR="00BA3BDA" w:rsidRPr="00D141FC" w:rsidRDefault="00F9708D" w:rsidP="00BA3BDA">
      <w:pPr>
        <w:pStyle w:val="ItemHead"/>
      </w:pPr>
      <w:r w:rsidRPr="00D141FC">
        <w:t>35</w:t>
      </w:r>
      <w:r w:rsidR="00BA3BDA" w:rsidRPr="00D141FC">
        <w:t xml:space="preserve">  Paragraph 5</w:t>
      </w:r>
      <w:r w:rsidR="00A07EDA" w:rsidRPr="00D141FC">
        <w:t>.</w:t>
      </w:r>
      <w:r w:rsidR="00BA3BDA" w:rsidRPr="00D141FC">
        <w:t>1(1)(a)</w:t>
      </w:r>
    </w:p>
    <w:p w:rsidR="00BA3BDA" w:rsidRPr="00D141FC" w:rsidRDefault="00BA3BDA" w:rsidP="00BA3BDA">
      <w:pPr>
        <w:pStyle w:val="Item"/>
      </w:pPr>
      <w:r w:rsidRPr="00D141FC">
        <w:t>R</w:t>
      </w:r>
      <w:r w:rsidR="00163826" w:rsidRPr="00D141FC">
        <w:t>epeal the paragraph</w:t>
      </w:r>
      <w:r w:rsidR="00A07EDA" w:rsidRPr="00D141FC">
        <w:t>.</w:t>
      </w:r>
    </w:p>
    <w:p w:rsidR="00163826" w:rsidRPr="00D141FC" w:rsidRDefault="00F9708D" w:rsidP="00163826">
      <w:pPr>
        <w:pStyle w:val="ItemHead"/>
      </w:pPr>
      <w:r w:rsidRPr="00D141FC">
        <w:t>36</w:t>
      </w:r>
      <w:r w:rsidR="00163826" w:rsidRPr="00D141FC">
        <w:t xml:space="preserve">  Subregulation</w:t>
      </w:r>
      <w:r w:rsidR="00D141FC" w:rsidRPr="00D141FC">
        <w:t> </w:t>
      </w:r>
      <w:r w:rsidR="00163826" w:rsidRPr="00D141FC">
        <w:t>5</w:t>
      </w:r>
      <w:r w:rsidR="00A07EDA" w:rsidRPr="00D141FC">
        <w:t>.</w:t>
      </w:r>
      <w:r w:rsidR="00163826" w:rsidRPr="00D141FC">
        <w:t>1(2)</w:t>
      </w:r>
    </w:p>
    <w:p w:rsidR="00163826" w:rsidRPr="00D141FC" w:rsidRDefault="00163826" w:rsidP="00163826">
      <w:pPr>
        <w:pStyle w:val="Item"/>
      </w:pPr>
      <w:r w:rsidRPr="00D141FC">
        <w:t>Repeal the subregulation, substitute:</w:t>
      </w:r>
    </w:p>
    <w:p w:rsidR="000262DF" w:rsidRPr="00D141FC" w:rsidRDefault="00365721" w:rsidP="000262DF">
      <w:pPr>
        <w:pStyle w:val="subsection"/>
      </w:pPr>
      <w:r w:rsidRPr="00D141FC">
        <w:tab/>
        <w:t>(2</w:t>
      </w:r>
      <w:r w:rsidR="000262DF" w:rsidRPr="00D141FC">
        <w:t>)</w:t>
      </w:r>
      <w:r w:rsidR="000262DF" w:rsidRPr="00D141FC">
        <w:tab/>
      </w:r>
      <w:r w:rsidR="0038629E" w:rsidRPr="00D141FC">
        <w:t>Sub</w:t>
      </w:r>
      <w:r w:rsidR="00AC08E7" w:rsidRPr="00D141FC">
        <w:t>regulation</w:t>
      </w:r>
      <w:r w:rsidR="00915F69" w:rsidRPr="00D141FC">
        <w:t xml:space="preserve"> </w:t>
      </w:r>
      <w:r w:rsidR="0038629E" w:rsidRPr="00D141FC">
        <w:t>(</w:t>
      </w:r>
      <w:r w:rsidR="000262DF" w:rsidRPr="00D141FC">
        <w:t>1) does not apply in relation to:</w:t>
      </w:r>
    </w:p>
    <w:p w:rsidR="000262DF" w:rsidRPr="00D141FC" w:rsidRDefault="000262DF" w:rsidP="000262DF">
      <w:pPr>
        <w:pStyle w:val="paragraph"/>
      </w:pPr>
      <w:r w:rsidRPr="00D141FC">
        <w:tab/>
        <w:t>(a)</w:t>
      </w:r>
      <w:r w:rsidRPr="00D141FC">
        <w:tab/>
        <w:t>services under Division</w:t>
      </w:r>
      <w:r w:rsidR="00D141FC" w:rsidRPr="00D141FC">
        <w:t> </w:t>
      </w:r>
      <w:r w:rsidRPr="00D141FC">
        <w:t>1A.2 (about pre</w:t>
      </w:r>
      <w:r w:rsidR="00D141FC">
        <w:noBreakHyphen/>
      </w:r>
      <w:r w:rsidRPr="00D141FC">
        <w:t>submission meetings); or</w:t>
      </w:r>
    </w:p>
    <w:p w:rsidR="000262DF" w:rsidRPr="00D141FC" w:rsidRDefault="000262DF" w:rsidP="000262DF">
      <w:pPr>
        <w:pStyle w:val="paragraph"/>
      </w:pPr>
      <w:r w:rsidRPr="00D141FC">
        <w:tab/>
        <w:t>(</w:t>
      </w:r>
      <w:r w:rsidR="001B50BD" w:rsidRPr="00D141FC">
        <w:t>b</w:t>
      </w:r>
      <w:r w:rsidRPr="00D141FC">
        <w:t>)</w:t>
      </w:r>
      <w:r w:rsidRPr="00D141FC">
        <w:tab/>
        <w:t>services under regulation</w:t>
      </w:r>
      <w:r w:rsidR="00D141FC" w:rsidRPr="00D141FC">
        <w:t> </w:t>
      </w:r>
      <w:r w:rsidRPr="00D141FC">
        <w:t>4.3 (about independent reviews).</w:t>
      </w:r>
    </w:p>
    <w:p w:rsidR="001D1B2B" w:rsidRPr="00D141FC" w:rsidRDefault="001D1B2B" w:rsidP="001D1B2B">
      <w:pPr>
        <w:pStyle w:val="SubsectionHead"/>
      </w:pPr>
      <w:r w:rsidRPr="00D141FC">
        <w:t>Exemption for submission services relating to designated orphan drugs</w:t>
      </w:r>
    </w:p>
    <w:p w:rsidR="0010280C" w:rsidRPr="00D141FC" w:rsidRDefault="00365721" w:rsidP="0010280C">
      <w:pPr>
        <w:pStyle w:val="subsection"/>
      </w:pPr>
      <w:r w:rsidRPr="00D141FC">
        <w:tab/>
        <w:t>(3</w:t>
      </w:r>
      <w:r w:rsidR="0010280C" w:rsidRPr="00D141FC">
        <w:t>)</w:t>
      </w:r>
      <w:r w:rsidR="0010280C" w:rsidRPr="00D141FC">
        <w:tab/>
        <w:t>No fee is payable under these Regulations for submission services provided in response to a person’s application under Part</w:t>
      </w:r>
      <w:r w:rsidR="00D141FC" w:rsidRPr="00D141FC">
        <w:t> </w:t>
      </w:r>
      <w:r w:rsidR="0010280C" w:rsidRPr="00D141FC">
        <w:t xml:space="preserve">2 </w:t>
      </w:r>
      <w:r w:rsidR="00F357CE" w:rsidRPr="00D141FC">
        <w:t xml:space="preserve">proposing a therapy </w:t>
      </w:r>
      <w:r w:rsidR="00FE7780" w:rsidRPr="00D141FC">
        <w:t xml:space="preserve">involving the use of one or more drugs or medicinal preparations </w:t>
      </w:r>
      <w:r w:rsidR="0010280C" w:rsidRPr="00D141FC">
        <w:t>if:</w:t>
      </w:r>
    </w:p>
    <w:p w:rsidR="0010280C" w:rsidRPr="00D141FC" w:rsidRDefault="0010280C" w:rsidP="0010280C">
      <w:pPr>
        <w:pStyle w:val="paragraph"/>
      </w:pPr>
      <w:r w:rsidRPr="00D141FC">
        <w:tab/>
        <w:t>(a)</w:t>
      </w:r>
      <w:r w:rsidRPr="00D141FC">
        <w:tab/>
        <w:t>on the day the application is sent to the Department under Part</w:t>
      </w:r>
      <w:r w:rsidR="00D141FC" w:rsidRPr="00D141FC">
        <w:t> </w:t>
      </w:r>
      <w:r w:rsidRPr="00D141FC">
        <w:t xml:space="preserve">2, </w:t>
      </w:r>
      <w:r w:rsidR="00ED454D" w:rsidRPr="00D141FC">
        <w:t>subregulation</w:t>
      </w:r>
      <w:r w:rsidR="00D141FC" w:rsidRPr="00D141FC">
        <w:t> </w:t>
      </w:r>
      <w:r w:rsidR="00365721" w:rsidRPr="00D141FC">
        <w:t>(4</w:t>
      </w:r>
      <w:r w:rsidR="00ED454D" w:rsidRPr="00D141FC">
        <w:t xml:space="preserve">) applies to </w:t>
      </w:r>
      <w:r w:rsidRPr="00D141FC">
        <w:t xml:space="preserve">each </w:t>
      </w:r>
      <w:r w:rsidR="00FE7780" w:rsidRPr="00D141FC">
        <w:t xml:space="preserve">of those </w:t>
      </w:r>
      <w:r w:rsidRPr="00D141FC">
        <w:t>drug</w:t>
      </w:r>
      <w:r w:rsidR="00FE7780" w:rsidRPr="00D141FC">
        <w:t>s</w:t>
      </w:r>
      <w:r w:rsidRPr="00D141FC">
        <w:t xml:space="preserve"> or medicinal preparation</w:t>
      </w:r>
      <w:r w:rsidR="00FE7780" w:rsidRPr="00D141FC">
        <w:t>s</w:t>
      </w:r>
      <w:r w:rsidRPr="00D141FC">
        <w:t>; and</w:t>
      </w:r>
    </w:p>
    <w:p w:rsidR="00F357CE" w:rsidRPr="00D141FC" w:rsidRDefault="00F357CE" w:rsidP="00F357CE">
      <w:pPr>
        <w:pStyle w:val="paragraph"/>
      </w:pPr>
      <w:r w:rsidRPr="00D141FC">
        <w:tab/>
        <w:t>(b)</w:t>
      </w:r>
      <w:r w:rsidRPr="00D141FC">
        <w:tab/>
        <w:t>this subregulation</w:t>
      </w:r>
      <w:r w:rsidR="00D141FC" w:rsidRPr="00D141FC">
        <w:t> </w:t>
      </w:r>
      <w:r w:rsidRPr="00D141FC">
        <w:t>has not already applied to submission services provided in response to an earlier application under Part</w:t>
      </w:r>
      <w:r w:rsidR="00D141FC" w:rsidRPr="00D141FC">
        <w:t> </w:t>
      </w:r>
      <w:r w:rsidRPr="00D141FC">
        <w:t>2 by the person proposing the same therapy involving the use of any of th</w:t>
      </w:r>
      <w:r w:rsidR="00FE7780" w:rsidRPr="00D141FC">
        <w:t>os</w:t>
      </w:r>
      <w:r w:rsidRPr="00D141FC">
        <w:t>e drugs or medicinal preparations.</w:t>
      </w:r>
    </w:p>
    <w:p w:rsidR="00446276" w:rsidRPr="00D141FC" w:rsidRDefault="00446276" w:rsidP="00446276">
      <w:pPr>
        <w:pStyle w:val="subsection"/>
      </w:pPr>
      <w:r w:rsidRPr="00D141FC">
        <w:tab/>
        <w:t>(4)</w:t>
      </w:r>
      <w:r w:rsidRPr="00D141FC">
        <w:tab/>
        <w:t>This subregulation</w:t>
      </w:r>
      <w:r w:rsidR="00D141FC" w:rsidRPr="00D141FC">
        <w:t> </w:t>
      </w:r>
      <w:r w:rsidRPr="00D141FC">
        <w:t xml:space="preserve">applies to a drug or medicinal preparation (the </w:t>
      </w:r>
      <w:r w:rsidRPr="00D141FC">
        <w:rPr>
          <w:b/>
          <w:i/>
        </w:rPr>
        <w:t>drug</w:t>
      </w:r>
      <w:r w:rsidRPr="00D141FC">
        <w:t>) on a day if:</w:t>
      </w:r>
    </w:p>
    <w:p w:rsidR="00022442" w:rsidRPr="00D141FC" w:rsidRDefault="00022442" w:rsidP="00022442">
      <w:pPr>
        <w:pStyle w:val="paragraph"/>
      </w:pPr>
      <w:r w:rsidRPr="00D141FC">
        <w:tab/>
        <w:t>(a)</w:t>
      </w:r>
      <w:r w:rsidRPr="00D141FC">
        <w:tab/>
        <w:t>on that day, the drug is a designated orphan drug; or</w:t>
      </w:r>
    </w:p>
    <w:p w:rsidR="00446276" w:rsidRPr="00D141FC" w:rsidRDefault="0079284B" w:rsidP="00446276">
      <w:pPr>
        <w:pStyle w:val="paragraph"/>
      </w:pPr>
      <w:r w:rsidRPr="00D141FC">
        <w:tab/>
        <w:t>(</w:t>
      </w:r>
      <w:r w:rsidR="00022442" w:rsidRPr="00D141FC">
        <w:t>b</w:t>
      </w:r>
      <w:r w:rsidR="00446276" w:rsidRPr="00D141FC">
        <w:t>)</w:t>
      </w:r>
      <w:r w:rsidR="00446276" w:rsidRPr="00D141FC">
        <w:tab/>
        <w:t>both:</w:t>
      </w:r>
    </w:p>
    <w:p w:rsidR="00446276" w:rsidRPr="00D141FC" w:rsidRDefault="00446276" w:rsidP="00446276">
      <w:pPr>
        <w:pStyle w:val="paragraphsub"/>
      </w:pPr>
      <w:r w:rsidRPr="00D141FC">
        <w:tab/>
        <w:t>(i)</w:t>
      </w:r>
      <w:r w:rsidRPr="00D141FC">
        <w:tab/>
        <w:t>on that day, the Secretary is yet to decide whether to include the drug in the Australian Register of Therapeutic Goods in response to an application made by the person on or before that day; and</w:t>
      </w:r>
    </w:p>
    <w:p w:rsidR="00446276" w:rsidRPr="00D141FC" w:rsidRDefault="00446276" w:rsidP="00446276">
      <w:pPr>
        <w:pStyle w:val="paragraphsub"/>
      </w:pPr>
      <w:r w:rsidRPr="00D141FC">
        <w:tab/>
        <w:t>(ii)</w:t>
      </w:r>
      <w:r w:rsidRPr="00D141FC">
        <w:tab/>
        <w:t>were the drug to be so included, both of the registration fees for doing so have been or would be waived under paragraph</w:t>
      </w:r>
      <w:r w:rsidR="00D141FC" w:rsidRPr="00D141FC">
        <w:t> </w:t>
      </w:r>
      <w:r w:rsidRPr="00D141FC">
        <w:t xml:space="preserve">45(12)(c) of the </w:t>
      </w:r>
      <w:r w:rsidRPr="00D141FC">
        <w:rPr>
          <w:i/>
        </w:rPr>
        <w:t>Therapeutic Goods Regulations</w:t>
      </w:r>
      <w:r w:rsidR="00D141FC" w:rsidRPr="00D141FC">
        <w:rPr>
          <w:i/>
        </w:rPr>
        <w:t> </w:t>
      </w:r>
      <w:r w:rsidRPr="00D141FC">
        <w:rPr>
          <w:i/>
        </w:rPr>
        <w:t>1990</w:t>
      </w:r>
      <w:r w:rsidRPr="00D141FC">
        <w:t xml:space="preserve"> because of the drug being a designated orphan drug; or</w:t>
      </w:r>
    </w:p>
    <w:p w:rsidR="00446276" w:rsidRPr="00D141FC" w:rsidRDefault="00446276" w:rsidP="00446276">
      <w:pPr>
        <w:pStyle w:val="paragraph"/>
      </w:pPr>
      <w:r w:rsidRPr="00D141FC">
        <w:tab/>
        <w:t>(</w:t>
      </w:r>
      <w:r w:rsidR="0079284B" w:rsidRPr="00D141FC">
        <w:t>c</w:t>
      </w:r>
      <w:r w:rsidRPr="00D141FC">
        <w:t>)</w:t>
      </w:r>
      <w:r w:rsidRPr="00D141FC">
        <w:tab/>
        <w:t>less than 12 months before that day, the drug was included in the Australian Register of Therapeutic Goods and both of the registration fees for doing so were waived under paragraph</w:t>
      </w:r>
      <w:r w:rsidR="00D141FC" w:rsidRPr="00D141FC">
        <w:t> </w:t>
      </w:r>
      <w:r w:rsidRPr="00D141FC">
        <w:t xml:space="preserve">45(12)(c) of the </w:t>
      </w:r>
      <w:r w:rsidRPr="00D141FC">
        <w:rPr>
          <w:i/>
        </w:rPr>
        <w:t>Therapeutic Goods Regulations</w:t>
      </w:r>
      <w:r w:rsidR="00D141FC" w:rsidRPr="00D141FC">
        <w:rPr>
          <w:i/>
        </w:rPr>
        <w:t> </w:t>
      </w:r>
      <w:r w:rsidRPr="00D141FC">
        <w:rPr>
          <w:i/>
        </w:rPr>
        <w:t>1990</w:t>
      </w:r>
      <w:r w:rsidRPr="00D141FC">
        <w:t xml:space="preserve"> because the drug was a designated orphan drug.</w:t>
      </w:r>
    </w:p>
    <w:p w:rsidR="0079284B" w:rsidRPr="00D141FC" w:rsidRDefault="0079284B" w:rsidP="00876F62">
      <w:pPr>
        <w:pStyle w:val="subsection"/>
      </w:pPr>
      <w:r w:rsidRPr="00D141FC">
        <w:tab/>
        <w:t>(5)</w:t>
      </w:r>
      <w:r w:rsidRPr="00D141FC">
        <w:tab/>
        <w:t xml:space="preserve">For the purposes of </w:t>
      </w:r>
      <w:r w:rsidR="00D141FC" w:rsidRPr="00D141FC">
        <w:t>paragraphs (</w:t>
      </w:r>
      <w:r w:rsidRPr="00D141FC">
        <w:t>4)</w:t>
      </w:r>
      <w:r w:rsidR="00022442" w:rsidRPr="00D141FC">
        <w:t xml:space="preserve">(b) and </w:t>
      </w:r>
      <w:r w:rsidRPr="00D141FC">
        <w:t>(c), the registration fees are the fee</w:t>
      </w:r>
      <w:r w:rsidR="00876F62" w:rsidRPr="00D141FC">
        <w:t>s</w:t>
      </w:r>
      <w:r w:rsidRPr="00D141FC">
        <w:t xml:space="preserve"> described in paragraph</w:t>
      </w:r>
      <w:r w:rsidR="00D141FC" w:rsidRPr="00D141FC">
        <w:t> </w:t>
      </w:r>
      <w:r w:rsidRPr="00D141FC">
        <w:t xml:space="preserve">23B(2)(b) </w:t>
      </w:r>
      <w:r w:rsidR="00876F62" w:rsidRPr="00D141FC">
        <w:t>and subsection</w:t>
      </w:r>
      <w:r w:rsidR="00D141FC" w:rsidRPr="00D141FC">
        <w:t> </w:t>
      </w:r>
      <w:r w:rsidR="00876F62" w:rsidRPr="00D141FC">
        <w:t xml:space="preserve">24(1A) </w:t>
      </w:r>
      <w:r w:rsidRPr="00D141FC">
        <w:t xml:space="preserve">of the </w:t>
      </w:r>
      <w:r w:rsidR="00E61082" w:rsidRPr="00D141FC">
        <w:rPr>
          <w:i/>
        </w:rPr>
        <w:t>Therapeutic Goods Act 1989</w:t>
      </w:r>
      <w:r w:rsidR="00876F62" w:rsidRPr="00D141FC">
        <w:t>.</w:t>
      </w:r>
    </w:p>
    <w:p w:rsidR="00446276" w:rsidRPr="00D141FC" w:rsidRDefault="00446276" w:rsidP="00446276">
      <w:pPr>
        <w:pStyle w:val="SubsectionHead"/>
      </w:pPr>
      <w:r w:rsidRPr="00D141FC">
        <w:t>Application for the services should include reasons why any exemption applies</w:t>
      </w:r>
    </w:p>
    <w:p w:rsidR="00446276" w:rsidRPr="00D141FC" w:rsidRDefault="00446276" w:rsidP="00446276">
      <w:pPr>
        <w:pStyle w:val="subsection"/>
      </w:pPr>
      <w:r w:rsidRPr="00D141FC">
        <w:tab/>
        <w:t>(</w:t>
      </w:r>
      <w:r w:rsidR="0079284B" w:rsidRPr="00D141FC">
        <w:t>6</w:t>
      </w:r>
      <w:r w:rsidRPr="00D141FC">
        <w:t>)</w:t>
      </w:r>
      <w:r w:rsidRPr="00D141FC">
        <w:tab/>
        <w:t>An applicant for services who considers that subregulation</w:t>
      </w:r>
      <w:r w:rsidR="00D141FC" w:rsidRPr="00D141FC">
        <w:t> </w:t>
      </w:r>
      <w:r w:rsidRPr="00D141FC">
        <w:t xml:space="preserve">(1) or (3) applies to the fee for the services, must include with the application for the services </w:t>
      </w:r>
      <w:r w:rsidR="001921D1" w:rsidRPr="00D141FC">
        <w:t>reasons</w:t>
      </w:r>
      <w:r w:rsidRPr="00D141FC">
        <w:t xml:space="preserve"> why that subregulation</w:t>
      </w:r>
      <w:r w:rsidR="00D141FC" w:rsidRPr="00D141FC">
        <w:t> </w:t>
      </w:r>
      <w:r w:rsidRPr="00D141FC">
        <w:t>would apply.</w:t>
      </w:r>
    </w:p>
    <w:p w:rsidR="00422687" w:rsidRPr="00D141FC" w:rsidRDefault="00F9708D" w:rsidP="00422687">
      <w:pPr>
        <w:pStyle w:val="ItemHead"/>
      </w:pPr>
      <w:r w:rsidRPr="00D141FC">
        <w:t>37</w:t>
      </w:r>
      <w:r w:rsidR="00422687" w:rsidRPr="00D141FC">
        <w:t xml:space="preserve">  Subregulations</w:t>
      </w:r>
      <w:r w:rsidR="00D141FC" w:rsidRPr="00D141FC">
        <w:t> </w:t>
      </w:r>
      <w:r w:rsidR="00422687" w:rsidRPr="00D141FC">
        <w:t>5</w:t>
      </w:r>
      <w:r w:rsidR="00A07EDA" w:rsidRPr="00D141FC">
        <w:t>.</w:t>
      </w:r>
      <w:r w:rsidR="00422687" w:rsidRPr="00D141FC">
        <w:t>2(1) and (2)</w:t>
      </w:r>
    </w:p>
    <w:p w:rsidR="00422687" w:rsidRPr="00D141FC" w:rsidRDefault="00422687" w:rsidP="00422687">
      <w:pPr>
        <w:pStyle w:val="Item"/>
      </w:pPr>
      <w:r w:rsidRPr="00D141FC">
        <w:t>Repeal the subregulations, substitute:</w:t>
      </w:r>
    </w:p>
    <w:p w:rsidR="00C60DEA" w:rsidRPr="00D141FC" w:rsidRDefault="00C60DEA" w:rsidP="00C60DEA">
      <w:pPr>
        <w:pStyle w:val="SubsectionHead"/>
      </w:pPr>
      <w:r w:rsidRPr="00D141FC">
        <w:t>Waiver of fees under Division</w:t>
      </w:r>
      <w:r w:rsidR="00D141FC" w:rsidRPr="00D141FC">
        <w:t> </w:t>
      </w:r>
      <w:r w:rsidRPr="00D141FC">
        <w:t>1A.1 or Part</w:t>
      </w:r>
      <w:r w:rsidR="00D141FC" w:rsidRPr="00D141FC">
        <w:t> </w:t>
      </w:r>
      <w:r w:rsidRPr="00D141FC">
        <w:t>2 or 3</w:t>
      </w:r>
    </w:p>
    <w:p w:rsidR="00EA1674" w:rsidRPr="00D141FC" w:rsidRDefault="00EA1674" w:rsidP="00EA1674">
      <w:pPr>
        <w:pStyle w:val="subsection"/>
      </w:pPr>
      <w:r w:rsidRPr="00D141FC">
        <w:tab/>
        <w:t>(1)</w:t>
      </w:r>
      <w:r w:rsidRPr="00D141FC">
        <w:tab/>
        <w:t>The Secretary may, in writing and on request, decide whether or not to waive all or part of one or more fees:</w:t>
      </w:r>
    </w:p>
    <w:p w:rsidR="00EA1674" w:rsidRPr="00D141FC" w:rsidRDefault="00EA1674" w:rsidP="00EA1674">
      <w:pPr>
        <w:pStyle w:val="paragraph"/>
      </w:pPr>
      <w:r w:rsidRPr="00D141FC">
        <w:tab/>
        <w:t>(a)</w:t>
      </w:r>
      <w:r w:rsidRPr="00D141FC">
        <w:tab/>
        <w:t xml:space="preserve">payable by </w:t>
      </w:r>
      <w:r w:rsidR="00655947" w:rsidRPr="00D141FC">
        <w:t>a</w:t>
      </w:r>
      <w:r w:rsidRPr="00D141FC">
        <w:t xml:space="preserve"> person under Division</w:t>
      </w:r>
      <w:r w:rsidR="00D141FC" w:rsidRPr="00D141FC">
        <w:t> </w:t>
      </w:r>
      <w:r w:rsidRPr="00D141FC">
        <w:t>1A.1 or Part</w:t>
      </w:r>
      <w:r w:rsidR="00D141FC" w:rsidRPr="00D141FC">
        <w:t> </w:t>
      </w:r>
      <w:r w:rsidRPr="00D141FC">
        <w:t>2 or 3; and</w:t>
      </w:r>
    </w:p>
    <w:p w:rsidR="00EA1674" w:rsidRPr="00D141FC" w:rsidRDefault="00EA1674" w:rsidP="00EA1674">
      <w:pPr>
        <w:pStyle w:val="paragraph"/>
      </w:pPr>
      <w:r w:rsidRPr="00D141FC">
        <w:tab/>
        <w:t>(b)</w:t>
      </w:r>
      <w:r w:rsidRPr="00D141FC">
        <w:tab/>
        <w:t xml:space="preserve">for services that directly or indirectly relate to a </w:t>
      </w:r>
      <w:r w:rsidR="00336922" w:rsidRPr="00D141FC">
        <w:t>Part</w:t>
      </w:r>
      <w:r w:rsidR="00D141FC" w:rsidRPr="00D141FC">
        <w:t> </w:t>
      </w:r>
      <w:r w:rsidR="00336922" w:rsidRPr="00D141FC">
        <w:t xml:space="preserve">2 </w:t>
      </w:r>
      <w:r w:rsidR="004955A7" w:rsidRPr="00D141FC">
        <w:t>submission</w:t>
      </w:r>
      <w:r w:rsidRPr="00D141FC">
        <w:t>.</w:t>
      </w:r>
    </w:p>
    <w:p w:rsidR="00EA1674" w:rsidRPr="00D141FC" w:rsidRDefault="00EA1674" w:rsidP="00EA1674">
      <w:pPr>
        <w:pStyle w:val="subsection2"/>
      </w:pPr>
      <w:r w:rsidRPr="00D141FC">
        <w:t>The request must be included in the person’s application under Part</w:t>
      </w:r>
      <w:r w:rsidR="00D141FC" w:rsidRPr="00D141FC">
        <w:t> </w:t>
      </w:r>
      <w:r w:rsidRPr="00D141FC">
        <w:t xml:space="preserve">2 or 3 </w:t>
      </w:r>
      <w:r w:rsidR="00FF6AD7" w:rsidRPr="00D141FC">
        <w:t xml:space="preserve">for any of the services referred to in </w:t>
      </w:r>
      <w:r w:rsidR="00D141FC" w:rsidRPr="00D141FC">
        <w:t>paragraph (</w:t>
      </w:r>
      <w:r w:rsidR="00FF6AD7" w:rsidRPr="00D141FC">
        <w:t>b).</w:t>
      </w:r>
    </w:p>
    <w:p w:rsidR="005152C2" w:rsidRPr="00D141FC" w:rsidRDefault="005152C2" w:rsidP="005152C2">
      <w:pPr>
        <w:pStyle w:val="notetext"/>
      </w:pPr>
      <w:r w:rsidRPr="00D141FC">
        <w:t>Note:</w:t>
      </w:r>
      <w:r w:rsidRPr="00D141FC">
        <w:tab/>
        <w:t>A request to waive fees payable under Division</w:t>
      </w:r>
      <w:r w:rsidR="00D141FC" w:rsidRPr="00D141FC">
        <w:t> </w:t>
      </w:r>
      <w:r w:rsidRPr="00D141FC">
        <w:t>1A.1 for ATAGI advice would need to be included in a related application for services under Part</w:t>
      </w:r>
      <w:r w:rsidR="00D141FC" w:rsidRPr="00D141FC">
        <w:t> </w:t>
      </w:r>
      <w:r w:rsidRPr="00D141FC">
        <w:t>2 or 3.</w:t>
      </w:r>
    </w:p>
    <w:p w:rsidR="0055674F" w:rsidRPr="00D141FC" w:rsidRDefault="0055674F" w:rsidP="0055674F">
      <w:pPr>
        <w:pStyle w:val="subsection"/>
      </w:pPr>
      <w:r w:rsidRPr="00D141FC">
        <w:tab/>
        <w:t>(2)</w:t>
      </w:r>
      <w:r w:rsidRPr="00D141FC">
        <w:tab/>
      </w:r>
      <w:r w:rsidR="00EA1674" w:rsidRPr="00D141FC">
        <w:t xml:space="preserve">The Secretary must decide </w:t>
      </w:r>
      <w:r w:rsidR="00FF6AD7" w:rsidRPr="00D141FC">
        <w:t>under subregulation</w:t>
      </w:r>
      <w:r w:rsidR="00D141FC" w:rsidRPr="00D141FC">
        <w:t> </w:t>
      </w:r>
      <w:r w:rsidR="00FF6AD7" w:rsidRPr="00D141FC">
        <w:t xml:space="preserve">(1) </w:t>
      </w:r>
      <w:r w:rsidR="00EA1674" w:rsidRPr="00D141FC">
        <w:t xml:space="preserve">to waive all or part of one or more those fees </w:t>
      </w:r>
      <w:r w:rsidRPr="00D141FC">
        <w:t>if:</w:t>
      </w:r>
    </w:p>
    <w:p w:rsidR="00813484" w:rsidRPr="00D141FC" w:rsidRDefault="0055674F" w:rsidP="0055674F">
      <w:pPr>
        <w:pStyle w:val="paragraph"/>
      </w:pPr>
      <w:r w:rsidRPr="00D141FC">
        <w:tab/>
        <w:t>(a)</w:t>
      </w:r>
      <w:r w:rsidRPr="00D141FC">
        <w:tab/>
      </w:r>
      <w:r w:rsidR="00813484" w:rsidRPr="00D141FC">
        <w:t>the submission involves the public interest; and</w:t>
      </w:r>
    </w:p>
    <w:p w:rsidR="00813484" w:rsidRPr="00D141FC" w:rsidRDefault="00813484" w:rsidP="0055674F">
      <w:pPr>
        <w:pStyle w:val="paragraph"/>
      </w:pPr>
      <w:r w:rsidRPr="00D141FC">
        <w:tab/>
        <w:t>(b)</w:t>
      </w:r>
      <w:r w:rsidRPr="00D141FC">
        <w:tab/>
        <w:t xml:space="preserve">payment of </w:t>
      </w:r>
      <w:r w:rsidR="009D65F0" w:rsidRPr="00D141FC">
        <w:t xml:space="preserve">all of </w:t>
      </w:r>
      <w:r w:rsidRPr="00D141FC">
        <w:t>those fees would make the submission financially unviable.</w:t>
      </w:r>
    </w:p>
    <w:p w:rsidR="009D65F0" w:rsidRPr="00D141FC" w:rsidRDefault="00F9708D" w:rsidP="009D65F0">
      <w:pPr>
        <w:pStyle w:val="ItemHead"/>
      </w:pPr>
      <w:r w:rsidRPr="00D141FC">
        <w:t>38</w:t>
      </w:r>
      <w:r w:rsidR="009D65F0" w:rsidRPr="00D141FC">
        <w:t xml:space="preserve">  Subregulation</w:t>
      </w:r>
      <w:r w:rsidR="00D141FC" w:rsidRPr="00D141FC">
        <w:t> </w:t>
      </w:r>
      <w:r w:rsidR="009D65F0" w:rsidRPr="00D141FC">
        <w:t>5.2(3)</w:t>
      </w:r>
    </w:p>
    <w:p w:rsidR="009D65F0" w:rsidRPr="00D141FC" w:rsidRDefault="009D65F0" w:rsidP="009D65F0">
      <w:pPr>
        <w:pStyle w:val="Item"/>
      </w:pPr>
      <w:r w:rsidRPr="00D141FC">
        <w:t>Omit “application” (wherever occurring), substitute “submission”.</w:t>
      </w:r>
    </w:p>
    <w:p w:rsidR="009D65F0" w:rsidRPr="00D141FC" w:rsidRDefault="00F9708D" w:rsidP="009D65F0">
      <w:pPr>
        <w:pStyle w:val="ItemHead"/>
      </w:pPr>
      <w:r w:rsidRPr="00D141FC">
        <w:t>39</w:t>
      </w:r>
      <w:r w:rsidR="009D65F0" w:rsidRPr="00D141FC">
        <w:t xml:space="preserve">  At the end of </w:t>
      </w:r>
      <w:r w:rsidR="00AC08E7" w:rsidRPr="00D141FC">
        <w:t>r</w:t>
      </w:r>
      <w:r w:rsidR="009D65F0" w:rsidRPr="00D141FC">
        <w:t>egulation</w:t>
      </w:r>
      <w:r w:rsidR="00D141FC" w:rsidRPr="00D141FC">
        <w:t> </w:t>
      </w:r>
      <w:r w:rsidR="009D65F0" w:rsidRPr="00D141FC">
        <w:t>5.2</w:t>
      </w:r>
    </w:p>
    <w:p w:rsidR="009D65F0" w:rsidRPr="00D141FC" w:rsidRDefault="009D65F0" w:rsidP="009D65F0">
      <w:pPr>
        <w:pStyle w:val="Item"/>
      </w:pPr>
      <w:r w:rsidRPr="00D141FC">
        <w:t>Add:</w:t>
      </w:r>
    </w:p>
    <w:p w:rsidR="009D65F0" w:rsidRPr="00D141FC" w:rsidRDefault="009D65F0" w:rsidP="009D65F0">
      <w:pPr>
        <w:pStyle w:val="subsection"/>
      </w:pPr>
      <w:r w:rsidRPr="00D141FC">
        <w:tab/>
        <w:t>(4)</w:t>
      </w:r>
      <w:r w:rsidRPr="00D141FC">
        <w:tab/>
        <w:t>If:</w:t>
      </w:r>
    </w:p>
    <w:p w:rsidR="009D65F0" w:rsidRPr="00D141FC" w:rsidRDefault="009D65F0" w:rsidP="009D65F0">
      <w:pPr>
        <w:pStyle w:val="paragraph"/>
      </w:pPr>
      <w:r w:rsidRPr="00D141FC">
        <w:tab/>
        <w:t>(a)</w:t>
      </w:r>
      <w:r w:rsidRPr="00D141FC">
        <w:tab/>
      </w:r>
      <w:r w:rsidR="00010EC8" w:rsidRPr="00D141FC">
        <w:t>as described in subregulation</w:t>
      </w:r>
      <w:r w:rsidR="00D141FC" w:rsidRPr="00D141FC">
        <w:t> </w:t>
      </w:r>
      <w:r w:rsidR="00010EC8" w:rsidRPr="00D141FC">
        <w:t xml:space="preserve">(1), </w:t>
      </w:r>
      <w:r w:rsidRPr="00D141FC">
        <w:t xml:space="preserve">a person </w:t>
      </w:r>
      <w:r w:rsidR="00010EC8" w:rsidRPr="00D141FC">
        <w:t xml:space="preserve">requests </w:t>
      </w:r>
      <w:r w:rsidRPr="00D141FC">
        <w:t xml:space="preserve">the Secretary </w:t>
      </w:r>
      <w:r w:rsidR="00010EC8" w:rsidRPr="00D141FC">
        <w:t xml:space="preserve">to waive all or part of a fee for services that directly or indirectly relate to a </w:t>
      </w:r>
      <w:r w:rsidR="00336922" w:rsidRPr="00D141FC">
        <w:t>Part</w:t>
      </w:r>
      <w:r w:rsidR="00D141FC" w:rsidRPr="00D141FC">
        <w:t> </w:t>
      </w:r>
      <w:r w:rsidR="00336922" w:rsidRPr="00D141FC">
        <w:t xml:space="preserve">2 </w:t>
      </w:r>
      <w:r w:rsidR="00010EC8" w:rsidRPr="00D141FC">
        <w:t>submission</w:t>
      </w:r>
      <w:r w:rsidRPr="00D141FC">
        <w:t>; and</w:t>
      </w:r>
    </w:p>
    <w:p w:rsidR="009D65F0" w:rsidRPr="00D141FC" w:rsidRDefault="009D65F0" w:rsidP="009D65F0">
      <w:pPr>
        <w:pStyle w:val="paragraph"/>
      </w:pPr>
      <w:r w:rsidRPr="00D141FC">
        <w:tab/>
        <w:t>(b)</w:t>
      </w:r>
      <w:r w:rsidRPr="00D141FC">
        <w:tab/>
        <w:t>the Secretar</w:t>
      </w:r>
      <w:r w:rsidR="00010EC8" w:rsidRPr="00D141FC">
        <w:t>y decides under subregulation</w:t>
      </w:r>
      <w:r w:rsidR="00D141FC" w:rsidRPr="00D141FC">
        <w:t> </w:t>
      </w:r>
      <w:r w:rsidR="00010EC8" w:rsidRPr="00D141FC">
        <w:t xml:space="preserve">(1) </w:t>
      </w:r>
      <w:r w:rsidRPr="00D141FC">
        <w:t>not to do so;</w:t>
      </w:r>
    </w:p>
    <w:p w:rsidR="009D65F0" w:rsidRPr="00D141FC" w:rsidRDefault="009D65F0" w:rsidP="009D65F0">
      <w:pPr>
        <w:pStyle w:val="subsection2"/>
      </w:pPr>
      <w:r w:rsidRPr="00D141FC">
        <w:t xml:space="preserve">the person may not </w:t>
      </w:r>
      <w:r w:rsidR="00010EC8" w:rsidRPr="00D141FC">
        <w:t>later request</w:t>
      </w:r>
      <w:r w:rsidRPr="00D141FC">
        <w:t xml:space="preserve"> </w:t>
      </w:r>
      <w:r w:rsidR="00010EC8" w:rsidRPr="00D141FC">
        <w:t>the Secretary to waive all or part of that fee</w:t>
      </w:r>
      <w:r w:rsidRPr="00D141FC">
        <w:t>.</w:t>
      </w:r>
    </w:p>
    <w:p w:rsidR="009D65F0" w:rsidRPr="00D141FC" w:rsidRDefault="009D65F0" w:rsidP="009D65F0">
      <w:pPr>
        <w:pStyle w:val="SubsectionHead"/>
      </w:pPr>
      <w:r w:rsidRPr="00D141FC">
        <w:t xml:space="preserve">Waiver of fees </w:t>
      </w:r>
      <w:r w:rsidR="00010EC8" w:rsidRPr="00D141FC">
        <w:t>for list management services</w:t>
      </w:r>
    </w:p>
    <w:p w:rsidR="00010EC8" w:rsidRPr="00D141FC" w:rsidRDefault="009D65F0" w:rsidP="009D65F0">
      <w:pPr>
        <w:pStyle w:val="subsection"/>
      </w:pPr>
      <w:r w:rsidRPr="00D141FC">
        <w:tab/>
        <w:t>(5)</w:t>
      </w:r>
      <w:r w:rsidRPr="00D141FC">
        <w:tab/>
        <w:t xml:space="preserve">The Secretary may, in writing and on request, decide whether or not to waive all or part of </w:t>
      </w:r>
      <w:r w:rsidR="00010EC8" w:rsidRPr="00D141FC">
        <w:t>the</w:t>
      </w:r>
      <w:r w:rsidRPr="00D141FC">
        <w:t xml:space="preserve"> </w:t>
      </w:r>
      <w:r w:rsidR="00010EC8" w:rsidRPr="00D141FC">
        <w:t>fee</w:t>
      </w:r>
      <w:r w:rsidRPr="00D141FC">
        <w:t xml:space="preserve"> payable by </w:t>
      </w:r>
      <w:r w:rsidR="00655947" w:rsidRPr="00D141FC">
        <w:t>a</w:t>
      </w:r>
      <w:r w:rsidRPr="00D141FC">
        <w:t xml:space="preserve"> person under Part</w:t>
      </w:r>
      <w:r w:rsidR="00D141FC" w:rsidRPr="00D141FC">
        <w:t> </w:t>
      </w:r>
      <w:r w:rsidRPr="00D141FC">
        <w:t>3A</w:t>
      </w:r>
      <w:r w:rsidR="00010EC8" w:rsidRPr="00D141FC">
        <w:t xml:space="preserve"> for list management services provided in response to a list management application.</w:t>
      </w:r>
    </w:p>
    <w:p w:rsidR="009D65F0" w:rsidRPr="00D141FC" w:rsidRDefault="00010EC8" w:rsidP="009D65F0">
      <w:pPr>
        <w:pStyle w:val="subsection"/>
      </w:pPr>
      <w:r w:rsidRPr="00D141FC">
        <w:tab/>
        <w:t>(6)</w:t>
      </w:r>
      <w:r w:rsidRPr="00D141FC">
        <w:tab/>
      </w:r>
      <w:r w:rsidR="009D65F0" w:rsidRPr="00D141FC">
        <w:t xml:space="preserve">The request must be included in the </w:t>
      </w:r>
      <w:r w:rsidRPr="00D141FC">
        <w:t xml:space="preserve">list management </w:t>
      </w:r>
      <w:r w:rsidR="009D65F0" w:rsidRPr="00D141FC">
        <w:t>application</w:t>
      </w:r>
      <w:r w:rsidRPr="00D141FC">
        <w:t>.</w:t>
      </w:r>
    </w:p>
    <w:p w:rsidR="009D65F0" w:rsidRPr="00D141FC" w:rsidRDefault="00010EC8" w:rsidP="009D65F0">
      <w:pPr>
        <w:pStyle w:val="subsection"/>
      </w:pPr>
      <w:r w:rsidRPr="00D141FC">
        <w:tab/>
        <w:t>(7</w:t>
      </w:r>
      <w:r w:rsidR="009D65F0" w:rsidRPr="00D141FC">
        <w:t>)</w:t>
      </w:r>
      <w:r w:rsidR="009D65F0" w:rsidRPr="00D141FC">
        <w:tab/>
        <w:t>The Secretary mu</w:t>
      </w:r>
      <w:r w:rsidR="005152C2" w:rsidRPr="00D141FC">
        <w:t>st decide under subregulation</w:t>
      </w:r>
      <w:r w:rsidR="00D141FC" w:rsidRPr="00D141FC">
        <w:t> </w:t>
      </w:r>
      <w:r w:rsidR="005152C2" w:rsidRPr="00D141FC">
        <w:t>(5</w:t>
      </w:r>
      <w:r w:rsidR="009D65F0" w:rsidRPr="00D141FC">
        <w:t xml:space="preserve">) to waive all or part of </w:t>
      </w:r>
      <w:r w:rsidRPr="00D141FC">
        <w:t>the</w:t>
      </w:r>
      <w:r w:rsidR="009D65F0" w:rsidRPr="00D141FC">
        <w:t xml:space="preserve"> fee if:</w:t>
      </w:r>
    </w:p>
    <w:p w:rsidR="009D65F0" w:rsidRPr="00D141FC" w:rsidRDefault="009D65F0" w:rsidP="009D65F0">
      <w:pPr>
        <w:pStyle w:val="paragraph"/>
      </w:pPr>
      <w:r w:rsidRPr="00D141FC">
        <w:tab/>
        <w:t>(a)</w:t>
      </w:r>
      <w:r w:rsidRPr="00D141FC">
        <w:tab/>
        <w:t xml:space="preserve">the </w:t>
      </w:r>
      <w:r w:rsidR="00010EC8" w:rsidRPr="00D141FC">
        <w:t>list management application</w:t>
      </w:r>
      <w:r w:rsidRPr="00D141FC">
        <w:t xml:space="preserve"> involves the public interest; and</w:t>
      </w:r>
    </w:p>
    <w:p w:rsidR="009D65F0" w:rsidRPr="00D141FC" w:rsidRDefault="009D65F0" w:rsidP="009D65F0">
      <w:pPr>
        <w:pStyle w:val="paragraph"/>
      </w:pPr>
      <w:r w:rsidRPr="00D141FC">
        <w:tab/>
        <w:t>(b)</w:t>
      </w:r>
      <w:r w:rsidRPr="00D141FC">
        <w:tab/>
        <w:t xml:space="preserve">payment of </w:t>
      </w:r>
      <w:r w:rsidR="00010EC8" w:rsidRPr="00D141FC">
        <w:t>the</w:t>
      </w:r>
      <w:r w:rsidRPr="00D141FC">
        <w:t xml:space="preserve"> fee would make </w:t>
      </w:r>
      <w:r w:rsidR="00010EC8" w:rsidRPr="00D141FC">
        <w:t>that application</w:t>
      </w:r>
      <w:r w:rsidRPr="00D141FC">
        <w:t xml:space="preserve"> financially unviable.</w:t>
      </w:r>
    </w:p>
    <w:p w:rsidR="00FA1F48" w:rsidRPr="00D141FC" w:rsidRDefault="00010EC8" w:rsidP="00010EC8">
      <w:pPr>
        <w:pStyle w:val="subsection"/>
      </w:pPr>
      <w:r w:rsidRPr="00D141FC">
        <w:tab/>
        <w:t>(8)</w:t>
      </w:r>
      <w:r w:rsidRPr="00D141FC">
        <w:tab/>
      </w:r>
      <w:r w:rsidR="00FA1F48" w:rsidRPr="00D141FC">
        <w:t>Subregulation (3) applies to:</w:t>
      </w:r>
    </w:p>
    <w:p w:rsidR="00FA1F48" w:rsidRPr="00D141FC" w:rsidRDefault="00FA1F48" w:rsidP="00FA1F48">
      <w:pPr>
        <w:pStyle w:val="paragraph"/>
      </w:pPr>
      <w:r w:rsidRPr="00D141FC">
        <w:tab/>
        <w:t>(a)</w:t>
      </w:r>
      <w:r w:rsidRPr="00D141FC">
        <w:tab/>
        <w:t>subregulation</w:t>
      </w:r>
      <w:r w:rsidR="00D141FC" w:rsidRPr="00D141FC">
        <w:t> </w:t>
      </w:r>
      <w:r w:rsidRPr="00D141FC">
        <w:t>(7); and</w:t>
      </w:r>
    </w:p>
    <w:p w:rsidR="00FA1F48" w:rsidRPr="00D141FC" w:rsidRDefault="00FA1F48" w:rsidP="00FA1F48">
      <w:pPr>
        <w:pStyle w:val="paragraph"/>
      </w:pPr>
      <w:r w:rsidRPr="00D141FC">
        <w:tab/>
        <w:t>(b)</w:t>
      </w:r>
      <w:r w:rsidRPr="00D141FC">
        <w:tab/>
      </w:r>
      <w:r w:rsidR="00010EC8" w:rsidRPr="00D141FC">
        <w:t>a list management application referred to in subregulation</w:t>
      </w:r>
      <w:r w:rsidR="00D141FC" w:rsidRPr="00D141FC">
        <w:t> </w:t>
      </w:r>
      <w:r w:rsidRPr="00D141FC">
        <w:t>(7);</w:t>
      </w:r>
    </w:p>
    <w:p w:rsidR="009D65F0" w:rsidRPr="00D141FC" w:rsidRDefault="00010EC8" w:rsidP="00FA1F48">
      <w:pPr>
        <w:pStyle w:val="subsection2"/>
      </w:pPr>
      <w:r w:rsidRPr="00D141FC">
        <w:t>in a corresponding way to the way that subregulation</w:t>
      </w:r>
      <w:r w:rsidR="00D141FC" w:rsidRPr="00D141FC">
        <w:t> </w:t>
      </w:r>
      <w:r w:rsidRPr="00D141FC">
        <w:t xml:space="preserve">(3) applies to </w:t>
      </w:r>
      <w:r w:rsidR="00FA1F48" w:rsidRPr="00D141FC">
        <w:t>subregulation</w:t>
      </w:r>
      <w:r w:rsidR="00D141FC" w:rsidRPr="00D141FC">
        <w:t> </w:t>
      </w:r>
      <w:r w:rsidR="00FA1F48" w:rsidRPr="00D141FC">
        <w:t xml:space="preserve">(2) and </w:t>
      </w:r>
      <w:r w:rsidRPr="00D141FC">
        <w:t>a submission referred to in subregulation</w:t>
      </w:r>
      <w:r w:rsidR="00D141FC" w:rsidRPr="00D141FC">
        <w:t> </w:t>
      </w:r>
      <w:r w:rsidRPr="00D141FC">
        <w:t>(2).</w:t>
      </w:r>
    </w:p>
    <w:p w:rsidR="002B3B06" w:rsidRPr="00D141FC" w:rsidRDefault="00F9708D" w:rsidP="002B3B06">
      <w:pPr>
        <w:pStyle w:val="ItemHead"/>
      </w:pPr>
      <w:r w:rsidRPr="00D141FC">
        <w:t>40</w:t>
      </w:r>
      <w:r w:rsidR="008E1683" w:rsidRPr="00D141FC">
        <w:t xml:space="preserve">  </w:t>
      </w:r>
      <w:r w:rsidR="00AC08E7" w:rsidRPr="00D141FC">
        <w:t>Before r</w:t>
      </w:r>
      <w:r w:rsidR="002B3B06" w:rsidRPr="00D141FC">
        <w:t>egulation</w:t>
      </w:r>
      <w:r w:rsidR="00D141FC" w:rsidRPr="00D141FC">
        <w:t> </w:t>
      </w:r>
      <w:r w:rsidR="002B3B06" w:rsidRPr="00D141FC">
        <w:t>6</w:t>
      </w:r>
      <w:r w:rsidR="00A07EDA" w:rsidRPr="00D141FC">
        <w:t>.</w:t>
      </w:r>
      <w:r w:rsidR="002B3B06" w:rsidRPr="00D141FC">
        <w:t>1</w:t>
      </w:r>
    </w:p>
    <w:p w:rsidR="002B3B06" w:rsidRPr="00D141FC" w:rsidRDefault="002B3B06" w:rsidP="002B3B06">
      <w:pPr>
        <w:pStyle w:val="Item"/>
      </w:pPr>
      <w:r w:rsidRPr="00D141FC">
        <w:t>Insert:</w:t>
      </w:r>
    </w:p>
    <w:p w:rsidR="002B3B06" w:rsidRPr="00D141FC" w:rsidRDefault="002B3B06" w:rsidP="002B3B06">
      <w:pPr>
        <w:pStyle w:val="ActHead5"/>
      </w:pPr>
      <w:bookmarkStart w:id="67" w:name="_Toc3993211"/>
      <w:r w:rsidRPr="00D141FC">
        <w:rPr>
          <w:rStyle w:val="CharSectno"/>
        </w:rPr>
        <w:t>6</w:t>
      </w:r>
      <w:r w:rsidR="00A07EDA" w:rsidRPr="00D141FC">
        <w:rPr>
          <w:rStyle w:val="CharSectno"/>
        </w:rPr>
        <w:t>.</w:t>
      </w:r>
      <w:r w:rsidRPr="00D141FC">
        <w:rPr>
          <w:rStyle w:val="CharSectno"/>
        </w:rPr>
        <w:t>1A</w:t>
      </w:r>
      <w:r w:rsidRPr="00D141FC">
        <w:t xml:space="preserve">  Reviewable decisions</w:t>
      </w:r>
      <w:bookmarkEnd w:id="67"/>
    </w:p>
    <w:p w:rsidR="008E1683" w:rsidRPr="00D141FC" w:rsidRDefault="002B3B06" w:rsidP="008E1683">
      <w:pPr>
        <w:pStyle w:val="subsection"/>
      </w:pPr>
      <w:r w:rsidRPr="00D141FC">
        <w:tab/>
      </w:r>
      <w:r w:rsidR="008E1683" w:rsidRPr="00D141FC">
        <w:tab/>
        <w:t>This Part applies to the following decisions (</w:t>
      </w:r>
      <w:r w:rsidR="008E1683" w:rsidRPr="00D141FC">
        <w:rPr>
          <w:b/>
          <w:i/>
        </w:rPr>
        <w:t>reviewable decisions</w:t>
      </w:r>
      <w:r w:rsidR="008E1683" w:rsidRPr="00D141FC">
        <w:t>) of the Secretary:</w:t>
      </w:r>
    </w:p>
    <w:p w:rsidR="008E1683" w:rsidRPr="00D141FC" w:rsidRDefault="00DC6842" w:rsidP="008E1683">
      <w:pPr>
        <w:pStyle w:val="paragraph"/>
      </w:pPr>
      <w:r w:rsidRPr="00D141FC">
        <w:tab/>
        <w:t>(a)</w:t>
      </w:r>
      <w:r w:rsidRPr="00D141FC">
        <w:tab/>
      </w:r>
      <w:r w:rsidR="008E1683" w:rsidRPr="00D141FC">
        <w:t xml:space="preserve">a decision under </w:t>
      </w:r>
      <w:r w:rsidR="005F7100" w:rsidRPr="00D141FC">
        <w:t>subregulation</w:t>
      </w:r>
      <w:r w:rsidR="00D141FC" w:rsidRPr="00D141FC">
        <w:t> </w:t>
      </w:r>
      <w:r w:rsidR="00A07EDA" w:rsidRPr="00D141FC">
        <w:t>1A.2</w:t>
      </w:r>
      <w:r w:rsidR="005F7100" w:rsidRPr="00D141FC">
        <w:t>(1</w:t>
      </w:r>
      <w:r w:rsidR="005B1F7F" w:rsidRPr="00D141FC">
        <w:t>)</w:t>
      </w:r>
      <w:r w:rsidR="005F7100" w:rsidRPr="00D141FC">
        <w:t xml:space="preserve"> not to partially exempt a person</w:t>
      </w:r>
      <w:r w:rsidR="008E1683" w:rsidRPr="00D141FC">
        <w:t xml:space="preserve"> (about ATAGI application</w:t>
      </w:r>
      <w:r w:rsidR="005B1F7F" w:rsidRPr="00D141FC">
        <w:t>s)</w:t>
      </w:r>
      <w:r w:rsidR="008E1683" w:rsidRPr="00D141FC">
        <w:t>;</w:t>
      </w:r>
    </w:p>
    <w:p w:rsidR="00887E7F" w:rsidRPr="00D141FC" w:rsidRDefault="00887E7F" w:rsidP="00887E7F">
      <w:pPr>
        <w:pStyle w:val="paragraph"/>
      </w:pPr>
      <w:r w:rsidRPr="00D141FC">
        <w:tab/>
        <w:t>(b)</w:t>
      </w:r>
      <w:r w:rsidRPr="00D141FC">
        <w:tab/>
        <w:t>a decision under subregulation</w:t>
      </w:r>
      <w:r w:rsidR="00D141FC" w:rsidRPr="00D141FC">
        <w:t> </w:t>
      </w:r>
      <w:r w:rsidRPr="00D141FC">
        <w:t>2.15(3) that providing submission services in response to an application is not required to address an urgent public health need;</w:t>
      </w:r>
    </w:p>
    <w:p w:rsidR="008E1683" w:rsidRPr="00D141FC" w:rsidRDefault="00DC6842" w:rsidP="008E1683">
      <w:pPr>
        <w:pStyle w:val="paragraph"/>
      </w:pPr>
      <w:r w:rsidRPr="00D141FC">
        <w:tab/>
        <w:t>(c)</w:t>
      </w:r>
      <w:r w:rsidRPr="00D141FC">
        <w:tab/>
      </w:r>
      <w:r w:rsidR="00E93B0F" w:rsidRPr="00D141FC">
        <w:t xml:space="preserve">a </w:t>
      </w:r>
      <w:r w:rsidR="00A635BF" w:rsidRPr="00D141FC">
        <w:t>decision</w:t>
      </w:r>
      <w:r w:rsidR="00E93B0F" w:rsidRPr="00D141FC">
        <w:t xml:space="preserve"> under </w:t>
      </w:r>
      <w:r w:rsidR="00A635BF" w:rsidRPr="00D141FC">
        <w:t>subregulation</w:t>
      </w:r>
      <w:r w:rsidR="00D141FC" w:rsidRPr="00D141FC">
        <w:t> </w:t>
      </w:r>
      <w:r w:rsidR="00E66960" w:rsidRPr="00D141FC">
        <w:t>2</w:t>
      </w:r>
      <w:r w:rsidR="00A07EDA" w:rsidRPr="00D141FC">
        <w:t>.</w:t>
      </w:r>
      <w:r w:rsidR="00E66960" w:rsidRPr="00D141FC">
        <w:t>20</w:t>
      </w:r>
      <w:r w:rsidR="00A635BF" w:rsidRPr="00D141FC">
        <w:t xml:space="preserve">(1) </w:t>
      </w:r>
      <w:r w:rsidR="00E93B0F" w:rsidRPr="00D141FC">
        <w:t xml:space="preserve">determining the evaluation </w:t>
      </w:r>
      <w:r w:rsidR="00A635BF" w:rsidRPr="00D141FC">
        <w:t>category</w:t>
      </w:r>
      <w:r w:rsidR="00E93B0F" w:rsidRPr="00D141FC">
        <w:t xml:space="preserve"> of an application under Part</w:t>
      </w:r>
      <w:r w:rsidR="00D141FC" w:rsidRPr="00D141FC">
        <w:t> </w:t>
      </w:r>
      <w:r w:rsidR="00A635BF" w:rsidRPr="00D141FC">
        <w:t>2</w:t>
      </w:r>
      <w:r w:rsidR="00E93B0F" w:rsidRPr="00D141FC">
        <w:t>;</w:t>
      </w:r>
    </w:p>
    <w:p w:rsidR="004D5982" w:rsidRPr="00D141FC" w:rsidRDefault="00DC6842" w:rsidP="004D5982">
      <w:pPr>
        <w:pStyle w:val="paragraph"/>
      </w:pPr>
      <w:r w:rsidRPr="00D141FC">
        <w:tab/>
        <w:t>(d)</w:t>
      </w:r>
      <w:r w:rsidRPr="00D141FC">
        <w:tab/>
      </w:r>
      <w:r w:rsidR="004D5982" w:rsidRPr="00D141FC">
        <w:t>a decision under subregulation</w:t>
      </w:r>
      <w:r w:rsidR="00D141FC" w:rsidRPr="00D141FC">
        <w:t> </w:t>
      </w:r>
      <w:r w:rsidR="00A07EDA" w:rsidRPr="00D141FC">
        <w:t>3.10</w:t>
      </w:r>
      <w:r w:rsidR="004D5982" w:rsidRPr="00D141FC">
        <w:t xml:space="preserve">(3) </w:t>
      </w:r>
      <w:r w:rsidR="00E072CC" w:rsidRPr="00D141FC">
        <w:t>that providing pricing services in response to a pricing application is not required to address an urgent public health need</w:t>
      </w:r>
      <w:r w:rsidR="004D5982" w:rsidRPr="00D141FC">
        <w:t>;</w:t>
      </w:r>
    </w:p>
    <w:p w:rsidR="00E93B0F" w:rsidRPr="00D141FC" w:rsidRDefault="00DC6842" w:rsidP="008E1683">
      <w:pPr>
        <w:pStyle w:val="paragraph"/>
      </w:pPr>
      <w:r w:rsidRPr="00D141FC">
        <w:tab/>
        <w:t>(e)</w:t>
      </w:r>
      <w:r w:rsidRPr="00D141FC">
        <w:tab/>
      </w:r>
      <w:r w:rsidR="00E93B0F" w:rsidRPr="00D141FC">
        <w:t xml:space="preserve">a </w:t>
      </w:r>
      <w:r w:rsidR="00A635BF" w:rsidRPr="00D141FC">
        <w:t>decision under subregulation</w:t>
      </w:r>
      <w:r w:rsidR="00D141FC" w:rsidRPr="00D141FC">
        <w:t> </w:t>
      </w:r>
      <w:r w:rsidR="008B545D" w:rsidRPr="00D141FC">
        <w:t>3.14</w:t>
      </w:r>
      <w:r w:rsidR="00A635BF" w:rsidRPr="00D141FC">
        <w:t>(1) determining the category of a pricing application</w:t>
      </w:r>
      <w:r w:rsidR="00E93B0F" w:rsidRPr="00D141FC">
        <w:t>;</w:t>
      </w:r>
    </w:p>
    <w:p w:rsidR="00E93B0F" w:rsidRPr="00D141FC" w:rsidRDefault="00DC6842" w:rsidP="008E1683">
      <w:pPr>
        <w:pStyle w:val="paragraph"/>
      </w:pPr>
      <w:r w:rsidRPr="00D141FC">
        <w:tab/>
        <w:t>(f)</w:t>
      </w:r>
      <w:r w:rsidRPr="00D141FC">
        <w:tab/>
      </w:r>
      <w:r w:rsidR="009D47BD" w:rsidRPr="00D141FC">
        <w:t>a decision under subregulat</w:t>
      </w:r>
      <w:r w:rsidR="002B3B06" w:rsidRPr="00D141FC">
        <w:t>ion</w:t>
      </w:r>
      <w:r w:rsidR="00D141FC" w:rsidRPr="00D141FC">
        <w:t> </w:t>
      </w:r>
      <w:r w:rsidR="002B3B06" w:rsidRPr="00D141FC">
        <w:t>5</w:t>
      </w:r>
      <w:r w:rsidR="00A07EDA" w:rsidRPr="00D141FC">
        <w:t>.</w:t>
      </w:r>
      <w:r w:rsidR="002B3B06" w:rsidRPr="00D141FC">
        <w:t>2(</w:t>
      </w:r>
      <w:r w:rsidR="006B5ED3" w:rsidRPr="00D141FC">
        <w:t>1</w:t>
      </w:r>
      <w:r w:rsidR="002B3B06" w:rsidRPr="00D141FC">
        <w:t>)</w:t>
      </w:r>
      <w:r w:rsidR="006B5ED3" w:rsidRPr="00D141FC">
        <w:t xml:space="preserve"> or (5)</w:t>
      </w:r>
      <w:r w:rsidR="002B3B06" w:rsidRPr="00D141FC">
        <w:t xml:space="preserve"> (about waiving fees);</w:t>
      </w:r>
    </w:p>
    <w:p w:rsidR="002B3B06" w:rsidRPr="00D141FC" w:rsidRDefault="00DC6842" w:rsidP="008E1683">
      <w:pPr>
        <w:pStyle w:val="paragraph"/>
      </w:pPr>
      <w:r w:rsidRPr="00D141FC">
        <w:tab/>
        <w:t>(g)</w:t>
      </w:r>
      <w:r w:rsidRPr="00D141FC">
        <w:tab/>
      </w:r>
      <w:r w:rsidR="002B3B06" w:rsidRPr="00D141FC">
        <w:t>a decision under subregulation</w:t>
      </w:r>
      <w:r w:rsidR="00D141FC" w:rsidRPr="00D141FC">
        <w:t> </w:t>
      </w:r>
      <w:r w:rsidR="002B3B06" w:rsidRPr="00D141FC">
        <w:t>6</w:t>
      </w:r>
      <w:r w:rsidR="00A07EDA" w:rsidRPr="00D141FC">
        <w:t>.</w:t>
      </w:r>
      <w:r w:rsidR="002B3B06" w:rsidRPr="00D141FC">
        <w:t>3(2) (about decisions made on reviews initiated by the Secretary)</w:t>
      </w:r>
      <w:r w:rsidR="00A07EDA" w:rsidRPr="00D141FC">
        <w:t>.</w:t>
      </w:r>
    </w:p>
    <w:p w:rsidR="003B1BF2" w:rsidRPr="00D141FC" w:rsidRDefault="003B1BF2" w:rsidP="003B1BF2">
      <w:pPr>
        <w:pStyle w:val="notetext"/>
      </w:pPr>
      <w:r w:rsidRPr="00D141FC">
        <w:t>Note:</w:t>
      </w:r>
      <w:r w:rsidRPr="00D141FC">
        <w:tab/>
        <w:t xml:space="preserve">The decision could be made by a delegate of the Secretary (see </w:t>
      </w:r>
      <w:r w:rsidR="0070754D" w:rsidRPr="00D141FC">
        <w:t>subsection</w:t>
      </w:r>
      <w:r w:rsidR="00D141FC" w:rsidRPr="00D141FC">
        <w:t> </w:t>
      </w:r>
      <w:r w:rsidR="0070754D" w:rsidRPr="00D141FC">
        <w:t>6(5) of the Act</w:t>
      </w:r>
      <w:r w:rsidRPr="00D141FC">
        <w:t>)</w:t>
      </w:r>
      <w:r w:rsidR="00A07EDA" w:rsidRPr="00D141FC">
        <w:t>.</w:t>
      </w:r>
    </w:p>
    <w:p w:rsidR="005E3192" w:rsidRPr="00D141FC" w:rsidRDefault="00F9708D" w:rsidP="005E3192">
      <w:pPr>
        <w:pStyle w:val="ItemHead"/>
      </w:pPr>
      <w:r w:rsidRPr="00D141FC">
        <w:t>41</w:t>
      </w:r>
      <w:r w:rsidR="009D47BD" w:rsidRPr="00D141FC">
        <w:t xml:space="preserve">  </w:t>
      </w:r>
      <w:r w:rsidR="005E3192" w:rsidRPr="00D141FC">
        <w:t>Subregulation</w:t>
      </w:r>
      <w:r w:rsidR="00D141FC" w:rsidRPr="00D141FC">
        <w:t> </w:t>
      </w:r>
      <w:r w:rsidR="005E3192" w:rsidRPr="00D141FC">
        <w:t>6.1(1)</w:t>
      </w:r>
    </w:p>
    <w:p w:rsidR="005E3192" w:rsidRPr="00D141FC" w:rsidRDefault="005E3192" w:rsidP="005E3192">
      <w:pPr>
        <w:pStyle w:val="Item"/>
      </w:pPr>
      <w:r w:rsidRPr="00D141FC">
        <w:t>Repeal the subregulation, substitute:</w:t>
      </w:r>
    </w:p>
    <w:p w:rsidR="005E3192" w:rsidRPr="00D141FC" w:rsidRDefault="005E3192" w:rsidP="005E3192">
      <w:pPr>
        <w:pStyle w:val="subsection"/>
      </w:pPr>
      <w:r w:rsidRPr="00D141FC">
        <w:tab/>
        <w:t>(1)</w:t>
      </w:r>
      <w:r w:rsidRPr="00D141FC">
        <w:tab/>
        <w:t>When the Secretary makes a reviewable decision referred to in paragraph</w:t>
      </w:r>
      <w:r w:rsidR="00D141FC" w:rsidRPr="00D141FC">
        <w:t> </w:t>
      </w:r>
      <w:r w:rsidRPr="00D141FC">
        <w:t>6.1A(b), (d) or (g) about a person, the Secretary must, within 14 days after making the decision, give the person:</w:t>
      </w:r>
    </w:p>
    <w:p w:rsidR="005E3192" w:rsidRPr="00D141FC" w:rsidRDefault="005E3192" w:rsidP="005E3192">
      <w:pPr>
        <w:pStyle w:val="paragraph"/>
      </w:pPr>
      <w:r w:rsidRPr="00D141FC">
        <w:tab/>
        <w:t>(a)</w:t>
      </w:r>
      <w:r w:rsidRPr="00D141FC">
        <w:tab/>
        <w:t>written notice of the decision; and</w:t>
      </w:r>
    </w:p>
    <w:p w:rsidR="005E3192" w:rsidRPr="00D141FC" w:rsidRDefault="005E3192" w:rsidP="005E3192">
      <w:pPr>
        <w:pStyle w:val="paragraph"/>
      </w:pPr>
      <w:r w:rsidRPr="00D141FC">
        <w:tab/>
        <w:t>(b)</w:t>
      </w:r>
      <w:r w:rsidRPr="00D141FC">
        <w:tab/>
        <w:t xml:space="preserve">a statement setting out particulars of the </w:t>
      </w:r>
      <w:r w:rsidR="002D4CE2" w:rsidRPr="00D141FC">
        <w:t>person’s</w:t>
      </w:r>
      <w:r w:rsidRPr="00D141FC">
        <w:t xml:space="preserve"> review rights.</w:t>
      </w:r>
    </w:p>
    <w:p w:rsidR="002D4CE2" w:rsidRPr="00D141FC" w:rsidRDefault="002D4CE2" w:rsidP="002D4CE2">
      <w:pPr>
        <w:pStyle w:val="notetext"/>
      </w:pPr>
      <w:r w:rsidRPr="00D141FC">
        <w:t>Note:</w:t>
      </w:r>
      <w:r w:rsidRPr="00D141FC">
        <w:tab/>
      </w:r>
      <w:r w:rsidR="000A2F29" w:rsidRPr="00D141FC">
        <w:t>Notice of these things for the other kinds of reviewable decision</w:t>
      </w:r>
      <w:r w:rsidR="0012498A" w:rsidRPr="00D141FC">
        <w:t>s</w:t>
      </w:r>
      <w:r w:rsidR="000A2F29" w:rsidRPr="00D141FC">
        <w:t xml:space="preserve"> is given under other provisions of these Regulations.</w:t>
      </w:r>
    </w:p>
    <w:p w:rsidR="002B3B06" w:rsidRPr="00D141FC" w:rsidRDefault="00F9708D" w:rsidP="002B3B06">
      <w:pPr>
        <w:pStyle w:val="ItemHead"/>
      </w:pPr>
      <w:r w:rsidRPr="00D141FC">
        <w:t>42</w:t>
      </w:r>
      <w:r w:rsidR="002B3B06" w:rsidRPr="00D141FC">
        <w:t xml:space="preserve">  Subregulation</w:t>
      </w:r>
      <w:r w:rsidR="00D141FC" w:rsidRPr="00D141FC">
        <w:t> </w:t>
      </w:r>
      <w:r w:rsidR="002D4CE2" w:rsidRPr="00D141FC">
        <w:t>6.1</w:t>
      </w:r>
      <w:r w:rsidR="002B3B06" w:rsidRPr="00D141FC">
        <w:t>(2)</w:t>
      </w:r>
    </w:p>
    <w:p w:rsidR="002B3B06" w:rsidRPr="00D141FC" w:rsidRDefault="002B3B06" w:rsidP="002B3B06">
      <w:pPr>
        <w:pStyle w:val="Item"/>
      </w:pPr>
      <w:r w:rsidRPr="00D141FC">
        <w:t>Omit “applicant”, substitute “person”</w:t>
      </w:r>
      <w:r w:rsidR="00A07EDA" w:rsidRPr="00D141FC">
        <w:t>.</w:t>
      </w:r>
    </w:p>
    <w:p w:rsidR="00764129" w:rsidRPr="00D141FC" w:rsidRDefault="00F9708D" w:rsidP="00764129">
      <w:pPr>
        <w:pStyle w:val="ItemHead"/>
      </w:pPr>
      <w:r w:rsidRPr="00D141FC">
        <w:t>43</w:t>
      </w:r>
      <w:r w:rsidR="002B3B06" w:rsidRPr="00D141FC">
        <w:t xml:space="preserve">  </w:t>
      </w:r>
      <w:r w:rsidR="00764129" w:rsidRPr="00D141FC">
        <w:t>Regulation</w:t>
      </w:r>
      <w:r w:rsidR="00D141FC" w:rsidRPr="00D141FC">
        <w:t> </w:t>
      </w:r>
      <w:r w:rsidR="00764129" w:rsidRPr="00D141FC">
        <w:t>6</w:t>
      </w:r>
      <w:r w:rsidR="00A07EDA" w:rsidRPr="00D141FC">
        <w:t>.</w:t>
      </w:r>
      <w:r w:rsidR="00764129" w:rsidRPr="00D141FC">
        <w:t>2</w:t>
      </w:r>
    </w:p>
    <w:p w:rsidR="00764129" w:rsidRPr="00D141FC" w:rsidRDefault="00764129" w:rsidP="00764129">
      <w:pPr>
        <w:pStyle w:val="Item"/>
      </w:pPr>
      <w:r w:rsidRPr="00D141FC">
        <w:t>Repeal the regulation, substitute:</w:t>
      </w:r>
    </w:p>
    <w:p w:rsidR="00764129" w:rsidRPr="00D141FC" w:rsidRDefault="00764129" w:rsidP="00764129">
      <w:pPr>
        <w:pStyle w:val="ActHead5"/>
      </w:pPr>
      <w:bookmarkStart w:id="68" w:name="_Toc3993212"/>
      <w:r w:rsidRPr="00D141FC">
        <w:rPr>
          <w:rStyle w:val="CharSectno"/>
        </w:rPr>
        <w:t>6</w:t>
      </w:r>
      <w:r w:rsidR="00A07EDA" w:rsidRPr="00D141FC">
        <w:rPr>
          <w:rStyle w:val="CharSectno"/>
        </w:rPr>
        <w:t>.</w:t>
      </w:r>
      <w:r w:rsidRPr="00D141FC">
        <w:rPr>
          <w:rStyle w:val="CharSectno"/>
        </w:rPr>
        <w:t>2</w:t>
      </w:r>
      <w:r w:rsidRPr="00D141FC">
        <w:t xml:space="preserve">  Internal review</w:t>
      </w:r>
      <w:bookmarkEnd w:id="68"/>
    </w:p>
    <w:p w:rsidR="00851BD4" w:rsidRPr="00D141FC" w:rsidRDefault="00851BD4" w:rsidP="00851BD4">
      <w:pPr>
        <w:pStyle w:val="SubsectionHead"/>
      </w:pPr>
      <w:r w:rsidRPr="00D141FC">
        <w:t>Initial internal review</w:t>
      </w:r>
    </w:p>
    <w:p w:rsidR="004955A7" w:rsidRPr="00D141FC" w:rsidRDefault="00851BD4" w:rsidP="00851BD4">
      <w:pPr>
        <w:pStyle w:val="subsection"/>
      </w:pPr>
      <w:r w:rsidRPr="00D141FC">
        <w:tab/>
        <w:t>(1)</w:t>
      </w:r>
      <w:r w:rsidRPr="00D141FC">
        <w:tab/>
      </w:r>
      <w:r w:rsidR="004955A7" w:rsidRPr="00D141FC">
        <w:t>If a reviewable decision is made about a person, the person may apply in writing to the Secretary for review of the reviewable decision.</w:t>
      </w:r>
    </w:p>
    <w:p w:rsidR="00764129" w:rsidRPr="00D141FC" w:rsidRDefault="00764129" w:rsidP="00764129">
      <w:pPr>
        <w:pStyle w:val="subsection"/>
      </w:pPr>
      <w:r w:rsidRPr="00D141FC">
        <w:tab/>
        <w:t>(2)</w:t>
      </w:r>
      <w:r w:rsidRPr="00D141FC">
        <w:tab/>
        <w:t>The application must:</w:t>
      </w:r>
    </w:p>
    <w:p w:rsidR="00764129" w:rsidRPr="00D141FC" w:rsidRDefault="00764129" w:rsidP="00851BD4">
      <w:pPr>
        <w:pStyle w:val="paragraph"/>
      </w:pPr>
      <w:r w:rsidRPr="00D141FC">
        <w:tab/>
        <w:t>(a)</w:t>
      </w:r>
      <w:r w:rsidRPr="00D141FC">
        <w:tab/>
        <w:t>be made within:</w:t>
      </w:r>
    </w:p>
    <w:p w:rsidR="00851BD4" w:rsidRPr="00D141FC" w:rsidRDefault="00851BD4" w:rsidP="00851BD4">
      <w:pPr>
        <w:pStyle w:val="paragraphsub"/>
      </w:pPr>
      <w:r w:rsidRPr="00D141FC">
        <w:tab/>
        <w:t>(i)</w:t>
      </w:r>
      <w:r w:rsidRPr="00D141FC">
        <w:tab/>
        <w:t>14 days after the applicant received notice under these Regulations of the reviewable decision; or</w:t>
      </w:r>
    </w:p>
    <w:p w:rsidR="00764129" w:rsidRPr="00D141FC" w:rsidRDefault="00764129" w:rsidP="00851BD4">
      <w:pPr>
        <w:pStyle w:val="paragraphsub"/>
      </w:pPr>
      <w:r w:rsidRPr="00D141FC">
        <w:tab/>
        <w:t>(ii)</w:t>
      </w:r>
      <w:r w:rsidRPr="00D141FC">
        <w:tab/>
      </w:r>
      <w:r w:rsidR="00851BD4" w:rsidRPr="00D141FC">
        <w:t>any longer</w:t>
      </w:r>
      <w:r w:rsidRPr="00D141FC">
        <w:t xml:space="preserve"> period allowed by the Secretary; and</w:t>
      </w:r>
    </w:p>
    <w:p w:rsidR="00764129" w:rsidRPr="00D141FC" w:rsidRDefault="00764129" w:rsidP="00851BD4">
      <w:pPr>
        <w:pStyle w:val="paragraph"/>
      </w:pPr>
      <w:r w:rsidRPr="00D141FC">
        <w:tab/>
        <w:t>(b)</w:t>
      </w:r>
      <w:r w:rsidRPr="00D141FC">
        <w:tab/>
        <w:t xml:space="preserve">set out the </w:t>
      </w:r>
      <w:r w:rsidR="00851BD4" w:rsidRPr="00D141FC">
        <w:t>reasons for making the application</w:t>
      </w:r>
      <w:r w:rsidR="00A07EDA" w:rsidRPr="00D141FC">
        <w:t>.</w:t>
      </w:r>
    </w:p>
    <w:p w:rsidR="00851BD4" w:rsidRPr="00D141FC" w:rsidRDefault="00851BD4" w:rsidP="00851BD4">
      <w:pPr>
        <w:pStyle w:val="subsection"/>
      </w:pPr>
      <w:r w:rsidRPr="00D141FC">
        <w:tab/>
        <w:t>(3)</w:t>
      </w:r>
      <w:r w:rsidRPr="00D141FC">
        <w:tab/>
        <w:t xml:space="preserve">The following person (the </w:t>
      </w:r>
      <w:r w:rsidRPr="00D141FC">
        <w:rPr>
          <w:b/>
          <w:i/>
        </w:rPr>
        <w:t>initial reviewer</w:t>
      </w:r>
      <w:r w:rsidRPr="00D141FC">
        <w:t>):</w:t>
      </w:r>
    </w:p>
    <w:p w:rsidR="00851BD4" w:rsidRPr="00D141FC" w:rsidRDefault="00851BD4" w:rsidP="00851BD4">
      <w:pPr>
        <w:pStyle w:val="paragraph"/>
      </w:pPr>
      <w:r w:rsidRPr="00D141FC">
        <w:tab/>
        <w:t>(a)</w:t>
      </w:r>
      <w:r w:rsidRPr="00D141FC">
        <w:tab/>
        <w:t>if the original decision maker of the reviewable decision is available—that person;</w:t>
      </w:r>
    </w:p>
    <w:p w:rsidR="00851BD4" w:rsidRPr="00D141FC" w:rsidRDefault="00851BD4" w:rsidP="00851BD4">
      <w:pPr>
        <w:pStyle w:val="paragraph"/>
      </w:pPr>
      <w:r w:rsidRPr="00D141FC">
        <w:tab/>
        <w:t>(b)</w:t>
      </w:r>
      <w:r w:rsidRPr="00D141FC">
        <w:tab/>
        <w:t>otherwise—a</w:t>
      </w:r>
      <w:r w:rsidR="00582045" w:rsidRPr="00D141FC">
        <w:t xml:space="preserve"> person authorised under subregulation</w:t>
      </w:r>
      <w:r w:rsidR="00D141FC" w:rsidRPr="00D141FC">
        <w:t> </w:t>
      </w:r>
      <w:r w:rsidR="00582045" w:rsidRPr="00D141FC">
        <w:t>(6)</w:t>
      </w:r>
      <w:r w:rsidRPr="00D141FC">
        <w:t>;</w:t>
      </w:r>
    </w:p>
    <w:p w:rsidR="00851BD4" w:rsidRPr="00D141FC" w:rsidRDefault="00851BD4" w:rsidP="00851BD4">
      <w:pPr>
        <w:pStyle w:val="subsection2"/>
      </w:pPr>
      <w:r w:rsidRPr="00D141FC">
        <w:t>must, within 14 days after receiving the application:</w:t>
      </w:r>
    </w:p>
    <w:p w:rsidR="00851BD4" w:rsidRPr="00D141FC" w:rsidRDefault="00851BD4" w:rsidP="00851BD4">
      <w:pPr>
        <w:pStyle w:val="paragraph"/>
      </w:pPr>
      <w:r w:rsidRPr="00D141FC">
        <w:tab/>
        <w:t>(c)</w:t>
      </w:r>
      <w:r w:rsidRPr="00D141FC">
        <w:tab/>
        <w:t xml:space="preserve">review the reviewable decision and decide (the </w:t>
      </w:r>
      <w:r w:rsidRPr="00D141FC">
        <w:rPr>
          <w:b/>
          <w:i/>
        </w:rPr>
        <w:t>initial review decision</w:t>
      </w:r>
      <w:r w:rsidRPr="00D141FC">
        <w:t>):</w:t>
      </w:r>
    </w:p>
    <w:p w:rsidR="00851BD4" w:rsidRPr="00D141FC" w:rsidRDefault="00851BD4" w:rsidP="00851BD4">
      <w:pPr>
        <w:pStyle w:val="paragraphsub"/>
      </w:pPr>
      <w:r w:rsidRPr="00D141FC">
        <w:tab/>
        <w:t>(i)</w:t>
      </w:r>
      <w:r w:rsidRPr="00D141FC">
        <w:tab/>
        <w:t>to affirm or vary the reviewable decision; or</w:t>
      </w:r>
    </w:p>
    <w:p w:rsidR="00851BD4" w:rsidRPr="00D141FC" w:rsidRDefault="00851BD4" w:rsidP="00851BD4">
      <w:pPr>
        <w:pStyle w:val="paragraphsub"/>
      </w:pPr>
      <w:r w:rsidRPr="00D141FC">
        <w:tab/>
        <w:t>(ii)</w:t>
      </w:r>
      <w:r w:rsidRPr="00D141FC">
        <w:tab/>
        <w:t>to revoke the reviewable decision, and make any other decision that the initial reviewer thinks appropriate; and</w:t>
      </w:r>
    </w:p>
    <w:p w:rsidR="00851BD4" w:rsidRPr="00D141FC" w:rsidRDefault="00851BD4" w:rsidP="00851BD4">
      <w:pPr>
        <w:pStyle w:val="paragraph"/>
      </w:pPr>
      <w:r w:rsidRPr="00D141FC">
        <w:tab/>
        <w:t>(d)</w:t>
      </w:r>
      <w:r w:rsidRPr="00D141FC">
        <w:tab/>
        <w:t>give written notice to the applicant of the initial review decision</w:t>
      </w:r>
      <w:r w:rsidR="00A07EDA" w:rsidRPr="00D141FC">
        <w:t>.</w:t>
      </w:r>
    </w:p>
    <w:p w:rsidR="00851BD4" w:rsidRPr="00D141FC" w:rsidRDefault="00851BD4" w:rsidP="00851BD4">
      <w:pPr>
        <w:pStyle w:val="SubsectionHead"/>
      </w:pPr>
      <w:r w:rsidRPr="00D141FC">
        <w:t>Further internal review</w:t>
      </w:r>
    </w:p>
    <w:p w:rsidR="00851BD4" w:rsidRPr="00D141FC" w:rsidRDefault="00851BD4" w:rsidP="00851BD4">
      <w:pPr>
        <w:pStyle w:val="subsection"/>
      </w:pPr>
      <w:r w:rsidRPr="00D141FC">
        <w:tab/>
        <w:t>(4)</w:t>
      </w:r>
      <w:r w:rsidRPr="00D141FC">
        <w:tab/>
        <w:t xml:space="preserve">The applicant may, within 14 days after receiving notice under </w:t>
      </w:r>
      <w:r w:rsidR="00D141FC" w:rsidRPr="00D141FC">
        <w:t>paragraph (</w:t>
      </w:r>
      <w:r w:rsidRPr="00D141FC">
        <w:t>3)(d), request in writing to the Secretary, in accordance with the notice, that the Secretary review the initial review decision</w:t>
      </w:r>
      <w:r w:rsidR="00A07EDA" w:rsidRPr="00D141FC">
        <w:t>.</w:t>
      </w:r>
    </w:p>
    <w:p w:rsidR="00764129" w:rsidRPr="00D141FC" w:rsidRDefault="00851BD4" w:rsidP="00764129">
      <w:pPr>
        <w:pStyle w:val="subsection"/>
      </w:pPr>
      <w:r w:rsidRPr="00D141FC">
        <w:tab/>
        <w:t>(5)</w:t>
      </w:r>
      <w:r w:rsidRPr="00D141FC">
        <w:tab/>
        <w:t>The Secretary, or a person authorised under subregulation</w:t>
      </w:r>
      <w:r w:rsidR="00D141FC" w:rsidRPr="00D141FC">
        <w:t> </w:t>
      </w:r>
      <w:r w:rsidRPr="00D141FC">
        <w:t xml:space="preserve">(6), (the </w:t>
      </w:r>
      <w:r w:rsidRPr="00D141FC">
        <w:rPr>
          <w:b/>
          <w:i/>
        </w:rPr>
        <w:t>further reviewer</w:t>
      </w:r>
      <w:r w:rsidRPr="00D141FC">
        <w:t xml:space="preserve">) </w:t>
      </w:r>
      <w:r w:rsidR="00764129" w:rsidRPr="00D141FC">
        <w:t>must</w:t>
      </w:r>
      <w:r w:rsidRPr="00D141FC">
        <w:t>, within</w:t>
      </w:r>
      <w:r w:rsidR="00764129" w:rsidRPr="00D141FC">
        <w:t xml:space="preserve"> 14 days after receiving </w:t>
      </w:r>
      <w:r w:rsidRPr="00D141FC">
        <w:t>the request:</w:t>
      </w:r>
    </w:p>
    <w:p w:rsidR="00851BD4" w:rsidRPr="00D141FC" w:rsidRDefault="00851BD4" w:rsidP="00851BD4">
      <w:pPr>
        <w:pStyle w:val="paragraph"/>
      </w:pPr>
      <w:r w:rsidRPr="00D141FC">
        <w:tab/>
        <w:t>(a)</w:t>
      </w:r>
      <w:r w:rsidRPr="00D141FC">
        <w:tab/>
        <w:t xml:space="preserve">review the </w:t>
      </w:r>
      <w:r w:rsidR="00BA55C7" w:rsidRPr="00D141FC">
        <w:t>initial</w:t>
      </w:r>
      <w:r w:rsidRPr="00D141FC">
        <w:t xml:space="preserve"> review decision and decide (the </w:t>
      </w:r>
      <w:r w:rsidRPr="00D141FC">
        <w:rPr>
          <w:b/>
          <w:i/>
        </w:rPr>
        <w:t>further review decision</w:t>
      </w:r>
      <w:r w:rsidRPr="00D141FC">
        <w:t>):</w:t>
      </w:r>
    </w:p>
    <w:p w:rsidR="00851BD4" w:rsidRPr="00D141FC" w:rsidRDefault="00851BD4" w:rsidP="00851BD4">
      <w:pPr>
        <w:pStyle w:val="paragraphsub"/>
      </w:pPr>
      <w:r w:rsidRPr="00D141FC">
        <w:tab/>
        <w:t>(i)</w:t>
      </w:r>
      <w:r w:rsidRPr="00D141FC">
        <w:tab/>
        <w:t>to affirm or vary the initial review decision; or</w:t>
      </w:r>
    </w:p>
    <w:p w:rsidR="00851BD4" w:rsidRPr="00D141FC" w:rsidRDefault="00851BD4" w:rsidP="00851BD4">
      <w:pPr>
        <w:pStyle w:val="paragraphsub"/>
      </w:pPr>
      <w:r w:rsidRPr="00D141FC">
        <w:tab/>
        <w:t>(ii)</w:t>
      </w:r>
      <w:r w:rsidRPr="00D141FC">
        <w:tab/>
        <w:t xml:space="preserve">to revoke the </w:t>
      </w:r>
      <w:r w:rsidR="004955A7" w:rsidRPr="00D141FC">
        <w:t>initial</w:t>
      </w:r>
      <w:r w:rsidRPr="00D141FC">
        <w:t xml:space="preserve"> review decision, and make any other decision that the further reviewer thinks appropriate; and</w:t>
      </w:r>
    </w:p>
    <w:p w:rsidR="00851BD4" w:rsidRPr="00D141FC" w:rsidRDefault="00851BD4" w:rsidP="00851BD4">
      <w:pPr>
        <w:pStyle w:val="paragraph"/>
      </w:pPr>
      <w:r w:rsidRPr="00D141FC">
        <w:tab/>
        <w:t>(b)</w:t>
      </w:r>
      <w:r w:rsidRPr="00D141FC">
        <w:tab/>
        <w:t>give written notice to the applicant of the further review decision</w:t>
      </w:r>
      <w:r w:rsidR="00A07EDA" w:rsidRPr="00D141FC">
        <w:t>.</w:t>
      </w:r>
    </w:p>
    <w:p w:rsidR="00E206E6" w:rsidRPr="00D141FC" w:rsidRDefault="00E206E6" w:rsidP="00E206E6">
      <w:pPr>
        <w:pStyle w:val="SubsectionHead"/>
      </w:pPr>
      <w:r w:rsidRPr="00D141FC">
        <w:t>Persons authorised by the Secretary</w:t>
      </w:r>
    </w:p>
    <w:p w:rsidR="00582045" w:rsidRPr="00D141FC" w:rsidRDefault="00582045" w:rsidP="00582045">
      <w:pPr>
        <w:pStyle w:val="subsection"/>
      </w:pPr>
      <w:r w:rsidRPr="00D141FC">
        <w:tab/>
        <w:t>(6)</w:t>
      </w:r>
      <w:r w:rsidRPr="00D141FC">
        <w:tab/>
        <w:t>For the purposes of subregulation</w:t>
      </w:r>
      <w:r w:rsidR="00D141FC" w:rsidRPr="00D141FC">
        <w:t> </w:t>
      </w:r>
      <w:r w:rsidRPr="00D141FC">
        <w:t>(3) or (5), the Secretary may in writing authorise an SES employee, or acting SES employee, in the Department to act under that subregulation</w:t>
      </w:r>
      <w:r w:rsidR="00A07EDA" w:rsidRPr="00D141FC">
        <w:t>.</w:t>
      </w:r>
    </w:p>
    <w:p w:rsidR="00AC4504" w:rsidRPr="00D141FC" w:rsidRDefault="00582045" w:rsidP="00AC4504">
      <w:pPr>
        <w:pStyle w:val="subsection"/>
      </w:pPr>
      <w:r w:rsidRPr="00D141FC">
        <w:tab/>
        <w:t>(7)</w:t>
      </w:r>
      <w:r w:rsidRPr="00D141FC">
        <w:tab/>
        <w:t xml:space="preserve">However, </w:t>
      </w:r>
      <w:r w:rsidR="00BA55C7" w:rsidRPr="00D141FC">
        <w:t xml:space="preserve">disregard </w:t>
      </w:r>
      <w:r w:rsidRPr="00D141FC">
        <w:t xml:space="preserve">a person’s authorisation </w:t>
      </w:r>
      <w:r w:rsidR="00BA55C7" w:rsidRPr="00D141FC">
        <w:t>for the purposes of</w:t>
      </w:r>
      <w:r w:rsidRPr="00D141FC">
        <w:t xml:space="preserve"> subregulation</w:t>
      </w:r>
      <w:r w:rsidR="00D141FC" w:rsidRPr="00D141FC">
        <w:t> </w:t>
      </w:r>
      <w:r w:rsidRPr="00D141FC">
        <w:t>(</w:t>
      </w:r>
      <w:r w:rsidR="00BA55C7" w:rsidRPr="00D141FC">
        <w:t>5</w:t>
      </w:r>
      <w:r w:rsidRPr="00D141FC">
        <w:t xml:space="preserve">) </w:t>
      </w:r>
      <w:r w:rsidR="00AC4504" w:rsidRPr="00D141FC">
        <w:t xml:space="preserve">if the person was involved in </w:t>
      </w:r>
      <w:r w:rsidRPr="00D141FC">
        <w:t>mak</w:t>
      </w:r>
      <w:r w:rsidR="00AC4504" w:rsidRPr="00D141FC">
        <w:t>ing:</w:t>
      </w:r>
    </w:p>
    <w:p w:rsidR="00582045" w:rsidRPr="00D141FC" w:rsidRDefault="00BA55C7" w:rsidP="00AC4504">
      <w:pPr>
        <w:pStyle w:val="paragraph"/>
      </w:pPr>
      <w:r w:rsidRPr="00D141FC">
        <w:tab/>
        <w:t>(a</w:t>
      </w:r>
      <w:r w:rsidR="00AC4504" w:rsidRPr="00D141FC">
        <w:t>)</w:t>
      </w:r>
      <w:r w:rsidR="00AC4504" w:rsidRPr="00D141FC">
        <w:tab/>
        <w:t>the initial review decision</w:t>
      </w:r>
      <w:r w:rsidRPr="00D141FC">
        <w:t>; or</w:t>
      </w:r>
    </w:p>
    <w:p w:rsidR="00582045" w:rsidRPr="00D141FC" w:rsidRDefault="00BA55C7" w:rsidP="00BA55C7">
      <w:pPr>
        <w:pStyle w:val="paragraph"/>
      </w:pPr>
      <w:r w:rsidRPr="00D141FC">
        <w:tab/>
        <w:t>(b)</w:t>
      </w:r>
      <w:r w:rsidRPr="00D141FC">
        <w:tab/>
        <w:t xml:space="preserve">the reviewable decision </w:t>
      </w:r>
      <w:r w:rsidR="00C225E1" w:rsidRPr="00D141FC">
        <w:t>from</w:t>
      </w:r>
      <w:r w:rsidRPr="00D141FC">
        <w:t xml:space="preserve"> which the initial review decision was made</w:t>
      </w:r>
      <w:r w:rsidR="00A07EDA" w:rsidRPr="00D141FC">
        <w:t>.</w:t>
      </w:r>
    </w:p>
    <w:p w:rsidR="00E206E6" w:rsidRPr="00D141FC" w:rsidRDefault="00E206E6" w:rsidP="00E206E6">
      <w:pPr>
        <w:pStyle w:val="SubsectionHead"/>
      </w:pPr>
      <w:r w:rsidRPr="00D141FC">
        <w:t>Discretion to suspend any services to which the review relates</w:t>
      </w:r>
    </w:p>
    <w:p w:rsidR="00764129" w:rsidRPr="00D141FC" w:rsidRDefault="000E0131" w:rsidP="00764129">
      <w:pPr>
        <w:pStyle w:val="subsection"/>
      </w:pPr>
      <w:r w:rsidRPr="00D141FC">
        <w:tab/>
        <w:t>(8</w:t>
      </w:r>
      <w:r w:rsidR="00D47AEF" w:rsidRPr="00D141FC">
        <w:t>)</w:t>
      </w:r>
      <w:r w:rsidR="00D47AEF" w:rsidRPr="00D141FC">
        <w:tab/>
        <w:t>While an application or request for review is being considered under this regulation, t</w:t>
      </w:r>
      <w:r w:rsidR="00764129" w:rsidRPr="00D141FC">
        <w:t xml:space="preserve">he </w:t>
      </w:r>
      <w:r w:rsidR="00FA21C7" w:rsidRPr="00D141FC">
        <w:t>Commonwealth</w:t>
      </w:r>
      <w:r w:rsidR="00764129" w:rsidRPr="00D141FC">
        <w:t xml:space="preserve"> may suspend any </w:t>
      </w:r>
      <w:r w:rsidR="00FA21C7" w:rsidRPr="00D141FC">
        <w:t>services</w:t>
      </w:r>
      <w:r w:rsidR="00764129" w:rsidRPr="00D141FC">
        <w:t xml:space="preserve"> </w:t>
      </w:r>
      <w:r w:rsidR="009268C9" w:rsidRPr="00D141FC">
        <w:t xml:space="preserve">under these Regulations </w:t>
      </w:r>
      <w:r w:rsidR="00764129" w:rsidRPr="00D141FC">
        <w:t>to which the review</w:t>
      </w:r>
      <w:r w:rsidR="009268C9" w:rsidRPr="00D141FC">
        <w:t>able decision</w:t>
      </w:r>
      <w:r w:rsidR="00D47AEF" w:rsidRPr="00D141FC">
        <w:t xml:space="preserve"> relates</w:t>
      </w:r>
      <w:r w:rsidR="00A07EDA" w:rsidRPr="00D141FC">
        <w:t>.</w:t>
      </w:r>
    </w:p>
    <w:p w:rsidR="00DF49B5" w:rsidRPr="00D141FC" w:rsidRDefault="00DF49B5" w:rsidP="00DF49B5">
      <w:pPr>
        <w:pStyle w:val="ItemHead"/>
      </w:pPr>
      <w:r w:rsidRPr="00D141FC">
        <w:t>44  Regulation</w:t>
      </w:r>
      <w:r w:rsidR="00D141FC" w:rsidRPr="00D141FC">
        <w:t> </w:t>
      </w:r>
      <w:r w:rsidRPr="00D141FC">
        <w:t>6.3</w:t>
      </w:r>
    </w:p>
    <w:p w:rsidR="00DF49B5" w:rsidRPr="00D141FC" w:rsidRDefault="00DF49B5" w:rsidP="00DF49B5">
      <w:pPr>
        <w:pStyle w:val="Item"/>
      </w:pPr>
      <w:r w:rsidRPr="00D141FC">
        <w:t>Repeal the regulation, substitute:</w:t>
      </w:r>
    </w:p>
    <w:p w:rsidR="00DF49B5" w:rsidRPr="00D141FC" w:rsidRDefault="00DF49B5" w:rsidP="00DF49B5">
      <w:pPr>
        <w:pStyle w:val="ActHead5"/>
      </w:pPr>
      <w:bookmarkStart w:id="69" w:name="_Toc3993213"/>
      <w:r w:rsidRPr="00D141FC">
        <w:rPr>
          <w:rStyle w:val="CharSectno"/>
        </w:rPr>
        <w:t>6.3</w:t>
      </w:r>
      <w:r w:rsidRPr="00D141FC">
        <w:t xml:space="preserve">  Internal review—Secretary</w:t>
      </w:r>
      <w:bookmarkEnd w:id="69"/>
    </w:p>
    <w:p w:rsidR="00DF49B5" w:rsidRPr="00D141FC" w:rsidRDefault="00DF49B5" w:rsidP="00DF49B5">
      <w:pPr>
        <w:pStyle w:val="subsection"/>
      </w:pPr>
      <w:r w:rsidRPr="00D141FC">
        <w:tab/>
        <w:t>(1)</w:t>
      </w:r>
      <w:r w:rsidRPr="00D141FC">
        <w:tab/>
        <w:t>The Secretary may, at any time, initiate a review of a reviewable decision (other than an earlier decision under subregulation</w:t>
      </w:r>
      <w:r w:rsidR="00D141FC" w:rsidRPr="00D141FC">
        <w:t> </w:t>
      </w:r>
      <w:r w:rsidRPr="00D141FC">
        <w:t>(2)).</w:t>
      </w:r>
    </w:p>
    <w:p w:rsidR="00DF49B5" w:rsidRPr="00D141FC" w:rsidRDefault="00DF49B5" w:rsidP="00DF49B5">
      <w:pPr>
        <w:pStyle w:val="notetext"/>
      </w:pPr>
      <w:r w:rsidRPr="00D141FC">
        <w:t>Note:</w:t>
      </w:r>
      <w:r w:rsidRPr="00D141FC">
        <w:tab/>
        <w:t>The review could be initiated by a delegate of the Secretary (see subsection</w:t>
      </w:r>
      <w:r w:rsidR="00D141FC" w:rsidRPr="00D141FC">
        <w:t> </w:t>
      </w:r>
      <w:r w:rsidRPr="00D141FC">
        <w:t>6(5) of the Act).</w:t>
      </w:r>
    </w:p>
    <w:p w:rsidR="00DF49B5" w:rsidRPr="00D141FC" w:rsidRDefault="00DF49B5" w:rsidP="00DF49B5">
      <w:pPr>
        <w:pStyle w:val="subsection"/>
      </w:pPr>
      <w:r w:rsidRPr="00D141FC">
        <w:tab/>
        <w:t>(2)</w:t>
      </w:r>
      <w:r w:rsidRPr="00D141FC">
        <w:tab/>
        <w:t>The Secretary may:</w:t>
      </w:r>
    </w:p>
    <w:p w:rsidR="00DF49B5" w:rsidRPr="00D141FC" w:rsidRDefault="00DF49B5" w:rsidP="00DF49B5">
      <w:pPr>
        <w:pStyle w:val="paragraph"/>
      </w:pPr>
      <w:r w:rsidRPr="00D141FC">
        <w:tab/>
        <w:t>(a)</w:t>
      </w:r>
      <w:r w:rsidRPr="00D141FC">
        <w:tab/>
        <w:t>affirm, vary or revoke the decision; and</w:t>
      </w:r>
    </w:p>
    <w:p w:rsidR="00DF49B5" w:rsidRPr="00D141FC" w:rsidRDefault="00DF49B5" w:rsidP="00DF49B5">
      <w:pPr>
        <w:pStyle w:val="paragraph"/>
      </w:pPr>
      <w:r w:rsidRPr="00D141FC">
        <w:tab/>
        <w:t>(b)</w:t>
      </w:r>
      <w:r w:rsidRPr="00D141FC">
        <w:tab/>
        <w:t>if the Secretary revokes the decision—make any other decision the Secretary thinks appropriate.</w:t>
      </w:r>
    </w:p>
    <w:p w:rsidR="00DF49B5" w:rsidRPr="00D141FC" w:rsidRDefault="00DF49B5" w:rsidP="00DF49B5">
      <w:pPr>
        <w:pStyle w:val="notetext"/>
      </w:pPr>
      <w:r w:rsidRPr="00D141FC">
        <w:t>Note:</w:t>
      </w:r>
      <w:r w:rsidRPr="00D141FC">
        <w:tab/>
        <w:t>Notice must be given of a decision under this subregulation</w:t>
      </w:r>
      <w:r w:rsidR="00D141FC" w:rsidRPr="00D141FC">
        <w:t> </w:t>
      </w:r>
      <w:r w:rsidRPr="00D141FC">
        <w:t>(see subregulation</w:t>
      </w:r>
      <w:r w:rsidR="00D141FC" w:rsidRPr="00D141FC">
        <w:t> </w:t>
      </w:r>
      <w:r w:rsidRPr="00D141FC">
        <w:t>6.1(1)).</w:t>
      </w:r>
    </w:p>
    <w:p w:rsidR="00D50794" w:rsidRPr="00D141FC" w:rsidRDefault="00F9708D" w:rsidP="00D50794">
      <w:pPr>
        <w:pStyle w:val="ItemHead"/>
      </w:pPr>
      <w:r w:rsidRPr="00D141FC">
        <w:t>45</w:t>
      </w:r>
      <w:r w:rsidR="003B1BF2" w:rsidRPr="00D141FC">
        <w:t xml:space="preserve">  </w:t>
      </w:r>
      <w:r w:rsidR="00D50794" w:rsidRPr="00D141FC">
        <w:t>Regulation</w:t>
      </w:r>
      <w:r w:rsidR="00D141FC" w:rsidRPr="00D141FC">
        <w:t> </w:t>
      </w:r>
      <w:r w:rsidR="00D50794" w:rsidRPr="00D141FC">
        <w:t>6.4</w:t>
      </w:r>
    </w:p>
    <w:p w:rsidR="00D50794" w:rsidRPr="00D141FC" w:rsidRDefault="00D50794" w:rsidP="00D50794">
      <w:pPr>
        <w:pStyle w:val="Item"/>
      </w:pPr>
      <w:r w:rsidRPr="00D141FC">
        <w:t>Repeal the regulation, substitute:</w:t>
      </w:r>
    </w:p>
    <w:p w:rsidR="005F1EDA" w:rsidRPr="00D141FC" w:rsidRDefault="005F1EDA" w:rsidP="005F1EDA">
      <w:pPr>
        <w:pStyle w:val="ActHead5"/>
      </w:pPr>
      <w:bookmarkStart w:id="70" w:name="_Toc3993214"/>
      <w:r w:rsidRPr="00D141FC">
        <w:rPr>
          <w:rStyle w:val="CharSectno"/>
        </w:rPr>
        <w:t>6.4</w:t>
      </w:r>
      <w:r w:rsidRPr="00D141FC">
        <w:t xml:space="preserve">  Notice of fee adjustment</w:t>
      </w:r>
      <w:bookmarkEnd w:id="70"/>
    </w:p>
    <w:p w:rsidR="00D50794" w:rsidRPr="00D141FC" w:rsidRDefault="005F1EDA" w:rsidP="005F1EDA">
      <w:pPr>
        <w:pStyle w:val="subsection"/>
      </w:pPr>
      <w:r w:rsidRPr="00D141FC">
        <w:tab/>
      </w:r>
      <w:r w:rsidRPr="00D141FC">
        <w:tab/>
        <w:t>If a person has underpaid or overpaid a fee as a result of a decision made under the following provisions, the Secretary must, within 28</w:t>
      </w:r>
      <w:r w:rsidR="00813276" w:rsidRPr="00D141FC">
        <w:t xml:space="preserve"> </w:t>
      </w:r>
      <w:r w:rsidRPr="00D141FC">
        <w:t>days after making the decision, notify the person accordingly:</w:t>
      </w:r>
    </w:p>
    <w:p w:rsidR="003B1BF2" w:rsidRPr="00D141FC" w:rsidRDefault="003B1BF2" w:rsidP="003B1BF2">
      <w:pPr>
        <w:pStyle w:val="paragraph"/>
      </w:pPr>
      <w:r w:rsidRPr="00D141FC">
        <w:tab/>
        <w:t>(a)</w:t>
      </w:r>
      <w:r w:rsidRPr="00D141FC">
        <w:tab/>
        <w:t>paragraph</w:t>
      </w:r>
      <w:r w:rsidR="00D141FC" w:rsidRPr="00D141FC">
        <w:t> </w:t>
      </w:r>
      <w:r w:rsidRPr="00D141FC">
        <w:t>6</w:t>
      </w:r>
      <w:r w:rsidR="00A07EDA" w:rsidRPr="00D141FC">
        <w:t>.</w:t>
      </w:r>
      <w:r w:rsidRPr="00D141FC">
        <w:t>2(3)(c) (an initial review decision);</w:t>
      </w:r>
    </w:p>
    <w:p w:rsidR="003B1BF2" w:rsidRPr="00D141FC" w:rsidRDefault="003B1BF2" w:rsidP="003B1BF2">
      <w:pPr>
        <w:pStyle w:val="paragraph"/>
      </w:pPr>
      <w:r w:rsidRPr="00D141FC">
        <w:tab/>
        <w:t>(b)</w:t>
      </w:r>
      <w:r w:rsidRPr="00D141FC">
        <w:tab/>
        <w:t>paragraph</w:t>
      </w:r>
      <w:r w:rsidR="00D141FC" w:rsidRPr="00D141FC">
        <w:t> </w:t>
      </w:r>
      <w:r w:rsidRPr="00D141FC">
        <w:t>6</w:t>
      </w:r>
      <w:r w:rsidR="00A07EDA" w:rsidRPr="00D141FC">
        <w:t>.</w:t>
      </w:r>
      <w:r w:rsidRPr="00D141FC">
        <w:t>2(5)(a) (a further review decision);</w:t>
      </w:r>
    </w:p>
    <w:p w:rsidR="003B1BF2" w:rsidRPr="00D141FC" w:rsidRDefault="003B1BF2" w:rsidP="003B1BF2">
      <w:pPr>
        <w:pStyle w:val="paragraph"/>
      </w:pPr>
      <w:r w:rsidRPr="00D141FC">
        <w:tab/>
        <w:t>(c)</w:t>
      </w:r>
      <w:r w:rsidRPr="00D141FC">
        <w:tab/>
        <w:t>subregulation</w:t>
      </w:r>
      <w:r w:rsidR="00D141FC" w:rsidRPr="00D141FC">
        <w:t> </w:t>
      </w:r>
      <w:r w:rsidRPr="00D141FC">
        <w:t>6</w:t>
      </w:r>
      <w:r w:rsidR="00A07EDA" w:rsidRPr="00D141FC">
        <w:t>.</w:t>
      </w:r>
      <w:r w:rsidRPr="00D141FC">
        <w:t>3(2) (a Secretary</w:t>
      </w:r>
      <w:r w:rsidR="00D141FC">
        <w:noBreakHyphen/>
      </w:r>
      <w:r w:rsidRPr="00D141FC">
        <w:t>initiated review decision)</w:t>
      </w:r>
      <w:r w:rsidR="00A07EDA" w:rsidRPr="00D141FC">
        <w:t>.</w:t>
      </w:r>
    </w:p>
    <w:p w:rsidR="005F1EDA" w:rsidRPr="00D141FC" w:rsidRDefault="005F1EDA" w:rsidP="005F1EDA">
      <w:pPr>
        <w:pStyle w:val="notetext"/>
      </w:pPr>
      <w:r w:rsidRPr="00D141FC">
        <w:t>Note:</w:t>
      </w:r>
      <w:r w:rsidRPr="00D141FC">
        <w:tab/>
        <w:t>A further payment, or a refund, will then be required (see subregulations 4.1(3) and (4)).</w:t>
      </w:r>
    </w:p>
    <w:p w:rsidR="00FA21C7" w:rsidRPr="00D141FC" w:rsidRDefault="00F9708D" w:rsidP="00FA21C7">
      <w:pPr>
        <w:pStyle w:val="ItemHead"/>
      </w:pPr>
      <w:r w:rsidRPr="00D141FC">
        <w:t>46</w:t>
      </w:r>
      <w:r w:rsidR="00FA21C7" w:rsidRPr="00D141FC">
        <w:t xml:space="preserve">  Regulation</w:t>
      </w:r>
      <w:r w:rsidR="00D141FC" w:rsidRPr="00D141FC">
        <w:t> </w:t>
      </w:r>
      <w:r w:rsidR="00FA21C7" w:rsidRPr="00D141FC">
        <w:t>6</w:t>
      </w:r>
      <w:r w:rsidR="00A07EDA" w:rsidRPr="00D141FC">
        <w:t>.</w:t>
      </w:r>
      <w:r w:rsidR="00FA21C7" w:rsidRPr="00D141FC">
        <w:t>5</w:t>
      </w:r>
    </w:p>
    <w:p w:rsidR="00FA21C7" w:rsidRPr="00D141FC" w:rsidRDefault="00FA21C7" w:rsidP="00FA21C7">
      <w:pPr>
        <w:pStyle w:val="Item"/>
      </w:pPr>
      <w:r w:rsidRPr="00D141FC">
        <w:t>Repeal the regulation, substitute:</w:t>
      </w:r>
    </w:p>
    <w:p w:rsidR="00FA21C7" w:rsidRPr="00D141FC" w:rsidRDefault="00FA21C7" w:rsidP="00FA21C7">
      <w:pPr>
        <w:pStyle w:val="ActHead5"/>
      </w:pPr>
      <w:bookmarkStart w:id="71" w:name="_Toc3993215"/>
      <w:r w:rsidRPr="00D141FC">
        <w:rPr>
          <w:rStyle w:val="CharSectno"/>
        </w:rPr>
        <w:t>6</w:t>
      </w:r>
      <w:r w:rsidR="00A07EDA" w:rsidRPr="00D141FC">
        <w:rPr>
          <w:rStyle w:val="CharSectno"/>
        </w:rPr>
        <w:t>.</w:t>
      </w:r>
      <w:r w:rsidRPr="00D141FC">
        <w:rPr>
          <w:rStyle w:val="CharSectno"/>
        </w:rPr>
        <w:t>5</w:t>
      </w:r>
      <w:r w:rsidRPr="00D141FC">
        <w:t xml:space="preserve">  Review by the Administrative Appeals Tribunal</w:t>
      </w:r>
      <w:bookmarkEnd w:id="71"/>
    </w:p>
    <w:p w:rsidR="00FA21C7" w:rsidRPr="00D141FC" w:rsidRDefault="00FA21C7" w:rsidP="00FA21C7">
      <w:pPr>
        <w:pStyle w:val="subsection"/>
      </w:pPr>
      <w:r w:rsidRPr="00D141FC">
        <w:tab/>
        <w:t>(1)</w:t>
      </w:r>
      <w:r w:rsidRPr="00D141FC">
        <w:tab/>
        <w:t>Applications may be made to the Administrative Appeals Tribunal for review of a decision under paragraph</w:t>
      </w:r>
      <w:r w:rsidR="00D141FC" w:rsidRPr="00D141FC">
        <w:t> </w:t>
      </w:r>
      <w:r w:rsidRPr="00D141FC">
        <w:t>6</w:t>
      </w:r>
      <w:r w:rsidR="00A07EDA" w:rsidRPr="00D141FC">
        <w:t>.</w:t>
      </w:r>
      <w:r w:rsidRPr="00D141FC">
        <w:t xml:space="preserve">2(5)(a) </w:t>
      </w:r>
      <w:r w:rsidR="007667AB" w:rsidRPr="00D141FC">
        <w:t>of</w:t>
      </w:r>
      <w:r w:rsidRPr="00D141FC">
        <w:t xml:space="preserve"> the further reviewer referred to in that paragraph</w:t>
      </w:r>
      <w:r w:rsidR="00A07EDA" w:rsidRPr="00D141FC">
        <w:t>.</w:t>
      </w:r>
    </w:p>
    <w:p w:rsidR="00FA21C7" w:rsidRPr="00D141FC" w:rsidRDefault="00FA21C7" w:rsidP="00FA21C7">
      <w:pPr>
        <w:pStyle w:val="subsection"/>
      </w:pPr>
      <w:r w:rsidRPr="00D141FC">
        <w:tab/>
        <w:t>(2)</w:t>
      </w:r>
      <w:r w:rsidRPr="00D141FC">
        <w:tab/>
      </w:r>
      <w:r w:rsidR="00D47AEF" w:rsidRPr="00D141FC">
        <w:t>While such an application is being considered by the Administrative Appeals Tribunal, t</w:t>
      </w:r>
      <w:r w:rsidRPr="00D141FC">
        <w:t>he Commonwealth may suspend any services under these Regulations to which the decision</w:t>
      </w:r>
      <w:r w:rsidR="00D47AEF" w:rsidRPr="00D141FC">
        <w:t xml:space="preserve"> relates</w:t>
      </w:r>
      <w:r w:rsidR="00A07EDA" w:rsidRPr="00D141FC">
        <w:t>.</w:t>
      </w:r>
    </w:p>
    <w:p w:rsidR="00EB263A" w:rsidRPr="00D141FC" w:rsidRDefault="00F9708D" w:rsidP="00EB263A">
      <w:pPr>
        <w:pStyle w:val="ItemHead"/>
      </w:pPr>
      <w:r w:rsidRPr="00D141FC">
        <w:t>47</w:t>
      </w:r>
      <w:r w:rsidR="00EB263A" w:rsidRPr="00D141FC">
        <w:t xml:space="preserve">  Part</w:t>
      </w:r>
      <w:r w:rsidR="00D141FC" w:rsidRPr="00D141FC">
        <w:t> </w:t>
      </w:r>
      <w:r w:rsidR="00EB263A" w:rsidRPr="00D141FC">
        <w:t>7 (heading)</w:t>
      </w:r>
    </w:p>
    <w:p w:rsidR="00EB263A" w:rsidRPr="00D141FC" w:rsidRDefault="00EB263A" w:rsidP="00EB263A">
      <w:pPr>
        <w:pStyle w:val="Item"/>
      </w:pPr>
      <w:r w:rsidRPr="00D141FC">
        <w:t>Repeal the heading, substitute:</w:t>
      </w:r>
    </w:p>
    <w:p w:rsidR="00EB263A" w:rsidRPr="00D141FC" w:rsidRDefault="00EB263A" w:rsidP="00EB263A">
      <w:pPr>
        <w:pStyle w:val="ActHead2"/>
      </w:pPr>
      <w:bookmarkStart w:id="72" w:name="f_Check_Lines_above"/>
      <w:bookmarkStart w:id="73" w:name="_Toc3993216"/>
      <w:bookmarkEnd w:id="72"/>
      <w:r w:rsidRPr="00D141FC">
        <w:rPr>
          <w:rStyle w:val="CharPartNo"/>
        </w:rPr>
        <w:t>Part</w:t>
      </w:r>
      <w:r w:rsidR="00D141FC" w:rsidRPr="00D141FC">
        <w:rPr>
          <w:rStyle w:val="CharPartNo"/>
        </w:rPr>
        <w:t> </w:t>
      </w:r>
      <w:r w:rsidRPr="00D141FC">
        <w:rPr>
          <w:rStyle w:val="CharPartNo"/>
        </w:rPr>
        <w:t>7</w:t>
      </w:r>
      <w:r w:rsidRPr="00D141FC">
        <w:t>—</w:t>
      </w:r>
      <w:r w:rsidRPr="00D141FC">
        <w:rPr>
          <w:rStyle w:val="CharPartText"/>
        </w:rPr>
        <w:t>Application and transitional provisions</w:t>
      </w:r>
      <w:bookmarkEnd w:id="73"/>
    </w:p>
    <w:p w:rsidR="006E0FAB" w:rsidRPr="00D141FC" w:rsidRDefault="00F9708D" w:rsidP="00EE588D">
      <w:pPr>
        <w:pStyle w:val="ItemHead"/>
      </w:pPr>
      <w:r w:rsidRPr="00D141FC">
        <w:t>48</w:t>
      </w:r>
      <w:r w:rsidR="00EE588D" w:rsidRPr="00D141FC">
        <w:t xml:space="preserve">  At the end of Part</w:t>
      </w:r>
      <w:r w:rsidR="00D141FC" w:rsidRPr="00D141FC">
        <w:t> </w:t>
      </w:r>
      <w:r w:rsidR="00EE588D" w:rsidRPr="00D141FC">
        <w:t>7</w:t>
      </w:r>
    </w:p>
    <w:p w:rsidR="00EE588D" w:rsidRPr="00D141FC" w:rsidRDefault="00EE588D" w:rsidP="00EE588D">
      <w:pPr>
        <w:pStyle w:val="Item"/>
      </w:pPr>
      <w:r w:rsidRPr="00D141FC">
        <w:t>Add:</w:t>
      </w:r>
    </w:p>
    <w:p w:rsidR="00EE588D" w:rsidRPr="00D141FC" w:rsidRDefault="00EE588D" w:rsidP="00EE588D">
      <w:pPr>
        <w:pStyle w:val="ActHead5"/>
      </w:pPr>
      <w:bookmarkStart w:id="74" w:name="_Toc3993217"/>
      <w:r w:rsidRPr="00D141FC">
        <w:rPr>
          <w:rStyle w:val="CharSectno"/>
        </w:rPr>
        <w:t>7</w:t>
      </w:r>
      <w:r w:rsidR="00A07EDA" w:rsidRPr="00D141FC">
        <w:rPr>
          <w:rStyle w:val="CharSectno"/>
        </w:rPr>
        <w:t>.</w:t>
      </w:r>
      <w:r w:rsidRPr="00D141FC">
        <w:rPr>
          <w:rStyle w:val="CharSectno"/>
        </w:rPr>
        <w:t>2</w:t>
      </w:r>
      <w:r w:rsidRPr="00D141FC">
        <w:t xml:space="preserve">  Application and transitional provisions for the </w:t>
      </w:r>
      <w:r w:rsidRPr="00D141FC">
        <w:rPr>
          <w:i/>
        </w:rPr>
        <w:t>National Health (Pharmaceuticals and Vaccines—Cost Recovery) Amendment Regulations</w:t>
      </w:r>
      <w:r w:rsidR="00D141FC" w:rsidRPr="00D141FC">
        <w:rPr>
          <w:i/>
        </w:rPr>
        <w:t> </w:t>
      </w:r>
      <w:r w:rsidRPr="00D141FC">
        <w:rPr>
          <w:i/>
        </w:rPr>
        <w:t>2019</w:t>
      </w:r>
      <w:bookmarkEnd w:id="74"/>
    </w:p>
    <w:p w:rsidR="00C16620" w:rsidRPr="00D141FC" w:rsidRDefault="00887EE7" w:rsidP="002078A2">
      <w:pPr>
        <w:pStyle w:val="subsection"/>
      </w:pPr>
      <w:r w:rsidRPr="00D141FC">
        <w:tab/>
        <w:t>(1)</w:t>
      </w:r>
      <w:r w:rsidRPr="00D141FC">
        <w:tab/>
      </w:r>
      <w:r w:rsidR="009674C3" w:rsidRPr="00D141FC">
        <w:t>T</w:t>
      </w:r>
      <w:r w:rsidR="00820D9C" w:rsidRPr="00D141FC">
        <w:t>he amendments made by the amending instrument apply in relation to</w:t>
      </w:r>
      <w:r w:rsidR="002078A2" w:rsidRPr="00D141FC">
        <w:t xml:space="preserve"> </w:t>
      </w:r>
      <w:r w:rsidR="00820D9C" w:rsidRPr="00D141FC">
        <w:t>an application made under</w:t>
      </w:r>
      <w:r w:rsidR="00C16620" w:rsidRPr="00D141FC">
        <w:t xml:space="preserve"> </w:t>
      </w:r>
      <w:r w:rsidR="00203B46" w:rsidRPr="00D141FC">
        <w:t xml:space="preserve">these Regulations </w:t>
      </w:r>
      <w:r w:rsidR="00C16620" w:rsidRPr="00D141FC">
        <w:t xml:space="preserve">on or after </w:t>
      </w:r>
      <w:r w:rsidR="009674C3" w:rsidRPr="00D141FC">
        <w:t>1</w:t>
      </w:r>
      <w:r w:rsidR="00D141FC" w:rsidRPr="00D141FC">
        <w:t> </w:t>
      </w:r>
      <w:r w:rsidR="009674C3" w:rsidRPr="00D141FC">
        <w:t>July 2019, even if a related application under these Regulations was made before that day</w:t>
      </w:r>
      <w:r w:rsidR="00A07EDA" w:rsidRPr="00D141FC">
        <w:t>.</w:t>
      </w:r>
    </w:p>
    <w:p w:rsidR="009674C3" w:rsidRPr="00D141FC" w:rsidRDefault="009674C3" w:rsidP="009674C3">
      <w:pPr>
        <w:pStyle w:val="notetext"/>
      </w:pPr>
      <w:r w:rsidRPr="00D141FC">
        <w:t>Example:</w:t>
      </w:r>
      <w:r w:rsidRPr="00D141FC">
        <w:tab/>
        <w:t>An application under Part</w:t>
      </w:r>
      <w:r w:rsidR="00D141FC" w:rsidRPr="00D141FC">
        <w:t> </w:t>
      </w:r>
      <w:r w:rsidRPr="00D141FC">
        <w:t>3 is made on 10</w:t>
      </w:r>
      <w:r w:rsidR="00D141FC" w:rsidRPr="00D141FC">
        <w:t> </w:t>
      </w:r>
      <w:r w:rsidRPr="00D141FC">
        <w:t>July 2019 that relates to an application under Part</w:t>
      </w:r>
      <w:r w:rsidR="00D141FC" w:rsidRPr="00D141FC">
        <w:t> </w:t>
      </w:r>
      <w:r w:rsidRPr="00D141FC">
        <w:t>2 that was made in January 2019</w:t>
      </w:r>
      <w:r w:rsidR="00A07EDA" w:rsidRPr="00D141FC">
        <w:t>.</w:t>
      </w:r>
      <w:r w:rsidRPr="00D141FC">
        <w:t xml:space="preserve"> </w:t>
      </w:r>
      <w:r w:rsidR="005B359E" w:rsidRPr="00D141FC">
        <w:t>The amendments made by the amending instrument will apply in relation to the application under Part</w:t>
      </w:r>
      <w:r w:rsidR="00D141FC" w:rsidRPr="00D141FC">
        <w:t> </w:t>
      </w:r>
      <w:r w:rsidR="005B359E" w:rsidRPr="00D141FC">
        <w:t>3</w:t>
      </w:r>
      <w:r w:rsidR="00A07EDA" w:rsidRPr="00D141FC">
        <w:t>.</w:t>
      </w:r>
    </w:p>
    <w:p w:rsidR="00C16620" w:rsidRPr="00D141FC" w:rsidRDefault="00C16620" w:rsidP="00EE588D">
      <w:pPr>
        <w:pStyle w:val="subsection"/>
      </w:pPr>
      <w:r w:rsidRPr="00D141FC">
        <w:tab/>
        <w:t>(2)</w:t>
      </w:r>
      <w:r w:rsidRPr="00D141FC">
        <w:tab/>
        <w:t xml:space="preserve">However, </w:t>
      </w:r>
      <w:r w:rsidR="005B359E" w:rsidRPr="00D141FC">
        <w:t>these Regulations apply</w:t>
      </w:r>
      <w:r w:rsidRPr="00D141FC">
        <w:t xml:space="preserve"> </w:t>
      </w:r>
      <w:r w:rsidR="007667AB" w:rsidRPr="00D141FC">
        <w:t>with the modifications</w:t>
      </w:r>
      <w:r w:rsidRPr="00D141FC">
        <w:t xml:space="preserve"> described in subregulation</w:t>
      </w:r>
      <w:r w:rsidR="00D141FC" w:rsidRPr="00D141FC">
        <w:t> </w:t>
      </w:r>
      <w:r w:rsidRPr="00D141FC">
        <w:t xml:space="preserve">(3) in relation to </w:t>
      </w:r>
      <w:r w:rsidR="005B359E" w:rsidRPr="00D141FC">
        <w:t xml:space="preserve">an </w:t>
      </w:r>
      <w:r w:rsidRPr="00D141FC">
        <w:t xml:space="preserve">application </w:t>
      </w:r>
      <w:r w:rsidR="005B359E" w:rsidRPr="00D141FC">
        <w:t>made under Part</w:t>
      </w:r>
      <w:r w:rsidR="00D141FC" w:rsidRPr="00D141FC">
        <w:t> </w:t>
      </w:r>
      <w:r w:rsidR="005B359E" w:rsidRPr="00D141FC">
        <w:t>2 on or after 1</w:t>
      </w:r>
      <w:r w:rsidR="00D141FC" w:rsidRPr="00D141FC">
        <w:t> </w:t>
      </w:r>
      <w:r w:rsidR="005B359E" w:rsidRPr="00D141FC">
        <w:t xml:space="preserve">July 2019 </w:t>
      </w:r>
      <w:r w:rsidR="00B224F5" w:rsidRPr="00D141FC">
        <w:t>that</w:t>
      </w:r>
      <w:r w:rsidRPr="00D141FC">
        <w:t>:</w:t>
      </w:r>
    </w:p>
    <w:p w:rsidR="00C16620" w:rsidRPr="00D141FC" w:rsidRDefault="00C16620" w:rsidP="00C16620">
      <w:pPr>
        <w:pStyle w:val="paragraph"/>
      </w:pPr>
      <w:r w:rsidRPr="00D141FC">
        <w:tab/>
        <w:t>(a)</w:t>
      </w:r>
      <w:r w:rsidRPr="00D141FC">
        <w:tab/>
        <w:t>is in the major evaluation category (see Subdivision</w:t>
      </w:r>
      <w:r w:rsidR="00D141FC" w:rsidRPr="00D141FC">
        <w:t> </w:t>
      </w:r>
      <w:r w:rsidRPr="00D141FC">
        <w:t>2 of Division</w:t>
      </w:r>
      <w:r w:rsidR="00D141FC" w:rsidRPr="00D141FC">
        <w:t> </w:t>
      </w:r>
      <w:r w:rsidRPr="00D141FC">
        <w:t>2</w:t>
      </w:r>
      <w:r w:rsidR="00A07EDA" w:rsidRPr="00D141FC">
        <w:t>.</w:t>
      </w:r>
      <w:r w:rsidRPr="00D141FC">
        <w:t>1); and</w:t>
      </w:r>
    </w:p>
    <w:p w:rsidR="00C16620" w:rsidRPr="00D141FC" w:rsidRDefault="00C16620" w:rsidP="00C16620">
      <w:pPr>
        <w:pStyle w:val="paragraph"/>
      </w:pPr>
      <w:r w:rsidRPr="00D141FC">
        <w:tab/>
        <w:t>(b)</w:t>
      </w:r>
      <w:r w:rsidRPr="00D141FC">
        <w:tab/>
        <w:t>is for consideration at the Committee meeting in November 2019</w:t>
      </w:r>
      <w:r w:rsidR="00A07EDA" w:rsidRPr="00D141FC">
        <w:t>.</w:t>
      </w:r>
    </w:p>
    <w:p w:rsidR="00CC2FC4" w:rsidRPr="00D141FC" w:rsidRDefault="00CC2FC4" w:rsidP="00CC2FC4">
      <w:pPr>
        <w:pStyle w:val="notetext"/>
      </w:pPr>
      <w:r w:rsidRPr="00D141FC">
        <w:t>Note:</w:t>
      </w:r>
      <w:r w:rsidRPr="00D141FC">
        <w:tab/>
        <w:t>This means the amendments made by the amending instrument apply in relation to these particular Part</w:t>
      </w:r>
      <w:r w:rsidR="00D141FC" w:rsidRPr="00D141FC">
        <w:t> </w:t>
      </w:r>
      <w:r w:rsidRPr="00D141FC">
        <w:t>2 applications with the modifications in subregulation</w:t>
      </w:r>
      <w:r w:rsidR="00D141FC" w:rsidRPr="00D141FC">
        <w:t> </w:t>
      </w:r>
      <w:r w:rsidRPr="00D141FC">
        <w:t>(3)</w:t>
      </w:r>
      <w:r w:rsidR="00A07EDA" w:rsidRPr="00D141FC">
        <w:t>.</w:t>
      </w:r>
    </w:p>
    <w:p w:rsidR="000D3CAB" w:rsidRPr="00D141FC" w:rsidRDefault="00C16620" w:rsidP="00EE588D">
      <w:pPr>
        <w:pStyle w:val="subsection"/>
      </w:pPr>
      <w:r w:rsidRPr="00D141FC">
        <w:tab/>
        <w:t>(3</w:t>
      </w:r>
      <w:r w:rsidR="000D3CAB" w:rsidRPr="00D141FC">
        <w:t>)</w:t>
      </w:r>
      <w:r w:rsidR="000D3CAB" w:rsidRPr="00D141FC">
        <w:tab/>
      </w:r>
      <w:r w:rsidR="001378D3" w:rsidRPr="00D141FC">
        <w:t>These Regulations apply</w:t>
      </w:r>
      <w:r w:rsidR="008A490E" w:rsidRPr="00D141FC">
        <w:t xml:space="preserve"> in relation to the </w:t>
      </w:r>
      <w:r w:rsidRPr="00D141FC">
        <w:t xml:space="preserve">application (the </w:t>
      </w:r>
      <w:r w:rsidR="008A490E" w:rsidRPr="00D141FC">
        <w:rPr>
          <w:b/>
          <w:i/>
        </w:rPr>
        <w:t>transitional application</w:t>
      </w:r>
      <w:r w:rsidRPr="00D141FC">
        <w:t>)</w:t>
      </w:r>
      <w:r w:rsidR="00506527" w:rsidRPr="00D141FC">
        <w:t xml:space="preserve"> as if</w:t>
      </w:r>
      <w:r w:rsidR="000D3CAB" w:rsidRPr="00D141FC">
        <w:t>:</w:t>
      </w:r>
    </w:p>
    <w:p w:rsidR="000D3CAB" w:rsidRPr="00D141FC" w:rsidRDefault="000D3CAB" w:rsidP="000D3CAB">
      <w:pPr>
        <w:pStyle w:val="paragraph"/>
      </w:pPr>
      <w:r w:rsidRPr="00D141FC">
        <w:tab/>
        <w:t>(a)</w:t>
      </w:r>
      <w:r w:rsidRPr="00D141FC">
        <w:tab/>
      </w:r>
      <w:r w:rsidR="00506527" w:rsidRPr="00D141FC">
        <w:t xml:space="preserve">the </w:t>
      </w:r>
      <w:r w:rsidR="00B95CF0" w:rsidRPr="00D141FC">
        <w:t>fee in item</w:t>
      </w:r>
      <w:r w:rsidR="00D141FC" w:rsidRPr="00D141FC">
        <w:t> </w:t>
      </w:r>
      <w:r w:rsidR="00B95CF0" w:rsidRPr="00D141FC">
        <w:t xml:space="preserve">1 of the table in </w:t>
      </w:r>
      <w:r w:rsidR="004378BC" w:rsidRPr="00D141FC">
        <w:t>sub</w:t>
      </w:r>
      <w:r w:rsidR="00B95CF0" w:rsidRPr="00D141FC">
        <w:t>regulation</w:t>
      </w:r>
      <w:r w:rsidR="00D141FC" w:rsidRPr="00D141FC">
        <w:t> </w:t>
      </w:r>
      <w:r w:rsidR="00B95CF0" w:rsidRPr="00D141FC">
        <w:t>2</w:t>
      </w:r>
      <w:r w:rsidR="00A07EDA" w:rsidRPr="00D141FC">
        <w:t>.</w:t>
      </w:r>
      <w:r w:rsidR="00B95CF0" w:rsidRPr="00D141FC">
        <w:t>2</w:t>
      </w:r>
      <w:r w:rsidR="004378BC" w:rsidRPr="00D141FC">
        <w:t>(1)</w:t>
      </w:r>
      <w:r w:rsidR="00B95CF0" w:rsidRPr="00D141FC">
        <w:t xml:space="preserve"> </w:t>
      </w:r>
      <w:r w:rsidR="00506527" w:rsidRPr="00D141FC">
        <w:t xml:space="preserve">did not include an amount </w:t>
      </w:r>
      <w:r w:rsidR="00B95CF0" w:rsidRPr="00D141FC">
        <w:t xml:space="preserve">equal to the deposit referred to in </w:t>
      </w:r>
      <w:r w:rsidR="004378BC" w:rsidRPr="00D141FC">
        <w:t>sub</w:t>
      </w:r>
      <w:r w:rsidR="00B95CF0" w:rsidRPr="00D141FC">
        <w:t>regulation</w:t>
      </w:r>
      <w:r w:rsidR="00D141FC" w:rsidRPr="00D141FC">
        <w:t> </w:t>
      </w:r>
      <w:r w:rsidR="004378BC" w:rsidRPr="00D141FC">
        <w:t>2.2(2)</w:t>
      </w:r>
      <w:r w:rsidR="00B95CF0" w:rsidRPr="00D141FC">
        <w:t>;</w:t>
      </w:r>
      <w:r w:rsidR="00506527" w:rsidRPr="00D141FC">
        <w:t xml:space="preserve"> and</w:t>
      </w:r>
    </w:p>
    <w:p w:rsidR="00B95CF0" w:rsidRPr="00D141FC" w:rsidRDefault="00B95CF0" w:rsidP="000D3CAB">
      <w:pPr>
        <w:pStyle w:val="paragraph"/>
      </w:pPr>
      <w:r w:rsidRPr="00D141FC">
        <w:tab/>
        <w:t>(b)</w:t>
      </w:r>
      <w:r w:rsidRPr="00D141FC">
        <w:tab/>
      </w:r>
      <w:r w:rsidR="008A490E" w:rsidRPr="00D141FC">
        <w:t xml:space="preserve">prior notice of the transitional application </w:t>
      </w:r>
      <w:r w:rsidR="00506527" w:rsidRPr="00D141FC">
        <w:t>were</w:t>
      </w:r>
      <w:r w:rsidR="008A490E" w:rsidRPr="00D141FC">
        <w:t xml:space="preserve"> not required under subregulation</w:t>
      </w:r>
      <w:r w:rsidR="00D141FC" w:rsidRPr="00D141FC">
        <w:t> </w:t>
      </w:r>
      <w:r w:rsidR="008A490E" w:rsidRPr="00D141FC">
        <w:t>2</w:t>
      </w:r>
      <w:r w:rsidR="00A07EDA" w:rsidRPr="00D141FC">
        <w:t>.</w:t>
      </w:r>
      <w:r w:rsidR="006C6929" w:rsidRPr="00D141FC">
        <w:t>15(1).</w:t>
      </w:r>
    </w:p>
    <w:p w:rsidR="00647349" w:rsidRPr="00D141FC" w:rsidRDefault="00954C42" w:rsidP="00954C42">
      <w:pPr>
        <w:pStyle w:val="subsection"/>
      </w:pPr>
      <w:r w:rsidRPr="00D141FC">
        <w:tab/>
        <w:t>(4)</w:t>
      </w:r>
      <w:r w:rsidRPr="00D141FC">
        <w:tab/>
        <w:t>Despite the amendments made by the</w:t>
      </w:r>
      <w:r w:rsidR="00647349" w:rsidRPr="00D141FC">
        <w:t xml:space="preserve"> amending instrument:</w:t>
      </w:r>
    </w:p>
    <w:p w:rsidR="00647349" w:rsidRPr="00D141FC" w:rsidRDefault="00647349" w:rsidP="00647349">
      <w:pPr>
        <w:pStyle w:val="paragraph"/>
      </w:pPr>
      <w:r w:rsidRPr="00D141FC">
        <w:tab/>
        <w:t>(a)</w:t>
      </w:r>
      <w:r w:rsidRPr="00D141FC">
        <w:tab/>
      </w:r>
      <w:r w:rsidR="00954C42" w:rsidRPr="00D141FC">
        <w:t xml:space="preserve">the old Regulations </w:t>
      </w:r>
      <w:r w:rsidRPr="00D141FC">
        <w:t>(other than Part</w:t>
      </w:r>
      <w:r w:rsidR="00D141FC" w:rsidRPr="00D141FC">
        <w:t> </w:t>
      </w:r>
      <w:r w:rsidRPr="00D141FC">
        <w:t xml:space="preserve">3) </w:t>
      </w:r>
      <w:r w:rsidR="00954C42" w:rsidRPr="00D141FC">
        <w:t>continue to apply on and after 1</w:t>
      </w:r>
      <w:r w:rsidR="00D141FC" w:rsidRPr="00D141FC">
        <w:t> </w:t>
      </w:r>
      <w:r w:rsidR="00954C42" w:rsidRPr="00D141FC">
        <w:t>July 2019</w:t>
      </w:r>
      <w:r w:rsidRPr="00D141FC">
        <w:t xml:space="preserve"> in relation to an application:</w:t>
      </w:r>
    </w:p>
    <w:p w:rsidR="00647349" w:rsidRPr="00D141FC" w:rsidRDefault="00647349" w:rsidP="00647349">
      <w:pPr>
        <w:pStyle w:val="paragraphsub"/>
      </w:pPr>
      <w:r w:rsidRPr="00D141FC">
        <w:tab/>
        <w:t>(i)</w:t>
      </w:r>
      <w:r w:rsidRPr="00D141FC">
        <w:tab/>
      </w:r>
      <w:r w:rsidR="00954C42" w:rsidRPr="00D141FC">
        <w:t xml:space="preserve">made under </w:t>
      </w:r>
      <w:r w:rsidRPr="00D141FC">
        <w:t>Part</w:t>
      </w:r>
      <w:r w:rsidR="00D141FC" w:rsidRPr="00D141FC">
        <w:t> </w:t>
      </w:r>
      <w:r w:rsidRPr="00D141FC">
        <w:t>2 of the old Regulations; and</w:t>
      </w:r>
    </w:p>
    <w:p w:rsidR="00D144EA" w:rsidRPr="00D141FC" w:rsidRDefault="00D144EA" w:rsidP="00D144EA">
      <w:pPr>
        <w:pStyle w:val="paragraphsub"/>
      </w:pPr>
      <w:r w:rsidRPr="00D141FC">
        <w:tab/>
        <w:t>(ii)</w:t>
      </w:r>
      <w:r w:rsidRPr="00D141FC">
        <w:tab/>
        <w:t>for which a notice under regulation</w:t>
      </w:r>
      <w:r w:rsidR="00D141FC" w:rsidRPr="00D141FC">
        <w:t> </w:t>
      </w:r>
      <w:r w:rsidRPr="00D141FC">
        <w:t>2.17 of the old Regulations has been given before 1</w:t>
      </w:r>
      <w:r w:rsidR="00D141FC" w:rsidRPr="00D141FC">
        <w:t> </w:t>
      </w:r>
      <w:r w:rsidRPr="00D141FC">
        <w:t>July 2019;</w:t>
      </w:r>
    </w:p>
    <w:p w:rsidR="00954C42" w:rsidRPr="00D141FC" w:rsidRDefault="00647349" w:rsidP="00647349">
      <w:pPr>
        <w:pStyle w:val="paragraph"/>
      </w:pPr>
      <w:r w:rsidRPr="00D141FC">
        <w:tab/>
      </w:r>
      <w:r w:rsidRPr="00D141FC">
        <w:tab/>
        <w:t>as if those amendments had not been made; and</w:t>
      </w:r>
    </w:p>
    <w:p w:rsidR="00647349" w:rsidRPr="00D141FC" w:rsidRDefault="00647349" w:rsidP="00647349">
      <w:pPr>
        <w:pStyle w:val="paragraph"/>
      </w:pPr>
      <w:r w:rsidRPr="00D141FC">
        <w:tab/>
        <w:t>(b)</w:t>
      </w:r>
      <w:r w:rsidRPr="00D141FC">
        <w:tab/>
        <w:t>Part</w:t>
      </w:r>
      <w:r w:rsidR="00D141FC" w:rsidRPr="00D141FC">
        <w:t> </w:t>
      </w:r>
      <w:r w:rsidRPr="00D141FC">
        <w:t>3 of the old Regulations continues to apply on and after 1</w:t>
      </w:r>
      <w:r w:rsidR="00D141FC" w:rsidRPr="00D141FC">
        <w:t> </w:t>
      </w:r>
      <w:r w:rsidRPr="00D141FC">
        <w:t>July 2019 in relation to an application:</w:t>
      </w:r>
    </w:p>
    <w:p w:rsidR="00647349" w:rsidRPr="00D141FC" w:rsidRDefault="00647349" w:rsidP="00647349">
      <w:pPr>
        <w:pStyle w:val="paragraphsub"/>
      </w:pPr>
      <w:r w:rsidRPr="00D141FC">
        <w:tab/>
        <w:t>(i)</w:t>
      </w:r>
      <w:r w:rsidRPr="00D141FC">
        <w:tab/>
        <w:t>made by a person under Part</w:t>
      </w:r>
      <w:r w:rsidR="00D141FC" w:rsidRPr="00D141FC">
        <w:t> </w:t>
      </w:r>
      <w:r w:rsidRPr="00D141FC">
        <w:t>2 of the old Regulations; and</w:t>
      </w:r>
    </w:p>
    <w:p w:rsidR="00D144EA" w:rsidRPr="00D141FC" w:rsidRDefault="00D144EA" w:rsidP="00D144EA">
      <w:pPr>
        <w:pStyle w:val="paragraphsub"/>
      </w:pPr>
      <w:r w:rsidRPr="00D141FC">
        <w:tab/>
        <w:t>(ii)</w:t>
      </w:r>
      <w:r w:rsidRPr="00D141FC">
        <w:tab/>
        <w:t>for which the Commonwealth has notified the person in writing before 1</w:t>
      </w:r>
      <w:r w:rsidR="00D141FC" w:rsidRPr="00D141FC">
        <w:t> </w:t>
      </w:r>
      <w:r w:rsidRPr="00D141FC">
        <w:t>July 2019 that the Commonwealth will begin pricing negotiations in response to a pricing offer sent by the person;</w:t>
      </w:r>
    </w:p>
    <w:p w:rsidR="00647349" w:rsidRPr="00D141FC" w:rsidRDefault="00647349" w:rsidP="00647349">
      <w:pPr>
        <w:pStyle w:val="paragraph"/>
      </w:pPr>
      <w:r w:rsidRPr="00D141FC">
        <w:tab/>
      </w:r>
      <w:r w:rsidRPr="00D141FC">
        <w:tab/>
        <w:t>as if those amendments had not been made; and</w:t>
      </w:r>
    </w:p>
    <w:p w:rsidR="00954C42" w:rsidRPr="00D141FC" w:rsidRDefault="00647349" w:rsidP="00647349">
      <w:pPr>
        <w:pStyle w:val="paragraph"/>
      </w:pPr>
      <w:r w:rsidRPr="00D141FC">
        <w:tab/>
        <w:t>(c)</w:t>
      </w:r>
      <w:r w:rsidRPr="00D141FC">
        <w:tab/>
        <w:t>the old Regulations continue to apply on and after 1</w:t>
      </w:r>
      <w:r w:rsidR="00D141FC" w:rsidRPr="00D141FC">
        <w:t> </w:t>
      </w:r>
      <w:r w:rsidRPr="00D141FC">
        <w:t xml:space="preserve">July 2019, in relation to an application submitted </w:t>
      </w:r>
      <w:r w:rsidR="00474C1D" w:rsidRPr="00D141FC">
        <w:t xml:space="preserve">under </w:t>
      </w:r>
      <w:r w:rsidRPr="00D141FC">
        <w:t>regulation</w:t>
      </w:r>
      <w:r w:rsidR="00D141FC" w:rsidRPr="00D141FC">
        <w:t> </w:t>
      </w:r>
      <w:r w:rsidRPr="00D141FC">
        <w:t>4.3 of the old Regulations before 1</w:t>
      </w:r>
      <w:r w:rsidR="00D141FC" w:rsidRPr="00D141FC">
        <w:t> </w:t>
      </w:r>
      <w:r w:rsidRPr="00D141FC">
        <w:t xml:space="preserve">July 2019, </w:t>
      </w:r>
      <w:r w:rsidR="00954C42" w:rsidRPr="00D141FC">
        <w:t>as if those amendments had not been made.</w:t>
      </w:r>
    </w:p>
    <w:p w:rsidR="005B1B70" w:rsidRPr="00D141FC" w:rsidRDefault="00F11732" w:rsidP="0053111F">
      <w:pPr>
        <w:pStyle w:val="notetext"/>
      </w:pPr>
      <w:r w:rsidRPr="00D141FC">
        <w:t>Example</w:t>
      </w:r>
      <w:r w:rsidR="0053111F" w:rsidRPr="00D141FC">
        <w:t>:</w:t>
      </w:r>
      <w:r w:rsidR="0053111F" w:rsidRPr="00D141FC">
        <w:tab/>
      </w:r>
      <w:r w:rsidRPr="00D141FC">
        <w:t>A notice is sent under regulation</w:t>
      </w:r>
      <w:r w:rsidR="00D141FC" w:rsidRPr="00D141FC">
        <w:t> </w:t>
      </w:r>
      <w:r w:rsidRPr="00D141FC">
        <w:t>2.17 of the old Regulations in early 2019 about a person’s application under Part</w:t>
      </w:r>
      <w:r w:rsidR="00D141FC" w:rsidRPr="00D141FC">
        <w:t> </w:t>
      </w:r>
      <w:r w:rsidRPr="00D141FC">
        <w:t>2</w:t>
      </w:r>
      <w:r w:rsidR="00EE4755" w:rsidRPr="00D141FC">
        <w:t xml:space="preserve">, and </w:t>
      </w:r>
      <w:r w:rsidR="00690410" w:rsidRPr="00D141FC">
        <w:t>the Commonwealth notifies the person on 1</w:t>
      </w:r>
      <w:r w:rsidR="00D141FC" w:rsidRPr="00D141FC">
        <w:t> </w:t>
      </w:r>
      <w:r w:rsidR="00690410" w:rsidRPr="00D141FC">
        <w:t>June 2019 that related pricing negotiations will begin</w:t>
      </w:r>
      <w:r w:rsidRPr="00D141FC">
        <w:t xml:space="preserve">. </w:t>
      </w:r>
      <w:r w:rsidR="00EE4755" w:rsidRPr="00D141FC">
        <w:t>The old Regulations will continue to apply to anything done on and after 1</w:t>
      </w:r>
      <w:r w:rsidR="00D141FC" w:rsidRPr="00D141FC">
        <w:t> </w:t>
      </w:r>
      <w:r w:rsidR="00EE4755" w:rsidRPr="00D141FC">
        <w:t xml:space="preserve">July 2019 in relation to the application or </w:t>
      </w:r>
      <w:r w:rsidR="005B1B70" w:rsidRPr="00D141FC">
        <w:t xml:space="preserve">the pricing </w:t>
      </w:r>
      <w:r w:rsidR="00690410" w:rsidRPr="00D141FC">
        <w:t>negotiations</w:t>
      </w:r>
      <w:r w:rsidR="005B1B70" w:rsidRPr="00D141FC">
        <w:t>. For example:</w:t>
      </w:r>
    </w:p>
    <w:p w:rsidR="005B1B70" w:rsidRPr="00D141FC" w:rsidRDefault="005B1B70" w:rsidP="005B1B70">
      <w:pPr>
        <w:pStyle w:val="notepara"/>
      </w:pPr>
      <w:r w:rsidRPr="00D141FC">
        <w:t>(a)</w:t>
      </w:r>
      <w:r w:rsidRPr="00D141FC">
        <w:tab/>
        <w:t xml:space="preserve">an </w:t>
      </w:r>
      <w:r w:rsidR="00EE4755" w:rsidRPr="00D141FC">
        <w:t>application</w:t>
      </w:r>
      <w:r w:rsidRPr="00D141FC">
        <w:t xml:space="preserve"> to waive the evaluation fee or pricing fee</w:t>
      </w:r>
      <w:r w:rsidR="00EE4755" w:rsidRPr="00D141FC">
        <w:t xml:space="preserve"> would be made under subregulation</w:t>
      </w:r>
      <w:r w:rsidR="00D141FC" w:rsidRPr="00D141FC">
        <w:t> </w:t>
      </w:r>
      <w:r w:rsidR="00EE4755" w:rsidRPr="00D141FC">
        <w:t>5.2(1) of t</w:t>
      </w:r>
      <w:r w:rsidRPr="00D141FC">
        <w:t>he old Regulations; and</w:t>
      </w:r>
    </w:p>
    <w:p w:rsidR="00EE4755" w:rsidRPr="00D141FC" w:rsidRDefault="005B1B70" w:rsidP="005B1B70">
      <w:pPr>
        <w:pStyle w:val="notepara"/>
      </w:pPr>
      <w:r w:rsidRPr="00D141FC">
        <w:t>(b)</w:t>
      </w:r>
      <w:r w:rsidRPr="00D141FC">
        <w:tab/>
      </w:r>
      <w:r w:rsidR="00EE4755" w:rsidRPr="00D141FC">
        <w:t>a notice about the Minister exercising a power relating to the pricing offer would be made under regulation</w:t>
      </w:r>
      <w:r w:rsidR="00D141FC" w:rsidRPr="00D141FC">
        <w:t> </w:t>
      </w:r>
      <w:r w:rsidR="00EE4755" w:rsidRPr="00D141FC">
        <w:t>3.8 of the old Regulations.</w:t>
      </w:r>
    </w:p>
    <w:p w:rsidR="00BC2124" w:rsidRPr="00D141FC" w:rsidRDefault="005B1B70" w:rsidP="00663C3D">
      <w:pPr>
        <w:pStyle w:val="subsection"/>
      </w:pPr>
      <w:r w:rsidRPr="00D141FC">
        <w:tab/>
        <w:t>(5)</w:t>
      </w:r>
      <w:r w:rsidRPr="00D141FC">
        <w:tab/>
      </w:r>
      <w:r w:rsidR="00663C3D" w:rsidRPr="00D141FC">
        <w:t>An application under Part</w:t>
      </w:r>
      <w:r w:rsidR="00D141FC" w:rsidRPr="00D141FC">
        <w:t> </w:t>
      </w:r>
      <w:r w:rsidR="00663C3D" w:rsidRPr="00D141FC">
        <w:t xml:space="preserve">2 of the old Regulations </w:t>
      </w:r>
      <w:r w:rsidR="00BC2124" w:rsidRPr="00D141FC">
        <w:t>ceases to have effect on 1</w:t>
      </w:r>
      <w:r w:rsidR="00D141FC" w:rsidRPr="00D141FC">
        <w:t> </w:t>
      </w:r>
      <w:r w:rsidR="00BC2124" w:rsidRPr="00D141FC">
        <w:t>July 2019 unless it is covered by subregulation</w:t>
      </w:r>
      <w:r w:rsidR="00D141FC" w:rsidRPr="00D141FC">
        <w:t> </w:t>
      </w:r>
      <w:r w:rsidR="00663C3D" w:rsidRPr="00D141FC">
        <w:t>(4).</w:t>
      </w:r>
    </w:p>
    <w:p w:rsidR="00B66DE5" w:rsidRPr="00D141FC" w:rsidRDefault="00E66A93" w:rsidP="000D3CAB">
      <w:pPr>
        <w:pStyle w:val="subsection"/>
      </w:pPr>
      <w:r w:rsidRPr="00D141FC">
        <w:tab/>
        <w:t>(6</w:t>
      </w:r>
      <w:r w:rsidR="000D3CAB" w:rsidRPr="00D141FC">
        <w:t>)</w:t>
      </w:r>
      <w:r w:rsidR="000D3CAB" w:rsidRPr="00D141FC">
        <w:tab/>
        <w:t>In this regulation:</w:t>
      </w:r>
    </w:p>
    <w:p w:rsidR="000D3CAB" w:rsidRPr="00D141FC" w:rsidRDefault="000D3CAB" w:rsidP="000D3CAB">
      <w:pPr>
        <w:pStyle w:val="Definition"/>
      </w:pPr>
      <w:r w:rsidRPr="00D141FC">
        <w:rPr>
          <w:b/>
          <w:i/>
        </w:rPr>
        <w:t>amending instrument</w:t>
      </w:r>
      <w:r w:rsidRPr="00D141FC">
        <w:t xml:space="preserve"> means the </w:t>
      </w:r>
      <w:r w:rsidRPr="00D141FC">
        <w:rPr>
          <w:i/>
        </w:rPr>
        <w:t>National Health (Pharmaceuticals and Vaccines—Cost Recovery) Amendment Regulations</w:t>
      </w:r>
      <w:r w:rsidR="00D141FC" w:rsidRPr="00D141FC">
        <w:rPr>
          <w:i/>
        </w:rPr>
        <w:t> </w:t>
      </w:r>
      <w:r w:rsidRPr="00D141FC">
        <w:rPr>
          <w:i/>
        </w:rPr>
        <w:t>2019</w:t>
      </w:r>
      <w:r w:rsidR="00A07EDA" w:rsidRPr="00D141FC">
        <w:t>.</w:t>
      </w:r>
    </w:p>
    <w:p w:rsidR="00EE1217" w:rsidRPr="00D141FC" w:rsidRDefault="00EE1217" w:rsidP="000D3CAB">
      <w:pPr>
        <w:pStyle w:val="Definition"/>
      </w:pPr>
      <w:r w:rsidRPr="00D141FC">
        <w:rPr>
          <w:b/>
          <w:i/>
        </w:rPr>
        <w:t>old Regulations</w:t>
      </w:r>
      <w:r w:rsidRPr="00D141FC">
        <w:t xml:space="preserve"> means these Regulations (apart from this Part) as in force immediately before 1</w:t>
      </w:r>
      <w:r w:rsidR="00D141FC" w:rsidRPr="00D141FC">
        <w:t> </w:t>
      </w:r>
      <w:r w:rsidRPr="00D141FC">
        <w:t>July 2019</w:t>
      </w:r>
      <w:r w:rsidR="00A07EDA" w:rsidRPr="00D141FC">
        <w:t>.</w:t>
      </w:r>
    </w:p>
    <w:p w:rsidR="00F0655F" w:rsidRPr="00D141FC" w:rsidRDefault="00F9708D" w:rsidP="0046339D">
      <w:pPr>
        <w:pStyle w:val="ItemHead"/>
      </w:pPr>
      <w:r w:rsidRPr="00D141FC">
        <w:t>49</w:t>
      </w:r>
      <w:r w:rsidR="0046339D" w:rsidRPr="00D141FC">
        <w:t xml:space="preserve">  Items</w:t>
      </w:r>
      <w:r w:rsidR="00D141FC" w:rsidRPr="00D141FC">
        <w:t> </w:t>
      </w:r>
      <w:r w:rsidR="0046339D" w:rsidRPr="00D141FC">
        <w:t>2</w:t>
      </w:r>
      <w:r w:rsidR="00A07EDA" w:rsidRPr="00D141FC">
        <w:t>.</w:t>
      </w:r>
      <w:r w:rsidR="0046339D" w:rsidRPr="00D141FC">
        <w:t>15 and 2</w:t>
      </w:r>
      <w:r w:rsidR="00A07EDA" w:rsidRPr="00D141FC">
        <w:t>.</w:t>
      </w:r>
      <w:r w:rsidR="0046339D" w:rsidRPr="00D141FC">
        <w:t>16 in Schedule</w:t>
      </w:r>
      <w:r w:rsidR="00D141FC" w:rsidRPr="00D141FC">
        <w:t> </w:t>
      </w:r>
      <w:r w:rsidR="0046339D" w:rsidRPr="00D141FC">
        <w:t>1</w:t>
      </w:r>
    </w:p>
    <w:p w:rsidR="0046339D" w:rsidRPr="00D141FC" w:rsidRDefault="0046339D" w:rsidP="0046339D">
      <w:pPr>
        <w:pStyle w:val="Item"/>
      </w:pPr>
      <w:r w:rsidRPr="00D141FC">
        <w:t>Repeal the items, substitute:</w:t>
      </w:r>
    </w:p>
    <w:p w:rsidR="009A5770" w:rsidRPr="00D141FC" w:rsidRDefault="009A5770" w:rsidP="009A5770">
      <w:pPr>
        <w:pStyle w:val="subsection"/>
      </w:pPr>
      <w:r w:rsidRPr="00D141FC">
        <w:tab/>
        <w:t>2</w:t>
      </w:r>
      <w:r w:rsidR="00A07EDA" w:rsidRPr="00D141FC">
        <w:t>.</w:t>
      </w:r>
      <w:r w:rsidRPr="00D141FC">
        <w:t>15</w:t>
      </w:r>
      <w:r w:rsidRPr="00D141FC">
        <w:tab/>
        <w:t>To agree on a new price for a single brand of a combination item under subsection</w:t>
      </w:r>
      <w:r w:rsidR="00D141FC" w:rsidRPr="00D141FC">
        <w:t> </w:t>
      </w:r>
      <w:r w:rsidR="000708A3" w:rsidRPr="00D141FC">
        <w:t>99ACC(3) of the Act</w:t>
      </w:r>
    </w:p>
    <w:p w:rsidR="009A5770" w:rsidRPr="00D141FC" w:rsidRDefault="009A5770" w:rsidP="009A5770">
      <w:pPr>
        <w:pStyle w:val="notetext"/>
      </w:pPr>
      <w:r w:rsidRPr="00D141FC">
        <w:t>Note:</w:t>
      </w:r>
      <w:r w:rsidRPr="00D141FC">
        <w:tab/>
        <w:t>The Committee may advise the Minister about this under subsection</w:t>
      </w:r>
      <w:r w:rsidR="00D141FC" w:rsidRPr="00D141FC">
        <w:t> </w:t>
      </w:r>
      <w:r w:rsidRPr="00D141FC">
        <w:t>101(4AC) of the Act</w:t>
      </w:r>
      <w:r w:rsidR="00A07EDA" w:rsidRPr="00D141FC">
        <w:t>.</w:t>
      </w:r>
    </w:p>
    <w:p w:rsidR="000708A3" w:rsidRPr="00D141FC" w:rsidRDefault="000708A3" w:rsidP="000708A3">
      <w:pPr>
        <w:pStyle w:val="subsection"/>
      </w:pPr>
      <w:r w:rsidRPr="00D141FC">
        <w:rPr>
          <w:i/>
        </w:rPr>
        <w:tab/>
      </w:r>
      <w:r w:rsidRPr="00D141FC">
        <w:t>2</w:t>
      </w:r>
      <w:r w:rsidR="00A07EDA" w:rsidRPr="00D141FC">
        <w:t>.</w:t>
      </w:r>
      <w:r w:rsidRPr="00D141FC">
        <w:t>16</w:t>
      </w:r>
      <w:r w:rsidRPr="00D141FC">
        <w:tab/>
        <w:t>To determine that a pharmaceutical item is an exempt item under section</w:t>
      </w:r>
      <w:r w:rsidR="00D141FC" w:rsidRPr="00D141FC">
        <w:t> </w:t>
      </w:r>
      <w:r w:rsidRPr="00D141FC">
        <w:t>84AH of the Act</w:t>
      </w:r>
    </w:p>
    <w:p w:rsidR="000708A3" w:rsidRPr="00D141FC" w:rsidRDefault="000708A3" w:rsidP="000708A3">
      <w:pPr>
        <w:pStyle w:val="notetext"/>
      </w:pPr>
      <w:r w:rsidRPr="00D141FC">
        <w:t>Note:</w:t>
      </w:r>
      <w:r w:rsidRPr="00D141FC">
        <w:tab/>
        <w:t>The Committee may advise the Minister about this under subsection</w:t>
      </w:r>
      <w:r w:rsidR="00D141FC" w:rsidRPr="00D141FC">
        <w:t> </w:t>
      </w:r>
      <w:r w:rsidRPr="00D141FC">
        <w:t>101(4AB) of the Act</w:t>
      </w:r>
      <w:r w:rsidR="00A07EDA" w:rsidRPr="00D141FC">
        <w:t>.</w:t>
      </w:r>
    </w:p>
    <w:p w:rsidR="0015105F" w:rsidRPr="00D141FC" w:rsidRDefault="00F9708D" w:rsidP="0015105F">
      <w:pPr>
        <w:pStyle w:val="ItemHead"/>
      </w:pPr>
      <w:r w:rsidRPr="00D141FC">
        <w:t>50</w:t>
      </w:r>
      <w:r w:rsidR="0015105F" w:rsidRPr="00D141FC">
        <w:t xml:space="preserve">  Schedules</w:t>
      </w:r>
      <w:r w:rsidR="00D141FC" w:rsidRPr="00D141FC">
        <w:t> </w:t>
      </w:r>
      <w:r w:rsidR="0015105F" w:rsidRPr="00D141FC">
        <w:t>3 and 4</w:t>
      </w:r>
    </w:p>
    <w:p w:rsidR="0015105F" w:rsidRPr="00D141FC" w:rsidRDefault="0015105F" w:rsidP="0015105F">
      <w:pPr>
        <w:pStyle w:val="Item"/>
      </w:pPr>
      <w:r w:rsidRPr="00D141FC">
        <w:t>Repeal the Schedules</w:t>
      </w:r>
      <w:r w:rsidR="00A07EDA" w:rsidRPr="00D141FC">
        <w:t>.</w:t>
      </w:r>
    </w:p>
    <w:sectPr w:rsidR="0015105F" w:rsidRPr="00D141FC" w:rsidSect="00A754E5">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31" w:rsidRDefault="00E62331" w:rsidP="0048364F">
      <w:pPr>
        <w:spacing w:line="240" w:lineRule="auto"/>
      </w:pPr>
      <w:r>
        <w:separator/>
      </w:r>
    </w:p>
  </w:endnote>
  <w:endnote w:type="continuationSeparator" w:id="0">
    <w:p w:rsidR="00E62331" w:rsidRDefault="00E6233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A754E5" w:rsidRDefault="00A754E5" w:rsidP="00A754E5">
    <w:pPr>
      <w:pStyle w:val="Footer"/>
      <w:tabs>
        <w:tab w:val="clear" w:pos="4153"/>
        <w:tab w:val="clear" w:pos="8306"/>
        <w:tab w:val="center" w:pos="4150"/>
        <w:tab w:val="right" w:pos="8307"/>
      </w:tabs>
      <w:spacing w:before="120"/>
      <w:rPr>
        <w:i/>
        <w:sz w:val="18"/>
      </w:rPr>
    </w:pPr>
    <w:r w:rsidRPr="00A754E5">
      <w:rPr>
        <w:i/>
        <w:sz w:val="18"/>
      </w:rPr>
      <w:t>OPC63831 -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Default="00E62331" w:rsidP="00E97334"/>
  <w:p w:rsidR="00E62331" w:rsidRPr="00A754E5" w:rsidRDefault="00A754E5" w:rsidP="00A754E5">
    <w:pPr>
      <w:rPr>
        <w:rFonts w:cs="Times New Roman"/>
        <w:i/>
        <w:sz w:val="18"/>
      </w:rPr>
    </w:pPr>
    <w:r w:rsidRPr="00A754E5">
      <w:rPr>
        <w:rFonts w:cs="Times New Roman"/>
        <w:i/>
        <w:sz w:val="18"/>
      </w:rPr>
      <w:t>OPC63831 -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A754E5" w:rsidRDefault="00A754E5" w:rsidP="00A754E5">
    <w:pPr>
      <w:pStyle w:val="Footer"/>
      <w:tabs>
        <w:tab w:val="clear" w:pos="4153"/>
        <w:tab w:val="clear" w:pos="8306"/>
        <w:tab w:val="center" w:pos="4150"/>
        <w:tab w:val="right" w:pos="8307"/>
      </w:tabs>
      <w:spacing w:before="120"/>
      <w:rPr>
        <w:i/>
        <w:sz w:val="18"/>
      </w:rPr>
    </w:pPr>
    <w:r w:rsidRPr="00A754E5">
      <w:rPr>
        <w:i/>
        <w:sz w:val="18"/>
      </w:rPr>
      <w:t>OPC63831 -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E33C1C" w:rsidRDefault="00E6233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62331" w:rsidTr="00D141FC">
      <w:tc>
        <w:tcPr>
          <w:tcW w:w="709" w:type="dxa"/>
          <w:tcBorders>
            <w:top w:val="nil"/>
            <w:left w:val="nil"/>
            <w:bottom w:val="nil"/>
            <w:right w:val="nil"/>
          </w:tcBorders>
        </w:tcPr>
        <w:p w:rsidR="00E62331" w:rsidRDefault="00E62331" w:rsidP="004D7EC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68D0">
            <w:rPr>
              <w:i/>
              <w:noProof/>
              <w:sz w:val="18"/>
            </w:rPr>
            <w:t>ii</w:t>
          </w:r>
          <w:r w:rsidRPr="00ED79B6">
            <w:rPr>
              <w:i/>
              <w:sz w:val="18"/>
            </w:rPr>
            <w:fldChar w:fldCharType="end"/>
          </w:r>
        </w:p>
      </w:tc>
      <w:tc>
        <w:tcPr>
          <w:tcW w:w="6379" w:type="dxa"/>
          <w:tcBorders>
            <w:top w:val="nil"/>
            <w:left w:val="nil"/>
            <w:bottom w:val="nil"/>
            <w:right w:val="nil"/>
          </w:tcBorders>
        </w:tcPr>
        <w:p w:rsidR="00E62331" w:rsidRDefault="00E62331" w:rsidP="004D7E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5F62">
            <w:rPr>
              <w:i/>
              <w:sz w:val="18"/>
            </w:rPr>
            <w:t>National Health (Pharmaceuticals and Vaccines—Cost Recovery) Amendment Regulations 2019</w:t>
          </w:r>
          <w:r w:rsidRPr="007A1328">
            <w:rPr>
              <w:i/>
              <w:sz w:val="18"/>
            </w:rPr>
            <w:fldChar w:fldCharType="end"/>
          </w:r>
        </w:p>
      </w:tc>
      <w:tc>
        <w:tcPr>
          <w:tcW w:w="1384" w:type="dxa"/>
          <w:tcBorders>
            <w:top w:val="nil"/>
            <w:left w:val="nil"/>
            <w:bottom w:val="nil"/>
            <w:right w:val="nil"/>
          </w:tcBorders>
        </w:tcPr>
        <w:p w:rsidR="00E62331" w:rsidRDefault="00E62331" w:rsidP="004D7ECE">
          <w:pPr>
            <w:spacing w:line="0" w:lineRule="atLeast"/>
            <w:jc w:val="right"/>
            <w:rPr>
              <w:sz w:val="18"/>
            </w:rPr>
          </w:pPr>
        </w:p>
      </w:tc>
    </w:tr>
  </w:tbl>
  <w:p w:rsidR="00E62331" w:rsidRPr="00A754E5" w:rsidRDefault="00A754E5" w:rsidP="00A754E5">
    <w:pPr>
      <w:rPr>
        <w:rFonts w:cs="Times New Roman"/>
        <w:i/>
        <w:sz w:val="18"/>
      </w:rPr>
    </w:pPr>
    <w:r w:rsidRPr="00A754E5">
      <w:rPr>
        <w:rFonts w:cs="Times New Roman"/>
        <w:i/>
        <w:sz w:val="18"/>
      </w:rPr>
      <w:t>OPC63831 -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E33C1C" w:rsidRDefault="00E6233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62331" w:rsidTr="00D141FC">
      <w:tc>
        <w:tcPr>
          <w:tcW w:w="1383" w:type="dxa"/>
          <w:tcBorders>
            <w:top w:val="nil"/>
            <w:left w:val="nil"/>
            <w:bottom w:val="nil"/>
            <w:right w:val="nil"/>
          </w:tcBorders>
        </w:tcPr>
        <w:p w:rsidR="00E62331" w:rsidRDefault="00E62331" w:rsidP="004D7ECE">
          <w:pPr>
            <w:spacing w:line="0" w:lineRule="atLeast"/>
            <w:rPr>
              <w:sz w:val="18"/>
            </w:rPr>
          </w:pPr>
        </w:p>
      </w:tc>
      <w:tc>
        <w:tcPr>
          <w:tcW w:w="6379" w:type="dxa"/>
          <w:tcBorders>
            <w:top w:val="nil"/>
            <w:left w:val="nil"/>
            <w:bottom w:val="nil"/>
            <w:right w:val="nil"/>
          </w:tcBorders>
        </w:tcPr>
        <w:p w:rsidR="00E62331" w:rsidRDefault="00E62331" w:rsidP="004D7E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5F62">
            <w:rPr>
              <w:i/>
              <w:sz w:val="18"/>
            </w:rPr>
            <w:t>National Health (Pharmaceuticals and Vaccines—Cost Recovery) Amendment Regulations 2019</w:t>
          </w:r>
          <w:r w:rsidRPr="007A1328">
            <w:rPr>
              <w:i/>
              <w:sz w:val="18"/>
            </w:rPr>
            <w:fldChar w:fldCharType="end"/>
          </w:r>
        </w:p>
      </w:tc>
      <w:tc>
        <w:tcPr>
          <w:tcW w:w="710" w:type="dxa"/>
          <w:tcBorders>
            <w:top w:val="nil"/>
            <w:left w:val="nil"/>
            <w:bottom w:val="nil"/>
            <w:right w:val="nil"/>
          </w:tcBorders>
        </w:tcPr>
        <w:p w:rsidR="00E62331" w:rsidRDefault="00E62331" w:rsidP="004D7E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07E5">
            <w:rPr>
              <w:i/>
              <w:noProof/>
              <w:sz w:val="18"/>
            </w:rPr>
            <w:t>i</w:t>
          </w:r>
          <w:r w:rsidRPr="00ED79B6">
            <w:rPr>
              <w:i/>
              <w:sz w:val="18"/>
            </w:rPr>
            <w:fldChar w:fldCharType="end"/>
          </w:r>
        </w:p>
      </w:tc>
    </w:tr>
  </w:tbl>
  <w:p w:rsidR="00E62331" w:rsidRPr="00A754E5" w:rsidRDefault="00A754E5" w:rsidP="00A754E5">
    <w:pPr>
      <w:rPr>
        <w:rFonts w:cs="Times New Roman"/>
        <w:i/>
        <w:sz w:val="18"/>
      </w:rPr>
    </w:pPr>
    <w:r w:rsidRPr="00A754E5">
      <w:rPr>
        <w:rFonts w:cs="Times New Roman"/>
        <w:i/>
        <w:sz w:val="18"/>
      </w:rPr>
      <w:t>OPC63831 -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E33C1C" w:rsidRDefault="00E6233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62331" w:rsidTr="00D141FC">
      <w:tc>
        <w:tcPr>
          <w:tcW w:w="709" w:type="dxa"/>
          <w:tcBorders>
            <w:top w:val="nil"/>
            <w:left w:val="nil"/>
            <w:bottom w:val="nil"/>
            <w:right w:val="nil"/>
          </w:tcBorders>
        </w:tcPr>
        <w:p w:rsidR="00E62331" w:rsidRDefault="00E62331" w:rsidP="004D7EC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4D97">
            <w:rPr>
              <w:i/>
              <w:noProof/>
              <w:sz w:val="18"/>
            </w:rPr>
            <w:t>34</w:t>
          </w:r>
          <w:r w:rsidRPr="00ED79B6">
            <w:rPr>
              <w:i/>
              <w:sz w:val="18"/>
            </w:rPr>
            <w:fldChar w:fldCharType="end"/>
          </w:r>
        </w:p>
      </w:tc>
      <w:tc>
        <w:tcPr>
          <w:tcW w:w="6379" w:type="dxa"/>
          <w:tcBorders>
            <w:top w:val="nil"/>
            <w:left w:val="nil"/>
            <w:bottom w:val="nil"/>
            <w:right w:val="nil"/>
          </w:tcBorders>
        </w:tcPr>
        <w:p w:rsidR="00E62331" w:rsidRDefault="00E62331" w:rsidP="004D7E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5F62">
            <w:rPr>
              <w:i/>
              <w:sz w:val="18"/>
            </w:rPr>
            <w:t>National Health (Pharmaceuticals and Vaccines—Cost Recovery) Amendment Regulations 2019</w:t>
          </w:r>
          <w:r w:rsidRPr="007A1328">
            <w:rPr>
              <w:i/>
              <w:sz w:val="18"/>
            </w:rPr>
            <w:fldChar w:fldCharType="end"/>
          </w:r>
        </w:p>
      </w:tc>
      <w:tc>
        <w:tcPr>
          <w:tcW w:w="1384" w:type="dxa"/>
          <w:tcBorders>
            <w:top w:val="nil"/>
            <w:left w:val="nil"/>
            <w:bottom w:val="nil"/>
            <w:right w:val="nil"/>
          </w:tcBorders>
        </w:tcPr>
        <w:p w:rsidR="00E62331" w:rsidRDefault="00E62331" w:rsidP="004D7ECE">
          <w:pPr>
            <w:spacing w:line="0" w:lineRule="atLeast"/>
            <w:jc w:val="right"/>
            <w:rPr>
              <w:sz w:val="18"/>
            </w:rPr>
          </w:pPr>
        </w:p>
      </w:tc>
    </w:tr>
  </w:tbl>
  <w:p w:rsidR="00E62331" w:rsidRPr="00A754E5" w:rsidRDefault="00A754E5" w:rsidP="00A754E5">
    <w:pPr>
      <w:rPr>
        <w:rFonts w:cs="Times New Roman"/>
        <w:i/>
        <w:sz w:val="18"/>
      </w:rPr>
    </w:pPr>
    <w:r w:rsidRPr="00A754E5">
      <w:rPr>
        <w:rFonts w:cs="Times New Roman"/>
        <w:i/>
        <w:sz w:val="18"/>
      </w:rPr>
      <w:t>OPC63831 -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E33C1C" w:rsidRDefault="00E6233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62331" w:rsidTr="004D7ECE">
      <w:tc>
        <w:tcPr>
          <w:tcW w:w="1384" w:type="dxa"/>
          <w:tcBorders>
            <w:top w:val="nil"/>
            <w:left w:val="nil"/>
            <w:bottom w:val="nil"/>
            <w:right w:val="nil"/>
          </w:tcBorders>
        </w:tcPr>
        <w:p w:rsidR="00E62331" w:rsidRDefault="00E62331" w:rsidP="004D7ECE">
          <w:pPr>
            <w:spacing w:line="0" w:lineRule="atLeast"/>
            <w:rPr>
              <w:sz w:val="18"/>
            </w:rPr>
          </w:pPr>
        </w:p>
      </w:tc>
      <w:tc>
        <w:tcPr>
          <w:tcW w:w="6379" w:type="dxa"/>
          <w:tcBorders>
            <w:top w:val="nil"/>
            <w:left w:val="nil"/>
            <w:bottom w:val="nil"/>
            <w:right w:val="nil"/>
          </w:tcBorders>
        </w:tcPr>
        <w:p w:rsidR="00E62331" w:rsidRDefault="00E62331" w:rsidP="004D7E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5F62">
            <w:rPr>
              <w:i/>
              <w:sz w:val="18"/>
            </w:rPr>
            <w:t>National Health (Pharmaceuticals and Vaccines—Cost Recovery) Amendment Regulations 2019</w:t>
          </w:r>
          <w:r w:rsidRPr="007A1328">
            <w:rPr>
              <w:i/>
              <w:sz w:val="18"/>
            </w:rPr>
            <w:fldChar w:fldCharType="end"/>
          </w:r>
        </w:p>
      </w:tc>
      <w:tc>
        <w:tcPr>
          <w:tcW w:w="709" w:type="dxa"/>
          <w:tcBorders>
            <w:top w:val="nil"/>
            <w:left w:val="nil"/>
            <w:bottom w:val="nil"/>
            <w:right w:val="nil"/>
          </w:tcBorders>
        </w:tcPr>
        <w:p w:rsidR="00E62331" w:rsidRDefault="00E62331" w:rsidP="004D7E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07E5">
            <w:rPr>
              <w:i/>
              <w:noProof/>
              <w:sz w:val="18"/>
            </w:rPr>
            <w:t>1</w:t>
          </w:r>
          <w:r w:rsidRPr="00ED79B6">
            <w:rPr>
              <w:i/>
              <w:sz w:val="18"/>
            </w:rPr>
            <w:fldChar w:fldCharType="end"/>
          </w:r>
        </w:p>
      </w:tc>
    </w:tr>
  </w:tbl>
  <w:p w:rsidR="00E62331" w:rsidRPr="00A754E5" w:rsidRDefault="00A754E5" w:rsidP="00A754E5">
    <w:pPr>
      <w:rPr>
        <w:rFonts w:cs="Times New Roman"/>
        <w:i/>
        <w:sz w:val="18"/>
      </w:rPr>
    </w:pPr>
    <w:r w:rsidRPr="00A754E5">
      <w:rPr>
        <w:rFonts w:cs="Times New Roman"/>
        <w:i/>
        <w:sz w:val="18"/>
      </w:rPr>
      <w:t>OPC63831 -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E33C1C" w:rsidRDefault="00E6233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62331" w:rsidTr="007A6863">
      <w:tc>
        <w:tcPr>
          <w:tcW w:w="1384" w:type="dxa"/>
          <w:tcBorders>
            <w:top w:val="nil"/>
            <w:left w:val="nil"/>
            <w:bottom w:val="nil"/>
            <w:right w:val="nil"/>
          </w:tcBorders>
        </w:tcPr>
        <w:p w:rsidR="00E62331" w:rsidRDefault="00E62331" w:rsidP="004D7ECE">
          <w:pPr>
            <w:spacing w:line="0" w:lineRule="atLeast"/>
            <w:rPr>
              <w:sz w:val="18"/>
            </w:rPr>
          </w:pPr>
        </w:p>
      </w:tc>
      <w:tc>
        <w:tcPr>
          <w:tcW w:w="6379" w:type="dxa"/>
          <w:tcBorders>
            <w:top w:val="nil"/>
            <w:left w:val="nil"/>
            <w:bottom w:val="nil"/>
            <w:right w:val="nil"/>
          </w:tcBorders>
        </w:tcPr>
        <w:p w:rsidR="00E62331" w:rsidRDefault="00E62331" w:rsidP="004D7E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F5F62">
            <w:rPr>
              <w:i/>
              <w:sz w:val="18"/>
            </w:rPr>
            <w:t>National Health (Pharmaceuticals and Vaccines—Cost Recovery) Amendment Regulations 2019</w:t>
          </w:r>
          <w:r w:rsidRPr="007A1328">
            <w:rPr>
              <w:i/>
              <w:sz w:val="18"/>
            </w:rPr>
            <w:fldChar w:fldCharType="end"/>
          </w:r>
        </w:p>
      </w:tc>
      <w:tc>
        <w:tcPr>
          <w:tcW w:w="709" w:type="dxa"/>
          <w:tcBorders>
            <w:top w:val="nil"/>
            <w:left w:val="nil"/>
            <w:bottom w:val="nil"/>
            <w:right w:val="nil"/>
          </w:tcBorders>
        </w:tcPr>
        <w:p w:rsidR="00E62331" w:rsidRDefault="00E62331" w:rsidP="004D7E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68D0">
            <w:rPr>
              <w:i/>
              <w:noProof/>
              <w:sz w:val="18"/>
            </w:rPr>
            <w:t>2</w:t>
          </w:r>
          <w:r w:rsidRPr="00ED79B6">
            <w:rPr>
              <w:i/>
              <w:sz w:val="18"/>
            </w:rPr>
            <w:fldChar w:fldCharType="end"/>
          </w:r>
        </w:p>
      </w:tc>
    </w:tr>
  </w:tbl>
  <w:p w:rsidR="00E62331" w:rsidRPr="00A754E5" w:rsidRDefault="00A754E5" w:rsidP="00A754E5">
    <w:pPr>
      <w:rPr>
        <w:rFonts w:cs="Times New Roman"/>
        <w:i/>
        <w:sz w:val="18"/>
      </w:rPr>
    </w:pPr>
    <w:r w:rsidRPr="00A754E5">
      <w:rPr>
        <w:rFonts w:cs="Times New Roman"/>
        <w:i/>
        <w:sz w:val="18"/>
      </w:rPr>
      <w:t>OPC63831 -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31" w:rsidRDefault="00E62331" w:rsidP="0048364F">
      <w:pPr>
        <w:spacing w:line="240" w:lineRule="auto"/>
      </w:pPr>
      <w:r>
        <w:separator/>
      </w:r>
    </w:p>
  </w:footnote>
  <w:footnote w:type="continuationSeparator" w:id="0">
    <w:p w:rsidR="00E62331" w:rsidRDefault="00E6233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5F1388" w:rsidRDefault="00E6233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5F1388" w:rsidRDefault="00E6233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5F1388" w:rsidRDefault="00E6233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ED79B6" w:rsidRDefault="00E62331"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ED79B6" w:rsidRDefault="00E62331"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ED79B6" w:rsidRDefault="00E6233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A961C4" w:rsidRDefault="00E62331" w:rsidP="0048364F">
    <w:pPr>
      <w:rPr>
        <w:b/>
        <w:sz w:val="20"/>
      </w:rPr>
    </w:pPr>
    <w:r>
      <w:rPr>
        <w:b/>
        <w:sz w:val="20"/>
      </w:rPr>
      <w:fldChar w:fldCharType="begin"/>
    </w:r>
    <w:r>
      <w:rPr>
        <w:b/>
        <w:sz w:val="20"/>
      </w:rPr>
      <w:instrText xml:space="preserve"> STYLEREF CharAmSchNo </w:instrText>
    </w:r>
    <w:r w:rsidR="00774D97">
      <w:rPr>
        <w:b/>
        <w:sz w:val="20"/>
      </w:rPr>
      <w:fldChar w:fldCharType="separate"/>
    </w:r>
    <w:r w:rsidR="00774D9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74D97">
      <w:rPr>
        <w:sz w:val="20"/>
      </w:rPr>
      <w:fldChar w:fldCharType="separate"/>
    </w:r>
    <w:r w:rsidR="00774D97">
      <w:rPr>
        <w:noProof/>
        <w:sz w:val="20"/>
      </w:rPr>
      <w:t>Amendments</w:t>
    </w:r>
    <w:r>
      <w:rPr>
        <w:sz w:val="20"/>
      </w:rPr>
      <w:fldChar w:fldCharType="end"/>
    </w:r>
  </w:p>
  <w:p w:rsidR="00E62331" w:rsidRPr="00A961C4" w:rsidRDefault="00E6233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62331" w:rsidRPr="00A961C4" w:rsidRDefault="00E62331"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A961C4" w:rsidRDefault="00E6233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62331" w:rsidRPr="00A961C4" w:rsidRDefault="00E6233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62331" w:rsidRPr="00A961C4" w:rsidRDefault="00E62331"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331" w:rsidRPr="00A961C4" w:rsidRDefault="00E6233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6B"/>
    <w:rsid w:val="00000263"/>
    <w:rsid w:val="0000180E"/>
    <w:rsid w:val="0000214D"/>
    <w:rsid w:val="00003DB5"/>
    <w:rsid w:val="00010EC8"/>
    <w:rsid w:val="000113BC"/>
    <w:rsid w:val="00012919"/>
    <w:rsid w:val="00012BF8"/>
    <w:rsid w:val="000136AF"/>
    <w:rsid w:val="00013950"/>
    <w:rsid w:val="00014321"/>
    <w:rsid w:val="00014559"/>
    <w:rsid w:val="00014D1F"/>
    <w:rsid w:val="00015396"/>
    <w:rsid w:val="00022442"/>
    <w:rsid w:val="00022E4F"/>
    <w:rsid w:val="00024ED6"/>
    <w:rsid w:val="000262DF"/>
    <w:rsid w:val="000266E6"/>
    <w:rsid w:val="00030209"/>
    <w:rsid w:val="00030218"/>
    <w:rsid w:val="00030740"/>
    <w:rsid w:val="000320F8"/>
    <w:rsid w:val="00035FE6"/>
    <w:rsid w:val="00036E5C"/>
    <w:rsid w:val="000379F1"/>
    <w:rsid w:val="0004044E"/>
    <w:rsid w:val="00041A4E"/>
    <w:rsid w:val="000431F9"/>
    <w:rsid w:val="00044349"/>
    <w:rsid w:val="000461DA"/>
    <w:rsid w:val="00047156"/>
    <w:rsid w:val="000479D6"/>
    <w:rsid w:val="0005120E"/>
    <w:rsid w:val="000513EE"/>
    <w:rsid w:val="000535B1"/>
    <w:rsid w:val="00054477"/>
    <w:rsid w:val="00054577"/>
    <w:rsid w:val="000614BF"/>
    <w:rsid w:val="000621B2"/>
    <w:rsid w:val="00062472"/>
    <w:rsid w:val="0006503A"/>
    <w:rsid w:val="00067185"/>
    <w:rsid w:val="000708A3"/>
    <w:rsid w:val="0007169C"/>
    <w:rsid w:val="00071720"/>
    <w:rsid w:val="00073F2C"/>
    <w:rsid w:val="00076C40"/>
    <w:rsid w:val="00077593"/>
    <w:rsid w:val="00080DBD"/>
    <w:rsid w:val="00083C7D"/>
    <w:rsid w:val="00083F48"/>
    <w:rsid w:val="0008531C"/>
    <w:rsid w:val="00085779"/>
    <w:rsid w:val="00090FA5"/>
    <w:rsid w:val="0009470F"/>
    <w:rsid w:val="000960C7"/>
    <w:rsid w:val="00097A30"/>
    <w:rsid w:val="000A2F29"/>
    <w:rsid w:val="000A5F5A"/>
    <w:rsid w:val="000A7DF9"/>
    <w:rsid w:val="000A7E1C"/>
    <w:rsid w:val="000B38D9"/>
    <w:rsid w:val="000B3E43"/>
    <w:rsid w:val="000B4FAD"/>
    <w:rsid w:val="000B6247"/>
    <w:rsid w:val="000C2435"/>
    <w:rsid w:val="000C4188"/>
    <w:rsid w:val="000C5604"/>
    <w:rsid w:val="000C5A33"/>
    <w:rsid w:val="000C619B"/>
    <w:rsid w:val="000C72E6"/>
    <w:rsid w:val="000D05EF"/>
    <w:rsid w:val="000D3CAB"/>
    <w:rsid w:val="000D540E"/>
    <w:rsid w:val="000D5485"/>
    <w:rsid w:val="000E0131"/>
    <w:rsid w:val="000E0147"/>
    <w:rsid w:val="000E0198"/>
    <w:rsid w:val="000E1420"/>
    <w:rsid w:val="000E36B4"/>
    <w:rsid w:val="000F16B3"/>
    <w:rsid w:val="000F16C9"/>
    <w:rsid w:val="000F21C1"/>
    <w:rsid w:val="000F478D"/>
    <w:rsid w:val="000F75D9"/>
    <w:rsid w:val="0010280C"/>
    <w:rsid w:val="00105D72"/>
    <w:rsid w:val="0010745C"/>
    <w:rsid w:val="001126CE"/>
    <w:rsid w:val="0011477A"/>
    <w:rsid w:val="00117277"/>
    <w:rsid w:val="001179AF"/>
    <w:rsid w:val="0012005D"/>
    <w:rsid w:val="0012498A"/>
    <w:rsid w:val="001311DC"/>
    <w:rsid w:val="00136160"/>
    <w:rsid w:val="001369EE"/>
    <w:rsid w:val="00137076"/>
    <w:rsid w:val="00137693"/>
    <w:rsid w:val="001378D3"/>
    <w:rsid w:val="00137AF5"/>
    <w:rsid w:val="001435C3"/>
    <w:rsid w:val="0014579E"/>
    <w:rsid w:val="00146936"/>
    <w:rsid w:val="001501E7"/>
    <w:rsid w:val="00150CD0"/>
    <w:rsid w:val="0015105F"/>
    <w:rsid w:val="00151EB6"/>
    <w:rsid w:val="0015225D"/>
    <w:rsid w:val="00155F4F"/>
    <w:rsid w:val="00157265"/>
    <w:rsid w:val="00160965"/>
    <w:rsid w:val="00160BD7"/>
    <w:rsid w:val="0016176B"/>
    <w:rsid w:val="001617FE"/>
    <w:rsid w:val="00163665"/>
    <w:rsid w:val="00163826"/>
    <w:rsid w:val="001643C9"/>
    <w:rsid w:val="00165568"/>
    <w:rsid w:val="00166082"/>
    <w:rsid w:val="00166C2F"/>
    <w:rsid w:val="001716C9"/>
    <w:rsid w:val="00174E30"/>
    <w:rsid w:val="001751B0"/>
    <w:rsid w:val="00176DED"/>
    <w:rsid w:val="00180003"/>
    <w:rsid w:val="00181749"/>
    <w:rsid w:val="00182D4A"/>
    <w:rsid w:val="00184261"/>
    <w:rsid w:val="00190DF5"/>
    <w:rsid w:val="001921D1"/>
    <w:rsid w:val="00192647"/>
    <w:rsid w:val="00193461"/>
    <w:rsid w:val="001939E1"/>
    <w:rsid w:val="00195382"/>
    <w:rsid w:val="00197514"/>
    <w:rsid w:val="00197557"/>
    <w:rsid w:val="001A0A89"/>
    <w:rsid w:val="001A1026"/>
    <w:rsid w:val="001A2A48"/>
    <w:rsid w:val="001A37B1"/>
    <w:rsid w:val="001A3B9F"/>
    <w:rsid w:val="001A6504"/>
    <w:rsid w:val="001A65C0"/>
    <w:rsid w:val="001B001C"/>
    <w:rsid w:val="001B0252"/>
    <w:rsid w:val="001B20A5"/>
    <w:rsid w:val="001B2642"/>
    <w:rsid w:val="001B267A"/>
    <w:rsid w:val="001B34D8"/>
    <w:rsid w:val="001B50BD"/>
    <w:rsid w:val="001B6456"/>
    <w:rsid w:val="001B7A5D"/>
    <w:rsid w:val="001C0665"/>
    <w:rsid w:val="001C3575"/>
    <w:rsid w:val="001C4F6D"/>
    <w:rsid w:val="001C69C4"/>
    <w:rsid w:val="001C6A77"/>
    <w:rsid w:val="001C7398"/>
    <w:rsid w:val="001D0B1A"/>
    <w:rsid w:val="001D1798"/>
    <w:rsid w:val="001D1B2B"/>
    <w:rsid w:val="001D1F31"/>
    <w:rsid w:val="001D587C"/>
    <w:rsid w:val="001E0A8D"/>
    <w:rsid w:val="001E190F"/>
    <w:rsid w:val="001E3590"/>
    <w:rsid w:val="001E541C"/>
    <w:rsid w:val="001E6DB3"/>
    <w:rsid w:val="001E71AD"/>
    <w:rsid w:val="001E7407"/>
    <w:rsid w:val="001F28B6"/>
    <w:rsid w:val="001F376B"/>
    <w:rsid w:val="001F3818"/>
    <w:rsid w:val="001F5AC4"/>
    <w:rsid w:val="001F628D"/>
    <w:rsid w:val="00201D27"/>
    <w:rsid w:val="00202CF9"/>
    <w:rsid w:val="00202D53"/>
    <w:rsid w:val="0020300C"/>
    <w:rsid w:val="00203B46"/>
    <w:rsid w:val="00205402"/>
    <w:rsid w:val="002078A2"/>
    <w:rsid w:val="00210E21"/>
    <w:rsid w:val="002115B5"/>
    <w:rsid w:val="002116CE"/>
    <w:rsid w:val="0021191B"/>
    <w:rsid w:val="0021405A"/>
    <w:rsid w:val="002159B5"/>
    <w:rsid w:val="00215BFD"/>
    <w:rsid w:val="002163C4"/>
    <w:rsid w:val="00217E65"/>
    <w:rsid w:val="00220012"/>
    <w:rsid w:val="00220A0C"/>
    <w:rsid w:val="00221B08"/>
    <w:rsid w:val="00221D64"/>
    <w:rsid w:val="00223E4A"/>
    <w:rsid w:val="00225A87"/>
    <w:rsid w:val="00226D22"/>
    <w:rsid w:val="002302EA"/>
    <w:rsid w:val="00230951"/>
    <w:rsid w:val="00232B0E"/>
    <w:rsid w:val="00233216"/>
    <w:rsid w:val="0023421E"/>
    <w:rsid w:val="00240749"/>
    <w:rsid w:val="002425FA"/>
    <w:rsid w:val="0024607C"/>
    <w:rsid w:val="002468D7"/>
    <w:rsid w:val="00246C89"/>
    <w:rsid w:val="00247C66"/>
    <w:rsid w:val="0025270A"/>
    <w:rsid w:val="00254A4B"/>
    <w:rsid w:val="0026132B"/>
    <w:rsid w:val="00261B0A"/>
    <w:rsid w:val="00262B09"/>
    <w:rsid w:val="002651D0"/>
    <w:rsid w:val="002668FD"/>
    <w:rsid w:val="00274EBB"/>
    <w:rsid w:val="002750DA"/>
    <w:rsid w:val="0027670B"/>
    <w:rsid w:val="00276F3F"/>
    <w:rsid w:val="00280296"/>
    <w:rsid w:val="0028031F"/>
    <w:rsid w:val="00285CDD"/>
    <w:rsid w:val="00285FF8"/>
    <w:rsid w:val="002865A5"/>
    <w:rsid w:val="00286757"/>
    <w:rsid w:val="00291167"/>
    <w:rsid w:val="0029153A"/>
    <w:rsid w:val="00297126"/>
    <w:rsid w:val="002974E8"/>
    <w:rsid w:val="002979FF"/>
    <w:rsid w:val="00297D8E"/>
    <w:rsid w:val="00297ECB"/>
    <w:rsid w:val="002A2002"/>
    <w:rsid w:val="002A259D"/>
    <w:rsid w:val="002A289D"/>
    <w:rsid w:val="002A3A2E"/>
    <w:rsid w:val="002A4D41"/>
    <w:rsid w:val="002A6C42"/>
    <w:rsid w:val="002A7551"/>
    <w:rsid w:val="002B278F"/>
    <w:rsid w:val="002B3B06"/>
    <w:rsid w:val="002B6ADC"/>
    <w:rsid w:val="002C152A"/>
    <w:rsid w:val="002C2484"/>
    <w:rsid w:val="002C25B3"/>
    <w:rsid w:val="002C3E26"/>
    <w:rsid w:val="002C5D2A"/>
    <w:rsid w:val="002C66F0"/>
    <w:rsid w:val="002D043A"/>
    <w:rsid w:val="002D3651"/>
    <w:rsid w:val="002D4CE2"/>
    <w:rsid w:val="002E0B7C"/>
    <w:rsid w:val="002E0E98"/>
    <w:rsid w:val="002E7817"/>
    <w:rsid w:val="002F06EC"/>
    <w:rsid w:val="002F318B"/>
    <w:rsid w:val="002F34A8"/>
    <w:rsid w:val="002F402C"/>
    <w:rsid w:val="002F57FC"/>
    <w:rsid w:val="002F5BBA"/>
    <w:rsid w:val="002F7055"/>
    <w:rsid w:val="0030081A"/>
    <w:rsid w:val="003028BD"/>
    <w:rsid w:val="0030297E"/>
    <w:rsid w:val="003063F3"/>
    <w:rsid w:val="00306CF6"/>
    <w:rsid w:val="0030791A"/>
    <w:rsid w:val="00310F50"/>
    <w:rsid w:val="00315747"/>
    <w:rsid w:val="0031713F"/>
    <w:rsid w:val="00320FF6"/>
    <w:rsid w:val="00321913"/>
    <w:rsid w:val="00321FC3"/>
    <w:rsid w:val="003241B5"/>
    <w:rsid w:val="0032444B"/>
    <w:rsid w:val="00324BF6"/>
    <w:rsid w:val="00324EE6"/>
    <w:rsid w:val="0032530D"/>
    <w:rsid w:val="0032577A"/>
    <w:rsid w:val="00325DA1"/>
    <w:rsid w:val="003270B9"/>
    <w:rsid w:val="003316DC"/>
    <w:rsid w:val="0033233A"/>
    <w:rsid w:val="00332745"/>
    <w:rsid w:val="00332E0D"/>
    <w:rsid w:val="00336922"/>
    <w:rsid w:val="003415D3"/>
    <w:rsid w:val="00341889"/>
    <w:rsid w:val="0034378C"/>
    <w:rsid w:val="003447FA"/>
    <w:rsid w:val="00344D86"/>
    <w:rsid w:val="00346335"/>
    <w:rsid w:val="00351ABC"/>
    <w:rsid w:val="00351B99"/>
    <w:rsid w:val="00352052"/>
    <w:rsid w:val="00352373"/>
    <w:rsid w:val="00352B0F"/>
    <w:rsid w:val="003549AD"/>
    <w:rsid w:val="003561B0"/>
    <w:rsid w:val="00361F1A"/>
    <w:rsid w:val="00363258"/>
    <w:rsid w:val="00365721"/>
    <w:rsid w:val="00365DB4"/>
    <w:rsid w:val="00367032"/>
    <w:rsid w:val="00367960"/>
    <w:rsid w:val="00370691"/>
    <w:rsid w:val="00373EE3"/>
    <w:rsid w:val="0037559E"/>
    <w:rsid w:val="003766C5"/>
    <w:rsid w:val="00377AD8"/>
    <w:rsid w:val="00382080"/>
    <w:rsid w:val="00383BD3"/>
    <w:rsid w:val="003849AB"/>
    <w:rsid w:val="0038629E"/>
    <w:rsid w:val="00391963"/>
    <w:rsid w:val="003922E6"/>
    <w:rsid w:val="00393B60"/>
    <w:rsid w:val="003A15AC"/>
    <w:rsid w:val="003A20CD"/>
    <w:rsid w:val="003A31EA"/>
    <w:rsid w:val="003A56EB"/>
    <w:rsid w:val="003A64DE"/>
    <w:rsid w:val="003B0627"/>
    <w:rsid w:val="003B0648"/>
    <w:rsid w:val="003B144A"/>
    <w:rsid w:val="003B1BF2"/>
    <w:rsid w:val="003B3260"/>
    <w:rsid w:val="003B3E12"/>
    <w:rsid w:val="003B3E3E"/>
    <w:rsid w:val="003B43C7"/>
    <w:rsid w:val="003B708D"/>
    <w:rsid w:val="003B70A4"/>
    <w:rsid w:val="003C12BD"/>
    <w:rsid w:val="003C3219"/>
    <w:rsid w:val="003C4759"/>
    <w:rsid w:val="003C5F2B"/>
    <w:rsid w:val="003C61CB"/>
    <w:rsid w:val="003D0B41"/>
    <w:rsid w:val="003D0BFE"/>
    <w:rsid w:val="003D29BB"/>
    <w:rsid w:val="003D2CAE"/>
    <w:rsid w:val="003D5700"/>
    <w:rsid w:val="003D6F6B"/>
    <w:rsid w:val="003E30D9"/>
    <w:rsid w:val="003E342A"/>
    <w:rsid w:val="003E4700"/>
    <w:rsid w:val="003E572A"/>
    <w:rsid w:val="003E59CF"/>
    <w:rsid w:val="003E6122"/>
    <w:rsid w:val="003E664C"/>
    <w:rsid w:val="003F09BD"/>
    <w:rsid w:val="003F0F5A"/>
    <w:rsid w:val="0040015F"/>
    <w:rsid w:val="00400550"/>
    <w:rsid w:val="00400A30"/>
    <w:rsid w:val="004013FC"/>
    <w:rsid w:val="004022CA"/>
    <w:rsid w:val="00403B37"/>
    <w:rsid w:val="004116CD"/>
    <w:rsid w:val="00411AD7"/>
    <w:rsid w:val="00412826"/>
    <w:rsid w:val="00414633"/>
    <w:rsid w:val="00414ADE"/>
    <w:rsid w:val="00415FCD"/>
    <w:rsid w:val="00420286"/>
    <w:rsid w:val="00422687"/>
    <w:rsid w:val="00424CA9"/>
    <w:rsid w:val="004257BB"/>
    <w:rsid w:val="00425A0A"/>
    <w:rsid w:val="004261D9"/>
    <w:rsid w:val="00426A1F"/>
    <w:rsid w:val="00427787"/>
    <w:rsid w:val="004309C6"/>
    <w:rsid w:val="0043119C"/>
    <w:rsid w:val="004361B3"/>
    <w:rsid w:val="004373DA"/>
    <w:rsid w:val="004378BC"/>
    <w:rsid w:val="0044291A"/>
    <w:rsid w:val="00442F51"/>
    <w:rsid w:val="0044470C"/>
    <w:rsid w:val="00445E55"/>
    <w:rsid w:val="00446276"/>
    <w:rsid w:val="0044656C"/>
    <w:rsid w:val="00453B88"/>
    <w:rsid w:val="00455CBC"/>
    <w:rsid w:val="0046042B"/>
    <w:rsid w:val="00460499"/>
    <w:rsid w:val="004609BB"/>
    <w:rsid w:val="004625C2"/>
    <w:rsid w:val="0046339D"/>
    <w:rsid w:val="004656C4"/>
    <w:rsid w:val="004712F6"/>
    <w:rsid w:val="00473574"/>
    <w:rsid w:val="00474308"/>
    <w:rsid w:val="00474835"/>
    <w:rsid w:val="00474C1D"/>
    <w:rsid w:val="00480DE7"/>
    <w:rsid w:val="004819C7"/>
    <w:rsid w:val="00481F30"/>
    <w:rsid w:val="0048364F"/>
    <w:rsid w:val="00485628"/>
    <w:rsid w:val="00486DA8"/>
    <w:rsid w:val="00490F2E"/>
    <w:rsid w:val="00492563"/>
    <w:rsid w:val="004931CD"/>
    <w:rsid w:val="004955A7"/>
    <w:rsid w:val="00496B0F"/>
    <w:rsid w:val="00496DB3"/>
    <w:rsid w:val="00496F97"/>
    <w:rsid w:val="00497BAB"/>
    <w:rsid w:val="004A245C"/>
    <w:rsid w:val="004A50C1"/>
    <w:rsid w:val="004A53EA"/>
    <w:rsid w:val="004A7018"/>
    <w:rsid w:val="004A7922"/>
    <w:rsid w:val="004A7ECE"/>
    <w:rsid w:val="004B0F1F"/>
    <w:rsid w:val="004B5AE9"/>
    <w:rsid w:val="004B603E"/>
    <w:rsid w:val="004C01BF"/>
    <w:rsid w:val="004C05F9"/>
    <w:rsid w:val="004C3C81"/>
    <w:rsid w:val="004C53F9"/>
    <w:rsid w:val="004C58FA"/>
    <w:rsid w:val="004C78F1"/>
    <w:rsid w:val="004D2100"/>
    <w:rsid w:val="004D4819"/>
    <w:rsid w:val="004D4EDC"/>
    <w:rsid w:val="004D5982"/>
    <w:rsid w:val="004D7ECE"/>
    <w:rsid w:val="004E2B43"/>
    <w:rsid w:val="004E2C53"/>
    <w:rsid w:val="004E40E5"/>
    <w:rsid w:val="004E5256"/>
    <w:rsid w:val="004F1FAC"/>
    <w:rsid w:val="004F21C3"/>
    <w:rsid w:val="004F42B2"/>
    <w:rsid w:val="004F4D1B"/>
    <w:rsid w:val="004F676E"/>
    <w:rsid w:val="005032DA"/>
    <w:rsid w:val="005038FF"/>
    <w:rsid w:val="00506527"/>
    <w:rsid w:val="0051140F"/>
    <w:rsid w:val="00512898"/>
    <w:rsid w:val="00513D5E"/>
    <w:rsid w:val="005146AD"/>
    <w:rsid w:val="00514AE6"/>
    <w:rsid w:val="005152C2"/>
    <w:rsid w:val="00516B8D"/>
    <w:rsid w:val="00516DA6"/>
    <w:rsid w:val="00522407"/>
    <w:rsid w:val="00522660"/>
    <w:rsid w:val="00522F98"/>
    <w:rsid w:val="00524A96"/>
    <w:rsid w:val="005255E0"/>
    <w:rsid w:val="00526279"/>
    <w:rsid w:val="00526376"/>
    <w:rsid w:val="005265B7"/>
    <w:rsid w:val="0052686F"/>
    <w:rsid w:val="00526AE1"/>
    <w:rsid w:val="0052756C"/>
    <w:rsid w:val="00530230"/>
    <w:rsid w:val="00530A52"/>
    <w:rsid w:val="00530CC9"/>
    <w:rsid w:val="0053111F"/>
    <w:rsid w:val="00532609"/>
    <w:rsid w:val="00533F43"/>
    <w:rsid w:val="0053486E"/>
    <w:rsid w:val="00537FBC"/>
    <w:rsid w:val="00540054"/>
    <w:rsid w:val="005417DF"/>
    <w:rsid w:val="0054188E"/>
    <w:rsid w:val="00541D73"/>
    <w:rsid w:val="00543469"/>
    <w:rsid w:val="00543D0E"/>
    <w:rsid w:val="005452CC"/>
    <w:rsid w:val="00545A6E"/>
    <w:rsid w:val="00546FA3"/>
    <w:rsid w:val="005476A0"/>
    <w:rsid w:val="0055134D"/>
    <w:rsid w:val="00551AED"/>
    <w:rsid w:val="00554243"/>
    <w:rsid w:val="0055674F"/>
    <w:rsid w:val="00557C7A"/>
    <w:rsid w:val="005614EB"/>
    <w:rsid w:val="00561BCB"/>
    <w:rsid w:val="0056228F"/>
    <w:rsid w:val="00562A58"/>
    <w:rsid w:val="00563AA9"/>
    <w:rsid w:val="00565A91"/>
    <w:rsid w:val="00565FEC"/>
    <w:rsid w:val="0057028E"/>
    <w:rsid w:val="005715FF"/>
    <w:rsid w:val="00576AC5"/>
    <w:rsid w:val="00581211"/>
    <w:rsid w:val="00581A18"/>
    <w:rsid w:val="00582045"/>
    <w:rsid w:val="005821A2"/>
    <w:rsid w:val="00584811"/>
    <w:rsid w:val="0058612B"/>
    <w:rsid w:val="0059031E"/>
    <w:rsid w:val="00590EDF"/>
    <w:rsid w:val="00591AD6"/>
    <w:rsid w:val="00593AA6"/>
    <w:rsid w:val="00594161"/>
    <w:rsid w:val="00594701"/>
    <w:rsid w:val="00594749"/>
    <w:rsid w:val="005A0360"/>
    <w:rsid w:val="005A30D5"/>
    <w:rsid w:val="005A4628"/>
    <w:rsid w:val="005A482B"/>
    <w:rsid w:val="005B0BC1"/>
    <w:rsid w:val="005B0D40"/>
    <w:rsid w:val="005B1B70"/>
    <w:rsid w:val="005B1F7F"/>
    <w:rsid w:val="005B2EF5"/>
    <w:rsid w:val="005B359E"/>
    <w:rsid w:val="005B3FCE"/>
    <w:rsid w:val="005B4067"/>
    <w:rsid w:val="005B546B"/>
    <w:rsid w:val="005B6F99"/>
    <w:rsid w:val="005C190A"/>
    <w:rsid w:val="005C357B"/>
    <w:rsid w:val="005C36E0"/>
    <w:rsid w:val="005C3C03"/>
    <w:rsid w:val="005C3F41"/>
    <w:rsid w:val="005C7F37"/>
    <w:rsid w:val="005D0D2B"/>
    <w:rsid w:val="005D168D"/>
    <w:rsid w:val="005D1BB3"/>
    <w:rsid w:val="005D439D"/>
    <w:rsid w:val="005D4401"/>
    <w:rsid w:val="005D5EA1"/>
    <w:rsid w:val="005E1CAF"/>
    <w:rsid w:val="005E21B5"/>
    <w:rsid w:val="005E3192"/>
    <w:rsid w:val="005E3972"/>
    <w:rsid w:val="005E450F"/>
    <w:rsid w:val="005E548C"/>
    <w:rsid w:val="005E61D3"/>
    <w:rsid w:val="005F0DC2"/>
    <w:rsid w:val="005F1887"/>
    <w:rsid w:val="005F1E6F"/>
    <w:rsid w:val="005F1EDA"/>
    <w:rsid w:val="005F2683"/>
    <w:rsid w:val="005F42A1"/>
    <w:rsid w:val="005F4854"/>
    <w:rsid w:val="005F7100"/>
    <w:rsid w:val="005F7738"/>
    <w:rsid w:val="00600219"/>
    <w:rsid w:val="00604916"/>
    <w:rsid w:val="0060542C"/>
    <w:rsid w:val="00606147"/>
    <w:rsid w:val="0060697F"/>
    <w:rsid w:val="00607D51"/>
    <w:rsid w:val="0061042A"/>
    <w:rsid w:val="006138E9"/>
    <w:rsid w:val="00613EAD"/>
    <w:rsid w:val="006158AC"/>
    <w:rsid w:val="00617F1B"/>
    <w:rsid w:val="00621529"/>
    <w:rsid w:val="00624722"/>
    <w:rsid w:val="00625F56"/>
    <w:rsid w:val="00626979"/>
    <w:rsid w:val="00626EF4"/>
    <w:rsid w:val="006303B2"/>
    <w:rsid w:val="0063313C"/>
    <w:rsid w:val="0063576C"/>
    <w:rsid w:val="00640402"/>
    <w:rsid w:val="0064072E"/>
    <w:rsid w:val="00640F78"/>
    <w:rsid w:val="00641C61"/>
    <w:rsid w:val="006443B6"/>
    <w:rsid w:val="00646B8B"/>
    <w:rsid w:val="00646E7B"/>
    <w:rsid w:val="00647349"/>
    <w:rsid w:val="00647910"/>
    <w:rsid w:val="0065120B"/>
    <w:rsid w:val="00653BD9"/>
    <w:rsid w:val="00654FBA"/>
    <w:rsid w:val="00655947"/>
    <w:rsid w:val="00655BF0"/>
    <w:rsid w:val="00655D6A"/>
    <w:rsid w:val="00656DE9"/>
    <w:rsid w:val="00663C3D"/>
    <w:rsid w:val="00666473"/>
    <w:rsid w:val="00673093"/>
    <w:rsid w:val="00673AB6"/>
    <w:rsid w:val="00673D27"/>
    <w:rsid w:val="006747D5"/>
    <w:rsid w:val="00676DD4"/>
    <w:rsid w:val="00677CC2"/>
    <w:rsid w:val="00681A9A"/>
    <w:rsid w:val="00682A34"/>
    <w:rsid w:val="00682BCE"/>
    <w:rsid w:val="00684768"/>
    <w:rsid w:val="00684FF6"/>
    <w:rsid w:val="00685F42"/>
    <w:rsid w:val="006866A1"/>
    <w:rsid w:val="00687271"/>
    <w:rsid w:val="00690410"/>
    <w:rsid w:val="00692050"/>
    <w:rsid w:val="0069207B"/>
    <w:rsid w:val="00694489"/>
    <w:rsid w:val="00697E01"/>
    <w:rsid w:val="006A2758"/>
    <w:rsid w:val="006A4309"/>
    <w:rsid w:val="006A6C81"/>
    <w:rsid w:val="006A6ECE"/>
    <w:rsid w:val="006A735F"/>
    <w:rsid w:val="006A79F6"/>
    <w:rsid w:val="006B0E55"/>
    <w:rsid w:val="006B0FBB"/>
    <w:rsid w:val="006B5ED3"/>
    <w:rsid w:val="006B7006"/>
    <w:rsid w:val="006B77D8"/>
    <w:rsid w:val="006C05DA"/>
    <w:rsid w:val="006C1DCC"/>
    <w:rsid w:val="006C3E7A"/>
    <w:rsid w:val="006C5022"/>
    <w:rsid w:val="006C6929"/>
    <w:rsid w:val="006C72F1"/>
    <w:rsid w:val="006C7F8C"/>
    <w:rsid w:val="006D0870"/>
    <w:rsid w:val="006D1795"/>
    <w:rsid w:val="006D1E69"/>
    <w:rsid w:val="006D1EF5"/>
    <w:rsid w:val="006D20B5"/>
    <w:rsid w:val="006D4D54"/>
    <w:rsid w:val="006D6A04"/>
    <w:rsid w:val="006D7AB9"/>
    <w:rsid w:val="006E0FAB"/>
    <w:rsid w:val="006E4451"/>
    <w:rsid w:val="006E61B4"/>
    <w:rsid w:val="006E724E"/>
    <w:rsid w:val="006F1C17"/>
    <w:rsid w:val="006F3E0B"/>
    <w:rsid w:val="006F4D0E"/>
    <w:rsid w:val="006F6BD9"/>
    <w:rsid w:val="006F73D7"/>
    <w:rsid w:val="006F7B08"/>
    <w:rsid w:val="00700B2C"/>
    <w:rsid w:val="00705B9E"/>
    <w:rsid w:val="00706105"/>
    <w:rsid w:val="0070692C"/>
    <w:rsid w:val="00707397"/>
    <w:rsid w:val="0070754D"/>
    <w:rsid w:val="007078A1"/>
    <w:rsid w:val="0071058B"/>
    <w:rsid w:val="00710EE6"/>
    <w:rsid w:val="00711079"/>
    <w:rsid w:val="0071179D"/>
    <w:rsid w:val="00713084"/>
    <w:rsid w:val="00714447"/>
    <w:rsid w:val="007164EE"/>
    <w:rsid w:val="00716DDB"/>
    <w:rsid w:val="00720B94"/>
    <w:rsid w:val="00720FC2"/>
    <w:rsid w:val="007211C6"/>
    <w:rsid w:val="007239C4"/>
    <w:rsid w:val="007253AE"/>
    <w:rsid w:val="00731E00"/>
    <w:rsid w:val="00732955"/>
    <w:rsid w:val="00732A97"/>
    <w:rsid w:val="00732E9D"/>
    <w:rsid w:val="0073491A"/>
    <w:rsid w:val="0073596B"/>
    <w:rsid w:val="007376DD"/>
    <w:rsid w:val="007377FB"/>
    <w:rsid w:val="00737F99"/>
    <w:rsid w:val="00741B82"/>
    <w:rsid w:val="007440B7"/>
    <w:rsid w:val="007451C9"/>
    <w:rsid w:val="00745768"/>
    <w:rsid w:val="00747993"/>
    <w:rsid w:val="0075036A"/>
    <w:rsid w:val="00750E19"/>
    <w:rsid w:val="00754239"/>
    <w:rsid w:val="00755A56"/>
    <w:rsid w:val="00756CD2"/>
    <w:rsid w:val="00757800"/>
    <w:rsid w:val="0076149A"/>
    <w:rsid w:val="007634AD"/>
    <w:rsid w:val="00764129"/>
    <w:rsid w:val="007667AB"/>
    <w:rsid w:val="00770427"/>
    <w:rsid w:val="007715C9"/>
    <w:rsid w:val="00771738"/>
    <w:rsid w:val="00773527"/>
    <w:rsid w:val="00774D97"/>
    <w:rsid w:val="00774E37"/>
    <w:rsid w:val="00774EDD"/>
    <w:rsid w:val="007757EC"/>
    <w:rsid w:val="00777A5A"/>
    <w:rsid w:val="00780F0F"/>
    <w:rsid w:val="007824C6"/>
    <w:rsid w:val="0078280F"/>
    <w:rsid w:val="00784D36"/>
    <w:rsid w:val="0079284B"/>
    <w:rsid w:val="00792AB5"/>
    <w:rsid w:val="00793480"/>
    <w:rsid w:val="00794283"/>
    <w:rsid w:val="0079466C"/>
    <w:rsid w:val="007A115D"/>
    <w:rsid w:val="007A1656"/>
    <w:rsid w:val="007A2E52"/>
    <w:rsid w:val="007A35E6"/>
    <w:rsid w:val="007A42AC"/>
    <w:rsid w:val="007A5CF5"/>
    <w:rsid w:val="007A62E0"/>
    <w:rsid w:val="007A6863"/>
    <w:rsid w:val="007B0404"/>
    <w:rsid w:val="007B7752"/>
    <w:rsid w:val="007C43FA"/>
    <w:rsid w:val="007C4F16"/>
    <w:rsid w:val="007C7D9C"/>
    <w:rsid w:val="007D0B8D"/>
    <w:rsid w:val="007D1F03"/>
    <w:rsid w:val="007D203D"/>
    <w:rsid w:val="007D2DC2"/>
    <w:rsid w:val="007D45C1"/>
    <w:rsid w:val="007D5935"/>
    <w:rsid w:val="007D6102"/>
    <w:rsid w:val="007D7C43"/>
    <w:rsid w:val="007D7F3D"/>
    <w:rsid w:val="007E20BD"/>
    <w:rsid w:val="007E2D32"/>
    <w:rsid w:val="007E2E43"/>
    <w:rsid w:val="007E3224"/>
    <w:rsid w:val="007E6352"/>
    <w:rsid w:val="007E7347"/>
    <w:rsid w:val="007E783E"/>
    <w:rsid w:val="007E7D4A"/>
    <w:rsid w:val="007F366E"/>
    <w:rsid w:val="007F3F8B"/>
    <w:rsid w:val="007F48ED"/>
    <w:rsid w:val="007F5303"/>
    <w:rsid w:val="007F7947"/>
    <w:rsid w:val="007F7A67"/>
    <w:rsid w:val="0080014C"/>
    <w:rsid w:val="008009A3"/>
    <w:rsid w:val="00800A68"/>
    <w:rsid w:val="008015DB"/>
    <w:rsid w:val="008017CD"/>
    <w:rsid w:val="00801C91"/>
    <w:rsid w:val="00804320"/>
    <w:rsid w:val="00805D91"/>
    <w:rsid w:val="00811D16"/>
    <w:rsid w:val="0081275C"/>
    <w:rsid w:val="00812F45"/>
    <w:rsid w:val="00813276"/>
    <w:rsid w:val="00813484"/>
    <w:rsid w:val="0081539A"/>
    <w:rsid w:val="00815790"/>
    <w:rsid w:val="00815D62"/>
    <w:rsid w:val="00820D9C"/>
    <w:rsid w:val="008217FD"/>
    <w:rsid w:val="008227A1"/>
    <w:rsid w:val="008241B1"/>
    <w:rsid w:val="00824D7C"/>
    <w:rsid w:val="008265D9"/>
    <w:rsid w:val="00826B5B"/>
    <w:rsid w:val="00826BAB"/>
    <w:rsid w:val="00833667"/>
    <w:rsid w:val="0083782E"/>
    <w:rsid w:val="00837D71"/>
    <w:rsid w:val="008408BC"/>
    <w:rsid w:val="00840EC2"/>
    <w:rsid w:val="0084172C"/>
    <w:rsid w:val="008455F7"/>
    <w:rsid w:val="00851BD4"/>
    <w:rsid w:val="008531E6"/>
    <w:rsid w:val="00855DE3"/>
    <w:rsid w:val="00856A31"/>
    <w:rsid w:val="00860627"/>
    <w:rsid w:val="00864356"/>
    <w:rsid w:val="0086562D"/>
    <w:rsid w:val="00865A90"/>
    <w:rsid w:val="00867AD9"/>
    <w:rsid w:val="008716BF"/>
    <w:rsid w:val="0087394C"/>
    <w:rsid w:val="00874A45"/>
    <w:rsid w:val="008754D0"/>
    <w:rsid w:val="00875A8F"/>
    <w:rsid w:val="00876F62"/>
    <w:rsid w:val="00877D48"/>
    <w:rsid w:val="008825E0"/>
    <w:rsid w:val="0088345B"/>
    <w:rsid w:val="00885625"/>
    <w:rsid w:val="008879F8"/>
    <w:rsid w:val="00887E7F"/>
    <w:rsid w:val="00887EE7"/>
    <w:rsid w:val="00892D83"/>
    <w:rsid w:val="00892F24"/>
    <w:rsid w:val="00894228"/>
    <w:rsid w:val="00897235"/>
    <w:rsid w:val="008978F3"/>
    <w:rsid w:val="008A11D9"/>
    <w:rsid w:val="008A16A5"/>
    <w:rsid w:val="008A350A"/>
    <w:rsid w:val="008A490E"/>
    <w:rsid w:val="008A7EFE"/>
    <w:rsid w:val="008A7F6A"/>
    <w:rsid w:val="008B3A8B"/>
    <w:rsid w:val="008B4931"/>
    <w:rsid w:val="008B545D"/>
    <w:rsid w:val="008B55C9"/>
    <w:rsid w:val="008C2B5D"/>
    <w:rsid w:val="008C2D67"/>
    <w:rsid w:val="008C4DD6"/>
    <w:rsid w:val="008C5469"/>
    <w:rsid w:val="008C6072"/>
    <w:rsid w:val="008D0EE0"/>
    <w:rsid w:val="008D121A"/>
    <w:rsid w:val="008D2FEC"/>
    <w:rsid w:val="008D546B"/>
    <w:rsid w:val="008D5B99"/>
    <w:rsid w:val="008D5FC7"/>
    <w:rsid w:val="008D63A4"/>
    <w:rsid w:val="008D6A41"/>
    <w:rsid w:val="008D7A27"/>
    <w:rsid w:val="008E1683"/>
    <w:rsid w:val="008E3A3F"/>
    <w:rsid w:val="008E4702"/>
    <w:rsid w:val="008E5EF2"/>
    <w:rsid w:val="008E696B"/>
    <w:rsid w:val="008E69AA"/>
    <w:rsid w:val="008F0EA6"/>
    <w:rsid w:val="008F0F5A"/>
    <w:rsid w:val="008F2428"/>
    <w:rsid w:val="008F38C1"/>
    <w:rsid w:val="008F4F1C"/>
    <w:rsid w:val="008F5F62"/>
    <w:rsid w:val="008F66A8"/>
    <w:rsid w:val="008F73CC"/>
    <w:rsid w:val="00900896"/>
    <w:rsid w:val="009035D6"/>
    <w:rsid w:val="0090361A"/>
    <w:rsid w:val="00904551"/>
    <w:rsid w:val="00905321"/>
    <w:rsid w:val="00905846"/>
    <w:rsid w:val="00905D9F"/>
    <w:rsid w:val="00905DB2"/>
    <w:rsid w:val="00906F8B"/>
    <w:rsid w:val="00907ED4"/>
    <w:rsid w:val="00915F3F"/>
    <w:rsid w:val="00915F69"/>
    <w:rsid w:val="00916477"/>
    <w:rsid w:val="00917403"/>
    <w:rsid w:val="00920427"/>
    <w:rsid w:val="0092104B"/>
    <w:rsid w:val="00922764"/>
    <w:rsid w:val="0092619F"/>
    <w:rsid w:val="009267C3"/>
    <w:rsid w:val="009268C9"/>
    <w:rsid w:val="00931AF6"/>
    <w:rsid w:val="00932377"/>
    <w:rsid w:val="00933177"/>
    <w:rsid w:val="00935CC5"/>
    <w:rsid w:val="009364D1"/>
    <w:rsid w:val="00936BA8"/>
    <w:rsid w:val="00937ACF"/>
    <w:rsid w:val="00943102"/>
    <w:rsid w:val="00944767"/>
    <w:rsid w:val="0094523D"/>
    <w:rsid w:val="00954C42"/>
    <w:rsid w:val="009559E6"/>
    <w:rsid w:val="00956642"/>
    <w:rsid w:val="00957114"/>
    <w:rsid w:val="00962C4C"/>
    <w:rsid w:val="00963048"/>
    <w:rsid w:val="009636CA"/>
    <w:rsid w:val="00963A36"/>
    <w:rsid w:val="009653AB"/>
    <w:rsid w:val="009674C3"/>
    <w:rsid w:val="00967AF3"/>
    <w:rsid w:val="00970A42"/>
    <w:rsid w:val="00970D85"/>
    <w:rsid w:val="009740F0"/>
    <w:rsid w:val="00976A63"/>
    <w:rsid w:val="00977AC8"/>
    <w:rsid w:val="00977DF4"/>
    <w:rsid w:val="009808CD"/>
    <w:rsid w:val="0098117C"/>
    <w:rsid w:val="0098150C"/>
    <w:rsid w:val="00983419"/>
    <w:rsid w:val="00984CF8"/>
    <w:rsid w:val="00985F50"/>
    <w:rsid w:val="00986BBF"/>
    <w:rsid w:val="0099170D"/>
    <w:rsid w:val="00991E5A"/>
    <w:rsid w:val="00992B30"/>
    <w:rsid w:val="00992F7A"/>
    <w:rsid w:val="00993847"/>
    <w:rsid w:val="009938FA"/>
    <w:rsid w:val="00993DFC"/>
    <w:rsid w:val="00996000"/>
    <w:rsid w:val="00997F34"/>
    <w:rsid w:val="009A0576"/>
    <w:rsid w:val="009A0BD4"/>
    <w:rsid w:val="009A5770"/>
    <w:rsid w:val="009B0155"/>
    <w:rsid w:val="009B1DC1"/>
    <w:rsid w:val="009B25FE"/>
    <w:rsid w:val="009B401E"/>
    <w:rsid w:val="009B4964"/>
    <w:rsid w:val="009B5AF0"/>
    <w:rsid w:val="009B7CF6"/>
    <w:rsid w:val="009C02E0"/>
    <w:rsid w:val="009C16D3"/>
    <w:rsid w:val="009C19B4"/>
    <w:rsid w:val="009C3431"/>
    <w:rsid w:val="009C5989"/>
    <w:rsid w:val="009C7F54"/>
    <w:rsid w:val="009D0346"/>
    <w:rsid w:val="009D08DA"/>
    <w:rsid w:val="009D0D42"/>
    <w:rsid w:val="009D1077"/>
    <w:rsid w:val="009D2DAC"/>
    <w:rsid w:val="009D3F34"/>
    <w:rsid w:val="009D47BD"/>
    <w:rsid w:val="009D5500"/>
    <w:rsid w:val="009D602D"/>
    <w:rsid w:val="009D65F0"/>
    <w:rsid w:val="009D6E2B"/>
    <w:rsid w:val="009D761D"/>
    <w:rsid w:val="009D7BD8"/>
    <w:rsid w:val="009E1416"/>
    <w:rsid w:val="009E1559"/>
    <w:rsid w:val="009E451E"/>
    <w:rsid w:val="009E4D34"/>
    <w:rsid w:val="009F11E8"/>
    <w:rsid w:val="009F6EE1"/>
    <w:rsid w:val="00A00B20"/>
    <w:rsid w:val="00A01C6B"/>
    <w:rsid w:val="00A02CC3"/>
    <w:rsid w:val="00A04D13"/>
    <w:rsid w:val="00A06860"/>
    <w:rsid w:val="00A074BC"/>
    <w:rsid w:val="00A07EDA"/>
    <w:rsid w:val="00A11645"/>
    <w:rsid w:val="00A121A1"/>
    <w:rsid w:val="00A12CBA"/>
    <w:rsid w:val="00A136F5"/>
    <w:rsid w:val="00A15D1B"/>
    <w:rsid w:val="00A169F8"/>
    <w:rsid w:val="00A20681"/>
    <w:rsid w:val="00A221D9"/>
    <w:rsid w:val="00A22698"/>
    <w:rsid w:val="00A231E2"/>
    <w:rsid w:val="00A247EC"/>
    <w:rsid w:val="00A2550D"/>
    <w:rsid w:val="00A30A4D"/>
    <w:rsid w:val="00A31B84"/>
    <w:rsid w:val="00A32A8C"/>
    <w:rsid w:val="00A33462"/>
    <w:rsid w:val="00A34564"/>
    <w:rsid w:val="00A4169B"/>
    <w:rsid w:val="00A41748"/>
    <w:rsid w:val="00A418F9"/>
    <w:rsid w:val="00A42F1E"/>
    <w:rsid w:val="00A445F2"/>
    <w:rsid w:val="00A44750"/>
    <w:rsid w:val="00A45D4B"/>
    <w:rsid w:val="00A46619"/>
    <w:rsid w:val="00A473BB"/>
    <w:rsid w:val="00A506BE"/>
    <w:rsid w:val="00A50D55"/>
    <w:rsid w:val="00A5165B"/>
    <w:rsid w:val="00A52FDA"/>
    <w:rsid w:val="00A5505D"/>
    <w:rsid w:val="00A60EEC"/>
    <w:rsid w:val="00A635BF"/>
    <w:rsid w:val="00A64912"/>
    <w:rsid w:val="00A70A74"/>
    <w:rsid w:val="00A71BE8"/>
    <w:rsid w:val="00A74C19"/>
    <w:rsid w:val="00A74D70"/>
    <w:rsid w:val="00A74EA8"/>
    <w:rsid w:val="00A754E5"/>
    <w:rsid w:val="00A8095D"/>
    <w:rsid w:val="00A81DB3"/>
    <w:rsid w:val="00A83456"/>
    <w:rsid w:val="00A83CD6"/>
    <w:rsid w:val="00A84F2E"/>
    <w:rsid w:val="00A90DAE"/>
    <w:rsid w:val="00A90F3A"/>
    <w:rsid w:val="00A92BEE"/>
    <w:rsid w:val="00A93DC6"/>
    <w:rsid w:val="00A94FF4"/>
    <w:rsid w:val="00A95699"/>
    <w:rsid w:val="00A9607D"/>
    <w:rsid w:val="00A9651A"/>
    <w:rsid w:val="00A971D3"/>
    <w:rsid w:val="00A97DB1"/>
    <w:rsid w:val="00AA0343"/>
    <w:rsid w:val="00AA2A5C"/>
    <w:rsid w:val="00AA35D3"/>
    <w:rsid w:val="00AA5873"/>
    <w:rsid w:val="00AB2B3F"/>
    <w:rsid w:val="00AB2D11"/>
    <w:rsid w:val="00AB3E37"/>
    <w:rsid w:val="00AB6739"/>
    <w:rsid w:val="00AB78E9"/>
    <w:rsid w:val="00AC03DE"/>
    <w:rsid w:val="00AC08E7"/>
    <w:rsid w:val="00AC0FBB"/>
    <w:rsid w:val="00AC4504"/>
    <w:rsid w:val="00AD1558"/>
    <w:rsid w:val="00AD167C"/>
    <w:rsid w:val="00AD2209"/>
    <w:rsid w:val="00AD31F5"/>
    <w:rsid w:val="00AD3467"/>
    <w:rsid w:val="00AD4093"/>
    <w:rsid w:val="00AD5641"/>
    <w:rsid w:val="00AD77A4"/>
    <w:rsid w:val="00AE0F9B"/>
    <w:rsid w:val="00AE4D24"/>
    <w:rsid w:val="00AF55FF"/>
    <w:rsid w:val="00AF7DB7"/>
    <w:rsid w:val="00AF7F74"/>
    <w:rsid w:val="00B032D8"/>
    <w:rsid w:val="00B03704"/>
    <w:rsid w:val="00B14E65"/>
    <w:rsid w:val="00B15241"/>
    <w:rsid w:val="00B224F5"/>
    <w:rsid w:val="00B233FD"/>
    <w:rsid w:val="00B2439C"/>
    <w:rsid w:val="00B2650D"/>
    <w:rsid w:val="00B26632"/>
    <w:rsid w:val="00B268D0"/>
    <w:rsid w:val="00B26A63"/>
    <w:rsid w:val="00B27D40"/>
    <w:rsid w:val="00B33B3C"/>
    <w:rsid w:val="00B36575"/>
    <w:rsid w:val="00B36C2A"/>
    <w:rsid w:val="00B40D74"/>
    <w:rsid w:val="00B425BA"/>
    <w:rsid w:val="00B433CB"/>
    <w:rsid w:val="00B4376D"/>
    <w:rsid w:val="00B43B8A"/>
    <w:rsid w:val="00B45F73"/>
    <w:rsid w:val="00B5053B"/>
    <w:rsid w:val="00B52663"/>
    <w:rsid w:val="00B54FFE"/>
    <w:rsid w:val="00B55438"/>
    <w:rsid w:val="00B56DCB"/>
    <w:rsid w:val="00B57AB0"/>
    <w:rsid w:val="00B60248"/>
    <w:rsid w:val="00B64A6D"/>
    <w:rsid w:val="00B6518A"/>
    <w:rsid w:val="00B66DE5"/>
    <w:rsid w:val="00B7309A"/>
    <w:rsid w:val="00B73469"/>
    <w:rsid w:val="00B763FC"/>
    <w:rsid w:val="00B770D2"/>
    <w:rsid w:val="00B77702"/>
    <w:rsid w:val="00B81B60"/>
    <w:rsid w:val="00B81F04"/>
    <w:rsid w:val="00B87031"/>
    <w:rsid w:val="00B87303"/>
    <w:rsid w:val="00B874B7"/>
    <w:rsid w:val="00B90B38"/>
    <w:rsid w:val="00B92E0C"/>
    <w:rsid w:val="00B946EF"/>
    <w:rsid w:val="00B94DE7"/>
    <w:rsid w:val="00B9528A"/>
    <w:rsid w:val="00B95CF0"/>
    <w:rsid w:val="00B967B2"/>
    <w:rsid w:val="00B97D61"/>
    <w:rsid w:val="00BA3BDA"/>
    <w:rsid w:val="00BA40BC"/>
    <w:rsid w:val="00BA47A3"/>
    <w:rsid w:val="00BA5026"/>
    <w:rsid w:val="00BA55C7"/>
    <w:rsid w:val="00BA5816"/>
    <w:rsid w:val="00BA6715"/>
    <w:rsid w:val="00BB0211"/>
    <w:rsid w:val="00BB17FF"/>
    <w:rsid w:val="00BB1F1F"/>
    <w:rsid w:val="00BB260F"/>
    <w:rsid w:val="00BB3491"/>
    <w:rsid w:val="00BB5FAE"/>
    <w:rsid w:val="00BB6E79"/>
    <w:rsid w:val="00BC07E5"/>
    <w:rsid w:val="00BC0907"/>
    <w:rsid w:val="00BC2124"/>
    <w:rsid w:val="00BC53BC"/>
    <w:rsid w:val="00BC5F8C"/>
    <w:rsid w:val="00BC6730"/>
    <w:rsid w:val="00BD2D33"/>
    <w:rsid w:val="00BD31C3"/>
    <w:rsid w:val="00BD5DF3"/>
    <w:rsid w:val="00BD762E"/>
    <w:rsid w:val="00BE0CB7"/>
    <w:rsid w:val="00BE1C8C"/>
    <w:rsid w:val="00BE3B31"/>
    <w:rsid w:val="00BE719A"/>
    <w:rsid w:val="00BE720A"/>
    <w:rsid w:val="00BF13D5"/>
    <w:rsid w:val="00BF299A"/>
    <w:rsid w:val="00BF5A49"/>
    <w:rsid w:val="00BF6650"/>
    <w:rsid w:val="00C01FBA"/>
    <w:rsid w:val="00C067E5"/>
    <w:rsid w:val="00C07314"/>
    <w:rsid w:val="00C116DD"/>
    <w:rsid w:val="00C123D3"/>
    <w:rsid w:val="00C164CA"/>
    <w:rsid w:val="00C16620"/>
    <w:rsid w:val="00C172C7"/>
    <w:rsid w:val="00C177C0"/>
    <w:rsid w:val="00C2024D"/>
    <w:rsid w:val="00C21D39"/>
    <w:rsid w:val="00C225E1"/>
    <w:rsid w:val="00C279B4"/>
    <w:rsid w:val="00C27D0E"/>
    <w:rsid w:val="00C31148"/>
    <w:rsid w:val="00C329C6"/>
    <w:rsid w:val="00C357E9"/>
    <w:rsid w:val="00C373B4"/>
    <w:rsid w:val="00C418F7"/>
    <w:rsid w:val="00C41BF5"/>
    <w:rsid w:val="00C41D9B"/>
    <w:rsid w:val="00C42BF8"/>
    <w:rsid w:val="00C460AE"/>
    <w:rsid w:val="00C50043"/>
    <w:rsid w:val="00C50A0F"/>
    <w:rsid w:val="00C56CC2"/>
    <w:rsid w:val="00C60DEA"/>
    <w:rsid w:val="00C62482"/>
    <w:rsid w:val="00C65421"/>
    <w:rsid w:val="00C656FA"/>
    <w:rsid w:val="00C6585B"/>
    <w:rsid w:val="00C65871"/>
    <w:rsid w:val="00C65B07"/>
    <w:rsid w:val="00C70933"/>
    <w:rsid w:val="00C74B08"/>
    <w:rsid w:val="00C7573B"/>
    <w:rsid w:val="00C76CF3"/>
    <w:rsid w:val="00C81FEA"/>
    <w:rsid w:val="00C820A4"/>
    <w:rsid w:val="00C8238C"/>
    <w:rsid w:val="00C8268C"/>
    <w:rsid w:val="00C82AA2"/>
    <w:rsid w:val="00C82BCA"/>
    <w:rsid w:val="00C83A87"/>
    <w:rsid w:val="00C85CAA"/>
    <w:rsid w:val="00C9119B"/>
    <w:rsid w:val="00C92F06"/>
    <w:rsid w:val="00C938EA"/>
    <w:rsid w:val="00C9444A"/>
    <w:rsid w:val="00C9711C"/>
    <w:rsid w:val="00CA2E4B"/>
    <w:rsid w:val="00CA4124"/>
    <w:rsid w:val="00CA46AD"/>
    <w:rsid w:val="00CA4BE4"/>
    <w:rsid w:val="00CA7844"/>
    <w:rsid w:val="00CA7ABB"/>
    <w:rsid w:val="00CB47B5"/>
    <w:rsid w:val="00CB58EF"/>
    <w:rsid w:val="00CB6596"/>
    <w:rsid w:val="00CB7D4C"/>
    <w:rsid w:val="00CC051D"/>
    <w:rsid w:val="00CC1249"/>
    <w:rsid w:val="00CC1A08"/>
    <w:rsid w:val="00CC25CD"/>
    <w:rsid w:val="00CC2FC4"/>
    <w:rsid w:val="00CC68FC"/>
    <w:rsid w:val="00CC749C"/>
    <w:rsid w:val="00CC7E82"/>
    <w:rsid w:val="00CD023F"/>
    <w:rsid w:val="00CD1B35"/>
    <w:rsid w:val="00CD6E8D"/>
    <w:rsid w:val="00CD70C3"/>
    <w:rsid w:val="00CE0135"/>
    <w:rsid w:val="00CE6347"/>
    <w:rsid w:val="00CE6CB0"/>
    <w:rsid w:val="00CE7D64"/>
    <w:rsid w:val="00CF0BB2"/>
    <w:rsid w:val="00CF1D18"/>
    <w:rsid w:val="00CF23BD"/>
    <w:rsid w:val="00CF61C5"/>
    <w:rsid w:val="00D03299"/>
    <w:rsid w:val="00D03309"/>
    <w:rsid w:val="00D0350A"/>
    <w:rsid w:val="00D13441"/>
    <w:rsid w:val="00D141FC"/>
    <w:rsid w:val="00D144EA"/>
    <w:rsid w:val="00D15E4F"/>
    <w:rsid w:val="00D17632"/>
    <w:rsid w:val="00D20665"/>
    <w:rsid w:val="00D21324"/>
    <w:rsid w:val="00D213E4"/>
    <w:rsid w:val="00D23B55"/>
    <w:rsid w:val="00D243A3"/>
    <w:rsid w:val="00D25EE7"/>
    <w:rsid w:val="00D277A5"/>
    <w:rsid w:val="00D27BBA"/>
    <w:rsid w:val="00D307AB"/>
    <w:rsid w:val="00D3200B"/>
    <w:rsid w:val="00D33440"/>
    <w:rsid w:val="00D33964"/>
    <w:rsid w:val="00D400B6"/>
    <w:rsid w:val="00D40C02"/>
    <w:rsid w:val="00D41AD8"/>
    <w:rsid w:val="00D4251D"/>
    <w:rsid w:val="00D432F0"/>
    <w:rsid w:val="00D47AEF"/>
    <w:rsid w:val="00D50794"/>
    <w:rsid w:val="00D52EFE"/>
    <w:rsid w:val="00D563A1"/>
    <w:rsid w:val="00D56A0D"/>
    <w:rsid w:val="00D63EF6"/>
    <w:rsid w:val="00D66518"/>
    <w:rsid w:val="00D676A7"/>
    <w:rsid w:val="00D70DFB"/>
    <w:rsid w:val="00D71BE8"/>
    <w:rsid w:val="00D71EEA"/>
    <w:rsid w:val="00D71FB7"/>
    <w:rsid w:val="00D726B2"/>
    <w:rsid w:val="00D733A0"/>
    <w:rsid w:val="00D735CD"/>
    <w:rsid w:val="00D736C3"/>
    <w:rsid w:val="00D75BDE"/>
    <w:rsid w:val="00D766DF"/>
    <w:rsid w:val="00D80410"/>
    <w:rsid w:val="00D80F2F"/>
    <w:rsid w:val="00D8412C"/>
    <w:rsid w:val="00D846C4"/>
    <w:rsid w:val="00D90378"/>
    <w:rsid w:val="00D91D0E"/>
    <w:rsid w:val="00D91D25"/>
    <w:rsid w:val="00D93869"/>
    <w:rsid w:val="00D95891"/>
    <w:rsid w:val="00D95FCA"/>
    <w:rsid w:val="00D96BD4"/>
    <w:rsid w:val="00DA4482"/>
    <w:rsid w:val="00DA50F9"/>
    <w:rsid w:val="00DB0DA5"/>
    <w:rsid w:val="00DB1042"/>
    <w:rsid w:val="00DB3CD9"/>
    <w:rsid w:val="00DB458D"/>
    <w:rsid w:val="00DB5CB4"/>
    <w:rsid w:val="00DC16AC"/>
    <w:rsid w:val="00DC1D5D"/>
    <w:rsid w:val="00DC2B20"/>
    <w:rsid w:val="00DC4D7A"/>
    <w:rsid w:val="00DC5380"/>
    <w:rsid w:val="00DC6842"/>
    <w:rsid w:val="00DC71CB"/>
    <w:rsid w:val="00DC76C3"/>
    <w:rsid w:val="00DC781B"/>
    <w:rsid w:val="00DC7E94"/>
    <w:rsid w:val="00DD1565"/>
    <w:rsid w:val="00DD2507"/>
    <w:rsid w:val="00DE149E"/>
    <w:rsid w:val="00DE15BB"/>
    <w:rsid w:val="00DE17E6"/>
    <w:rsid w:val="00DE212E"/>
    <w:rsid w:val="00DE2973"/>
    <w:rsid w:val="00DF03E7"/>
    <w:rsid w:val="00DF0EC3"/>
    <w:rsid w:val="00DF22EC"/>
    <w:rsid w:val="00DF49B5"/>
    <w:rsid w:val="00E00620"/>
    <w:rsid w:val="00E031D3"/>
    <w:rsid w:val="00E0351D"/>
    <w:rsid w:val="00E044E2"/>
    <w:rsid w:val="00E05704"/>
    <w:rsid w:val="00E072CC"/>
    <w:rsid w:val="00E077BC"/>
    <w:rsid w:val="00E12F1A"/>
    <w:rsid w:val="00E1331B"/>
    <w:rsid w:val="00E13EC5"/>
    <w:rsid w:val="00E166CC"/>
    <w:rsid w:val="00E174A3"/>
    <w:rsid w:val="00E206E6"/>
    <w:rsid w:val="00E2092A"/>
    <w:rsid w:val="00E20995"/>
    <w:rsid w:val="00E21C63"/>
    <w:rsid w:val="00E21CFB"/>
    <w:rsid w:val="00E22935"/>
    <w:rsid w:val="00E23212"/>
    <w:rsid w:val="00E25EA1"/>
    <w:rsid w:val="00E31D2B"/>
    <w:rsid w:val="00E320B7"/>
    <w:rsid w:val="00E329F6"/>
    <w:rsid w:val="00E3486B"/>
    <w:rsid w:val="00E35427"/>
    <w:rsid w:val="00E3722B"/>
    <w:rsid w:val="00E44EBF"/>
    <w:rsid w:val="00E503D3"/>
    <w:rsid w:val="00E51153"/>
    <w:rsid w:val="00E514CD"/>
    <w:rsid w:val="00E533F0"/>
    <w:rsid w:val="00E54292"/>
    <w:rsid w:val="00E57415"/>
    <w:rsid w:val="00E579D0"/>
    <w:rsid w:val="00E60191"/>
    <w:rsid w:val="00E61082"/>
    <w:rsid w:val="00E62331"/>
    <w:rsid w:val="00E631DD"/>
    <w:rsid w:val="00E637CC"/>
    <w:rsid w:val="00E63A29"/>
    <w:rsid w:val="00E6492D"/>
    <w:rsid w:val="00E65F67"/>
    <w:rsid w:val="00E66960"/>
    <w:rsid w:val="00E66A93"/>
    <w:rsid w:val="00E73513"/>
    <w:rsid w:val="00E7410F"/>
    <w:rsid w:val="00E74DC7"/>
    <w:rsid w:val="00E75D96"/>
    <w:rsid w:val="00E76384"/>
    <w:rsid w:val="00E808E4"/>
    <w:rsid w:val="00E82969"/>
    <w:rsid w:val="00E85A7A"/>
    <w:rsid w:val="00E86D7C"/>
    <w:rsid w:val="00E87699"/>
    <w:rsid w:val="00E9124D"/>
    <w:rsid w:val="00E92352"/>
    <w:rsid w:val="00E92E27"/>
    <w:rsid w:val="00E93B0F"/>
    <w:rsid w:val="00E955F5"/>
    <w:rsid w:val="00E9586B"/>
    <w:rsid w:val="00E97334"/>
    <w:rsid w:val="00EA0D36"/>
    <w:rsid w:val="00EA0E35"/>
    <w:rsid w:val="00EA1674"/>
    <w:rsid w:val="00EA1EFF"/>
    <w:rsid w:val="00EA3B0A"/>
    <w:rsid w:val="00EA4EEE"/>
    <w:rsid w:val="00EA6B26"/>
    <w:rsid w:val="00EA7120"/>
    <w:rsid w:val="00EB1079"/>
    <w:rsid w:val="00EB263A"/>
    <w:rsid w:val="00EB4AD3"/>
    <w:rsid w:val="00EB647E"/>
    <w:rsid w:val="00EB7479"/>
    <w:rsid w:val="00EB7D8A"/>
    <w:rsid w:val="00EC1121"/>
    <w:rsid w:val="00EC7840"/>
    <w:rsid w:val="00ED454D"/>
    <w:rsid w:val="00ED4928"/>
    <w:rsid w:val="00ED5116"/>
    <w:rsid w:val="00ED7C85"/>
    <w:rsid w:val="00EE1217"/>
    <w:rsid w:val="00EE18B1"/>
    <w:rsid w:val="00EE31A1"/>
    <w:rsid w:val="00EE3A1C"/>
    <w:rsid w:val="00EE3E46"/>
    <w:rsid w:val="00EE4330"/>
    <w:rsid w:val="00EE4755"/>
    <w:rsid w:val="00EE4955"/>
    <w:rsid w:val="00EE588D"/>
    <w:rsid w:val="00EE6190"/>
    <w:rsid w:val="00EE72EB"/>
    <w:rsid w:val="00EF00EB"/>
    <w:rsid w:val="00EF2E3A"/>
    <w:rsid w:val="00EF3B4D"/>
    <w:rsid w:val="00EF3DA1"/>
    <w:rsid w:val="00EF5E6E"/>
    <w:rsid w:val="00EF6402"/>
    <w:rsid w:val="00EF6EBE"/>
    <w:rsid w:val="00F025DF"/>
    <w:rsid w:val="00F02D29"/>
    <w:rsid w:val="00F04522"/>
    <w:rsid w:val="00F045B6"/>
    <w:rsid w:val="00F047E2"/>
    <w:rsid w:val="00F04D57"/>
    <w:rsid w:val="00F0541D"/>
    <w:rsid w:val="00F05448"/>
    <w:rsid w:val="00F063CC"/>
    <w:rsid w:val="00F0655F"/>
    <w:rsid w:val="00F07044"/>
    <w:rsid w:val="00F0763B"/>
    <w:rsid w:val="00F078DC"/>
    <w:rsid w:val="00F11142"/>
    <w:rsid w:val="00F11732"/>
    <w:rsid w:val="00F11989"/>
    <w:rsid w:val="00F1294E"/>
    <w:rsid w:val="00F12FBF"/>
    <w:rsid w:val="00F13E86"/>
    <w:rsid w:val="00F15EB6"/>
    <w:rsid w:val="00F16075"/>
    <w:rsid w:val="00F2299D"/>
    <w:rsid w:val="00F3028A"/>
    <w:rsid w:val="00F32258"/>
    <w:rsid w:val="00F32FCB"/>
    <w:rsid w:val="00F357CE"/>
    <w:rsid w:val="00F3634D"/>
    <w:rsid w:val="00F36B92"/>
    <w:rsid w:val="00F4444F"/>
    <w:rsid w:val="00F47339"/>
    <w:rsid w:val="00F535CB"/>
    <w:rsid w:val="00F55DC7"/>
    <w:rsid w:val="00F5692D"/>
    <w:rsid w:val="00F5760C"/>
    <w:rsid w:val="00F6086F"/>
    <w:rsid w:val="00F6709F"/>
    <w:rsid w:val="00F677A9"/>
    <w:rsid w:val="00F70278"/>
    <w:rsid w:val="00F7128F"/>
    <w:rsid w:val="00F7198A"/>
    <w:rsid w:val="00F71A1C"/>
    <w:rsid w:val="00F72319"/>
    <w:rsid w:val="00F723BD"/>
    <w:rsid w:val="00F732EA"/>
    <w:rsid w:val="00F74D5A"/>
    <w:rsid w:val="00F752C6"/>
    <w:rsid w:val="00F83DB9"/>
    <w:rsid w:val="00F84CF5"/>
    <w:rsid w:val="00F8612E"/>
    <w:rsid w:val="00F875C1"/>
    <w:rsid w:val="00F921B2"/>
    <w:rsid w:val="00F957AA"/>
    <w:rsid w:val="00F9708D"/>
    <w:rsid w:val="00FA04DA"/>
    <w:rsid w:val="00FA1677"/>
    <w:rsid w:val="00FA1F48"/>
    <w:rsid w:val="00FA21C7"/>
    <w:rsid w:val="00FA420B"/>
    <w:rsid w:val="00FA6B42"/>
    <w:rsid w:val="00FA6BFE"/>
    <w:rsid w:val="00FA7D50"/>
    <w:rsid w:val="00FB2772"/>
    <w:rsid w:val="00FB60A4"/>
    <w:rsid w:val="00FB67B8"/>
    <w:rsid w:val="00FC5179"/>
    <w:rsid w:val="00FC73F8"/>
    <w:rsid w:val="00FD0DF7"/>
    <w:rsid w:val="00FD411A"/>
    <w:rsid w:val="00FD44C6"/>
    <w:rsid w:val="00FD4BCF"/>
    <w:rsid w:val="00FD6237"/>
    <w:rsid w:val="00FD74B2"/>
    <w:rsid w:val="00FE0781"/>
    <w:rsid w:val="00FE30D2"/>
    <w:rsid w:val="00FE7314"/>
    <w:rsid w:val="00FE7780"/>
    <w:rsid w:val="00FE7FC6"/>
    <w:rsid w:val="00FF0C95"/>
    <w:rsid w:val="00FF39DE"/>
    <w:rsid w:val="00FF5557"/>
    <w:rsid w:val="00FF5A0B"/>
    <w:rsid w:val="00FF5A9A"/>
    <w:rsid w:val="00FF6874"/>
    <w:rsid w:val="00FF6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41FC"/>
    <w:pPr>
      <w:spacing w:line="260" w:lineRule="atLeast"/>
    </w:pPr>
    <w:rPr>
      <w:sz w:val="22"/>
    </w:rPr>
  </w:style>
  <w:style w:type="paragraph" w:styleId="Heading1">
    <w:name w:val="heading 1"/>
    <w:basedOn w:val="Normal"/>
    <w:next w:val="Normal"/>
    <w:link w:val="Heading1Char"/>
    <w:uiPriority w:val="9"/>
    <w:qFormat/>
    <w:rsid w:val="00D141F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41F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41F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41F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141F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141F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141F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141F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141F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41FC"/>
  </w:style>
  <w:style w:type="paragraph" w:customStyle="1" w:styleId="OPCParaBase">
    <w:name w:val="OPCParaBase"/>
    <w:qFormat/>
    <w:rsid w:val="00D141FC"/>
    <w:pPr>
      <w:spacing w:line="260" w:lineRule="atLeast"/>
    </w:pPr>
    <w:rPr>
      <w:rFonts w:eastAsia="Times New Roman" w:cs="Times New Roman"/>
      <w:sz w:val="22"/>
      <w:lang w:eastAsia="en-AU"/>
    </w:rPr>
  </w:style>
  <w:style w:type="paragraph" w:customStyle="1" w:styleId="ShortT">
    <w:name w:val="ShortT"/>
    <w:basedOn w:val="OPCParaBase"/>
    <w:next w:val="Normal"/>
    <w:qFormat/>
    <w:rsid w:val="00D141FC"/>
    <w:pPr>
      <w:spacing w:line="240" w:lineRule="auto"/>
    </w:pPr>
    <w:rPr>
      <w:b/>
      <w:sz w:val="40"/>
    </w:rPr>
  </w:style>
  <w:style w:type="paragraph" w:customStyle="1" w:styleId="ActHead1">
    <w:name w:val="ActHead 1"/>
    <w:aliases w:val="c"/>
    <w:basedOn w:val="OPCParaBase"/>
    <w:next w:val="Normal"/>
    <w:qFormat/>
    <w:rsid w:val="00D141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41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41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41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41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41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41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41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41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141FC"/>
  </w:style>
  <w:style w:type="paragraph" w:customStyle="1" w:styleId="Blocks">
    <w:name w:val="Blocks"/>
    <w:aliases w:val="bb"/>
    <w:basedOn w:val="OPCParaBase"/>
    <w:qFormat/>
    <w:rsid w:val="00D141FC"/>
    <w:pPr>
      <w:spacing w:line="240" w:lineRule="auto"/>
    </w:pPr>
    <w:rPr>
      <w:sz w:val="24"/>
    </w:rPr>
  </w:style>
  <w:style w:type="paragraph" w:customStyle="1" w:styleId="BoxText">
    <w:name w:val="BoxText"/>
    <w:aliases w:val="bt"/>
    <w:basedOn w:val="OPCParaBase"/>
    <w:qFormat/>
    <w:rsid w:val="00D141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41FC"/>
    <w:rPr>
      <w:b/>
    </w:rPr>
  </w:style>
  <w:style w:type="paragraph" w:customStyle="1" w:styleId="BoxHeadItalic">
    <w:name w:val="BoxHeadItalic"/>
    <w:aliases w:val="bhi"/>
    <w:basedOn w:val="BoxText"/>
    <w:next w:val="BoxStep"/>
    <w:qFormat/>
    <w:rsid w:val="00D141FC"/>
    <w:rPr>
      <w:i/>
    </w:rPr>
  </w:style>
  <w:style w:type="paragraph" w:customStyle="1" w:styleId="BoxList">
    <w:name w:val="BoxList"/>
    <w:aliases w:val="bl"/>
    <w:basedOn w:val="BoxText"/>
    <w:qFormat/>
    <w:rsid w:val="00D141FC"/>
    <w:pPr>
      <w:ind w:left="1559" w:hanging="425"/>
    </w:pPr>
  </w:style>
  <w:style w:type="paragraph" w:customStyle="1" w:styleId="BoxNote">
    <w:name w:val="BoxNote"/>
    <w:aliases w:val="bn"/>
    <w:basedOn w:val="BoxText"/>
    <w:qFormat/>
    <w:rsid w:val="00D141FC"/>
    <w:pPr>
      <w:tabs>
        <w:tab w:val="left" w:pos="1985"/>
      </w:tabs>
      <w:spacing w:before="122" w:line="198" w:lineRule="exact"/>
      <w:ind w:left="2948" w:hanging="1814"/>
    </w:pPr>
    <w:rPr>
      <w:sz w:val="18"/>
    </w:rPr>
  </w:style>
  <w:style w:type="paragraph" w:customStyle="1" w:styleId="BoxPara">
    <w:name w:val="BoxPara"/>
    <w:aliases w:val="bp"/>
    <w:basedOn w:val="BoxText"/>
    <w:qFormat/>
    <w:rsid w:val="00D141FC"/>
    <w:pPr>
      <w:tabs>
        <w:tab w:val="right" w:pos="2268"/>
      </w:tabs>
      <w:ind w:left="2552" w:hanging="1418"/>
    </w:pPr>
  </w:style>
  <w:style w:type="paragraph" w:customStyle="1" w:styleId="BoxStep">
    <w:name w:val="BoxStep"/>
    <w:aliases w:val="bs"/>
    <w:basedOn w:val="BoxText"/>
    <w:qFormat/>
    <w:rsid w:val="00D141FC"/>
    <w:pPr>
      <w:ind w:left="1985" w:hanging="851"/>
    </w:pPr>
  </w:style>
  <w:style w:type="character" w:customStyle="1" w:styleId="CharAmPartNo">
    <w:name w:val="CharAmPartNo"/>
    <w:basedOn w:val="OPCCharBase"/>
    <w:qFormat/>
    <w:rsid w:val="00D141FC"/>
  </w:style>
  <w:style w:type="character" w:customStyle="1" w:styleId="CharAmPartText">
    <w:name w:val="CharAmPartText"/>
    <w:basedOn w:val="OPCCharBase"/>
    <w:qFormat/>
    <w:rsid w:val="00D141FC"/>
  </w:style>
  <w:style w:type="character" w:customStyle="1" w:styleId="CharAmSchNo">
    <w:name w:val="CharAmSchNo"/>
    <w:basedOn w:val="OPCCharBase"/>
    <w:qFormat/>
    <w:rsid w:val="00D141FC"/>
  </w:style>
  <w:style w:type="character" w:customStyle="1" w:styleId="CharAmSchText">
    <w:name w:val="CharAmSchText"/>
    <w:basedOn w:val="OPCCharBase"/>
    <w:qFormat/>
    <w:rsid w:val="00D141FC"/>
  </w:style>
  <w:style w:type="character" w:customStyle="1" w:styleId="CharBoldItalic">
    <w:name w:val="CharBoldItalic"/>
    <w:basedOn w:val="OPCCharBase"/>
    <w:uiPriority w:val="1"/>
    <w:qFormat/>
    <w:rsid w:val="00D141FC"/>
    <w:rPr>
      <w:b/>
      <w:i/>
    </w:rPr>
  </w:style>
  <w:style w:type="character" w:customStyle="1" w:styleId="CharChapNo">
    <w:name w:val="CharChapNo"/>
    <w:basedOn w:val="OPCCharBase"/>
    <w:uiPriority w:val="1"/>
    <w:qFormat/>
    <w:rsid w:val="00D141FC"/>
  </w:style>
  <w:style w:type="character" w:customStyle="1" w:styleId="CharChapText">
    <w:name w:val="CharChapText"/>
    <w:basedOn w:val="OPCCharBase"/>
    <w:uiPriority w:val="1"/>
    <w:qFormat/>
    <w:rsid w:val="00D141FC"/>
  </w:style>
  <w:style w:type="character" w:customStyle="1" w:styleId="CharDivNo">
    <w:name w:val="CharDivNo"/>
    <w:basedOn w:val="OPCCharBase"/>
    <w:uiPriority w:val="1"/>
    <w:qFormat/>
    <w:rsid w:val="00D141FC"/>
  </w:style>
  <w:style w:type="character" w:customStyle="1" w:styleId="CharDivText">
    <w:name w:val="CharDivText"/>
    <w:basedOn w:val="OPCCharBase"/>
    <w:uiPriority w:val="1"/>
    <w:qFormat/>
    <w:rsid w:val="00D141FC"/>
  </w:style>
  <w:style w:type="character" w:customStyle="1" w:styleId="CharItalic">
    <w:name w:val="CharItalic"/>
    <w:basedOn w:val="OPCCharBase"/>
    <w:uiPriority w:val="1"/>
    <w:qFormat/>
    <w:rsid w:val="00D141FC"/>
    <w:rPr>
      <w:i/>
    </w:rPr>
  </w:style>
  <w:style w:type="character" w:customStyle="1" w:styleId="CharPartNo">
    <w:name w:val="CharPartNo"/>
    <w:basedOn w:val="OPCCharBase"/>
    <w:uiPriority w:val="1"/>
    <w:qFormat/>
    <w:rsid w:val="00D141FC"/>
  </w:style>
  <w:style w:type="character" w:customStyle="1" w:styleId="CharPartText">
    <w:name w:val="CharPartText"/>
    <w:basedOn w:val="OPCCharBase"/>
    <w:uiPriority w:val="1"/>
    <w:qFormat/>
    <w:rsid w:val="00D141FC"/>
  </w:style>
  <w:style w:type="character" w:customStyle="1" w:styleId="CharSectno">
    <w:name w:val="CharSectno"/>
    <w:basedOn w:val="OPCCharBase"/>
    <w:qFormat/>
    <w:rsid w:val="00D141FC"/>
  </w:style>
  <w:style w:type="character" w:customStyle="1" w:styleId="CharSubdNo">
    <w:name w:val="CharSubdNo"/>
    <w:basedOn w:val="OPCCharBase"/>
    <w:uiPriority w:val="1"/>
    <w:qFormat/>
    <w:rsid w:val="00D141FC"/>
  </w:style>
  <w:style w:type="character" w:customStyle="1" w:styleId="CharSubdText">
    <w:name w:val="CharSubdText"/>
    <w:basedOn w:val="OPCCharBase"/>
    <w:uiPriority w:val="1"/>
    <w:qFormat/>
    <w:rsid w:val="00D141FC"/>
  </w:style>
  <w:style w:type="paragraph" w:customStyle="1" w:styleId="CTA--">
    <w:name w:val="CTA --"/>
    <w:basedOn w:val="OPCParaBase"/>
    <w:next w:val="Normal"/>
    <w:rsid w:val="00D141FC"/>
    <w:pPr>
      <w:spacing w:before="60" w:line="240" w:lineRule="atLeast"/>
      <w:ind w:left="142" w:hanging="142"/>
    </w:pPr>
    <w:rPr>
      <w:sz w:val="20"/>
    </w:rPr>
  </w:style>
  <w:style w:type="paragraph" w:customStyle="1" w:styleId="CTA-">
    <w:name w:val="CTA -"/>
    <w:basedOn w:val="OPCParaBase"/>
    <w:rsid w:val="00D141FC"/>
    <w:pPr>
      <w:spacing w:before="60" w:line="240" w:lineRule="atLeast"/>
      <w:ind w:left="85" w:hanging="85"/>
    </w:pPr>
    <w:rPr>
      <w:sz w:val="20"/>
    </w:rPr>
  </w:style>
  <w:style w:type="paragraph" w:customStyle="1" w:styleId="CTA---">
    <w:name w:val="CTA ---"/>
    <w:basedOn w:val="OPCParaBase"/>
    <w:next w:val="Normal"/>
    <w:rsid w:val="00D141FC"/>
    <w:pPr>
      <w:spacing w:before="60" w:line="240" w:lineRule="atLeast"/>
      <w:ind w:left="198" w:hanging="198"/>
    </w:pPr>
    <w:rPr>
      <w:sz w:val="20"/>
    </w:rPr>
  </w:style>
  <w:style w:type="paragraph" w:customStyle="1" w:styleId="CTA----">
    <w:name w:val="CTA ----"/>
    <w:basedOn w:val="OPCParaBase"/>
    <w:next w:val="Normal"/>
    <w:rsid w:val="00D141FC"/>
    <w:pPr>
      <w:spacing w:before="60" w:line="240" w:lineRule="atLeast"/>
      <w:ind w:left="255" w:hanging="255"/>
    </w:pPr>
    <w:rPr>
      <w:sz w:val="20"/>
    </w:rPr>
  </w:style>
  <w:style w:type="paragraph" w:customStyle="1" w:styleId="CTA1a">
    <w:name w:val="CTA 1(a)"/>
    <w:basedOn w:val="OPCParaBase"/>
    <w:rsid w:val="00D141FC"/>
    <w:pPr>
      <w:tabs>
        <w:tab w:val="right" w:pos="414"/>
      </w:tabs>
      <w:spacing w:before="40" w:line="240" w:lineRule="atLeast"/>
      <w:ind w:left="675" w:hanging="675"/>
    </w:pPr>
    <w:rPr>
      <w:sz w:val="20"/>
    </w:rPr>
  </w:style>
  <w:style w:type="paragraph" w:customStyle="1" w:styleId="CTA1ai">
    <w:name w:val="CTA 1(a)(i)"/>
    <w:basedOn w:val="OPCParaBase"/>
    <w:rsid w:val="00D141FC"/>
    <w:pPr>
      <w:tabs>
        <w:tab w:val="right" w:pos="1004"/>
      </w:tabs>
      <w:spacing w:before="40" w:line="240" w:lineRule="atLeast"/>
      <w:ind w:left="1253" w:hanging="1253"/>
    </w:pPr>
    <w:rPr>
      <w:sz w:val="20"/>
    </w:rPr>
  </w:style>
  <w:style w:type="paragraph" w:customStyle="1" w:styleId="CTA2a">
    <w:name w:val="CTA 2(a)"/>
    <w:basedOn w:val="OPCParaBase"/>
    <w:rsid w:val="00D141FC"/>
    <w:pPr>
      <w:tabs>
        <w:tab w:val="right" w:pos="482"/>
      </w:tabs>
      <w:spacing w:before="40" w:line="240" w:lineRule="atLeast"/>
      <w:ind w:left="748" w:hanging="748"/>
    </w:pPr>
    <w:rPr>
      <w:sz w:val="20"/>
    </w:rPr>
  </w:style>
  <w:style w:type="paragraph" w:customStyle="1" w:styleId="CTA2ai">
    <w:name w:val="CTA 2(a)(i)"/>
    <w:basedOn w:val="OPCParaBase"/>
    <w:rsid w:val="00D141FC"/>
    <w:pPr>
      <w:tabs>
        <w:tab w:val="right" w:pos="1089"/>
      </w:tabs>
      <w:spacing w:before="40" w:line="240" w:lineRule="atLeast"/>
      <w:ind w:left="1327" w:hanging="1327"/>
    </w:pPr>
    <w:rPr>
      <w:sz w:val="20"/>
    </w:rPr>
  </w:style>
  <w:style w:type="paragraph" w:customStyle="1" w:styleId="CTA3a">
    <w:name w:val="CTA 3(a)"/>
    <w:basedOn w:val="OPCParaBase"/>
    <w:rsid w:val="00D141FC"/>
    <w:pPr>
      <w:tabs>
        <w:tab w:val="right" w:pos="556"/>
      </w:tabs>
      <w:spacing w:before="40" w:line="240" w:lineRule="atLeast"/>
      <w:ind w:left="805" w:hanging="805"/>
    </w:pPr>
    <w:rPr>
      <w:sz w:val="20"/>
    </w:rPr>
  </w:style>
  <w:style w:type="paragraph" w:customStyle="1" w:styleId="CTA3ai">
    <w:name w:val="CTA 3(a)(i)"/>
    <w:basedOn w:val="OPCParaBase"/>
    <w:rsid w:val="00D141FC"/>
    <w:pPr>
      <w:tabs>
        <w:tab w:val="right" w:pos="1140"/>
      </w:tabs>
      <w:spacing w:before="40" w:line="240" w:lineRule="atLeast"/>
      <w:ind w:left="1361" w:hanging="1361"/>
    </w:pPr>
    <w:rPr>
      <w:sz w:val="20"/>
    </w:rPr>
  </w:style>
  <w:style w:type="paragraph" w:customStyle="1" w:styleId="CTA4a">
    <w:name w:val="CTA 4(a)"/>
    <w:basedOn w:val="OPCParaBase"/>
    <w:rsid w:val="00D141FC"/>
    <w:pPr>
      <w:tabs>
        <w:tab w:val="right" w:pos="624"/>
      </w:tabs>
      <w:spacing w:before="40" w:line="240" w:lineRule="atLeast"/>
      <w:ind w:left="873" w:hanging="873"/>
    </w:pPr>
    <w:rPr>
      <w:sz w:val="20"/>
    </w:rPr>
  </w:style>
  <w:style w:type="paragraph" w:customStyle="1" w:styleId="CTA4ai">
    <w:name w:val="CTA 4(a)(i)"/>
    <w:basedOn w:val="OPCParaBase"/>
    <w:rsid w:val="00D141FC"/>
    <w:pPr>
      <w:tabs>
        <w:tab w:val="right" w:pos="1213"/>
      </w:tabs>
      <w:spacing w:before="40" w:line="240" w:lineRule="atLeast"/>
      <w:ind w:left="1452" w:hanging="1452"/>
    </w:pPr>
    <w:rPr>
      <w:sz w:val="20"/>
    </w:rPr>
  </w:style>
  <w:style w:type="paragraph" w:customStyle="1" w:styleId="CTACAPS">
    <w:name w:val="CTA CAPS"/>
    <w:basedOn w:val="OPCParaBase"/>
    <w:rsid w:val="00D141FC"/>
    <w:pPr>
      <w:spacing w:before="60" w:line="240" w:lineRule="atLeast"/>
    </w:pPr>
    <w:rPr>
      <w:sz w:val="20"/>
    </w:rPr>
  </w:style>
  <w:style w:type="paragraph" w:customStyle="1" w:styleId="CTAright">
    <w:name w:val="CTA right"/>
    <w:basedOn w:val="OPCParaBase"/>
    <w:rsid w:val="00D141FC"/>
    <w:pPr>
      <w:spacing w:before="60" w:line="240" w:lineRule="auto"/>
      <w:jc w:val="right"/>
    </w:pPr>
    <w:rPr>
      <w:sz w:val="20"/>
    </w:rPr>
  </w:style>
  <w:style w:type="paragraph" w:customStyle="1" w:styleId="subsection">
    <w:name w:val="subsection"/>
    <w:aliases w:val="ss,Subsection"/>
    <w:basedOn w:val="OPCParaBase"/>
    <w:link w:val="subsectionChar"/>
    <w:rsid w:val="00D141F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141FC"/>
    <w:pPr>
      <w:spacing w:before="180" w:line="240" w:lineRule="auto"/>
      <w:ind w:left="1134"/>
    </w:pPr>
  </w:style>
  <w:style w:type="paragraph" w:customStyle="1" w:styleId="ETAsubitem">
    <w:name w:val="ETA(subitem)"/>
    <w:basedOn w:val="OPCParaBase"/>
    <w:rsid w:val="00D141FC"/>
    <w:pPr>
      <w:tabs>
        <w:tab w:val="right" w:pos="340"/>
      </w:tabs>
      <w:spacing w:before="60" w:line="240" w:lineRule="auto"/>
      <w:ind w:left="454" w:hanging="454"/>
    </w:pPr>
    <w:rPr>
      <w:sz w:val="20"/>
    </w:rPr>
  </w:style>
  <w:style w:type="paragraph" w:customStyle="1" w:styleId="ETApara">
    <w:name w:val="ETA(para)"/>
    <w:basedOn w:val="OPCParaBase"/>
    <w:rsid w:val="00D141FC"/>
    <w:pPr>
      <w:tabs>
        <w:tab w:val="right" w:pos="754"/>
      </w:tabs>
      <w:spacing w:before="60" w:line="240" w:lineRule="auto"/>
      <w:ind w:left="828" w:hanging="828"/>
    </w:pPr>
    <w:rPr>
      <w:sz w:val="20"/>
    </w:rPr>
  </w:style>
  <w:style w:type="paragraph" w:customStyle="1" w:styleId="ETAsubpara">
    <w:name w:val="ETA(subpara)"/>
    <w:basedOn w:val="OPCParaBase"/>
    <w:rsid w:val="00D141FC"/>
    <w:pPr>
      <w:tabs>
        <w:tab w:val="right" w:pos="1083"/>
      </w:tabs>
      <w:spacing w:before="60" w:line="240" w:lineRule="auto"/>
      <w:ind w:left="1191" w:hanging="1191"/>
    </w:pPr>
    <w:rPr>
      <w:sz w:val="20"/>
    </w:rPr>
  </w:style>
  <w:style w:type="paragraph" w:customStyle="1" w:styleId="ETAsub-subpara">
    <w:name w:val="ETA(sub-subpara)"/>
    <w:basedOn w:val="OPCParaBase"/>
    <w:rsid w:val="00D141FC"/>
    <w:pPr>
      <w:tabs>
        <w:tab w:val="right" w:pos="1412"/>
      </w:tabs>
      <w:spacing w:before="60" w:line="240" w:lineRule="auto"/>
      <w:ind w:left="1525" w:hanging="1525"/>
    </w:pPr>
    <w:rPr>
      <w:sz w:val="20"/>
    </w:rPr>
  </w:style>
  <w:style w:type="paragraph" w:customStyle="1" w:styleId="Formula">
    <w:name w:val="Formula"/>
    <w:basedOn w:val="OPCParaBase"/>
    <w:rsid w:val="00D141FC"/>
    <w:pPr>
      <w:spacing w:line="240" w:lineRule="auto"/>
      <w:ind w:left="1134"/>
    </w:pPr>
    <w:rPr>
      <w:sz w:val="20"/>
    </w:rPr>
  </w:style>
  <w:style w:type="paragraph" w:styleId="Header">
    <w:name w:val="header"/>
    <w:basedOn w:val="OPCParaBase"/>
    <w:link w:val="HeaderChar"/>
    <w:unhideWhenUsed/>
    <w:rsid w:val="00D141F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41FC"/>
    <w:rPr>
      <w:rFonts w:eastAsia="Times New Roman" w:cs="Times New Roman"/>
      <w:sz w:val="16"/>
      <w:lang w:eastAsia="en-AU"/>
    </w:rPr>
  </w:style>
  <w:style w:type="paragraph" w:customStyle="1" w:styleId="House">
    <w:name w:val="House"/>
    <w:basedOn w:val="OPCParaBase"/>
    <w:rsid w:val="00D141FC"/>
    <w:pPr>
      <w:spacing w:line="240" w:lineRule="auto"/>
    </w:pPr>
    <w:rPr>
      <w:sz w:val="28"/>
    </w:rPr>
  </w:style>
  <w:style w:type="paragraph" w:customStyle="1" w:styleId="Item">
    <w:name w:val="Item"/>
    <w:aliases w:val="i"/>
    <w:basedOn w:val="OPCParaBase"/>
    <w:next w:val="ItemHead"/>
    <w:link w:val="ItemChar"/>
    <w:rsid w:val="00D141FC"/>
    <w:pPr>
      <w:keepLines/>
      <w:spacing w:before="80" w:line="240" w:lineRule="auto"/>
      <w:ind w:left="709"/>
    </w:pPr>
  </w:style>
  <w:style w:type="paragraph" w:customStyle="1" w:styleId="ItemHead">
    <w:name w:val="ItemHead"/>
    <w:aliases w:val="ih"/>
    <w:basedOn w:val="OPCParaBase"/>
    <w:next w:val="Item"/>
    <w:link w:val="ItemHeadChar"/>
    <w:rsid w:val="00D141F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41FC"/>
    <w:pPr>
      <w:spacing w:line="240" w:lineRule="auto"/>
    </w:pPr>
    <w:rPr>
      <w:b/>
      <w:sz w:val="32"/>
    </w:rPr>
  </w:style>
  <w:style w:type="paragraph" w:customStyle="1" w:styleId="notedraft">
    <w:name w:val="note(draft)"/>
    <w:aliases w:val="nd"/>
    <w:basedOn w:val="OPCParaBase"/>
    <w:rsid w:val="00D141FC"/>
    <w:pPr>
      <w:spacing w:before="240" w:line="240" w:lineRule="auto"/>
      <w:ind w:left="284" w:hanging="284"/>
    </w:pPr>
    <w:rPr>
      <w:i/>
      <w:sz w:val="24"/>
    </w:rPr>
  </w:style>
  <w:style w:type="paragraph" w:customStyle="1" w:styleId="notemargin">
    <w:name w:val="note(margin)"/>
    <w:aliases w:val="nm"/>
    <w:basedOn w:val="OPCParaBase"/>
    <w:rsid w:val="00D141FC"/>
    <w:pPr>
      <w:tabs>
        <w:tab w:val="left" w:pos="709"/>
      </w:tabs>
      <w:spacing w:before="122" w:line="198" w:lineRule="exact"/>
      <w:ind w:left="709" w:hanging="709"/>
    </w:pPr>
    <w:rPr>
      <w:sz w:val="18"/>
    </w:rPr>
  </w:style>
  <w:style w:type="paragraph" w:customStyle="1" w:styleId="noteToPara">
    <w:name w:val="noteToPara"/>
    <w:aliases w:val="ntp"/>
    <w:basedOn w:val="OPCParaBase"/>
    <w:rsid w:val="00D141FC"/>
    <w:pPr>
      <w:spacing w:before="122" w:line="198" w:lineRule="exact"/>
      <w:ind w:left="2353" w:hanging="709"/>
    </w:pPr>
    <w:rPr>
      <w:sz w:val="18"/>
    </w:rPr>
  </w:style>
  <w:style w:type="paragraph" w:customStyle="1" w:styleId="noteParlAmend">
    <w:name w:val="note(ParlAmend)"/>
    <w:aliases w:val="npp"/>
    <w:basedOn w:val="OPCParaBase"/>
    <w:next w:val="ParlAmend"/>
    <w:rsid w:val="00D141FC"/>
    <w:pPr>
      <w:spacing w:line="240" w:lineRule="auto"/>
      <w:jc w:val="right"/>
    </w:pPr>
    <w:rPr>
      <w:rFonts w:ascii="Arial" w:hAnsi="Arial"/>
      <w:b/>
      <w:i/>
    </w:rPr>
  </w:style>
  <w:style w:type="paragraph" w:customStyle="1" w:styleId="Page1">
    <w:name w:val="Page1"/>
    <w:basedOn w:val="OPCParaBase"/>
    <w:rsid w:val="00D141FC"/>
    <w:pPr>
      <w:spacing w:before="5600" w:line="240" w:lineRule="auto"/>
    </w:pPr>
    <w:rPr>
      <w:b/>
      <w:sz w:val="32"/>
    </w:rPr>
  </w:style>
  <w:style w:type="paragraph" w:customStyle="1" w:styleId="PageBreak">
    <w:name w:val="PageBreak"/>
    <w:aliases w:val="pb"/>
    <w:basedOn w:val="OPCParaBase"/>
    <w:rsid w:val="00D141FC"/>
    <w:pPr>
      <w:spacing w:line="240" w:lineRule="auto"/>
    </w:pPr>
    <w:rPr>
      <w:sz w:val="20"/>
    </w:rPr>
  </w:style>
  <w:style w:type="paragraph" w:customStyle="1" w:styleId="paragraphsub">
    <w:name w:val="paragraph(sub)"/>
    <w:aliases w:val="aa"/>
    <w:basedOn w:val="OPCParaBase"/>
    <w:rsid w:val="00D141FC"/>
    <w:pPr>
      <w:tabs>
        <w:tab w:val="right" w:pos="1985"/>
      </w:tabs>
      <w:spacing w:before="40" w:line="240" w:lineRule="auto"/>
      <w:ind w:left="2098" w:hanging="2098"/>
    </w:pPr>
  </w:style>
  <w:style w:type="paragraph" w:customStyle="1" w:styleId="paragraphsub-sub">
    <w:name w:val="paragraph(sub-sub)"/>
    <w:aliases w:val="aaa"/>
    <w:basedOn w:val="OPCParaBase"/>
    <w:rsid w:val="00D141FC"/>
    <w:pPr>
      <w:tabs>
        <w:tab w:val="right" w:pos="2722"/>
      </w:tabs>
      <w:spacing w:before="40" w:line="240" w:lineRule="auto"/>
      <w:ind w:left="2835" w:hanging="2835"/>
    </w:pPr>
  </w:style>
  <w:style w:type="paragraph" w:customStyle="1" w:styleId="paragraph">
    <w:name w:val="paragraph"/>
    <w:aliases w:val="a"/>
    <w:basedOn w:val="OPCParaBase"/>
    <w:link w:val="paragraphChar"/>
    <w:rsid w:val="00D141FC"/>
    <w:pPr>
      <w:tabs>
        <w:tab w:val="right" w:pos="1531"/>
      </w:tabs>
      <w:spacing w:before="40" w:line="240" w:lineRule="auto"/>
      <w:ind w:left="1644" w:hanging="1644"/>
    </w:pPr>
  </w:style>
  <w:style w:type="paragraph" w:customStyle="1" w:styleId="ParlAmend">
    <w:name w:val="ParlAmend"/>
    <w:aliases w:val="pp"/>
    <w:basedOn w:val="OPCParaBase"/>
    <w:rsid w:val="00D141FC"/>
    <w:pPr>
      <w:spacing w:before="240" w:line="240" w:lineRule="atLeast"/>
      <w:ind w:hanging="567"/>
    </w:pPr>
    <w:rPr>
      <w:sz w:val="24"/>
    </w:rPr>
  </w:style>
  <w:style w:type="paragraph" w:customStyle="1" w:styleId="Penalty">
    <w:name w:val="Penalty"/>
    <w:basedOn w:val="OPCParaBase"/>
    <w:rsid w:val="00D141FC"/>
    <w:pPr>
      <w:tabs>
        <w:tab w:val="left" w:pos="2977"/>
      </w:tabs>
      <w:spacing w:before="180" w:line="240" w:lineRule="auto"/>
      <w:ind w:left="1985" w:hanging="851"/>
    </w:pPr>
  </w:style>
  <w:style w:type="paragraph" w:customStyle="1" w:styleId="Portfolio">
    <w:name w:val="Portfolio"/>
    <w:basedOn w:val="OPCParaBase"/>
    <w:rsid w:val="00D141FC"/>
    <w:pPr>
      <w:spacing w:line="240" w:lineRule="auto"/>
    </w:pPr>
    <w:rPr>
      <w:i/>
      <w:sz w:val="20"/>
    </w:rPr>
  </w:style>
  <w:style w:type="paragraph" w:customStyle="1" w:styleId="Preamble">
    <w:name w:val="Preamble"/>
    <w:basedOn w:val="OPCParaBase"/>
    <w:next w:val="Normal"/>
    <w:rsid w:val="00D141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41FC"/>
    <w:pPr>
      <w:spacing w:line="240" w:lineRule="auto"/>
    </w:pPr>
    <w:rPr>
      <w:i/>
      <w:sz w:val="20"/>
    </w:rPr>
  </w:style>
  <w:style w:type="paragraph" w:customStyle="1" w:styleId="Session">
    <w:name w:val="Session"/>
    <w:basedOn w:val="OPCParaBase"/>
    <w:rsid w:val="00D141FC"/>
    <w:pPr>
      <w:spacing w:line="240" w:lineRule="auto"/>
    </w:pPr>
    <w:rPr>
      <w:sz w:val="28"/>
    </w:rPr>
  </w:style>
  <w:style w:type="paragraph" w:customStyle="1" w:styleId="Sponsor">
    <w:name w:val="Sponsor"/>
    <w:basedOn w:val="OPCParaBase"/>
    <w:rsid w:val="00D141FC"/>
    <w:pPr>
      <w:spacing w:line="240" w:lineRule="auto"/>
    </w:pPr>
    <w:rPr>
      <w:i/>
    </w:rPr>
  </w:style>
  <w:style w:type="paragraph" w:customStyle="1" w:styleId="Subitem">
    <w:name w:val="Subitem"/>
    <w:aliases w:val="iss"/>
    <w:basedOn w:val="OPCParaBase"/>
    <w:rsid w:val="00D141FC"/>
    <w:pPr>
      <w:spacing w:before="180" w:line="240" w:lineRule="auto"/>
      <w:ind w:left="709" w:hanging="709"/>
    </w:pPr>
  </w:style>
  <w:style w:type="paragraph" w:customStyle="1" w:styleId="SubitemHead">
    <w:name w:val="SubitemHead"/>
    <w:aliases w:val="issh"/>
    <w:basedOn w:val="OPCParaBase"/>
    <w:rsid w:val="00D141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41FC"/>
    <w:pPr>
      <w:spacing w:before="40" w:line="240" w:lineRule="auto"/>
      <w:ind w:left="1134"/>
    </w:pPr>
  </w:style>
  <w:style w:type="paragraph" w:customStyle="1" w:styleId="SubsectionHead">
    <w:name w:val="SubsectionHead"/>
    <w:aliases w:val="ssh"/>
    <w:basedOn w:val="OPCParaBase"/>
    <w:next w:val="subsection"/>
    <w:rsid w:val="00D141FC"/>
    <w:pPr>
      <w:keepNext/>
      <w:keepLines/>
      <w:spacing w:before="240" w:line="240" w:lineRule="auto"/>
      <w:ind w:left="1134"/>
    </w:pPr>
    <w:rPr>
      <w:i/>
    </w:rPr>
  </w:style>
  <w:style w:type="paragraph" w:customStyle="1" w:styleId="Tablea">
    <w:name w:val="Table(a)"/>
    <w:aliases w:val="ta"/>
    <w:basedOn w:val="OPCParaBase"/>
    <w:rsid w:val="00D141FC"/>
    <w:pPr>
      <w:spacing w:before="60" w:line="240" w:lineRule="auto"/>
      <w:ind w:left="284" w:hanging="284"/>
    </w:pPr>
    <w:rPr>
      <w:sz w:val="20"/>
    </w:rPr>
  </w:style>
  <w:style w:type="paragraph" w:customStyle="1" w:styleId="TableAA">
    <w:name w:val="Table(AA)"/>
    <w:aliases w:val="taaa"/>
    <w:basedOn w:val="OPCParaBase"/>
    <w:rsid w:val="00D141F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41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41FC"/>
    <w:pPr>
      <w:spacing w:before="60" w:line="240" w:lineRule="atLeast"/>
    </w:pPr>
    <w:rPr>
      <w:sz w:val="20"/>
    </w:rPr>
  </w:style>
  <w:style w:type="paragraph" w:customStyle="1" w:styleId="TLPBoxTextnote">
    <w:name w:val="TLPBoxText(note"/>
    <w:aliases w:val="right)"/>
    <w:basedOn w:val="OPCParaBase"/>
    <w:rsid w:val="00D141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41F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41FC"/>
    <w:pPr>
      <w:spacing w:before="122" w:line="198" w:lineRule="exact"/>
      <w:ind w:left="1985" w:hanging="851"/>
      <w:jc w:val="right"/>
    </w:pPr>
    <w:rPr>
      <w:sz w:val="18"/>
    </w:rPr>
  </w:style>
  <w:style w:type="paragraph" w:customStyle="1" w:styleId="TLPTableBullet">
    <w:name w:val="TLPTableBullet"/>
    <w:aliases w:val="ttb"/>
    <w:basedOn w:val="OPCParaBase"/>
    <w:rsid w:val="00D141FC"/>
    <w:pPr>
      <w:spacing w:line="240" w:lineRule="exact"/>
      <w:ind w:left="284" w:hanging="284"/>
    </w:pPr>
    <w:rPr>
      <w:sz w:val="20"/>
    </w:rPr>
  </w:style>
  <w:style w:type="paragraph" w:styleId="TOC1">
    <w:name w:val="toc 1"/>
    <w:basedOn w:val="Normal"/>
    <w:next w:val="Normal"/>
    <w:uiPriority w:val="39"/>
    <w:unhideWhenUsed/>
    <w:rsid w:val="00D141F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141F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141F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141F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141F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141F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141F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141F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141F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141FC"/>
    <w:pPr>
      <w:keepLines/>
      <w:spacing w:before="240" w:after="120" w:line="240" w:lineRule="auto"/>
      <w:ind w:left="794"/>
    </w:pPr>
    <w:rPr>
      <w:b/>
      <w:kern w:val="28"/>
      <w:sz w:val="20"/>
    </w:rPr>
  </w:style>
  <w:style w:type="paragraph" w:customStyle="1" w:styleId="TofSectsHeading">
    <w:name w:val="TofSects(Heading)"/>
    <w:basedOn w:val="OPCParaBase"/>
    <w:rsid w:val="00D141FC"/>
    <w:pPr>
      <w:spacing w:before="240" w:after="120" w:line="240" w:lineRule="auto"/>
    </w:pPr>
    <w:rPr>
      <w:b/>
      <w:sz w:val="24"/>
    </w:rPr>
  </w:style>
  <w:style w:type="paragraph" w:customStyle="1" w:styleId="TofSectsSection">
    <w:name w:val="TofSects(Section)"/>
    <w:basedOn w:val="OPCParaBase"/>
    <w:rsid w:val="00D141FC"/>
    <w:pPr>
      <w:keepLines/>
      <w:spacing w:before="40" w:line="240" w:lineRule="auto"/>
      <w:ind w:left="1588" w:hanging="794"/>
    </w:pPr>
    <w:rPr>
      <w:kern w:val="28"/>
      <w:sz w:val="18"/>
    </w:rPr>
  </w:style>
  <w:style w:type="paragraph" w:customStyle="1" w:styleId="TofSectsSubdiv">
    <w:name w:val="TofSects(Subdiv)"/>
    <w:basedOn w:val="OPCParaBase"/>
    <w:rsid w:val="00D141FC"/>
    <w:pPr>
      <w:keepLines/>
      <w:spacing w:before="80" w:line="240" w:lineRule="auto"/>
      <w:ind w:left="1588" w:hanging="794"/>
    </w:pPr>
    <w:rPr>
      <w:kern w:val="28"/>
    </w:rPr>
  </w:style>
  <w:style w:type="paragraph" w:customStyle="1" w:styleId="WRStyle">
    <w:name w:val="WR Style"/>
    <w:aliases w:val="WR"/>
    <w:basedOn w:val="OPCParaBase"/>
    <w:rsid w:val="00D141FC"/>
    <w:pPr>
      <w:spacing w:before="240" w:line="240" w:lineRule="auto"/>
      <w:ind w:left="284" w:hanging="284"/>
    </w:pPr>
    <w:rPr>
      <w:b/>
      <w:i/>
      <w:kern w:val="28"/>
      <w:sz w:val="24"/>
    </w:rPr>
  </w:style>
  <w:style w:type="paragraph" w:customStyle="1" w:styleId="notepara">
    <w:name w:val="note(para)"/>
    <w:aliases w:val="na"/>
    <w:basedOn w:val="OPCParaBase"/>
    <w:rsid w:val="00D141FC"/>
    <w:pPr>
      <w:spacing w:before="40" w:line="198" w:lineRule="exact"/>
      <w:ind w:left="2354" w:hanging="369"/>
    </w:pPr>
    <w:rPr>
      <w:sz w:val="18"/>
    </w:rPr>
  </w:style>
  <w:style w:type="paragraph" w:styleId="Footer">
    <w:name w:val="footer"/>
    <w:link w:val="FooterChar"/>
    <w:rsid w:val="00D141F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41FC"/>
    <w:rPr>
      <w:rFonts w:eastAsia="Times New Roman" w:cs="Times New Roman"/>
      <w:sz w:val="22"/>
      <w:szCs w:val="24"/>
      <w:lang w:eastAsia="en-AU"/>
    </w:rPr>
  </w:style>
  <w:style w:type="character" w:styleId="LineNumber">
    <w:name w:val="line number"/>
    <w:basedOn w:val="OPCCharBase"/>
    <w:uiPriority w:val="99"/>
    <w:unhideWhenUsed/>
    <w:rsid w:val="00D141FC"/>
    <w:rPr>
      <w:sz w:val="16"/>
    </w:rPr>
  </w:style>
  <w:style w:type="table" w:customStyle="1" w:styleId="CFlag">
    <w:name w:val="CFlag"/>
    <w:basedOn w:val="TableNormal"/>
    <w:uiPriority w:val="99"/>
    <w:rsid w:val="00D141FC"/>
    <w:rPr>
      <w:rFonts w:eastAsia="Times New Roman" w:cs="Times New Roman"/>
      <w:lang w:eastAsia="en-AU"/>
    </w:rPr>
    <w:tblPr/>
  </w:style>
  <w:style w:type="paragraph" w:styleId="BalloonText">
    <w:name w:val="Balloon Text"/>
    <w:basedOn w:val="Normal"/>
    <w:link w:val="BalloonTextChar"/>
    <w:uiPriority w:val="99"/>
    <w:unhideWhenUsed/>
    <w:rsid w:val="00D141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41FC"/>
    <w:rPr>
      <w:rFonts w:ascii="Tahoma" w:hAnsi="Tahoma" w:cs="Tahoma"/>
      <w:sz w:val="16"/>
      <w:szCs w:val="16"/>
    </w:rPr>
  </w:style>
  <w:style w:type="table" w:styleId="TableGrid">
    <w:name w:val="Table Grid"/>
    <w:basedOn w:val="TableNormal"/>
    <w:uiPriority w:val="59"/>
    <w:rsid w:val="00D14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141FC"/>
    <w:rPr>
      <w:b/>
      <w:sz w:val="28"/>
      <w:szCs w:val="32"/>
    </w:rPr>
  </w:style>
  <w:style w:type="paragraph" w:customStyle="1" w:styleId="LegislationMadeUnder">
    <w:name w:val="LegislationMadeUnder"/>
    <w:basedOn w:val="OPCParaBase"/>
    <w:next w:val="Normal"/>
    <w:rsid w:val="00D141FC"/>
    <w:rPr>
      <w:i/>
      <w:sz w:val="32"/>
      <w:szCs w:val="32"/>
    </w:rPr>
  </w:style>
  <w:style w:type="paragraph" w:customStyle="1" w:styleId="SignCoverPageEnd">
    <w:name w:val="SignCoverPageEnd"/>
    <w:basedOn w:val="OPCParaBase"/>
    <w:next w:val="Normal"/>
    <w:rsid w:val="00D141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41FC"/>
    <w:pPr>
      <w:pBdr>
        <w:top w:val="single" w:sz="4" w:space="1" w:color="auto"/>
      </w:pBdr>
      <w:spacing w:before="360"/>
      <w:ind w:right="397"/>
      <w:jc w:val="both"/>
    </w:pPr>
  </w:style>
  <w:style w:type="paragraph" w:customStyle="1" w:styleId="NotesHeading1">
    <w:name w:val="NotesHeading 1"/>
    <w:basedOn w:val="OPCParaBase"/>
    <w:next w:val="Normal"/>
    <w:rsid w:val="00D141FC"/>
    <w:rPr>
      <w:b/>
      <w:sz w:val="28"/>
      <w:szCs w:val="28"/>
    </w:rPr>
  </w:style>
  <w:style w:type="paragraph" w:customStyle="1" w:styleId="NotesHeading2">
    <w:name w:val="NotesHeading 2"/>
    <w:basedOn w:val="OPCParaBase"/>
    <w:next w:val="Normal"/>
    <w:rsid w:val="00D141FC"/>
    <w:rPr>
      <w:b/>
      <w:sz w:val="28"/>
      <w:szCs w:val="28"/>
    </w:rPr>
  </w:style>
  <w:style w:type="paragraph" w:customStyle="1" w:styleId="ENotesText">
    <w:name w:val="ENotesText"/>
    <w:aliases w:val="Ent"/>
    <w:basedOn w:val="OPCParaBase"/>
    <w:next w:val="Normal"/>
    <w:rsid w:val="00D141FC"/>
    <w:pPr>
      <w:spacing w:before="120"/>
    </w:pPr>
  </w:style>
  <w:style w:type="paragraph" w:customStyle="1" w:styleId="CompiledActNo">
    <w:name w:val="CompiledActNo"/>
    <w:basedOn w:val="OPCParaBase"/>
    <w:next w:val="Normal"/>
    <w:rsid w:val="00D141FC"/>
    <w:rPr>
      <w:b/>
      <w:sz w:val="24"/>
      <w:szCs w:val="24"/>
    </w:rPr>
  </w:style>
  <w:style w:type="paragraph" w:customStyle="1" w:styleId="CompiledMadeUnder">
    <w:name w:val="CompiledMadeUnder"/>
    <w:basedOn w:val="OPCParaBase"/>
    <w:next w:val="Normal"/>
    <w:rsid w:val="00D141FC"/>
    <w:rPr>
      <w:i/>
      <w:sz w:val="24"/>
      <w:szCs w:val="24"/>
    </w:rPr>
  </w:style>
  <w:style w:type="paragraph" w:customStyle="1" w:styleId="Paragraphsub-sub-sub">
    <w:name w:val="Paragraph(sub-sub-sub)"/>
    <w:aliases w:val="aaaa"/>
    <w:basedOn w:val="OPCParaBase"/>
    <w:rsid w:val="00D141F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41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41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41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41F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141FC"/>
    <w:pPr>
      <w:spacing w:before="60" w:line="240" w:lineRule="auto"/>
    </w:pPr>
    <w:rPr>
      <w:rFonts w:cs="Arial"/>
      <w:sz w:val="20"/>
      <w:szCs w:val="22"/>
    </w:rPr>
  </w:style>
  <w:style w:type="paragraph" w:customStyle="1" w:styleId="NoteToSubpara">
    <w:name w:val="NoteToSubpara"/>
    <w:aliases w:val="nts"/>
    <w:basedOn w:val="OPCParaBase"/>
    <w:rsid w:val="00D141FC"/>
    <w:pPr>
      <w:spacing w:before="40" w:line="198" w:lineRule="exact"/>
      <w:ind w:left="2835" w:hanging="709"/>
    </w:pPr>
    <w:rPr>
      <w:sz w:val="18"/>
    </w:rPr>
  </w:style>
  <w:style w:type="paragraph" w:customStyle="1" w:styleId="ENoteTableHeading">
    <w:name w:val="ENoteTableHeading"/>
    <w:aliases w:val="enth"/>
    <w:basedOn w:val="OPCParaBase"/>
    <w:rsid w:val="00D141FC"/>
    <w:pPr>
      <w:keepNext/>
      <w:spacing w:before="60" w:line="240" w:lineRule="atLeast"/>
    </w:pPr>
    <w:rPr>
      <w:rFonts w:ascii="Arial" w:hAnsi="Arial"/>
      <w:b/>
      <w:sz w:val="16"/>
    </w:rPr>
  </w:style>
  <w:style w:type="paragraph" w:customStyle="1" w:styleId="ENoteTTi">
    <w:name w:val="ENoteTTi"/>
    <w:aliases w:val="entti"/>
    <w:basedOn w:val="OPCParaBase"/>
    <w:rsid w:val="00D141FC"/>
    <w:pPr>
      <w:keepNext/>
      <w:spacing w:before="60" w:line="240" w:lineRule="atLeast"/>
      <w:ind w:left="170"/>
    </w:pPr>
    <w:rPr>
      <w:sz w:val="16"/>
    </w:rPr>
  </w:style>
  <w:style w:type="paragraph" w:customStyle="1" w:styleId="ENotesHeading1">
    <w:name w:val="ENotesHeading 1"/>
    <w:aliases w:val="Enh1"/>
    <w:basedOn w:val="OPCParaBase"/>
    <w:next w:val="Normal"/>
    <w:rsid w:val="00D141FC"/>
    <w:pPr>
      <w:spacing w:before="120"/>
      <w:outlineLvl w:val="1"/>
    </w:pPr>
    <w:rPr>
      <w:b/>
      <w:sz w:val="28"/>
      <w:szCs w:val="28"/>
    </w:rPr>
  </w:style>
  <w:style w:type="paragraph" w:customStyle="1" w:styleId="ENotesHeading2">
    <w:name w:val="ENotesHeading 2"/>
    <w:aliases w:val="Enh2"/>
    <w:basedOn w:val="OPCParaBase"/>
    <w:next w:val="Normal"/>
    <w:rsid w:val="00D141FC"/>
    <w:pPr>
      <w:spacing w:before="120" w:after="120"/>
      <w:outlineLvl w:val="2"/>
    </w:pPr>
    <w:rPr>
      <w:b/>
      <w:sz w:val="24"/>
      <w:szCs w:val="28"/>
    </w:rPr>
  </w:style>
  <w:style w:type="paragraph" w:customStyle="1" w:styleId="ENoteTTIndentHeading">
    <w:name w:val="ENoteTTIndentHeading"/>
    <w:aliases w:val="enTTHi"/>
    <w:basedOn w:val="OPCParaBase"/>
    <w:rsid w:val="00D141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41FC"/>
    <w:pPr>
      <w:spacing w:before="60" w:line="240" w:lineRule="atLeast"/>
    </w:pPr>
    <w:rPr>
      <w:sz w:val="16"/>
    </w:rPr>
  </w:style>
  <w:style w:type="paragraph" w:customStyle="1" w:styleId="MadeunderText">
    <w:name w:val="MadeunderText"/>
    <w:basedOn w:val="OPCParaBase"/>
    <w:next w:val="Normal"/>
    <w:rsid w:val="00D141FC"/>
    <w:pPr>
      <w:spacing w:before="240"/>
    </w:pPr>
    <w:rPr>
      <w:sz w:val="24"/>
      <w:szCs w:val="24"/>
    </w:rPr>
  </w:style>
  <w:style w:type="paragraph" w:customStyle="1" w:styleId="ENotesHeading3">
    <w:name w:val="ENotesHeading 3"/>
    <w:aliases w:val="Enh3"/>
    <w:basedOn w:val="OPCParaBase"/>
    <w:next w:val="Normal"/>
    <w:rsid w:val="00D141FC"/>
    <w:pPr>
      <w:keepNext/>
      <w:spacing w:before="120" w:line="240" w:lineRule="auto"/>
      <w:outlineLvl w:val="4"/>
    </w:pPr>
    <w:rPr>
      <w:b/>
      <w:szCs w:val="24"/>
    </w:rPr>
  </w:style>
  <w:style w:type="character" w:customStyle="1" w:styleId="CharSubPartTextCASA">
    <w:name w:val="CharSubPartText(CASA)"/>
    <w:basedOn w:val="OPCCharBase"/>
    <w:uiPriority w:val="1"/>
    <w:rsid w:val="00D141FC"/>
  </w:style>
  <w:style w:type="character" w:customStyle="1" w:styleId="CharSubPartNoCASA">
    <w:name w:val="CharSubPartNo(CASA)"/>
    <w:basedOn w:val="OPCCharBase"/>
    <w:uiPriority w:val="1"/>
    <w:rsid w:val="00D141FC"/>
  </w:style>
  <w:style w:type="paragraph" w:customStyle="1" w:styleId="ENoteTTIndentHeadingSub">
    <w:name w:val="ENoteTTIndentHeadingSub"/>
    <w:aliases w:val="enTTHis"/>
    <w:basedOn w:val="OPCParaBase"/>
    <w:rsid w:val="00D141FC"/>
    <w:pPr>
      <w:keepNext/>
      <w:spacing w:before="60" w:line="240" w:lineRule="atLeast"/>
      <w:ind w:left="340"/>
    </w:pPr>
    <w:rPr>
      <w:b/>
      <w:sz w:val="16"/>
    </w:rPr>
  </w:style>
  <w:style w:type="paragraph" w:customStyle="1" w:styleId="ENoteTTiSub">
    <w:name w:val="ENoteTTiSub"/>
    <w:aliases w:val="enttis"/>
    <w:basedOn w:val="OPCParaBase"/>
    <w:rsid w:val="00D141FC"/>
    <w:pPr>
      <w:keepNext/>
      <w:spacing w:before="60" w:line="240" w:lineRule="atLeast"/>
      <w:ind w:left="340"/>
    </w:pPr>
    <w:rPr>
      <w:sz w:val="16"/>
    </w:rPr>
  </w:style>
  <w:style w:type="paragraph" w:customStyle="1" w:styleId="SubDivisionMigration">
    <w:name w:val="SubDivisionMigration"/>
    <w:aliases w:val="sdm"/>
    <w:basedOn w:val="OPCParaBase"/>
    <w:rsid w:val="00D141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41F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141FC"/>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D141F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41FC"/>
    <w:rPr>
      <w:sz w:val="22"/>
    </w:rPr>
  </w:style>
  <w:style w:type="paragraph" w:customStyle="1" w:styleId="SOTextNote">
    <w:name w:val="SO TextNote"/>
    <w:aliases w:val="sont"/>
    <w:basedOn w:val="SOText"/>
    <w:qFormat/>
    <w:rsid w:val="00D141FC"/>
    <w:pPr>
      <w:spacing w:before="122" w:line="198" w:lineRule="exact"/>
      <w:ind w:left="1843" w:hanging="709"/>
    </w:pPr>
    <w:rPr>
      <w:sz w:val="18"/>
    </w:rPr>
  </w:style>
  <w:style w:type="paragraph" w:customStyle="1" w:styleId="SOPara">
    <w:name w:val="SO Para"/>
    <w:aliases w:val="soa"/>
    <w:basedOn w:val="SOText"/>
    <w:link w:val="SOParaChar"/>
    <w:qFormat/>
    <w:rsid w:val="00D141FC"/>
    <w:pPr>
      <w:tabs>
        <w:tab w:val="right" w:pos="1786"/>
      </w:tabs>
      <w:spacing w:before="40"/>
      <w:ind w:left="2070" w:hanging="936"/>
    </w:pPr>
  </w:style>
  <w:style w:type="character" w:customStyle="1" w:styleId="SOParaChar">
    <w:name w:val="SO Para Char"/>
    <w:aliases w:val="soa Char"/>
    <w:basedOn w:val="DefaultParagraphFont"/>
    <w:link w:val="SOPara"/>
    <w:rsid w:val="00D141FC"/>
    <w:rPr>
      <w:sz w:val="22"/>
    </w:rPr>
  </w:style>
  <w:style w:type="paragraph" w:customStyle="1" w:styleId="FileName">
    <w:name w:val="FileName"/>
    <w:basedOn w:val="Normal"/>
    <w:rsid w:val="00D141FC"/>
  </w:style>
  <w:style w:type="paragraph" w:customStyle="1" w:styleId="TableHeading">
    <w:name w:val="TableHeading"/>
    <w:aliases w:val="th"/>
    <w:basedOn w:val="OPCParaBase"/>
    <w:next w:val="Tabletext"/>
    <w:rsid w:val="00D141FC"/>
    <w:pPr>
      <w:keepNext/>
      <w:spacing w:before="60" w:line="240" w:lineRule="atLeast"/>
    </w:pPr>
    <w:rPr>
      <w:b/>
      <w:sz w:val="20"/>
    </w:rPr>
  </w:style>
  <w:style w:type="paragraph" w:customStyle="1" w:styleId="SOHeadBold">
    <w:name w:val="SO HeadBold"/>
    <w:aliases w:val="sohb"/>
    <w:basedOn w:val="SOText"/>
    <w:next w:val="SOText"/>
    <w:link w:val="SOHeadBoldChar"/>
    <w:qFormat/>
    <w:rsid w:val="00D141FC"/>
    <w:rPr>
      <w:b/>
    </w:rPr>
  </w:style>
  <w:style w:type="character" w:customStyle="1" w:styleId="SOHeadBoldChar">
    <w:name w:val="SO HeadBold Char"/>
    <w:aliases w:val="sohb Char"/>
    <w:basedOn w:val="DefaultParagraphFont"/>
    <w:link w:val="SOHeadBold"/>
    <w:rsid w:val="00D141FC"/>
    <w:rPr>
      <w:b/>
      <w:sz w:val="22"/>
    </w:rPr>
  </w:style>
  <w:style w:type="paragraph" w:customStyle="1" w:styleId="SOHeadItalic">
    <w:name w:val="SO HeadItalic"/>
    <w:aliases w:val="sohi"/>
    <w:basedOn w:val="SOText"/>
    <w:next w:val="SOText"/>
    <w:link w:val="SOHeadItalicChar"/>
    <w:qFormat/>
    <w:rsid w:val="00D141FC"/>
    <w:rPr>
      <w:i/>
    </w:rPr>
  </w:style>
  <w:style w:type="character" w:customStyle="1" w:styleId="SOHeadItalicChar">
    <w:name w:val="SO HeadItalic Char"/>
    <w:aliases w:val="sohi Char"/>
    <w:basedOn w:val="DefaultParagraphFont"/>
    <w:link w:val="SOHeadItalic"/>
    <w:rsid w:val="00D141FC"/>
    <w:rPr>
      <w:i/>
      <w:sz w:val="22"/>
    </w:rPr>
  </w:style>
  <w:style w:type="paragraph" w:customStyle="1" w:styleId="SOBullet">
    <w:name w:val="SO Bullet"/>
    <w:aliases w:val="sotb"/>
    <w:basedOn w:val="SOText"/>
    <w:link w:val="SOBulletChar"/>
    <w:qFormat/>
    <w:rsid w:val="00D141FC"/>
    <w:pPr>
      <w:ind w:left="1559" w:hanging="425"/>
    </w:pPr>
  </w:style>
  <w:style w:type="character" w:customStyle="1" w:styleId="SOBulletChar">
    <w:name w:val="SO Bullet Char"/>
    <w:aliases w:val="sotb Char"/>
    <w:basedOn w:val="DefaultParagraphFont"/>
    <w:link w:val="SOBullet"/>
    <w:rsid w:val="00D141FC"/>
    <w:rPr>
      <w:sz w:val="22"/>
    </w:rPr>
  </w:style>
  <w:style w:type="paragraph" w:customStyle="1" w:styleId="SOBulletNote">
    <w:name w:val="SO BulletNote"/>
    <w:aliases w:val="sonb"/>
    <w:basedOn w:val="SOTextNote"/>
    <w:link w:val="SOBulletNoteChar"/>
    <w:qFormat/>
    <w:rsid w:val="00D141FC"/>
    <w:pPr>
      <w:tabs>
        <w:tab w:val="left" w:pos="1560"/>
      </w:tabs>
      <w:ind w:left="2268" w:hanging="1134"/>
    </w:pPr>
  </w:style>
  <w:style w:type="character" w:customStyle="1" w:styleId="SOBulletNoteChar">
    <w:name w:val="SO BulletNote Char"/>
    <w:aliases w:val="sonb Char"/>
    <w:basedOn w:val="DefaultParagraphFont"/>
    <w:link w:val="SOBulletNote"/>
    <w:rsid w:val="00D141FC"/>
    <w:rPr>
      <w:sz w:val="18"/>
    </w:rPr>
  </w:style>
  <w:style w:type="paragraph" w:customStyle="1" w:styleId="SOText2">
    <w:name w:val="SO Text2"/>
    <w:aliases w:val="sot2"/>
    <w:basedOn w:val="Normal"/>
    <w:next w:val="SOText"/>
    <w:link w:val="SOText2Char"/>
    <w:rsid w:val="00D141F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41FC"/>
    <w:rPr>
      <w:sz w:val="22"/>
    </w:rPr>
  </w:style>
  <w:style w:type="paragraph" w:customStyle="1" w:styleId="SubPartCASA">
    <w:name w:val="SubPart(CASA)"/>
    <w:aliases w:val="csp"/>
    <w:basedOn w:val="OPCParaBase"/>
    <w:next w:val="ActHead3"/>
    <w:rsid w:val="00D141FC"/>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141FC"/>
    <w:rPr>
      <w:rFonts w:eastAsia="Times New Roman" w:cs="Times New Roman"/>
      <w:sz w:val="22"/>
      <w:lang w:eastAsia="en-AU"/>
    </w:rPr>
  </w:style>
  <w:style w:type="character" w:customStyle="1" w:styleId="notetextChar">
    <w:name w:val="note(text) Char"/>
    <w:aliases w:val="n Char"/>
    <w:basedOn w:val="DefaultParagraphFont"/>
    <w:link w:val="notetext"/>
    <w:rsid w:val="00D141FC"/>
    <w:rPr>
      <w:rFonts w:eastAsia="Times New Roman" w:cs="Times New Roman"/>
      <w:sz w:val="18"/>
      <w:lang w:eastAsia="en-AU"/>
    </w:rPr>
  </w:style>
  <w:style w:type="character" w:customStyle="1" w:styleId="Heading1Char">
    <w:name w:val="Heading 1 Char"/>
    <w:basedOn w:val="DefaultParagraphFont"/>
    <w:link w:val="Heading1"/>
    <w:uiPriority w:val="9"/>
    <w:rsid w:val="00D141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41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41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141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141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141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141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141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141F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141FC"/>
  </w:style>
  <w:style w:type="character" w:customStyle="1" w:styleId="charlegsubtitle1">
    <w:name w:val="charlegsubtitle1"/>
    <w:basedOn w:val="DefaultParagraphFont"/>
    <w:rsid w:val="00D141FC"/>
    <w:rPr>
      <w:rFonts w:ascii="Arial" w:hAnsi="Arial" w:cs="Arial" w:hint="default"/>
      <w:b/>
      <w:bCs/>
      <w:sz w:val="28"/>
      <w:szCs w:val="28"/>
    </w:rPr>
  </w:style>
  <w:style w:type="paragraph" w:styleId="Index1">
    <w:name w:val="index 1"/>
    <w:basedOn w:val="Normal"/>
    <w:next w:val="Normal"/>
    <w:autoRedefine/>
    <w:rsid w:val="00D141FC"/>
    <w:pPr>
      <w:ind w:left="240" w:hanging="240"/>
    </w:pPr>
  </w:style>
  <w:style w:type="paragraph" w:styleId="Index2">
    <w:name w:val="index 2"/>
    <w:basedOn w:val="Normal"/>
    <w:next w:val="Normal"/>
    <w:autoRedefine/>
    <w:rsid w:val="00D141FC"/>
    <w:pPr>
      <w:ind w:left="480" w:hanging="240"/>
    </w:pPr>
  </w:style>
  <w:style w:type="paragraph" w:styleId="Index3">
    <w:name w:val="index 3"/>
    <w:basedOn w:val="Normal"/>
    <w:next w:val="Normal"/>
    <w:autoRedefine/>
    <w:rsid w:val="00D141FC"/>
    <w:pPr>
      <w:ind w:left="720" w:hanging="240"/>
    </w:pPr>
  </w:style>
  <w:style w:type="paragraph" w:styleId="Index4">
    <w:name w:val="index 4"/>
    <w:basedOn w:val="Normal"/>
    <w:next w:val="Normal"/>
    <w:autoRedefine/>
    <w:rsid w:val="00D141FC"/>
    <w:pPr>
      <w:ind w:left="960" w:hanging="240"/>
    </w:pPr>
  </w:style>
  <w:style w:type="paragraph" w:styleId="Index5">
    <w:name w:val="index 5"/>
    <w:basedOn w:val="Normal"/>
    <w:next w:val="Normal"/>
    <w:autoRedefine/>
    <w:rsid w:val="00D141FC"/>
    <w:pPr>
      <w:ind w:left="1200" w:hanging="240"/>
    </w:pPr>
  </w:style>
  <w:style w:type="paragraph" w:styleId="Index6">
    <w:name w:val="index 6"/>
    <w:basedOn w:val="Normal"/>
    <w:next w:val="Normal"/>
    <w:autoRedefine/>
    <w:rsid w:val="00D141FC"/>
    <w:pPr>
      <w:ind w:left="1440" w:hanging="240"/>
    </w:pPr>
  </w:style>
  <w:style w:type="paragraph" w:styleId="Index7">
    <w:name w:val="index 7"/>
    <w:basedOn w:val="Normal"/>
    <w:next w:val="Normal"/>
    <w:autoRedefine/>
    <w:rsid w:val="00D141FC"/>
    <w:pPr>
      <w:ind w:left="1680" w:hanging="240"/>
    </w:pPr>
  </w:style>
  <w:style w:type="paragraph" w:styleId="Index8">
    <w:name w:val="index 8"/>
    <w:basedOn w:val="Normal"/>
    <w:next w:val="Normal"/>
    <w:autoRedefine/>
    <w:rsid w:val="00D141FC"/>
    <w:pPr>
      <w:ind w:left="1920" w:hanging="240"/>
    </w:pPr>
  </w:style>
  <w:style w:type="paragraph" w:styleId="Index9">
    <w:name w:val="index 9"/>
    <w:basedOn w:val="Normal"/>
    <w:next w:val="Normal"/>
    <w:autoRedefine/>
    <w:rsid w:val="00D141FC"/>
    <w:pPr>
      <w:ind w:left="2160" w:hanging="240"/>
    </w:pPr>
  </w:style>
  <w:style w:type="paragraph" w:styleId="NormalIndent">
    <w:name w:val="Normal Indent"/>
    <w:basedOn w:val="Normal"/>
    <w:rsid w:val="00D141FC"/>
    <w:pPr>
      <w:ind w:left="720"/>
    </w:pPr>
  </w:style>
  <w:style w:type="paragraph" w:styleId="FootnoteText">
    <w:name w:val="footnote text"/>
    <w:basedOn w:val="Normal"/>
    <w:link w:val="FootnoteTextChar"/>
    <w:rsid w:val="00D141FC"/>
    <w:rPr>
      <w:sz w:val="20"/>
    </w:rPr>
  </w:style>
  <w:style w:type="character" w:customStyle="1" w:styleId="FootnoteTextChar">
    <w:name w:val="Footnote Text Char"/>
    <w:basedOn w:val="DefaultParagraphFont"/>
    <w:link w:val="FootnoteText"/>
    <w:rsid w:val="00D141FC"/>
  </w:style>
  <w:style w:type="paragraph" w:styleId="CommentText">
    <w:name w:val="annotation text"/>
    <w:basedOn w:val="Normal"/>
    <w:link w:val="CommentTextChar"/>
    <w:rsid w:val="00D141FC"/>
    <w:rPr>
      <w:sz w:val="20"/>
    </w:rPr>
  </w:style>
  <w:style w:type="character" w:customStyle="1" w:styleId="CommentTextChar">
    <w:name w:val="Comment Text Char"/>
    <w:basedOn w:val="DefaultParagraphFont"/>
    <w:link w:val="CommentText"/>
    <w:rsid w:val="00D141FC"/>
  </w:style>
  <w:style w:type="paragraph" w:styleId="IndexHeading">
    <w:name w:val="index heading"/>
    <w:basedOn w:val="Normal"/>
    <w:next w:val="Index1"/>
    <w:rsid w:val="00D141FC"/>
    <w:rPr>
      <w:rFonts w:ascii="Arial" w:hAnsi="Arial" w:cs="Arial"/>
      <w:b/>
      <w:bCs/>
    </w:rPr>
  </w:style>
  <w:style w:type="paragraph" w:styleId="Caption">
    <w:name w:val="caption"/>
    <w:basedOn w:val="Normal"/>
    <w:next w:val="Normal"/>
    <w:qFormat/>
    <w:rsid w:val="00D141FC"/>
    <w:pPr>
      <w:spacing w:before="120" w:after="120"/>
    </w:pPr>
    <w:rPr>
      <w:b/>
      <w:bCs/>
      <w:sz w:val="20"/>
    </w:rPr>
  </w:style>
  <w:style w:type="paragraph" w:styleId="TableofFigures">
    <w:name w:val="table of figures"/>
    <w:basedOn w:val="Normal"/>
    <w:next w:val="Normal"/>
    <w:rsid w:val="00D141FC"/>
    <w:pPr>
      <w:ind w:left="480" w:hanging="480"/>
    </w:pPr>
  </w:style>
  <w:style w:type="paragraph" w:styleId="EnvelopeAddress">
    <w:name w:val="envelope address"/>
    <w:basedOn w:val="Normal"/>
    <w:rsid w:val="00D141F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141FC"/>
    <w:rPr>
      <w:rFonts w:ascii="Arial" w:hAnsi="Arial" w:cs="Arial"/>
      <w:sz w:val="20"/>
    </w:rPr>
  </w:style>
  <w:style w:type="character" w:styleId="FootnoteReference">
    <w:name w:val="footnote reference"/>
    <w:basedOn w:val="DefaultParagraphFont"/>
    <w:rsid w:val="00D141FC"/>
    <w:rPr>
      <w:rFonts w:ascii="Times New Roman" w:hAnsi="Times New Roman"/>
      <w:sz w:val="20"/>
      <w:vertAlign w:val="superscript"/>
    </w:rPr>
  </w:style>
  <w:style w:type="character" w:styleId="CommentReference">
    <w:name w:val="annotation reference"/>
    <w:basedOn w:val="DefaultParagraphFont"/>
    <w:rsid w:val="00D141FC"/>
    <w:rPr>
      <w:sz w:val="16"/>
      <w:szCs w:val="16"/>
    </w:rPr>
  </w:style>
  <w:style w:type="character" w:styleId="PageNumber">
    <w:name w:val="page number"/>
    <w:basedOn w:val="DefaultParagraphFont"/>
    <w:rsid w:val="00D141FC"/>
  </w:style>
  <w:style w:type="character" w:styleId="EndnoteReference">
    <w:name w:val="endnote reference"/>
    <w:basedOn w:val="DefaultParagraphFont"/>
    <w:rsid w:val="00D141FC"/>
    <w:rPr>
      <w:vertAlign w:val="superscript"/>
    </w:rPr>
  </w:style>
  <w:style w:type="paragraph" w:styleId="EndnoteText">
    <w:name w:val="endnote text"/>
    <w:basedOn w:val="Normal"/>
    <w:link w:val="EndnoteTextChar"/>
    <w:rsid w:val="00D141FC"/>
    <w:rPr>
      <w:sz w:val="20"/>
    </w:rPr>
  </w:style>
  <w:style w:type="character" w:customStyle="1" w:styleId="EndnoteTextChar">
    <w:name w:val="Endnote Text Char"/>
    <w:basedOn w:val="DefaultParagraphFont"/>
    <w:link w:val="EndnoteText"/>
    <w:rsid w:val="00D141FC"/>
  </w:style>
  <w:style w:type="paragraph" w:styleId="TableofAuthorities">
    <w:name w:val="table of authorities"/>
    <w:basedOn w:val="Normal"/>
    <w:next w:val="Normal"/>
    <w:rsid w:val="00D141FC"/>
    <w:pPr>
      <w:ind w:left="240" w:hanging="240"/>
    </w:pPr>
  </w:style>
  <w:style w:type="paragraph" w:styleId="MacroText">
    <w:name w:val="macro"/>
    <w:link w:val="MacroTextChar"/>
    <w:rsid w:val="00D141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141FC"/>
    <w:rPr>
      <w:rFonts w:ascii="Courier New" w:eastAsia="Times New Roman" w:hAnsi="Courier New" w:cs="Courier New"/>
      <w:lang w:eastAsia="en-AU"/>
    </w:rPr>
  </w:style>
  <w:style w:type="paragraph" w:styleId="TOAHeading">
    <w:name w:val="toa heading"/>
    <w:basedOn w:val="Normal"/>
    <w:next w:val="Normal"/>
    <w:rsid w:val="00D141FC"/>
    <w:pPr>
      <w:spacing w:before="120"/>
    </w:pPr>
    <w:rPr>
      <w:rFonts w:ascii="Arial" w:hAnsi="Arial" w:cs="Arial"/>
      <w:b/>
      <w:bCs/>
    </w:rPr>
  </w:style>
  <w:style w:type="paragraph" w:styleId="List">
    <w:name w:val="List"/>
    <w:basedOn w:val="Normal"/>
    <w:rsid w:val="00D141FC"/>
    <w:pPr>
      <w:ind w:left="283" w:hanging="283"/>
    </w:pPr>
  </w:style>
  <w:style w:type="paragraph" w:styleId="ListBullet">
    <w:name w:val="List Bullet"/>
    <w:basedOn w:val="Normal"/>
    <w:autoRedefine/>
    <w:rsid w:val="00D141FC"/>
    <w:pPr>
      <w:tabs>
        <w:tab w:val="num" w:pos="360"/>
      </w:tabs>
      <w:ind w:left="360" w:hanging="360"/>
    </w:pPr>
  </w:style>
  <w:style w:type="paragraph" w:styleId="ListNumber">
    <w:name w:val="List Number"/>
    <w:basedOn w:val="Normal"/>
    <w:rsid w:val="00D141FC"/>
    <w:pPr>
      <w:tabs>
        <w:tab w:val="num" w:pos="360"/>
      </w:tabs>
      <w:ind w:left="360" w:hanging="360"/>
    </w:pPr>
  </w:style>
  <w:style w:type="paragraph" w:styleId="List2">
    <w:name w:val="List 2"/>
    <w:basedOn w:val="Normal"/>
    <w:rsid w:val="00D141FC"/>
    <w:pPr>
      <w:ind w:left="566" w:hanging="283"/>
    </w:pPr>
  </w:style>
  <w:style w:type="paragraph" w:styleId="List3">
    <w:name w:val="List 3"/>
    <w:basedOn w:val="Normal"/>
    <w:rsid w:val="00D141FC"/>
    <w:pPr>
      <w:ind w:left="849" w:hanging="283"/>
    </w:pPr>
  </w:style>
  <w:style w:type="paragraph" w:styleId="List4">
    <w:name w:val="List 4"/>
    <w:basedOn w:val="Normal"/>
    <w:rsid w:val="00D141FC"/>
    <w:pPr>
      <w:ind w:left="1132" w:hanging="283"/>
    </w:pPr>
  </w:style>
  <w:style w:type="paragraph" w:styleId="List5">
    <w:name w:val="List 5"/>
    <w:basedOn w:val="Normal"/>
    <w:rsid w:val="00D141FC"/>
    <w:pPr>
      <w:ind w:left="1415" w:hanging="283"/>
    </w:pPr>
  </w:style>
  <w:style w:type="paragraph" w:styleId="ListBullet2">
    <w:name w:val="List Bullet 2"/>
    <w:basedOn w:val="Normal"/>
    <w:autoRedefine/>
    <w:rsid w:val="00D141FC"/>
    <w:pPr>
      <w:tabs>
        <w:tab w:val="num" w:pos="360"/>
      </w:tabs>
    </w:pPr>
  </w:style>
  <w:style w:type="paragraph" w:styleId="ListBullet3">
    <w:name w:val="List Bullet 3"/>
    <w:basedOn w:val="Normal"/>
    <w:autoRedefine/>
    <w:rsid w:val="00D141FC"/>
    <w:pPr>
      <w:tabs>
        <w:tab w:val="num" w:pos="926"/>
      </w:tabs>
      <w:ind w:left="926" w:hanging="360"/>
    </w:pPr>
  </w:style>
  <w:style w:type="paragraph" w:styleId="ListBullet4">
    <w:name w:val="List Bullet 4"/>
    <w:basedOn w:val="Normal"/>
    <w:autoRedefine/>
    <w:rsid w:val="00D141FC"/>
    <w:pPr>
      <w:tabs>
        <w:tab w:val="num" w:pos="1209"/>
      </w:tabs>
      <w:ind w:left="1209" w:hanging="360"/>
    </w:pPr>
  </w:style>
  <w:style w:type="paragraph" w:styleId="ListBullet5">
    <w:name w:val="List Bullet 5"/>
    <w:basedOn w:val="Normal"/>
    <w:autoRedefine/>
    <w:rsid w:val="00D141FC"/>
    <w:pPr>
      <w:tabs>
        <w:tab w:val="num" w:pos="1492"/>
      </w:tabs>
      <w:ind w:left="1492" w:hanging="360"/>
    </w:pPr>
  </w:style>
  <w:style w:type="paragraph" w:styleId="ListNumber2">
    <w:name w:val="List Number 2"/>
    <w:basedOn w:val="Normal"/>
    <w:rsid w:val="00D141FC"/>
    <w:pPr>
      <w:tabs>
        <w:tab w:val="num" w:pos="643"/>
      </w:tabs>
      <w:ind w:left="643" w:hanging="360"/>
    </w:pPr>
  </w:style>
  <w:style w:type="paragraph" w:styleId="ListNumber3">
    <w:name w:val="List Number 3"/>
    <w:basedOn w:val="Normal"/>
    <w:rsid w:val="00D141FC"/>
    <w:pPr>
      <w:tabs>
        <w:tab w:val="num" w:pos="926"/>
      </w:tabs>
      <w:ind w:left="926" w:hanging="360"/>
    </w:pPr>
  </w:style>
  <w:style w:type="paragraph" w:styleId="ListNumber4">
    <w:name w:val="List Number 4"/>
    <w:basedOn w:val="Normal"/>
    <w:rsid w:val="00D141FC"/>
    <w:pPr>
      <w:tabs>
        <w:tab w:val="num" w:pos="1209"/>
      </w:tabs>
      <w:ind w:left="1209" w:hanging="360"/>
    </w:pPr>
  </w:style>
  <w:style w:type="paragraph" w:styleId="ListNumber5">
    <w:name w:val="List Number 5"/>
    <w:basedOn w:val="Normal"/>
    <w:rsid w:val="00D141FC"/>
    <w:pPr>
      <w:tabs>
        <w:tab w:val="num" w:pos="1492"/>
      </w:tabs>
      <w:ind w:left="1492" w:hanging="360"/>
    </w:pPr>
  </w:style>
  <w:style w:type="paragraph" w:styleId="Title">
    <w:name w:val="Title"/>
    <w:basedOn w:val="Normal"/>
    <w:link w:val="TitleChar"/>
    <w:qFormat/>
    <w:rsid w:val="00D141FC"/>
    <w:pPr>
      <w:spacing w:before="240" w:after="60"/>
    </w:pPr>
    <w:rPr>
      <w:rFonts w:ascii="Arial" w:hAnsi="Arial" w:cs="Arial"/>
      <w:b/>
      <w:bCs/>
      <w:sz w:val="40"/>
      <w:szCs w:val="40"/>
    </w:rPr>
  </w:style>
  <w:style w:type="character" w:customStyle="1" w:styleId="TitleChar">
    <w:name w:val="Title Char"/>
    <w:basedOn w:val="DefaultParagraphFont"/>
    <w:link w:val="Title"/>
    <w:rsid w:val="00D141FC"/>
    <w:rPr>
      <w:rFonts w:ascii="Arial" w:hAnsi="Arial" w:cs="Arial"/>
      <w:b/>
      <w:bCs/>
      <w:sz w:val="40"/>
      <w:szCs w:val="40"/>
    </w:rPr>
  </w:style>
  <w:style w:type="paragraph" w:styleId="Closing">
    <w:name w:val="Closing"/>
    <w:basedOn w:val="Normal"/>
    <w:link w:val="ClosingChar"/>
    <w:rsid w:val="00D141FC"/>
    <w:pPr>
      <w:ind w:left="4252"/>
    </w:pPr>
  </w:style>
  <w:style w:type="character" w:customStyle="1" w:styleId="ClosingChar">
    <w:name w:val="Closing Char"/>
    <w:basedOn w:val="DefaultParagraphFont"/>
    <w:link w:val="Closing"/>
    <w:rsid w:val="00D141FC"/>
    <w:rPr>
      <w:sz w:val="22"/>
    </w:rPr>
  </w:style>
  <w:style w:type="paragraph" w:styleId="Signature">
    <w:name w:val="Signature"/>
    <w:basedOn w:val="Normal"/>
    <w:link w:val="SignatureChar"/>
    <w:rsid w:val="00D141FC"/>
    <w:pPr>
      <w:ind w:left="4252"/>
    </w:pPr>
  </w:style>
  <w:style w:type="character" w:customStyle="1" w:styleId="SignatureChar">
    <w:name w:val="Signature Char"/>
    <w:basedOn w:val="DefaultParagraphFont"/>
    <w:link w:val="Signature"/>
    <w:rsid w:val="00D141FC"/>
    <w:rPr>
      <w:sz w:val="22"/>
    </w:rPr>
  </w:style>
  <w:style w:type="paragraph" w:styleId="BodyText">
    <w:name w:val="Body Text"/>
    <w:basedOn w:val="Normal"/>
    <w:link w:val="BodyTextChar"/>
    <w:rsid w:val="00D141FC"/>
    <w:pPr>
      <w:spacing w:after="120"/>
    </w:pPr>
  </w:style>
  <w:style w:type="character" w:customStyle="1" w:styleId="BodyTextChar">
    <w:name w:val="Body Text Char"/>
    <w:basedOn w:val="DefaultParagraphFont"/>
    <w:link w:val="BodyText"/>
    <w:rsid w:val="00D141FC"/>
    <w:rPr>
      <w:sz w:val="22"/>
    </w:rPr>
  </w:style>
  <w:style w:type="paragraph" w:styleId="BodyTextIndent">
    <w:name w:val="Body Text Indent"/>
    <w:basedOn w:val="Normal"/>
    <w:link w:val="BodyTextIndentChar"/>
    <w:rsid w:val="00D141FC"/>
    <w:pPr>
      <w:spacing w:after="120"/>
      <w:ind w:left="283"/>
    </w:pPr>
  </w:style>
  <w:style w:type="character" w:customStyle="1" w:styleId="BodyTextIndentChar">
    <w:name w:val="Body Text Indent Char"/>
    <w:basedOn w:val="DefaultParagraphFont"/>
    <w:link w:val="BodyTextIndent"/>
    <w:rsid w:val="00D141FC"/>
    <w:rPr>
      <w:sz w:val="22"/>
    </w:rPr>
  </w:style>
  <w:style w:type="paragraph" w:styleId="ListContinue">
    <w:name w:val="List Continue"/>
    <w:basedOn w:val="Normal"/>
    <w:rsid w:val="00D141FC"/>
    <w:pPr>
      <w:spacing w:after="120"/>
      <w:ind w:left="283"/>
    </w:pPr>
  </w:style>
  <w:style w:type="paragraph" w:styleId="ListContinue2">
    <w:name w:val="List Continue 2"/>
    <w:basedOn w:val="Normal"/>
    <w:rsid w:val="00D141FC"/>
    <w:pPr>
      <w:spacing w:after="120"/>
      <w:ind w:left="566"/>
    </w:pPr>
  </w:style>
  <w:style w:type="paragraph" w:styleId="ListContinue3">
    <w:name w:val="List Continue 3"/>
    <w:basedOn w:val="Normal"/>
    <w:rsid w:val="00D141FC"/>
    <w:pPr>
      <w:spacing w:after="120"/>
      <w:ind w:left="849"/>
    </w:pPr>
  </w:style>
  <w:style w:type="paragraph" w:styleId="ListContinue4">
    <w:name w:val="List Continue 4"/>
    <w:basedOn w:val="Normal"/>
    <w:rsid w:val="00D141FC"/>
    <w:pPr>
      <w:spacing w:after="120"/>
      <w:ind w:left="1132"/>
    </w:pPr>
  </w:style>
  <w:style w:type="paragraph" w:styleId="ListContinue5">
    <w:name w:val="List Continue 5"/>
    <w:basedOn w:val="Normal"/>
    <w:rsid w:val="00D141FC"/>
    <w:pPr>
      <w:spacing w:after="120"/>
      <w:ind w:left="1415"/>
    </w:pPr>
  </w:style>
  <w:style w:type="paragraph" w:styleId="MessageHeader">
    <w:name w:val="Message Header"/>
    <w:basedOn w:val="Normal"/>
    <w:link w:val="MessageHeaderChar"/>
    <w:rsid w:val="00D141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141FC"/>
    <w:rPr>
      <w:rFonts w:ascii="Arial" w:hAnsi="Arial" w:cs="Arial"/>
      <w:sz w:val="22"/>
      <w:shd w:val="pct20" w:color="auto" w:fill="auto"/>
    </w:rPr>
  </w:style>
  <w:style w:type="paragraph" w:styleId="Subtitle">
    <w:name w:val="Subtitle"/>
    <w:basedOn w:val="Normal"/>
    <w:link w:val="SubtitleChar"/>
    <w:qFormat/>
    <w:rsid w:val="00D141FC"/>
    <w:pPr>
      <w:spacing w:after="60"/>
      <w:jc w:val="center"/>
      <w:outlineLvl w:val="1"/>
    </w:pPr>
    <w:rPr>
      <w:rFonts w:ascii="Arial" w:hAnsi="Arial" w:cs="Arial"/>
    </w:rPr>
  </w:style>
  <w:style w:type="character" w:customStyle="1" w:styleId="SubtitleChar">
    <w:name w:val="Subtitle Char"/>
    <w:basedOn w:val="DefaultParagraphFont"/>
    <w:link w:val="Subtitle"/>
    <w:rsid w:val="00D141FC"/>
    <w:rPr>
      <w:rFonts w:ascii="Arial" w:hAnsi="Arial" w:cs="Arial"/>
      <w:sz w:val="22"/>
    </w:rPr>
  </w:style>
  <w:style w:type="paragraph" w:styleId="Salutation">
    <w:name w:val="Salutation"/>
    <w:basedOn w:val="Normal"/>
    <w:next w:val="Normal"/>
    <w:link w:val="SalutationChar"/>
    <w:rsid w:val="00D141FC"/>
  </w:style>
  <w:style w:type="character" w:customStyle="1" w:styleId="SalutationChar">
    <w:name w:val="Salutation Char"/>
    <w:basedOn w:val="DefaultParagraphFont"/>
    <w:link w:val="Salutation"/>
    <w:rsid w:val="00D141FC"/>
    <w:rPr>
      <w:sz w:val="22"/>
    </w:rPr>
  </w:style>
  <w:style w:type="paragraph" w:styleId="Date">
    <w:name w:val="Date"/>
    <w:basedOn w:val="Normal"/>
    <w:next w:val="Normal"/>
    <w:link w:val="DateChar"/>
    <w:rsid w:val="00D141FC"/>
  </w:style>
  <w:style w:type="character" w:customStyle="1" w:styleId="DateChar">
    <w:name w:val="Date Char"/>
    <w:basedOn w:val="DefaultParagraphFont"/>
    <w:link w:val="Date"/>
    <w:rsid w:val="00D141FC"/>
    <w:rPr>
      <w:sz w:val="22"/>
    </w:rPr>
  </w:style>
  <w:style w:type="paragraph" w:styleId="BodyTextFirstIndent">
    <w:name w:val="Body Text First Indent"/>
    <w:basedOn w:val="BodyText"/>
    <w:link w:val="BodyTextFirstIndentChar"/>
    <w:rsid w:val="00D141FC"/>
    <w:pPr>
      <w:ind w:firstLine="210"/>
    </w:pPr>
  </w:style>
  <w:style w:type="character" w:customStyle="1" w:styleId="BodyTextFirstIndentChar">
    <w:name w:val="Body Text First Indent Char"/>
    <w:basedOn w:val="BodyTextChar"/>
    <w:link w:val="BodyTextFirstIndent"/>
    <w:rsid w:val="00D141FC"/>
    <w:rPr>
      <w:sz w:val="22"/>
    </w:rPr>
  </w:style>
  <w:style w:type="paragraph" w:styleId="BodyTextFirstIndent2">
    <w:name w:val="Body Text First Indent 2"/>
    <w:basedOn w:val="BodyTextIndent"/>
    <w:link w:val="BodyTextFirstIndent2Char"/>
    <w:rsid w:val="00D141FC"/>
    <w:pPr>
      <w:ind w:firstLine="210"/>
    </w:pPr>
  </w:style>
  <w:style w:type="character" w:customStyle="1" w:styleId="BodyTextFirstIndent2Char">
    <w:name w:val="Body Text First Indent 2 Char"/>
    <w:basedOn w:val="BodyTextIndentChar"/>
    <w:link w:val="BodyTextFirstIndent2"/>
    <w:rsid w:val="00D141FC"/>
    <w:rPr>
      <w:sz w:val="22"/>
    </w:rPr>
  </w:style>
  <w:style w:type="paragraph" w:styleId="BodyText2">
    <w:name w:val="Body Text 2"/>
    <w:basedOn w:val="Normal"/>
    <w:link w:val="BodyText2Char"/>
    <w:rsid w:val="00D141FC"/>
    <w:pPr>
      <w:spacing w:after="120" w:line="480" w:lineRule="auto"/>
    </w:pPr>
  </w:style>
  <w:style w:type="character" w:customStyle="1" w:styleId="BodyText2Char">
    <w:name w:val="Body Text 2 Char"/>
    <w:basedOn w:val="DefaultParagraphFont"/>
    <w:link w:val="BodyText2"/>
    <w:rsid w:val="00D141FC"/>
    <w:rPr>
      <w:sz w:val="22"/>
    </w:rPr>
  </w:style>
  <w:style w:type="paragraph" w:styleId="BodyText3">
    <w:name w:val="Body Text 3"/>
    <w:basedOn w:val="Normal"/>
    <w:link w:val="BodyText3Char"/>
    <w:rsid w:val="00D141FC"/>
    <w:pPr>
      <w:spacing w:after="120"/>
    </w:pPr>
    <w:rPr>
      <w:sz w:val="16"/>
      <w:szCs w:val="16"/>
    </w:rPr>
  </w:style>
  <w:style w:type="character" w:customStyle="1" w:styleId="BodyText3Char">
    <w:name w:val="Body Text 3 Char"/>
    <w:basedOn w:val="DefaultParagraphFont"/>
    <w:link w:val="BodyText3"/>
    <w:rsid w:val="00D141FC"/>
    <w:rPr>
      <w:sz w:val="16"/>
      <w:szCs w:val="16"/>
    </w:rPr>
  </w:style>
  <w:style w:type="paragraph" w:styleId="BodyTextIndent2">
    <w:name w:val="Body Text Indent 2"/>
    <w:basedOn w:val="Normal"/>
    <w:link w:val="BodyTextIndent2Char"/>
    <w:rsid w:val="00D141FC"/>
    <w:pPr>
      <w:spacing w:after="120" w:line="480" w:lineRule="auto"/>
      <w:ind w:left="283"/>
    </w:pPr>
  </w:style>
  <w:style w:type="character" w:customStyle="1" w:styleId="BodyTextIndent2Char">
    <w:name w:val="Body Text Indent 2 Char"/>
    <w:basedOn w:val="DefaultParagraphFont"/>
    <w:link w:val="BodyTextIndent2"/>
    <w:rsid w:val="00D141FC"/>
    <w:rPr>
      <w:sz w:val="22"/>
    </w:rPr>
  </w:style>
  <w:style w:type="paragraph" w:styleId="BodyTextIndent3">
    <w:name w:val="Body Text Indent 3"/>
    <w:basedOn w:val="Normal"/>
    <w:link w:val="BodyTextIndent3Char"/>
    <w:rsid w:val="00D141FC"/>
    <w:pPr>
      <w:spacing w:after="120"/>
      <w:ind w:left="283"/>
    </w:pPr>
    <w:rPr>
      <w:sz w:val="16"/>
      <w:szCs w:val="16"/>
    </w:rPr>
  </w:style>
  <w:style w:type="character" w:customStyle="1" w:styleId="BodyTextIndent3Char">
    <w:name w:val="Body Text Indent 3 Char"/>
    <w:basedOn w:val="DefaultParagraphFont"/>
    <w:link w:val="BodyTextIndent3"/>
    <w:rsid w:val="00D141FC"/>
    <w:rPr>
      <w:sz w:val="16"/>
      <w:szCs w:val="16"/>
    </w:rPr>
  </w:style>
  <w:style w:type="paragraph" w:styleId="BlockText">
    <w:name w:val="Block Text"/>
    <w:basedOn w:val="Normal"/>
    <w:rsid w:val="00D141FC"/>
    <w:pPr>
      <w:spacing w:after="120"/>
      <w:ind w:left="1440" w:right="1440"/>
    </w:pPr>
  </w:style>
  <w:style w:type="character" w:styleId="Hyperlink">
    <w:name w:val="Hyperlink"/>
    <w:basedOn w:val="DefaultParagraphFont"/>
    <w:rsid w:val="00D141FC"/>
    <w:rPr>
      <w:color w:val="0000FF"/>
      <w:u w:val="single"/>
    </w:rPr>
  </w:style>
  <w:style w:type="character" w:styleId="FollowedHyperlink">
    <w:name w:val="FollowedHyperlink"/>
    <w:basedOn w:val="DefaultParagraphFont"/>
    <w:rsid w:val="00D141FC"/>
    <w:rPr>
      <w:color w:val="800080"/>
      <w:u w:val="single"/>
    </w:rPr>
  </w:style>
  <w:style w:type="character" w:styleId="Strong">
    <w:name w:val="Strong"/>
    <w:basedOn w:val="DefaultParagraphFont"/>
    <w:qFormat/>
    <w:rsid w:val="00D141FC"/>
    <w:rPr>
      <w:b/>
      <w:bCs/>
    </w:rPr>
  </w:style>
  <w:style w:type="character" w:styleId="Emphasis">
    <w:name w:val="Emphasis"/>
    <w:basedOn w:val="DefaultParagraphFont"/>
    <w:qFormat/>
    <w:rsid w:val="00D141FC"/>
    <w:rPr>
      <w:i/>
      <w:iCs/>
    </w:rPr>
  </w:style>
  <w:style w:type="paragraph" w:styleId="DocumentMap">
    <w:name w:val="Document Map"/>
    <w:basedOn w:val="Normal"/>
    <w:link w:val="DocumentMapChar"/>
    <w:rsid w:val="00D141FC"/>
    <w:pPr>
      <w:shd w:val="clear" w:color="auto" w:fill="000080"/>
    </w:pPr>
    <w:rPr>
      <w:rFonts w:ascii="Tahoma" w:hAnsi="Tahoma" w:cs="Tahoma"/>
    </w:rPr>
  </w:style>
  <w:style w:type="character" w:customStyle="1" w:styleId="DocumentMapChar">
    <w:name w:val="Document Map Char"/>
    <w:basedOn w:val="DefaultParagraphFont"/>
    <w:link w:val="DocumentMap"/>
    <w:rsid w:val="00D141FC"/>
    <w:rPr>
      <w:rFonts w:ascii="Tahoma" w:hAnsi="Tahoma" w:cs="Tahoma"/>
      <w:sz w:val="22"/>
      <w:shd w:val="clear" w:color="auto" w:fill="000080"/>
    </w:rPr>
  </w:style>
  <w:style w:type="paragraph" w:styleId="PlainText">
    <w:name w:val="Plain Text"/>
    <w:basedOn w:val="Normal"/>
    <w:link w:val="PlainTextChar"/>
    <w:rsid w:val="00D141FC"/>
    <w:rPr>
      <w:rFonts w:ascii="Courier New" w:hAnsi="Courier New" w:cs="Courier New"/>
      <w:sz w:val="20"/>
    </w:rPr>
  </w:style>
  <w:style w:type="character" w:customStyle="1" w:styleId="PlainTextChar">
    <w:name w:val="Plain Text Char"/>
    <w:basedOn w:val="DefaultParagraphFont"/>
    <w:link w:val="PlainText"/>
    <w:rsid w:val="00D141FC"/>
    <w:rPr>
      <w:rFonts w:ascii="Courier New" w:hAnsi="Courier New" w:cs="Courier New"/>
    </w:rPr>
  </w:style>
  <w:style w:type="paragraph" w:styleId="E-mailSignature">
    <w:name w:val="E-mail Signature"/>
    <w:basedOn w:val="Normal"/>
    <w:link w:val="E-mailSignatureChar"/>
    <w:rsid w:val="00D141FC"/>
  </w:style>
  <w:style w:type="character" w:customStyle="1" w:styleId="E-mailSignatureChar">
    <w:name w:val="E-mail Signature Char"/>
    <w:basedOn w:val="DefaultParagraphFont"/>
    <w:link w:val="E-mailSignature"/>
    <w:rsid w:val="00D141FC"/>
    <w:rPr>
      <w:sz w:val="22"/>
    </w:rPr>
  </w:style>
  <w:style w:type="paragraph" w:styleId="NormalWeb">
    <w:name w:val="Normal (Web)"/>
    <w:basedOn w:val="Normal"/>
    <w:rsid w:val="00D141FC"/>
  </w:style>
  <w:style w:type="character" w:styleId="HTMLAcronym">
    <w:name w:val="HTML Acronym"/>
    <w:basedOn w:val="DefaultParagraphFont"/>
    <w:rsid w:val="00D141FC"/>
  </w:style>
  <w:style w:type="paragraph" w:styleId="HTMLAddress">
    <w:name w:val="HTML Address"/>
    <w:basedOn w:val="Normal"/>
    <w:link w:val="HTMLAddressChar"/>
    <w:rsid w:val="00D141FC"/>
    <w:rPr>
      <w:i/>
      <w:iCs/>
    </w:rPr>
  </w:style>
  <w:style w:type="character" w:customStyle="1" w:styleId="HTMLAddressChar">
    <w:name w:val="HTML Address Char"/>
    <w:basedOn w:val="DefaultParagraphFont"/>
    <w:link w:val="HTMLAddress"/>
    <w:rsid w:val="00D141FC"/>
    <w:rPr>
      <w:i/>
      <w:iCs/>
      <w:sz w:val="22"/>
    </w:rPr>
  </w:style>
  <w:style w:type="character" w:styleId="HTMLCite">
    <w:name w:val="HTML Cite"/>
    <w:basedOn w:val="DefaultParagraphFont"/>
    <w:rsid w:val="00D141FC"/>
    <w:rPr>
      <w:i/>
      <w:iCs/>
    </w:rPr>
  </w:style>
  <w:style w:type="character" w:styleId="HTMLCode">
    <w:name w:val="HTML Code"/>
    <w:basedOn w:val="DefaultParagraphFont"/>
    <w:rsid w:val="00D141FC"/>
    <w:rPr>
      <w:rFonts w:ascii="Courier New" w:hAnsi="Courier New" w:cs="Courier New"/>
      <w:sz w:val="20"/>
      <w:szCs w:val="20"/>
    </w:rPr>
  </w:style>
  <w:style w:type="character" w:styleId="HTMLDefinition">
    <w:name w:val="HTML Definition"/>
    <w:basedOn w:val="DefaultParagraphFont"/>
    <w:rsid w:val="00D141FC"/>
    <w:rPr>
      <w:i/>
      <w:iCs/>
    </w:rPr>
  </w:style>
  <w:style w:type="character" w:styleId="HTMLKeyboard">
    <w:name w:val="HTML Keyboard"/>
    <w:basedOn w:val="DefaultParagraphFont"/>
    <w:rsid w:val="00D141FC"/>
    <w:rPr>
      <w:rFonts w:ascii="Courier New" w:hAnsi="Courier New" w:cs="Courier New"/>
      <w:sz w:val="20"/>
      <w:szCs w:val="20"/>
    </w:rPr>
  </w:style>
  <w:style w:type="paragraph" w:styleId="HTMLPreformatted">
    <w:name w:val="HTML Preformatted"/>
    <w:basedOn w:val="Normal"/>
    <w:link w:val="HTMLPreformattedChar"/>
    <w:rsid w:val="00D141FC"/>
    <w:rPr>
      <w:rFonts w:ascii="Courier New" w:hAnsi="Courier New" w:cs="Courier New"/>
      <w:sz w:val="20"/>
    </w:rPr>
  </w:style>
  <w:style w:type="character" w:customStyle="1" w:styleId="HTMLPreformattedChar">
    <w:name w:val="HTML Preformatted Char"/>
    <w:basedOn w:val="DefaultParagraphFont"/>
    <w:link w:val="HTMLPreformatted"/>
    <w:rsid w:val="00D141FC"/>
    <w:rPr>
      <w:rFonts w:ascii="Courier New" w:hAnsi="Courier New" w:cs="Courier New"/>
    </w:rPr>
  </w:style>
  <w:style w:type="character" w:styleId="HTMLSample">
    <w:name w:val="HTML Sample"/>
    <w:basedOn w:val="DefaultParagraphFont"/>
    <w:rsid w:val="00D141FC"/>
    <w:rPr>
      <w:rFonts w:ascii="Courier New" w:hAnsi="Courier New" w:cs="Courier New"/>
    </w:rPr>
  </w:style>
  <w:style w:type="character" w:styleId="HTMLTypewriter">
    <w:name w:val="HTML Typewriter"/>
    <w:basedOn w:val="DefaultParagraphFont"/>
    <w:rsid w:val="00D141FC"/>
    <w:rPr>
      <w:rFonts w:ascii="Courier New" w:hAnsi="Courier New" w:cs="Courier New"/>
      <w:sz w:val="20"/>
      <w:szCs w:val="20"/>
    </w:rPr>
  </w:style>
  <w:style w:type="character" w:styleId="HTMLVariable">
    <w:name w:val="HTML Variable"/>
    <w:basedOn w:val="DefaultParagraphFont"/>
    <w:rsid w:val="00D141FC"/>
    <w:rPr>
      <w:i/>
      <w:iCs/>
    </w:rPr>
  </w:style>
  <w:style w:type="paragraph" w:styleId="CommentSubject">
    <w:name w:val="annotation subject"/>
    <w:basedOn w:val="CommentText"/>
    <w:next w:val="CommentText"/>
    <w:link w:val="CommentSubjectChar"/>
    <w:rsid w:val="00D141FC"/>
    <w:rPr>
      <w:b/>
      <w:bCs/>
    </w:rPr>
  </w:style>
  <w:style w:type="character" w:customStyle="1" w:styleId="CommentSubjectChar">
    <w:name w:val="Comment Subject Char"/>
    <w:basedOn w:val="CommentTextChar"/>
    <w:link w:val="CommentSubject"/>
    <w:rsid w:val="00D141FC"/>
    <w:rPr>
      <w:b/>
      <w:bCs/>
    </w:rPr>
  </w:style>
  <w:style w:type="numbering" w:styleId="1ai">
    <w:name w:val="Outline List 1"/>
    <w:basedOn w:val="NoList"/>
    <w:rsid w:val="00D141FC"/>
    <w:pPr>
      <w:numPr>
        <w:numId w:val="14"/>
      </w:numPr>
    </w:pPr>
  </w:style>
  <w:style w:type="numbering" w:styleId="111111">
    <w:name w:val="Outline List 2"/>
    <w:basedOn w:val="NoList"/>
    <w:rsid w:val="00D141FC"/>
    <w:pPr>
      <w:numPr>
        <w:numId w:val="15"/>
      </w:numPr>
    </w:pPr>
  </w:style>
  <w:style w:type="numbering" w:styleId="ArticleSection">
    <w:name w:val="Outline List 3"/>
    <w:basedOn w:val="NoList"/>
    <w:rsid w:val="00D141FC"/>
    <w:pPr>
      <w:numPr>
        <w:numId w:val="17"/>
      </w:numPr>
    </w:pPr>
  </w:style>
  <w:style w:type="table" w:styleId="TableSimple1">
    <w:name w:val="Table Simple 1"/>
    <w:basedOn w:val="TableNormal"/>
    <w:rsid w:val="00D141F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41F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41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141F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41F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41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41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41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41F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41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41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41F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41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41F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41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141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41F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41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41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41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41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41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41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41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41F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41F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41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41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41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41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41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141F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41F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41F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141F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41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141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41F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41F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141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41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41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141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141FC"/>
    <w:rPr>
      <w:rFonts w:eastAsia="Times New Roman" w:cs="Times New Roman"/>
      <w:b/>
      <w:kern w:val="28"/>
      <w:sz w:val="24"/>
      <w:lang w:eastAsia="en-AU"/>
    </w:rPr>
  </w:style>
  <w:style w:type="paragraph" w:styleId="ListParagraph">
    <w:name w:val="List Paragraph"/>
    <w:basedOn w:val="Normal"/>
    <w:uiPriority w:val="34"/>
    <w:qFormat/>
    <w:rsid w:val="00ED7C85"/>
    <w:pPr>
      <w:spacing w:line="240" w:lineRule="auto"/>
      <w:ind w:left="720"/>
    </w:pPr>
    <w:rPr>
      <w:rFonts w:ascii="Calibri" w:hAnsi="Calibri" w:cs="Times New Roman"/>
      <w:szCs w:val="22"/>
    </w:rPr>
  </w:style>
  <w:style w:type="character" w:customStyle="1" w:styleId="DefinitionChar">
    <w:name w:val="Definition Char"/>
    <w:aliases w:val="dd Char"/>
    <w:link w:val="Definition"/>
    <w:rsid w:val="00CA4BE4"/>
    <w:rPr>
      <w:rFonts w:eastAsia="Times New Roman" w:cs="Times New Roman"/>
      <w:sz w:val="22"/>
      <w:lang w:eastAsia="en-AU"/>
    </w:rPr>
  </w:style>
  <w:style w:type="character" w:customStyle="1" w:styleId="paragraphChar">
    <w:name w:val="paragraph Char"/>
    <w:aliases w:val="a Char"/>
    <w:basedOn w:val="DefaultParagraphFont"/>
    <w:link w:val="paragraph"/>
    <w:rsid w:val="00DF49B5"/>
    <w:rPr>
      <w:rFonts w:eastAsia="Times New Roman" w:cs="Times New Roman"/>
      <w:sz w:val="22"/>
      <w:lang w:eastAsia="en-AU"/>
    </w:rPr>
  </w:style>
  <w:style w:type="character" w:customStyle="1" w:styleId="ItemHeadChar">
    <w:name w:val="ItemHead Char"/>
    <w:aliases w:val="ih Char"/>
    <w:basedOn w:val="DefaultParagraphFont"/>
    <w:link w:val="ItemHead"/>
    <w:rsid w:val="00DF49B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F49B5"/>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41FC"/>
    <w:pPr>
      <w:spacing w:line="260" w:lineRule="atLeast"/>
    </w:pPr>
    <w:rPr>
      <w:sz w:val="22"/>
    </w:rPr>
  </w:style>
  <w:style w:type="paragraph" w:styleId="Heading1">
    <w:name w:val="heading 1"/>
    <w:basedOn w:val="Normal"/>
    <w:next w:val="Normal"/>
    <w:link w:val="Heading1Char"/>
    <w:uiPriority w:val="9"/>
    <w:qFormat/>
    <w:rsid w:val="00D141F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41F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41F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41F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141F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141F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141F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141F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141F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41FC"/>
  </w:style>
  <w:style w:type="paragraph" w:customStyle="1" w:styleId="OPCParaBase">
    <w:name w:val="OPCParaBase"/>
    <w:qFormat/>
    <w:rsid w:val="00D141FC"/>
    <w:pPr>
      <w:spacing w:line="260" w:lineRule="atLeast"/>
    </w:pPr>
    <w:rPr>
      <w:rFonts w:eastAsia="Times New Roman" w:cs="Times New Roman"/>
      <w:sz w:val="22"/>
      <w:lang w:eastAsia="en-AU"/>
    </w:rPr>
  </w:style>
  <w:style w:type="paragraph" w:customStyle="1" w:styleId="ShortT">
    <w:name w:val="ShortT"/>
    <w:basedOn w:val="OPCParaBase"/>
    <w:next w:val="Normal"/>
    <w:qFormat/>
    <w:rsid w:val="00D141FC"/>
    <w:pPr>
      <w:spacing w:line="240" w:lineRule="auto"/>
    </w:pPr>
    <w:rPr>
      <w:b/>
      <w:sz w:val="40"/>
    </w:rPr>
  </w:style>
  <w:style w:type="paragraph" w:customStyle="1" w:styleId="ActHead1">
    <w:name w:val="ActHead 1"/>
    <w:aliases w:val="c"/>
    <w:basedOn w:val="OPCParaBase"/>
    <w:next w:val="Normal"/>
    <w:qFormat/>
    <w:rsid w:val="00D141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41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41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41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41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41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41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41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41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141FC"/>
  </w:style>
  <w:style w:type="paragraph" w:customStyle="1" w:styleId="Blocks">
    <w:name w:val="Blocks"/>
    <w:aliases w:val="bb"/>
    <w:basedOn w:val="OPCParaBase"/>
    <w:qFormat/>
    <w:rsid w:val="00D141FC"/>
    <w:pPr>
      <w:spacing w:line="240" w:lineRule="auto"/>
    </w:pPr>
    <w:rPr>
      <w:sz w:val="24"/>
    </w:rPr>
  </w:style>
  <w:style w:type="paragraph" w:customStyle="1" w:styleId="BoxText">
    <w:name w:val="BoxText"/>
    <w:aliases w:val="bt"/>
    <w:basedOn w:val="OPCParaBase"/>
    <w:qFormat/>
    <w:rsid w:val="00D141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41FC"/>
    <w:rPr>
      <w:b/>
    </w:rPr>
  </w:style>
  <w:style w:type="paragraph" w:customStyle="1" w:styleId="BoxHeadItalic">
    <w:name w:val="BoxHeadItalic"/>
    <w:aliases w:val="bhi"/>
    <w:basedOn w:val="BoxText"/>
    <w:next w:val="BoxStep"/>
    <w:qFormat/>
    <w:rsid w:val="00D141FC"/>
    <w:rPr>
      <w:i/>
    </w:rPr>
  </w:style>
  <w:style w:type="paragraph" w:customStyle="1" w:styleId="BoxList">
    <w:name w:val="BoxList"/>
    <w:aliases w:val="bl"/>
    <w:basedOn w:val="BoxText"/>
    <w:qFormat/>
    <w:rsid w:val="00D141FC"/>
    <w:pPr>
      <w:ind w:left="1559" w:hanging="425"/>
    </w:pPr>
  </w:style>
  <w:style w:type="paragraph" w:customStyle="1" w:styleId="BoxNote">
    <w:name w:val="BoxNote"/>
    <w:aliases w:val="bn"/>
    <w:basedOn w:val="BoxText"/>
    <w:qFormat/>
    <w:rsid w:val="00D141FC"/>
    <w:pPr>
      <w:tabs>
        <w:tab w:val="left" w:pos="1985"/>
      </w:tabs>
      <w:spacing w:before="122" w:line="198" w:lineRule="exact"/>
      <w:ind w:left="2948" w:hanging="1814"/>
    </w:pPr>
    <w:rPr>
      <w:sz w:val="18"/>
    </w:rPr>
  </w:style>
  <w:style w:type="paragraph" w:customStyle="1" w:styleId="BoxPara">
    <w:name w:val="BoxPara"/>
    <w:aliases w:val="bp"/>
    <w:basedOn w:val="BoxText"/>
    <w:qFormat/>
    <w:rsid w:val="00D141FC"/>
    <w:pPr>
      <w:tabs>
        <w:tab w:val="right" w:pos="2268"/>
      </w:tabs>
      <w:ind w:left="2552" w:hanging="1418"/>
    </w:pPr>
  </w:style>
  <w:style w:type="paragraph" w:customStyle="1" w:styleId="BoxStep">
    <w:name w:val="BoxStep"/>
    <w:aliases w:val="bs"/>
    <w:basedOn w:val="BoxText"/>
    <w:qFormat/>
    <w:rsid w:val="00D141FC"/>
    <w:pPr>
      <w:ind w:left="1985" w:hanging="851"/>
    </w:pPr>
  </w:style>
  <w:style w:type="character" w:customStyle="1" w:styleId="CharAmPartNo">
    <w:name w:val="CharAmPartNo"/>
    <w:basedOn w:val="OPCCharBase"/>
    <w:qFormat/>
    <w:rsid w:val="00D141FC"/>
  </w:style>
  <w:style w:type="character" w:customStyle="1" w:styleId="CharAmPartText">
    <w:name w:val="CharAmPartText"/>
    <w:basedOn w:val="OPCCharBase"/>
    <w:qFormat/>
    <w:rsid w:val="00D141FC"/>
  </w:style>
  <w:style w:type="character" w:customStyle="1" w:styleId="CharAmSchNo">
    <w:name w:val="CharAmSchNo"/>
    <w:basedOn w:val="OPCCharBase"/>
    <w:qFormat/>
    <w:rsid w:val="00D141FC"/>
  </w:style>
  <w:style w:type="character" w:customStyle="1" w:styleId="CharAmSchText">
    <w:name w:val="CharAmSchText"/>
    <w:basedOn w:val="OPCCharBase"/>
    <w:qFormat/>
    <w:rsid w:val="00D141FC"/>
  </w:style>
  <w:style w:type="character" w:customStyle="1" w:styleId="CharBoldItalic">
    <w:name w:val="CharBoldItalic"/>
    <w:basedOn w:val="OPCCharBase"/>
    <w:uiPriority w:val="1"/>
    <w:qFormat/>
    <w:rsid w:val="00D141FC"/>
    <w:rPr>
      <w:b/>
      <w:i/>
    </w:rPr>
  </w:style>
  <w:style w:type="character" w:customStyle="1" w:styleId="CharChapNo">
    <w:name w:val="CharChapNo"/>
    <w:basedOn w:val="OPCCharBase"/>
    <w:uiPriority w:val="1"/>
    <w:qFormat/>
    <w:rsid w:val="00D141FC"/>
  </w:style>
  <w:style w:type="character" w:customStyle="1" w:styleId="CharChapText">
    <w:name w:val="CharChapText"/>
    <w:basedOn w:val="OPCCharBase"/>
    <w:uiPriority w:val="1"/>
    <w:qFormat/>
    <w:rsid w:val="00D141FC"/>
  </w:style>
  <w:style w:type="character" w:customStyle="1" w:styleId="CharDivNo">
    <w:name w:val="CharDivNo"/>
    <w:basedOn w:val="OPCCharBase"/>
    <w:uiPriority w:val="1"/>
    <w:qFormat/>
    <w:rsid w:val="00D141FC"/>
  </w:style>
  <w:style w:type="character" w:customStyle="1" w:styleId="CharDivText">
    <w:name w:val="CharDivText"/>
    <w:basedOn w:val="OPCCharBase"/>
    <w:uiPriority w:val="1"/>
    <w:qFormat/>
    <w:rsid w:val="00D141FC"/>
  </w:style>
  <w:style w:type="character" w:customStyle="1" w:styleId="CharItalic">
    <w:name w:val="CharItalic"/>
    <w:basedOn w:val="OPCCharBase"/>
    <w:uiPriority w:val="1"/>
    <w:qFormat/>
    <w:rsid w:val="00D141FC"/>
    <w:rPr>
      <w:i/>
    </w:rPr>
  </w:style>
  <w:style w:type="character" w:customStyle="1" w:styleId="CharPartNo">
    <w:name w:val="CharPartNo"/>
    <w:basedOn w:val="OPCCharBase"/>
    <w:uiPriority w:val="1"/>
    <w:qFormat/>
    <w:rsid w:val="00D141FC"/>
  </w:style>
  <w:style w:type="character" w:customStyle="1" w:styleId="CharPartText">
    <w:name w:val="CharPartText"/>
    <w:basedOn w:val="OPCCharBase"/>
    <w:uiPriority w:val="1"/>
    <w:qFormat/>
    <w:rsid w:val="00D141FC"/>
  </w:style>
  <w:style w:type="character" w:customStyle="1" w:styleId="CharSectno">
    <w:name w:val="CharSectno"/>
    <w:basedOn w:val="OPCCharBase"/>
    <w:qFormat/>
    <w:rsid w:val="00D141FC"/>
  </w:style>
  <w:style w:type="character" w:customStyle="1" w:styleId="CharSubdNo">
    <w:name w:val="CharSubdNo"/>
    <w:basedOn w:val="OPCCharBase"/>
    <w:uiPriority w:val="1"/>
    <w:qFormat/>
    <w:rsid w:val="00D141FC"/>
  </w:style>
  <w:style w:type="character" w:customStyle="1" w:styleId="CharSubdText">
    <w:name w:val="CharSubdText"/>
    <w:basedOn w:val="OPCCharBase"/>
    <w:uiPriority w:val="1"/>
    <w:qFormat/>
    <w:rsid w:val="00D141FC"/>
  </w:style>
  <w:style w:type="paragraph" w:customStyle="1" w:styleId="CTA--">
    <w:name w:val="CTA --"/>
    <w:basedOn w:val="OPCParaBase"/>
    <w:next w:val="Normal"/>
    <w:rsid w:val="00D141FC"/>
    <w:pPr>
      <w:spacing w:before="60" w:line="240" w:lineRule="atLeast"/>
      <w:ind w:left="142" w:hanging="142"/>
    </w:pPr>
    <w:rPr>
      <w:sz w:val="20"/>
    </w:rPr>
  </w:style>
  <w:style w:type="paragraph" w:customStyle="1" w:styleId="CTA-">
    <w:name w:val="CTA -"/>
    <w:basedOn w:val="OPCParaBase"/>
    <w:rsid w:val="00D141FC"/>
    <w:pPr>
      <w:spacing w:before="60" w:line="240" w:lineRule="atLeast"/>
      <w:ind w:left="85" w:hanging="85"/>
    </w:pPr>
    <w:rPr>
      <w:sz w:val="20"/>
    </w:rPr>
  </w:style>
  <w:style w:type="paragraph" w:customStyle="1" w:styleId="CTA---">
    <w:name w:val="CTA ---"/>
    <w:basedOn w:val="OPCParaBase"/>
    <w:next w:val="Normal"/>
    <w:rsid w:val="00D141FC"/>
    <w:pPr>
      <w:spacing w:before="60" w:line="240" w:lineRule="atLeast"/>
      <w:ind w:left="198" w:hanging="198"/>
    </w:pPr>
    <w:rPr>
      <w:sz w:val="20"/>
    </w:rPr>
  </w:style>
  <w:style w:type="paragraph" w:customStyle="1" w:styleId="CTA----">
    <w:name w:val="CTA ----"/>
    <w:basedOn w:val="OPCParaBase"/>
    <w:next w:val="Normal"/>
    <w:rsid w:val="00D141FC"/>
    <w:pPr>
      <w:spacing w:before="60" w:line="240" w:lineRule="atLeast"/>
      <w:ind w:left="255" w:hanging="255"/>
    </w:pPr>
    <w:rPr>
      <w:sz w:val="20"/>
    </w:rPr>
  </w:style>
  <w:style w:type="paragraph" w:customStyle="1" w:styleId="CTA1a">
    <w:name w:val="CTA 1(a)"/>
    <w:basedOn w:val="OPCParaBase"/>
    <w:rsid w:val="00D141FC"/>
    <w:pPr>
      <w:tabs>
        <w:tab w:val="right" w:pos="414"/>
      </w:tabs>
      <w:spacing w:before="40" w:line="240" w:lineRule="atLeast"/>
      <w:ind w:left="675" w:hanging="675"/>
    </w:pPr>
    <w:rPr>
      <w:sz w:val="20"/>
    </w:rPr>
  </w:style>
  <w:style w:type="paragraph" w:customStyle="1" w:styleId="CTA1ai">
    <w:name w:val="CTA 1(a)(i)"/>
    <w:basedOn w:val="OPCParaBase"/>
    <w:rsid w:val="00D141FC"/>
    <w:pPr>
      <w:tabs>
        <w:tab w:val="right" w:pos="1004"/>
      </w:tabs>
      <w:spacing w:before="40" w:line="240" w:lineRule="atLeast"/>
      <w:ind w:left="1253" w:hanging="1253"/>
    </w:pPr>
    <w:rPr>
      <w:sz w:val="20"/>
    </w:rPr>
  </w:style>
  <w:style w:type="paragraph" w:customStyle="1" w:styleId="CTA2a">
    <w:name w:val="CTA 2(a)"/>
    <w:basedOn w:val="OPCParaBase"/>
    <w:rsid w:val="00D141FC"/>
    <w:pPr>
      <w:tabs>
        <w:tab w:val="right" w:pos="482"/>
      </w:tabs>
      <w:spacing w:before="40" w:line="240" w:lineRule="atLeast"/>
      <w:ind w:left="748" w:hanging="748"/>
    </w:pPr>
    <w:rPr>
      <w:sz w:val="20"/>
    </w:rPr>
  </w:style>
  <w:style w:type="paragraph" w:customStyle="1" w:styleId="CTA2ai">
    <w:name w:val="CTA 2(a)(i)"/>
    <w:basedOn w:val="OPCParaBase"/>
    <w:rsid w:val="00D141FC"/>
    <w:pPr>
      <w:tabs>
        <w:tab w:val="right" w:pos="1089"/>
      </w:tabs>
      <w:spacing w:before="40" w:line="240" w:lineRule="atLeast"/>
      <w:ind w:left="1327" w:hanging="1327"/>
    </w:pPr>
    <w:rPr>
      <w:sz w:val="20"/>
    </w:rPr>
  </w:style>
  <w:style w:type="paragraph" w:customStyle="1" w:styleId="CTA3a">
    <w:name w:val="CTA 3(a)"/>
    <w:basedOn w:val="OPCParaBase"/>
    <w:rsid w:val="00D141FC"/>
    <w:pPr>
      <w:tabs>
        <w:tab w:val="right" w:pos="556"/>
      </w:tabs>
      <w:spacing w:before="40" w:line="240" w:lineRule="atLeast"/>
      <w:ind w:left="805" w:hanging="805"/>
    </w:pPr>
    <w:rPr>
      <w:sz w:val="20"/>
    </w:rPr>
  </w:style>
  <w:style w:type="paragraph" w:customStyle="1" w:styleId="CTA3ai">
    <w:name w:val="CTA 3(a)(i)"/>
    <w:basedOn w:val="OPCParaBase"/>
    <w:rsid w:val="00D141FC"/>
    <w:pPr>
      <w:tabs>
        <w:tab w:val="right" w:pos="1140"/>
      </w:tabs>
      <w:spacing w:before="40" w:line="240" w:lineRule="atLeast"/>
      <w:ind w:left="1361" w:hanging="1361"/>
    </w:pPr>
    <w:rPr>
      <w:sz w:val="20"/>
    </w:rPr>
  </w:style>
  <w:style w:type="paragraph" w:customStyle="1" w:styleId="CTA4a">
    <w:name w:val="CTA 4(a)"/>
    <w:basedOn w:val="OPCParaBase"/>
    <w:rsid w:val="00D141FC"/>
    <w:pPr>
      <w:tabs>
        <w:tab w:val="right" w:pos="624"/>
      </w:tabs>
      <w:spacing w:before="40" w:line="240" w:lineRule="atLeast"/>
      <w:ind w:left="873" w:hanging="873"/>
    </w:pPr>
    <w:rPr>
      <w:sz w:val="20"/>
    </w:rPr>
  </w:style>
  <w:style w:type="paragraph" w:customStyle="1" w:styleId="CTA4ai">
    <w:name w:val="CTA 4(a)(i)"/>
    <w:basedOn w:val="OPCParaBase"/>
    <w:rsid w:val="00D141FC"/>
    <w:pPr>
      <w:tabs>
        <w:tab w:val="right" w:pos="1213"/>
      </w:tabs>
      <w:spacing w:before="40" w:line="240" w:lineRule="atLeast"/>
      <w:ind w:left="1452" w:hanging="1452"/>
    </w:pPr>
    <w:rPr>
      <w:sz w:val="20"/>
    </w:rPr>
  </w:style>
  <w:style w:type="paragraph" w:customStyle="1" w:styleId="CTACAPS">
    <w:name w:val="CTA CAPS"/>
    <w:basedOn w:val="OPCParaBase"/>
    <w:rsid w:val="00D141FC"/>
    <w:pPr>
      <w:spacing w:before="60" w:line="240" w:lineRule="atLeast"/>
    </w:pPr>
    <w:rPr>
      <w:sz w:val="20"/>
    </w:rPr>
  </w:style>
  <w:style w:type="paragraph" w:customStyle="1" w:styleId="CTAright">
    <w:name w:val="CTA right"/>
    <w:basedOn w:val="OPCParaBase"/>
    <w:rsid w:val="00D141FC"/>
    <w:pPr>
      <w:spacing w:before="60" w:line="240" w:lineRule="auto"/>
      <w:jc w:val="right"/>
    </w:pPr>
    <w:rPr>
      <w:sz w:val="20"/>
    </w:rPr>
  </w:style>
  <w:style w:type="paragraph" w:customStyle="1" w:styleId="subsection">
    <w:name w:val="subsection"/>
    <w:aliases w:val="ss,Subsection"/>
    <w:basedOn w:val="OPCParaBase"/>
    <w:link w:val="subsectionChar"/>
    <w:rsid w:val="00D141F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141FC"/>
    <w:pPr>
      <w:spacing w:before="180" w:line="240" w:lineRule="auto"/>
      <w:ind w:left="1134"/>
    </w:pPr>
  </w:style>
  <w:style w:type="paragraph" w:customStyle="1" w:styleId="ETAsubitem">
    <w:name w:val="ETA(subitem)"/>
    <w:basedOn w:val="OPCParaBase"/>
    <w:rsid w:val="00D141FC"/>
    <w:pPr>
      <w:tabs>
        <w:tab w:val="right" w:pos="340"/>
      </w:tabs>
      <w:spacing w:before="60" w:line="240" w:lineRule="auto"/>
      <w:ind w:left="454" w:hanging="454"/>
    </w:pPr>
    <w:rPr>
      <w:sz w:val="20"/>
    </w:rPr>
  </w:style>
  <w:style w:type="paragraph" w:customStyle="1" w:styleId="ETApara">
    <w:name w:val="ETA(para)"/>
    <w:basedOn w:val="OPCParaBase"/>
    <w:rsid w:val="00D141FC"/>
    <w:pPr>
      <w:tabs>
        <w:tab w:val="right" w:pos="754"/>
      </w:tabs>
      <w:spacing w:before="60" w:line="240" w:lineRule="auto"/>
      <w:ind w:left="828" w:hanging="828"/>
    </w:pPr>
    <w:rPr>
      <w:sz w:val="20"/>
    </w:rPr>
  </w:style>
  <w:style w:type="paragraph" w:customStyle="1" w:styleId="ETAsubpara">
    <w:name w:val="ETA(subpara)"/>
    <w:basedOn w:val="OPCParaBase"/>
    <w:rsid w:val="00D141FC"/>
    <w:pPr>
      <w:tabs>
        <w:tab w:val="right" w:pos="1083"/>
      </w:tabs>
      <w:spacing w:before="60" w:line="240" w:lineRule="auto"/>
      <w:ind w:left="1191" w:hanging="1191"/>
    </w:pPr>
    <w:rPr>
      <w:sz w:val="20"/>
    </w:rPr>
  </w:style>
  <w:style w:type="paragraph" w:customStyle="1" w:styleId="ETAsub-subpara">
    <w:name w:val="ETA(sub-subpara)"/>
    <w:basedOn w:val="OPCParaBase"/>
    <w:rsid w:val="00D141FC"/>
    <w:pPr>
      <w:tabs>
        <w:tab w:val="right" w:pos="1412"/>
      </w:tabs>
      <w:spacing w:before="60" w:line="240" w:lineRule="auto"/>
      <w:ind w:left="1525" w:hanging="1525"/>
    </w:pPr>
    <w:rPr>
      <w:sz w:val="20"/>
    </w:rPr>
  </w:style>
  <w:style w:type="paragraph" w:customStyle="1" w:styleId="Formula">
    <w:name w:val="Formula"/>
    <w:basedOn w:val="OPCParaBase"/>
    <w:rsid w:val="00D141FC"/>
    <w:pPr>
      <w:spacing w:line="240" w:lineRule="auto"/>
      <w:ind w:left="1134"/>
    </w:pPr>
    <w:rPr>
      <w:sz w:val="20"/>
    </w:rPr>
  </w:style>
  <w:style w:type="paragraph" w:styleId="Header">
    <w:name w:val="header"/>
    <w:basedOn w:val="OPCParaBase"/>
    <w:link w:val="HeaderChar"/>
    <w:unhideWhenUsed/>
    <w:rsid w:val="00D141F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41FC"/>
    <w:rPr>
      <w:rFonts w:eastAsia="Times New Roman" w:cs="Times New Roman"/>
      <w:sz w:val="16"/>
      <w:lang w:eastAsia="en-AU"/>
    </w:rPr>
  </w:style>
  <w:style w:type="paragraph" w:customStyle="1" w:styleId="House">
    <w:name w:val="House"/>
    <w:basedOn w:val="OPCParaBase"/>
    <w:rsid w:val="00D141FC"/>
    <w:pPr>
      <w:spacing w:line="240" w:lineRule="auto"/>
    </w:pPr>
    <w:rPr>
      <w:sz w:val="28"/>
    </w:rPr>
  </w:style>
  <w:style w:type="paragraph" w:customStyle="1" w:styleId="Item">
    <w:name w:val="Item"/>
    <w:aliases w:val="i"/>
    <w:basedOn w:val="OPCParaBase"/>
    <w:next w:val="ItemHead"/>
    <w:link w:val="ItemChar"/>
    <w:rsid w:val="00D141FC"/>
    <w:pPr>
      <w:keepLines/>
      <w:spacing w:before="80" w:line="240" w:lineRule="auto"/>
      <w:ind w:left="709"/>
    </w:pPr>
  </w:style>
  <w:style w:type="paragraph" w:customStyle="1" w:styleId="ItemHead">
    <w:name w:val="ItemHead"/>
    <w:aliases w:val="ih"/>
    <w:basedOn w:val="OPCParaBase"/>
    <w:next w:val="Item"/>
    <w:link w:val="ItemHeadChar"/>
    <w:rsid w:val="00D141F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41FC"/>
    <w:pPr>
      <w:spacing w:line="240" w:lineRule="auto"/>
    </w:pPr>
    <w:rPr>
      <w:b/>
      <w:sz w:val="32"/>
    </w:rPr>
  </w:style>
  <w:style w:type="paragraph" w:customStyle="1" w:styleId="notedraft">
    <w:name w:val="note(draft)"/>
    <w:aliases w:val="nd"/>
    <w:basedOn w:val="OPCParaBase"/>
    <w:rsid w:val="00D141FC"/>
    <w:pPr>
      <w:spacing w:before="240" w:line="240" w:lineRule="auto"/>
      <w:ind w:left="284" w:hanging="284"/>
    </w:pPr>
    <w:rPr>
      <w:i/>
      <w:sz w:val="24"/>
    </w:rPr>
  </w:style>
  <w:style w:type="paragraph" w:customStyle="1" w:styleId="notemargin">
    <w:name w:val="note(margin)"/>
    <w:aliases w:val="nm"/>
    <w:basedOn w:val="OPCParaBase"/>
    <w:rsid w:val="00D141FC"/>
    <w:pPr>
      <w:tabs>
        <w:tab w:val="left" w:pos="709"/>
      </w:tabs>
      <w:spacing w:before="122" w:line="198" w:lineRule="exact"/>
      <w:ind w:left="709" w:hanging="709"/>
    </w:pPr>
    <w:rPr>
      <w:sz w:val="18"/>
    </w:rPr>
  </w:style>
  <w:style w:type="paragraph" w:customStyle="1" w:styleId="noteToPara">
    <w:name w:val="noteToPara"/>
    <w:aliases w:val="ntp"/>
    <w:basedOn w:val="OPCParaBase"/>
    <w:rsid w:val="00D141FC"/>
    <w:pPr>
      <w:spacing w:before="122" w:line="198" w:lineRule="exact"/>
      <w:ind w:left="2353" w:hanging="709"/>
    </w:pPr>
    <w:rPr>
      <w:sz w:val="18"/>
    </w:rPr>
  </w:style>
  <w:style w:type="paragraph" w:customStyle="1" w:styleId="noteParlAmend">
    <w:name w:val="note(ParlAmend)"/>
    <w:aliases w:val="npp"/>
    <w:basedOn w:val="OPCParaBase"/>
    <w:next w:val="ParlAmend"/>
    <w:rsid w:val="00D141FC"/>
    <w:pPr>
      <w:spacing w:line="240" w:lineRule="auto"/>
      <w:jc w:val="right"/>
    </w:pPr>
    <w:rPr>
      <w:rFonts w:ascii="Arial" w:hAnsi="Arial"/>
      <w:b/>
      <w:i/>
    </w:rPr>
  </w:style>
  <w:style w:type="paragraph" w:customStyle="1" w:styleId="Page1">
    <w:name w:val="Page1"/>
    <w:basedOn w:val="OPCParaBase"/>
    <w:rsid w:val="00D141FC"/>
    <w:pPr>
      <w:spacing w:before="5600" w:line="240" w:lineRule="auto"/>
    </w:pPr>
    <w:rPr>
      <w:b/>
      <w:sz w:val="32"/>
    </w:rPr>
  </w:style>
  <w:style w:type="paragraph" w:customStyle="1" w:styleId="PageBreak">
    <w:name w:val="PageBreak"/>
    <w:aliases w:val="pb"/>
    <w:basedOn w:val="OPCParaBase"/>
    <w:rsid w:val="00D141FC"/>
    <w:pPr>
      <w:spacing w:line="240" w:lineRule="auto"/>
    </w:pPr>
    <w:rPr>
      <w:sz w:val="20"/>
    </w:rPr>
  </w:style>
  <w:style w:type="paragraph" w:customStyle="1" w:styleId="paragraphsub">
    <w:name w:val="paragraph(sub)"/>
    <w:aliases w:val="aa"/>
    <w:basedOn w:val="OPCParaBase"/>
    <w:rsid w:val="00D141FC"/>
    <w:pPr>
      <w:tabs>
        <w:tab w:val="right" w:pos="1985"/>
      </w:tabs>
      <w:spacing w:before="40" w:line="240" w:lineRule="auto"/>
      <w:ind w:left="2098" w:hanging="2098"/>
    </w:pPr>
  </w:style>
  <w:style w:type="paragraph" w:customStyle="1" w:styleId="paragraphsub-sub">
    <w:name w:val="paragraph(sub-sub)"/>
    <w:aliases w:val="aaa"/>
    <w:basedOn w:val="OPCParaBase"/>
    <w:rsid w:val="00D141FC"/>
    <w:pPr>
      <w:tabs>
        <w:tab w:val="right" w:pos="2722"/>
      </w:tabs>
      <w:spacing w:before="40" w:line="240" w:lineRule="auto"/>
      <w:ind w:left="2835" w:hanging="2835"/>
    </w:pPr>
  </w:style>
  <w:style w:type="paragraph" w:customStyle="1" w:styleId="paragraph">
    <w:name w:val="paragraph"/>
    <w:aliases w:val="a"/>
    <w:basedOn w:val="OPCParaBase"/>
    <w:link w:val="paragraphChar"/>
    <w:rsid w:val="00D141FC"/>
    <w:pPr>
      <w:tabs>
        <w:tab w:val="right" w:pos="1531"/>
      </w:tabs>
      <w:spacing w:before="40" w:line="240" w:lineRule="auto"/>
      <w:ind w:left="1644" w:hanging="1644"/>
    </w:pPr>
  </w:style>
  <w:style w:type="paragraph" w:customStyle="1" w:styleId="ParlAmend">
    <w:name w:val="ParlAmend"/>
    <w:aliases w:val="pp"/>
    <w:basedOn w:val="OPCParaBase"/>
    <w:rsid w:val="00D141FC"/>
    <w:pPr>
      <w:spacing w:before="240" w:line="240" w:lineRule="atLeast"/>
      <w:ind w:hanging="567"/>
    </w:pPr>
    <w:rPr>
      <w:sz w:val="24"/>
    </w:rPr>
  </w:style>
  <w:style w:type="paragraph" w:customStyle="1" w:styleId="Penalty">
    <w:name w:val="Penalty"/>
    <w:basedOn w:val="OPCParaBase"/>
    <w:rsid w:val="00D141FC"/>
    <w:pPr>
      <w:tabs>
        <w:tab w:val="left" w:pos="2977"/>
      </w:tabs>
      <w:spacing w:before="180" w:line="240" w:lineRule="auto"/>
      <w:ind w:left="1985" w:hanging="851"/>
    </w:pPr>
  </w:style>
  <w:style w:type="paragraph" w:customStyle="1" w:styleId="Portfolio">
    <w:name w:val="Portfolio"/>
    <w:basedOn w:val="OPCParaBase"/>
    <w:rsid w:val="00D141FC"/>
    <w:pPr>
      <w:spacing w:line="240" w:lineRule="auto"/>
    </w:pPr>
    <w:rPr>
      <w:i/>
      <w:sz w:val="20"/>
    </w:rPr>
  </w:style>
  <w:style w:type="paragraph" w:customStyle="1" w:styleId="Preamble">
    <w:name w:val="Preamble"/>
    <w:basedOn w:val="OPCParaBase"/>
    <w:next w:val="Normal"/>
    <w:rsid w:val="00D141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41FC"/>
    <w:pPr>
      <w:spacing w:line="240" w:lineRule="auto"/>
    </w:pPr>
    <w:rPr>
      <w:i/>
      <w:sz w:val="20"/>
    </w:rPr>
  </w:style>
  <w:style w:type="paragraph" w:customStyle="1" w:styleId="Session">
    <w:name w:val="Session"/>
    <w:basedOn w:val="OPCParaBase"/>
    <w:rsid w:val="00D141FC"/>
    <w:pPr>
      <w:spacing w:line="240" w:lineRule="auto"/>
    </w:pPr>
    <w:rPr>
      <w:sz w:val="28"/>
    </w:rPr>
  </w:style>
  <w:style w:type="paragraph" w:customStyle="1" w:styleId="Sponsor">
    <w:name w:val="Sponsor"/>
    <w:basedOn w:val="OPCParaBase"/>
    <w:rsid w:val="00D141FC"/>
    <w:pPr>
      <w:spacing w:line="240" w:lineRule="auto"/>
    </w:pPr>
    <w:rPr>
      <w:i/>
    </w:rPr>
  </w:style>
  <w:style w:type="paragraph" w:customStyle="1" w:styleId="Subitem">
    <w:name w:val="Subitem"/>
    <w:aliases w:val="iss"/>
    <w:basedOn w:val="OPCParaBase"/>
    <w:rsid w:val="00D141FC"/>
    <w:pPr>
      <w:spacing w:before="180" w:line="240" w:lineRule="auto"/>
      <w:ind w:left="709" w:hanging="709"/>
    </w:pPr>
  </w:style>
  <w:style w:type="paragraph" w:customStyle="1" w:styleId="SubitemHead">
    <w:name w:val="SubitemHead"/>
    <w:aliases w:val="issh"/>
    <w:basedOn w:val="OPCParaBase"/>
    <w:rsid w:val="00D141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41FC"/>
    <w:pPr>
      <w:spacing w:before="40" w:line="240" w:lineRule="auto"/>
      <w:ind w:left="1134"/>
    </w:pPr>
  </w:style>
  <w:style w:type="paragraph" w:customStyle="1" w:styleId="SubsectionHead">
    <w:name w:val="SubsectionHead"/>
    <w:aliases w:val="ssh"/>
    <w:basedOn w:val="OPCParaBase"/>
    <w:next w:val="subsection"/>
    <w:rsid w:val="00D141FC"/>
    <w:pPr>
      <w:keepNext/>
      <w:keepLines/>
      <w:spacing w:before="240" w:line="240" w:lineRule="auto"/>
      <w:ind w:left="1134"/>
    </w:pPr>
    <w:rPr>
      <w:i/>
    </w:rPr>
  </w:style>
  <w:style w:type="paragraph" w:customStyle="1" w:styleId="Tablea">
    <w:name w:val="Table(a)"/>
    <w:aliases w:val="ta"/>
    <w:basedOn w:val="OPCParaBase"/>
    <w:rsid w:val="00D141FC"/>
    <w:pPr>
      <w:spacing w:before="60" w:line="240" w:lineRule="auto"/>
      <w:ind w:left="284" w:hanging="284"/>
    </w:pPr>
    <w:rPr>
      <w:sz w:val="20"/>
    </w:rPr>
  </w:style>
  <w:style w:type="paragraph" w:customStyle="1" w:styleId="TableAA">
    <w:name w:val="Table(AA)"/>
    <w:aliases w:val="taaa"/>
    <w:basedOn w:val="OPCParaBase"/>
    <w:rsid w:val="00D141F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41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41FC"/>
    <w:pPr>
      <w:spacing w:before="60" w:line="240" w:lineRule="atLeast"/>
    </w:pPr>
    <w:rPr>
      <w:sz w:val="20"/>
    </w:rPr>
  </w:style>
  <w:style w:type="paragraph" w:customStyle="1" w:styleId="TLPBoxTextnote">
    <w:name w:val="TLPBoxText(note"/>
    <w:aliases w:val="right)"/>
    <w:basedOn w:val="OPCParaBase"/>
    <w:rsid w:val="00D141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41F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41FC"/>
    <w:pPr>
      <w:spacing w:before="122" w:line="198" w:lineRule="exact"/>
      <w:ind w:left="1985" w:hanging="851"/>
      <w:jc w:val="right"/>
    </w:pPr>
    <w:rPr>
      <w:sz w:val="18"/>
    </w:rPr>
  </w:style>
  <w:style w:type="paragraph" w:customStyle="1" w:styleId="TLPTableBullet">
    <w:name w:val="TLPTableBullet"/>
    <w:aliases w:val="ttb"/>
    <w:basedOn w:val="OPCParaBase"/>
    <w:rsid w:val="00D141FC"/>
    <w:pPr>
      <w:spacing w:line="240" w:lineRule="exact"/>
      <w:ind w:left="284" w:hanging="284"/>
    </w:pPr>
    <w:rPr>
      <w:sz w:val="20"/>
    </w:rPr>
  </w:style>
  <w:style w:type="paragraph" w:styleId="TOC1">
    <w:name w:val="toc 1"/>
    <w:basedOn w:val="Normal"/>
    <w:next w:val="Normal"/>
    <w:uiPriority w:val="39"/>
    <w:unhideWhenUsed/>
    <w:rsid w:val="00D141F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141F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141F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141F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141F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141F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141F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141F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141F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141FC"/>
    <w:pPr>
      <w:keepLines/>
      <w:spacing w:before="240" w:after="120" w:line="240" w:lineRule="auto"/>
      <w:ind w:left="794"/>
    </w:pPr>
    <w:rPr>
      <w:b/>
      <w:kern w:val="28"/>
      <w:sz w:val="20"/>
    </w:rPr>
  </w:style>
  <w:style w:type="paragraph" w:customStyle="1" w:styleId="TofSectsHeading">
    <w:name w:val="TofSects(Heading)"/>
    <w:basedOn w:val="OPCParaBase"/>
    <w:rsid w:val="00D141FC"/>
    <w:pPr>
      <w:spacing w:before="240" w:after="120" w:line="240" w:lineRule="auto"/>
    </w:pPr>
    <w:rPr>
      <w:b/>
      <w:sz w:val="24"/>
    </w:rPr>
  </w:style>
  <w:style w:type="paragraph" w:customStyle="1" w:styleId="TofSectsSection">
    <w:name w:val="TofSects(Section)"/>
    <w:basedOn w:val="OPCParaBase"/>
    <w:rsid w:val="00D141FC"/>
    <w:pPr>
      <w:keepLines/>
      <w:spacing w:before="40" w:line="240" w:lineRule="auto"/>
      <w:ind w:left="1588" w:hanging="794"/>
    </w:pPr>
    <w:rPr>
      <w:kern w:val="28"/>
      <w:sz w:val="18"/>
    </w:rPr>
  </w:style>
  <w:style w:type="paragraph" w:customStyle="1" w:styleId="TofSectsSubdiv">
    <w:name w:val="TofSects(Subdiv)"/>
    <w:basedOn w:val="OPCParaBase"/>
    <w:rsid w:val="00D141FC"/>
    <w:pPr>
      <w:keepLines/>
      <w:spacing w:before="80" w:line="240" w:lineRule="auto"/>
      <w:ind w:left="1588" w:hanging="794"/>
    </w:pPr>
    <w:rPr>
      <w:kern w:val="28"/>
    </w:rPr>
  </w:style>
  <w:style w:type="paragraph" w:customStyle="1" w:styleId="WRStyle">
    <w:name w:val="WR Style"/>
    <w:aliases w:val="WR"/>
    <w:basedOn w:val="OPCParaBase"/>
    <w:rsid w:val="00D141FC"/>
    <w:pPr>
      <w:spacing w:before="240" w:line="240" w:lineRule="auto"/>
      <w:ind w:left="284" w:hanging="284"/>
    </w:pPr>
    <w:rPr>
      <w:b/>
      <w:i/>
      <w:kern w:val="28"/>
      <w:sz w:val="24"/>
    </w:rPr>
  </w:style>
  <w:style w:type="paragraph" w:customStyle="1" w:styleId="notepara">
    <w:name w:val="note(para)"/>
    <w:aliases w:val="na"/>
    <w:basedOn w:val="OPCParaBase"/>
    <w:rsid w:val="00D141FC"/>
    <w:pPr>
      <w:spacing w:before="40" w:line="198" w:lineRule="exact"/>
      <w:ind w:left="2354" w:hanging="369"/>
    </w:pPr>
    <w:rPr>
      <w:sz w:val="18"/>
    </w:rPr>
  </w:style>
  <w:style w:type="paragraph" w:styleId="Footer">
    <w:name w:val="footer"/>
    <w:link w:val="FooterChar"/>
    <w:rsid w:val="00D141F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41FC"/>
    <w:rPr>
      <w:rFonts w:eastAsia="Times New Roman" w:cs="Times New Roman"/>
      <w:sz w:val="22"/>
      <w:szCs w:val="24"/>
      <w:lang w:eastAsia="en-AU"/>
    </w:rPr>
  </w:style>
  <w:style w:type="character" w:styleId="LineNumber">
    <w:name w:val="line number"/>
    <w:basedOn w:val="OPCCharBase"/>
    <w:uiPriority w:val="99"/>
    <w:unhideWhenUsed/>
    <w:rsid w:val="00D141FC"/>
    <w:rPr>
      <w:sz w:val="16"/>
    </w:rPr>
  </w:style>
  <w:style w:type="table" w:customStyle="1" w:styleId="CFlag">
    <w:name w:val="CFlag"/>
    <w:basedOn w:val="TableNormal"/>
    <w:uiPriority w:val="99"/>
    <w:rsid w:val="00D141FC"/>
    <w:rPr>
      <w:rFonts w:eastAsia="Times New Roman" w:cs="Times New Roman"/>
      <w:lang w:eastAsia="en-AU"/>
    </w:rPr>
    <w:tblPr/>
  </w:style>
  <w:style w:type="paragraph" w:styleId="BalloonText">
    <w:name w:val="Balloon Text"/>
    <w:basedOn w:val="Normal"/>
    <w:link w:val="BalloonTextChar"/>
    <w:uiPriority w:val="99"/>
    <w:unhideWhenUsed/>
    <w:rsid w:val="00D141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41FC"/>
    <w:rPr>
      <w:rFonts w:ascii="Tahoma" w:hAnsi="Tahoma" w:cs="Tahoma"/>
      <w:sz w:val="16"/>
      <w:szCs w:val="16"/>
    </w:rPr>
  </w:style>
  <w:style w:type="table" w:styleId="TableGrid">
    <w:name w:val="Table Grid"/>
    <w:basedOn w:val="TableNormal"/>
    <w:uiPriority w:val="59"/>
    <w:rsid w:val="00D14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141FC"/>
    <w:rPr>
      <w:b/>
      <w:sz w:val="28"/>
      <w:szCs w:val="32"/>
    </w:rPr>
  </w:style>
  <w:style w:type="paragraph" w:customStyle="1" w:styleId="LegislationMadeUnder">
    <w:name w:val="LegislationMadeUnder"/>
    <w:basedOn w:val="OPCParaBase"/>
    <w:next w:val="Normal"/>
    <w:rsid w:val="00D141FC"/>
    <w:rPr>
      <w:i/>
      <w:sz w:val="32"/>
      <w:szCs w:val="32"/>
    </w:rPr>
  </w:style>
  <w:style w:type="paragraph" w:customStyle="1" w:styleId="SignCoverPageEnd">
    <w:name w:val="SignCoverPageEnd"/>
    <w:basedOn w:val="OPCParaBase"/>
    <w:next w:val="Normal"/>
    <w:rsid w:val="00D141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41FC"/>
    <w:pPr>
      <w:pBdr>
        <w:top w:val="single" w:sz="4" w:space="1" w:color="auto"/>
      </w:pBdr>
      <w:spacing w:before="360"/>
      <w:ind w:right="397"/>
      <w:jc w:val="both"/>
    </w:pPr>
  </w:style>
  <w:style w:type="paragraph" w:customStyle="1" w:styleId="NotesHeading1">
    <w:name w:val="NotesHeading 1"/>
    <w:basedOn w:val="OPCParaBase"/>
    <w:next w:val="Normal"/>
    <w:rsid w:val="00D141FC"/>
    <w:rPr>
      <w:b/>
      <w:sz w:val="28"/>
      <w:szCs w:val="28"/>
    </w:rPr>
  </w:style>
  <w:style w:type="paragraph" w:customStyle="1" w:styleId="NotesHeading2">
    <w:name w:val="NotesHeading 2"/>
    <w:basedOn w:val="OPCParaBase"/>
    <w:next w:val="Normal"/>
    <w:rsid w:val="00D141FC"/>
    <w:rPr>
      <w:b/>
      <w:sz w:val="28"/>
      <w:szCs w:val="28"/>
    </w:rPr>
  </w:style>
  <w:style w:type="paragraph" w:customStyle="1" w:styleId="ENotesText">
    <w:name w:val="ENotesText"/>
    <w:aliases w:val="Ent"/>
    <w:basedOn w:val="OPCParaBase"/>
    <w:next w:val="Normal"/>
    <w:rsid w:val="00D141FC"/>
    <w:pPr>
      <w:spacing w:before="120"/>
    </w:pPr>
  </w:style>
  <w:style w:type="paragraph" w:customStyle="1" w:styleId="CompiledActNo">
    <w:name w:val="CompiledActNo"/>
    <w:basedOn w:val="OPCParaBase"/>
    <w:next w:val="Normal"/>
    <w:rsid w:val="00D141FC"/>
    <w:rPr>
      <w:b/>
      <w:sz w:val="24"/>
      <w:szCs w:val="24"/>
    </w:rPr>
  </w:style>
  <w:style w:type="paragraph" w:customStyle="1" w:styleId="CompiledMadeUnder">
    <w:name w:val="CompiledMadeUnder"/>
    <w:basedOn w:val="OPCParaBase"/>
    <w:next w:val="Normal"/>
    <w:rsid w:val="00D141FC"/>
    <w:rPr>
      <w:i/>
      <w:sz w:val="24"/>
      <w:szCs w:val="24"/>
    </w:rPr>
  </w:style>
  <w:style w:type="paragraph" w:customStyle="1" w:styleId="Paragraphsub-sub-sub">
    <w:name w:val="Paragraph(sub-sub-sub)"/>
    <w:aliases w:val="aaaa"/>
    <w:basedOn w:val="OPCParaBase"/>
    <w:rsid w:val="00D141F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41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41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41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41F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141FC"/>
    <w:pPr>
      <w:spacing w:before="60" w:line="240" w:lineRule="auto"/>
    </w:pPr>
    <w:rPr>
      <w:rFonts w:cs="Arial"/>
      <w:sz w:val="20"/>
      <w:szCs w:val="22"/>
    </w:rPr>
  </w:style>
  <w:style w:type="paragraph" w:customStyle="1" w:styleId="NoteToSubpara">
    <w:name w:val="NoteToSubpara"/>
    <w:aliases w:val="nts"/>
    <w:basedOn w:val="OPCParaBase"/>
    <w:rsid w:val="00D141FC"/>
    <w:pPr>
      <w:spacing w:before="40" w:line="198" w:lineRule="exact"/>
      <w:ind w:left="2835" w:hanging="709"/>
    </w:pPr>
    <w:rPr>
      <w:sz w:val="18"/>
    </w:rPr>
  </w:style>
  <w:style w:type="paragraph" w:customStyle="1" w:styleId="ENoteTableHeading">
    <w:name w:val="ENoteTableHeading"/>
    <w:aliases w:val="enth"/>
    <w:basedOn w:val="OPCParaBase"/>
    <w:rsid w:val="00D141FC"/>
    <w:pPr>
      <w:keepNext/>
      <w:spacing w:before="60" w:line="240" w:lineRule="atLeast"/>
    </w:pPr>
    <w:rPr>
      <w:rFonts w:ascii="Arial" w:hAnsi="Arial"/>
      <w:b/>
      <w:sz w:val="16"/>
    </w:rPr>
  </w:style>
  <w:style w:type="paragraph" w:customStyle="1" w:styleId="ENoteTTi">
    <w:name w:val="ENoteTTi"/>
    <w:aliases w:val="entti"/>
    <w:basedOn w:val="OPCParaBase"/>
    <w:rsid w:val="00D141FC"/>
    <w:pPr>
      <w:keepNext/>
      <w:spacing w:before="60" w:line="240" w:lineRule="atLeast"/>
      <w:ind w:left="170"/>
    </w:pPr>
    <w:rPr>
      <w:sz w:val="16"/>
    </w:rPr>
  </w:style>
  <w:style w:type="paragraph" w:customStyle="1" w:styleId="ENotesHeading1">
    <w:name w:val="ENotesHeading 1"/>
    <w:aliases w:val="Enh1"/>
    <w:basedOn w:val="OPCParaBase"/>
    <w:next w:val="Normal"/>
    <w:rsid w:val="00D141FC"/>
    <w:pPr>
      <w:spacing w:before="120"/>
      <w:outlineLvl w:val="1"/>
    </w:pPr>
    <w:rPr>
      <w:b/>
      <w:sz w:val="28"/>
      <w:szCs w:val="28"/>
    </w:rPr>
  </w:style>
  <w:style w:type="paragraph" w:customStyle="1" w:styleId="ENotesHeading2">
    <w:name w:val="ENotesHeading 2"/>
    <w:aliases w:val="Enh2"/>
    <w:basedOn w:val="OPCParaBase"/>
    <w:next w:val="Normal"/>
    <w:rsid w:val="00D141FC"/>
    <w:pPr>
      <w:spacing w:before="120" w:after="120"/>
      <w:outlineLvl w:val="2"/>
    </w:pPr>
    <w:rPr>
      <w:b/>
      <w:sz w:val="24"/>
      <w:szCs w:val="28"/>
    </w:rPr>
  </w:style>
  <w:style w:type="paragraph" w:customStyle="1" w:styleId="ENoteTTIndentHeading">
    <w:name w:val="ENoteTTIndentHeading"/>
    <w:aliases w:val="enTTHi"/>
    <w:basedOn w:val="OPCParaBase"/>
    <w:rsid w:val="00D141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41FC"/>
    <w:pPr>
      <w:spacing w:before="60" w:line="240" w:lineRule="atLeast"/>
    </w:pPr>
    <w:rPr>
      <w:sz w:val="16"/>
    </w:rPr>
  </w:style>
  <w:style w:type="paragraph" w:customStyle="1" w:styleId="MadeunderText">
    <w:name w:val="MadeunderText"/>
    <w:basedOn w:val="OPCParaBase"/>
    <w:next w:val="Normal"/>
    <w:rsid w:val="00D141FC"/>
    <w:pPr>
      <w:spacing w:before="240"/>
    </w:pPr>
    <w:rPr>
      <w:sz w:val="24"/>
      <w:szCs w:val="24"/>
    </w:rPr>
  </w:style>
  <w:style w:type="paragraph" w:customStyle="1" w:styleId="ENotesHeading3">
    <w:name w:val="ENotesHeading 3"/>
    <w:aliases w:val="Enh3"/>
    <w:basedOn w:val="OPCParaBase"/>
    <w:next w:val="Normal"/>
    <w:rsid w:val="00D141FC"/>
    <w:pPr>
      <w:keepNext/>
      <w:spacing w:before="120" w:line="240" w:lineRule="auto"/>
      <w:outlineLvl w:val="4"/>
    </w:pPr>
    <w:rPr>
      <w:b/>
      <w:szCs w:val="24"/>
    </w:rPr>
  </w:style>
  <w:style w:type="character" w:customStyle="1" w:styleId="CharSubPartTextCASA">
    <w:name w:val="CharSubPartText(CASA)"/>
    <w:basedOn w:val="OPCCharBase"/>
    <w:uiPriority w:val="1"/>
    <w:rsid w:val="00D141FC"/>
  </w:style>
  <w:style w:type="character" w:customStyle="1" w:styleId="CharSubPartNoCASA">
    <w:name w:val="CharSubPartNo(CASA)"/>
    <w:basedOn w:val="OPCCharBase"/>
    <w:uiPriority w:val="1"/>
    <w:rsid w:val="00D141FC"/>
  </w:style>
  <w:style w:type="paragraph" w:customStyle="1" w:styleId="ENoteTTIndentHeadingSub">
    <w:name w:val="ENoteTTIndentHeadingSub"/>
    <w:aliases w:val="enTTHis"/>
    <w:basedOn w:val="OPCParaBase"/>
    <w:rsid w:val="00D141FC"/>
    <w:pPr>
      <w:keepNext/>
      <w:spacing w:before="60" w:line="240" w:lineRule="atLeast"/>
      <w:ind w:left="340"/>
    </w:pPr>
    <w:rPr>
      <w:b/>
      <w:sz w:val="16"/>
    </w:rPr>
  </w:style>
  <w:style w:type="paragraph" w:customStyle="1" w:styleId="ENoteTTiSub">
    <w:name w:val="ENoteTTiSub"/>
    <w:aliases w:val="enttis"/>
    <w:basedOn w:val="OPCParaBase"/>
    <w:rsid w:val="00D141FC"/>
    <w:pPr>
      <w:keepNext/>
      <w:spacing w:before="60" w:line="240" w:lineRule="atLeast"/>
      <w:ind w:left="340"/>
    </w:pPr>
    <w:rPr>
      <w:sz w:val="16"/>
    </w:rPr>
  </w:style>
  <w:style w:type="paragraph" w:customStyle="1" w:styleId="SubDivisionMigration">
    <w:name w:val="SubDivisionMigration"/>
    <w:aliases w:val="sdm"/>
    <w:basedOn w:val="OPCParaBase"/>
    <w:rsid w:val="00D141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41F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141FC"/>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D141F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41FC"/>
    <w:rPr>
      <w:sz w:val="22"/>
    </w:rPr>
  </w:style>
  <w:style w:type="paragraph" w:customStyle="1" w:styleId="SOTextNote">
    <w:name w:val="SO TextNote"/>
    <w:aliases w:val="sont"/>
    <w:basedOn w:val="SOText"/>
    <w:qFormat/>
    <w:rsid w:val="00D141FC"/>
    <w:pPr>
      <w:spacing w:before="122" w:line="198" w:lineRule="exact"/>
      <w:ind w:left="1843" w:hanging="709"/>
    </w:pPr>
    <w:rPr>
      <w:sz w:val="18"/>
    </w:rPr>
  </w:style>
  <w:style w:type="paragraph" w:customStyle="1" w:styleId="SOPara">
    <w:name w:val="SO Para"/>
    <w:aliases w:val="soa"/>
    <w:basedOn w:val="SOText"/>
    <w:link w:val="SOParaChar"/>
    <w:qFormat/>
    <w:rsid w:val="00D141FC"/>
    <w:pPr>
      <w:tabs>
        <w:tab w:val="right" w:pos="1786"/>
      </w:tabs>
      <w:spacing w:before="40"/>
      <w:ind w:left="2070" w:hanging="936"/>
    </w:pPr>
  </w:style>
  <w:style w:type="character" w:customStyle="1" w:styleId="SOParaChar">
    <w:name w:val="SO Para Char"/>
    <w:aliases w:val="soa Char"/>
    <w:basedOn w:val="DefaultParagraphFont"/>
    <w:link w:val="SOPara"/>
    <w:rsid w:val="00D141FC"/>
    <w:rPr>
      <w:sz w:val="22"/>
    </w:rPr>
  </w:style>
  <w:style w:type="paragraph" w:customStyle="1" w:styleId="FileName">
    <w:name w:val="FileName"/>
    <w:basedOn w:val="Normal"/>
    <w:rsid w:val="00D141FC"/>
  </w:style>
  <w:style w:type="paragraph" w:customStyle="1" w:styleId="TableHeading">
    <w:name w:val="TableHeading"/>
    <w:aliases w:val="th"/>
    <w:basedOn w:val="OPCParaBase"/>
    <w:next w:val="Tabletext"/>
    <w:rsid w:val="00D141FC"/>
    <w:pPr>
      <w:keepNext/>
      <w:spacing w:before="60" w:line="240" w:lineRule="atLeast"/>
    </w:pPr>
    <w:rPr>
      <w:b/>
      <w:sz w:val="20"/>
    </w:rPr>
  </w:style>
  <w:style w:type="paragraph" w:customStyle="1" w:styleId="SOHeadBold">
    <w:name w:val="SO HeadBold"/>
    <w:aliases w:val="sohb"/>
    <w:basedOn w:val="SOText"/>
    <w:next w:val="SOText"/>
    <w:link w:val="SOHeadBoldChar"/>
    <w:qFormat/>
    <w:rsid w:val="00D141FC"/>
    <w:rPr>
      <w:b/>
    </w:rPr>
  </w:style>
  <w:style w:type="character" w:customStyle="1" w:styleId="SOHeadBoldChar">
    <w:name w:val="SO HeadBold Char"/>
    <w:aliases w:val="sohb Char"/>
    <w:basedOn w:val="DefaultParagraphFont"/>
    <w:link w:val="SOHeadBold"/>
    <w:rsid w:val="00D141FC"/>
    <w:rPr>
      <w:b/>
      <w:sz w:val="22"/>
    </w:rPr>
  </w:style>
  <w:style w:type="paragraph" w:customStyle="1" w:styleId="SOHeadItalic">
    <w:name w:val="SO HeadItalic"/>
    <w:aliases w:val="sohi"/>
    <w:basedOn w:val="SOText"/>
    <w:next w:val="SOText"/>
    <w:link w:val="SOHeadItalicChar"/>
    <w:qFormat/>
    <w:rsid w:val="00D141FC"/>
    <w:rPr>
      <w:i/>
    </w:rPr>
  </w:style>
  <w:style w:type="character" w:customStyle="1" w:styleId="SOHeadItalicChar">
    <w:name w:val="SO HeadItalic Char"/>
    <w:aliases w:val="sohi Char"/>
    <w:basedOn w:val="DefaultParagraphFont"/>
    <w:link w:val="SOHeadItalic"/>
    <w:rsid w:val="00D141FC"/>
    <w:rPr>
      <w:i/>
      <w:sz w:val="22"/>
    </w:rPr>
  </w:style>
  <w:style w:type="paragraph" w:customStyle="1" w:styleId="SOBullet">
    <w:name w:val="SO Bullet"/>
    <w:aliases w:val="sotb"/>
    <w:basedOn w:val="SOText"/>
    <w:link w:val="SOBulletChar"/>
    <w:qFormat/>
    <w:rsid w:val="00D141FC"/>
    <w:pPr>
      <w:ind w:left="1559" w:hanging="425"/>
    </w:pPr>
  </w:style>
  <w:style w:type="character" w:customStyle="1" w:styleId="SOBulletChar">
    <w:name w:val="SO Bullet Char"/>
    <w:aliases w:val="sotb Char"/>
    <w:basedOn w:val="DefaultParagraphFont"/>
    <w:link w:val="SOBullet"/>
    <w:rsid w:val="00D141FC"/>
    <w:rPr>
      <w:sz w:val="22"/>
    </w:rPr>
  </w:style>
  <w:style w:type="paragraph" w:customStyle="1" w:styleId="SOBulletNote">
    <w:name w:val="SO BulletNote"/>
    <w:aliases w:val="sonb"/>
    <w:basedOn w:val="SOTextNote"/>
    <w:link w:val="SOBulletNoteChar"/>
    <w:qFormat/>
    <w:rsid w:val="00D141FC"/>
    <w:pPr>
      <w:tabs>
        <w:tab w:val="left" w:pos="1560"/>
      </w:tabs>
      <w:ind w:left="2268" w:hanging="1134"/>
    </w:pPr>
  </w:style>
  <w:style w:type="character" w:customStyle="1" w:styleId="SOBulletNoteChar">
    <w:name w:val="SO BulletNote Char"/>
    <w:aliases w:val="sonb Char"/>
    <w:basedOn w:val="DefaultParagraphFont"/>
    <w:link w:val="SOBulletNote"/>
    <w:rsid w:val="00D141FC"/>
    <w:rPr>
      <w:sz w:val="18"/>
    </w:rPr>
  </w:style>
  <w:style w:type="paragraph" w:customStyle="1" w:styleId="SOText2">
    <w:name w:val="SO Text2"/>
    <w:aliases w:val="sot2"/>
    <w:basedOn w:val="Normal"/>
    <w:next w:val="SOText"/>
    <w:link w:val="SOText2Char"/>
    <w:rsid w:val="00D141F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41FC"/>
    <w:rPr>
      <w:sz w:val="22"/>
    </w:rPr>
  </w:style>
  <w:style w:type="paragraph" w:customStyle="1" w:styleId="SubPartCASA">
    <w:name w:val="SubPart(CASA)"/>
    <w:aliases w:val="csp"/>
    <w:basedOn w:val="OPCParaBase"/>
    <w:next w:val="ActHead3"/>
    <w:rsid w:val="00D141FC"/>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141FC"/>
    <w:rPr>
      <w:rFonts w:eastAsia="Times New Roman" w:cs="Times New Roman"/>
      <w:sz w:val="22"/>
      <w:lang w:eastAsia="en-AU"/>
    </w:rPr>
  </w:style>
  <w:style w:type="character" w:customStyle="1" w:styleId="notetextChar">
    <w:name w:val="note(text) Char"/>
    <w:aliases w:val="n Char"/>
    <w:basedOn w:val="DefaultParagraphFont"/>
    <w:link w:val="notetext"/>
    <w:rsid w:val="00D141FC"/>
    <w:rPr>
      <w:rFonts w:eastAsia="Times New Roman" w:cs="Times New Roman"/>
      <w:sz w:val="18"/>
      <w:lang w:eastAsia="en-AU"/>
    </w:rPr>
  </w:style>
  <w:style w:type="character" w:customStyle="1" w:styleId="Heading1Char">
    <w:name w:val="Heading 1 Char"/>
    <w:basedOn w:val="DefaultParagraphFont"/>
    <w:link w:val="Heading1"/>
    <w:uiPriority w:val="9"/>
    <w:rsid w:val="00D141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41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41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141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141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141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141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141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141F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141FC"/>
  </w:style>
  <w:style w:type="character" w:customStyle="1" w:styleId="charlegsubtitle1">
    <w:name w:val="charlegsubtitle1"/>
    <w:basedOn w:val="DefaultParagraphFont"/>
    <w:rsid w:val="00D141FC"/>
    <w:rPr>
      <w:rFonts w:ascii="Arial" w:hAnsi="Arial" w:cs="Arial" w:hint="default"/>
      <w:b/>
      <w:bCs/>
      <w:sz w:val="28"/>
      <w:szCs w:val="28"/>
    </w:rPr>
  </w:style>
  <w:style w:type="paragraph" w:styleId="Index1">
    <w:name w:val="index 1"/>
    <w:basedOn w:val="Normal"/>
    <w:next w:val="Normal"/>
    <w:autoRedefine/>
    <w:rsid w:val="00D141FC"/>
    <w:pPr>
      <w:ind w:left="240" w:hanging="240"/>
    </w:pPr>
  </w:style>
  <w:style w:type="paragraph" w:styleId="Index2">
    <w:name w:val="index 2"/>
    <w:basedOn w:val="Normal"/>
    <w:next w:val="Normal"/>
    <w:autoRedefine/>
    <w:rsid w:val="00D141FC"/>
    <w:pPr>
      <w:ind w:left="480" w:hanging="240"/>
    </w:pPr>
  </w:style>
  <w:style w:type="paragraph" w:styleId="Index3">
    <w:name w:val="index 3"/>
    <w:basedOn w:val="Normal"/>
    <w:next w:val="Normal"/>
    <w:autoRedefine/>
    <w:rsid w:val="00D141FC"/>
    <w:pPr>
      <w:ind w:left="720" w:hanging="240"/>
    </w:pPr>
  </w:style>
  <w:style w:type="paragraph" w:styleId="Index4">
    <w:name w:val="index 4"/>
    <w:basedOn w:val="Normal"/>
    <w:next w:val="Normal"/>
    <w:autoRedefine/>
    <w:rsid w:val="00D141FC"/>
    <w:pPr>
      <w:ind w:left="960" w:hanging="240"/>
    </w:pPr>
  </w:style>
  <w:style w:type="paragraph" w:styleId="Index5">
    <w:name w:val="index 5"/>
    <w:basedOn w:val="Normal"/>
    <w:next w:val="Normal"/>
    <w:autoRedefine/>
    <w:rsid w:val="00D141FC"/>
    <w:pPr>
      <w:ind w:left="1200" w:hanging="240"/>
    </w:pPr>
  </w:style>
  <w:style w:type="paragraph" w:styleId="Index6">
    <w:name w:val="index 6"/>
    <w:basedOn w:val="Normal"/>
    <w:next w:val="Normal"/>
    <w:autoRedefine/>
    <w:rsid w:val="00D141FC"/>
    <w:pPr>
      <w:ind w:left="1440" w:hanging="240"/>
    </w:pPr>
  </w:style>
  <w:style w:type="paragraph" w:styleId="Index7">
    <w:name w:val="index 7"/>
    <w:basedOn w:val="Normal"/>
    <w:next w:val="Normal"/>
    <w:autoRedefine/>
    <w:rsid w:val="00D141FC"/>
    <w:pPr>
      <w:ind w:left="1680" w:hanging="240"/>
    </w:pPr>
  </w:style>
  <w:style w:type="paragraph" w:styleId="Index8">
    <w:name w:val="index 8"/>
    <w:basedOn w:val="Normal"/>
    <w:next w:val="Normal"/>
    <w:autoRedefine/>
    <w:rsid w:val="00D141FC"/>
    <w:pPr>
      <w:ind w:left="1920" w:hanging="240"/>
    </w:pPr>
  </w:style>
  <w:style w:type="paragraph" w:styleId="Index9">
    <w:name w:val="index 9"/>
    <w:basedOn w:val="Normal"/>
    <w:next w:val="Normal"/>
    <w:autoRedefine/>
    <w:rsid w:val="00D141FC"/>
    <w:pPr>
      <w:ind w:left="2160" w:hanging="240"/>
    </w:pPr>
  </w:style>
  <w:style w:type="paragraph" w:styleId="NormalIndent">
    <w:name w:val="Normal Indent"/>
    <w:basedOn w:val="Normal"/>
    <w:rsid w:val="00D141FC"/>
    <w:pPr>
      <w:ind w:left="720"/>
    </w:pPr>
  </w:style>
  <w:style w:type="paragraph" w:styleId="FootnoteText">
    <w:name w:val="footnote text"/>
    <w:basedOn w:val="Normal"/>
    <w:link w:val="FootnoteTextChar"/>
    <w:rsid w:val="00D141FC"/>
    <w:rPr>
      <w:sz w:val="20"/>
    </w:rPr>
  </w:style>
  <w:style w:type="character" w:customStyle="1" w:styleId="FootnoteTextChar">
    <w:name w:val="Footnote Text Char"/>
    <w:basedOn w:val="DefaultParagraphFont"/>
    <w:link w:val="FootnoteText"/>
    <w:rsid w:val="00D141FC"/>
  </w:style>
  <w:style w:type="paragraph" w:styleId="CommentText">
    <w:name w:val="annotation text"/>
    <w:basedOn w:val="Normal"/>
    <w:link w:val="CommentTextChar"/>
    <w:rsid w:val="00D141FC"/>
    <w:rPr>
      <w:sz w:val="20"/>
    </w:rPr>
  </w:style>
  <w:style w:type="character" w:customStyle="1" w:styleId="CommentTextChar">
    <w:name w:val="Comment Text Char"/>
    <w:basedOn w:val="DefaultParagraphFont"/>
    <w:link w:val="CommentText"/>
    <w:rsid w:val="00D141FC"/>
  </w:style>
  <w:style w:type="paragraph" w:styleId="IndexHeading">
    <w:name w:val="index heading"/>
    <w:basedOn w:val="Normal"/>
    <w:next w:val="Index1"/>
    <w:rsid w:val="00D141FC"/>
    <w:rPr>
      <w:rFonts w:ascii="Arial" w:hAnsi="Arial" w:cs="Arial"/>
      <w:b/>
      <w:bCs/>
    </w:rPr>
  </w:style>
  <w:style w:type="paragraph" w:styleId="Caption">
    <w:name w:val="caption"/>
    <w:basedOn w:val="Normal"/>
    <w:next w:val="Normal"/>
    <w:qFormat/>
    <w:rsid w:val="00D141FC"/>
    <w:pPr>
      <w:spacing w:before="120" w:after="120"/>
    </w:pPr>
    <w:rPr>
      <w:b/>
      <w:bCs/>
      <w:sz w:val="20"/>
    </w:rPr>
  </w:style>
  <w:style w:type="paragraph" w:styleId="TableofFigures">
    <w:name w:val="table of figures"/>
    <w:basedOn w:val="Normal"/>
    <w:next w:val="Normal"/>
    <w:rsid w:val="00D141FC"/>
    <w:pPr>
      <w:ind w:left="480" w:hanging="480"/>
    </w:pPr>
  </w:style>
  <w:style w:type="paragraph" w:styleId="EnvelopeAddress">
    <w:name w:val="envelope address"/>
    <w:basedOn w:val="Normal"/>
    <w:rsid w:val="00D141F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141FC"/>
    <w:rPr>
      <w:rFonts w:ascii="Arial" w:hAnsi="Arial" w:cs="Arial"/>
      <w:sz w:val="20"/>
    </w:rPr>
  </w:style>
  <w:style w:type="character" w:styleId="FootnoteReference">
    <w:name w:val="footnote reference"/>
    <w:basedOn w:val="DefaultParagraphFont"/>
    <w:rsid w:val="00D141FC"/>
    <w:rPr>
      <w:rFonts w:ascii="Times New Roman" w:hAnsi="Times New Roman"/>
      <w:sz w:val="20"/>
      <w:vertAlign w:val="superscript"/>
    </w:rPr>
  </w:style>
  <w:style w:type="character" w:styleId="CommentReference">
    <w:name w:val="annotation reference"/>
    <w:basedOn w:val="DefaultParagraphFont"/>
    <w:rsid w:val="00D141FC"/>
    <w:rPr>
      <w:sz w:val="16"/>
      <w:szCs w:val="16"/>
    </w:rPr>
  </w:style>
  <w:style w:type="character" w:styleId="PageNumber">
    <w:name w:val="page number"/>
    <w:basedOn w:val="DefaultParagraphFont"/>
    <w:rsid w:val="00D141FC"/>
  </w:style>
  <w:style w:type="character" w:styleId="EndnoteReference">
    <w:name w:val="endnote reference"/>
    <w:basedOn w:val="DefaultParagraphFont"/>
    <w:rsid w:val="00D141FC"/>
    <w:rPr>
      <w:vertAlign w:val="superscript"/>
    </w:rPr>
  </w:style>
  <w:style w:type="paragraph" w:styleId="EndnoteText">
    <w:name w:val="endnote text"/>
    <w:basedOn w:val="Normal"/>
    <w:link w:val="EndnoteTextChar"/>
    <w:rsid w:val="00D141FC"/>
    <w:rPr>
      <w:sz w:val="20"/>
    </w:rPr>
  </w:style>
  <w:style w:type="character" w:customStyle="1" w:styleId="EndnoteTextChar">
    <w:name w:val="Endnote Text Char"/>
    <w:basedOn w:val="DefaultParagraphFont"/>
    <w:link w:val="EndnoteText"/>
    <w:rsid w:val="00D141FC"/>
  </w:style>
  <w:style w:type="paragraph" w:styleId="TableofAuthorities">
    <w:name w:val="table of authorities"/>
    <w:basedOn w:val="Normal"/>
    <w:next w:val="Normal"/>
    <w:rsid w:val="00D141FC"/>
    <w:pPr>
      <w:ind w:left="240" w:hanging="240"/>
    </w:pPr>
  </w:style>
  <w:style w:type="paragraph" w:styleId="MacroText">
    <w:name w:val="macro"/>
    <w:link w:val="MacroTextChar"/>
    <w:rsid w:val="00D141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141FC"/>
    <w:rPr>
      <w:rFonts w:ascii="Courier New" w:eastAsia="Times New Roman" w:hAnsi="Courier New" w:cs="Courier New"/>
      <w:lang w:eastAsia="en-AU"/>
    </w:rPr>
  </w:style>
  <w:style w:type="paragraph" w:styleId="TOAHeading">
    <w:name w:val="toa heading"/>
    <w:basedOn w:val="Normal"/>
    <w:next w:val="Normal"/>
    <w:rsid w:val="00D141FC"/>
    <w:pPr>
      <w:spacing w:before="120"/>
    </w:pPr>
    <w:rPr>
      <w:rFonts w:ascii="Arial" w:hAnsi="Arial" w:cs="Arial"/>
      <w:b/>
      <w:bCs/>
    </w:rPr>
  </w:style>
  <w:style w:type="paragraph" w:styleId="List">
    <w:name w:val="List"/>
    <w:basedOn w:val="Normal"/>
    <w:rsid w:val="00D141FC"/>
    <w:pPr>
      <w:ind w:left="283" w:hanging="283"/>
    </w:pPr>
  </w:style>
  <w:style w:type="paragraph" w:styleId="ListBullet">
    <w:name w:val="List Bullet"/>
    <w:basedOn w:val="Normal"/>
    <w:autoRedefine/>
    <w:rsid w:val="00D141FC"/>
    <w:pPr>
      <w:tabs>
        <w:tab w:val="num" w:pos="360"/>
      </w:tabs>
      <w:ind w:left="360" w:hanging="360"/>
    </w:pPr>
  </w:style>
  <w:style w:type="paragraph" w:styleId="ListNumber">
    <w:name w:val="List Number"/>
    <w:basedOn w:val="Normal"/>
    <w:rsid w:val="00D141FC"/>
    <w:pPr>
      <w:tabs>
        <w:tab w:val="num" w:pos="360"/>
      </w:tabs>
      <w:ind w:left="360" w:hanging="360"/>
    </w:pPr>
  </w:style>
  <w:style w:type="paragraph" w:styleId="List2">
    <w:name w:val="List 2"/>
    <w:basedOn w:val="Normal"/>
    <w:rsid w:val="00D141FC"/>
    <w:pPr>
      <w:ind w:left="566" w:hanging="283"/>
    </w:pPr>
  </w:style>
  <w:style w:type="paragraph" w:styleId="List3">
    <w:name w:val="List 3"/>
    <w:basedOn w:val="Normal"/>
    <w:rsid w:val="00D141FC"/>
    <w:pPr>
      <w:ind w:left="849" w:hanging="283"/>
    </w:pPr>
  </w:style>
  <w:style w:type="paragraph" w:styleId="List4">
    <w:name w:val="List 4"/>
    <w:basedOn w:val="Normal"/>
    <w:rsid w:val="00D141FC"/>
    <w:pPr>
      <w:ind w:left="1132" w:hanging="283"/>
    </w:pPr>
  </w:style>
  <w:style w:type="paragraph" w:styleId="List5">
    <w:name w:val="List 5"/>
    <w:basedOn w:val="Normal"/>
    <w:rsid w:val="00D141FC"/>
    <w:pPr>
      <w:ind w:left="1415" w:hanging="283"/>
    </w:pPr>
  </w:style>
  <w:style w:type="paragraph" w:styleId="ListBullet2">
    <w:name w:val="List Bullet 2"/>
    <w:basedOn w:val="Normal"/>
    <w:autoRedefine/>
    <w:rsid w:val="00D141FC"/>
    <w:pPr>
      <w:tabs>
        <w:tab w:val="num" w:pos="360"/>
      </w:tabs>
    </w:pPr>
  </w:style>
  <w:style w:type="paragraph" w:styleId="ListBullet3">
    <w:name w:val="List Bullet 3"/>
    <w:basedOn w:val="Normal"/>
    <w:autoRedefine/>
    <w:rsid w:val="00D141FC"/>
    <w:pPr>
      <w:tabs>
        <w:tab w:val="num" w:pos="926"/>
      </w:tabs>
      <w:ind w:left="926" w:hanging="360"/>
    </w:pPr>
  </w:style>
  <w:style w:type="paragraph" w:styleId="ListBullet4">
    <w:name w:val="List Bullet 4"/>
    <w:basedOn w:val="Normal"/>
    <w:autoRedefine/>
    <w:rsid w:val="00D141FC"/>
    <w:pPr>
      <w:tabs>
        <w:tab w:val="num" w:pos="1209"/>
      </w:tabs>
      <w:ind w:left="1209" w:hanging="360"/>
    </w:pPr>
  </w:style>
  <w:style w:type="paragraph" w:styleId="ListBullet5">
    <w:name w:val="List Bullet 5"/>
    <w:basedOn w:val="Normal"/>
    <w:autoRedefine/>
    <w:rsid w:val="00D141FC"/>
    <w:pPr>
      <w:tabs>
        <w:tab w:val="num" w:pos="1492"/>
      </w:tabs>
      <w:ind w:left="1492" w:hanging="360"/>
    </w:pPr>
  </w:style>
  <w:style w:type="paragraph" w:styleId="ListNumber2">
    <w:name w:val="List Number 2"/>
    <w:basedOn w:val="Normal"/>
    <w:rsid w:val="00D141FC"/>
    <w:pPr>
      <w:tabs>
        <w:tab w:val="num" w:pos="643"/>
      </w:tabs>
      <w:ind w:left="643" w:hanging="360"/>
    </w:pPr>
  </w:style>
  <w:style w:type="paragraph" w:styleId="ListNumber3">
    <w:name w:val="List Number 3"/>
    <w:basedOn w:val="Normal"/>
    <w:rsid w:val="00D141FC"/>
    <w:pPr>
      <w:tabs>
        <w:tab w:val="num" w:pos="926"/>
      </w:tabs>
      <w:ind w:left="926" w:hanging="360"/>
    </w:pPr>
  </w:style>
  <w:style w:type="paragraph" w:styleId="ListNumber4">
    <w:name w:val="List Number 4"/>
    <w:basedOn w:val="Normal"/>
    <w:rsid w:val="00D141FC"/>
    <w:pPr>
      <w:tabs>
        <w:tab w:val="num" w:pos="1209"/>
      </w:tabs>
      <w:ind w:left="1209" w:hanging="360"/>
    </w:pPr>
  </w:style>
  <w:style w:type="paragraph" w:styleId="ListNumber5">
    <w:name w:val="List Number 5"/>
    <w:basedOn w:val="Normal"/>
    <w:rsid w:val="00D141FC"/>
    <w:pPr>
      <w:tabs>
        <w:tab w:val="num" w:pos="1492"/>
      </w:tabs>
      <w:ind w:left="1492" w:hanging="360"/>
    </w:pPr>
  </w:style>
  <w:style w:type="paragraph" w:styleId="Title">
    <w:name w:val="Title"/>
    <w:basedOn w:val="Normal"/>
    <w:link w:val="TitleChar"/>
    <w:qFormat/>
    <w:rsid w:val="00D141FC"/>
    <w:pPr>
      <w:spacing w:before="240" w:after="60"/>
    </w:pPr>
    <w:rPr>
      <w:rFonts w:ascii="Arial" w:hAnsi="Arial" w:cs="Arial"/>
      <w:b/>
      <w:bCs/>
      <w:sz w:val="40"/>
      <w:szCs w:val="40"/>
    </w:rPr>
  </w:style>
  <w:style w:type="character" w:customStyle="1" w:styleId="TitleChar">
    <w:name w:val="Title Char"/>
    <w:basedOn w:val="DefaultParagraphFont"/>
    <w:link w:val="Title"/>
    <w:rsid w:val="00D141FC"/>
    <w:rPr>
      <w:rFonts w:ascii="Arial" w:hAnsi="Arial" w:cs="Arial"/>
      <w:b/>
      <w:bCs/>
      <w:sz w:val="40"/>
      <w:szCs w:val="40"/>
    </w:rPr>
  </w:style>
  <w:style w:type="paragraph" w:styleId="Closing">
    <w:name w:val="Closing"/>
    <w:basedOn w:val="Normal"/>
    <w:link w:val="ClosingChar"/>
    <w:rsid w:val="00D141FC"/>
    <w:pPr>
      <w:ind w:left="4252"/>
    </w:pPr>
  </w:style>
  <w:style w:type="character" w:customStyle="1" w:styleId="ClosingChar">
    <w:name w:val="Closing Char"/>
    <w:basedOn w:val="DefaultParagraphFont"/>
    <w:link w:val="Closing"/>
    <w:rsid w:val="00D141FC"/>
    <w:rPr>
      <w:sz w:val="22"/>
    </w:rPr>
  </w:style>
  <w:style w:type="paragraph" w:styleId="Signature">
    <w:name w:val="Signature"/>
    <w:basedOn w:val="Normal"/>
    <w:link w:val="SignatureChar"/>
    <w:rsid w:val="00D141FC"/>
    <w:pPr>
      <w:ind w:left="4252"/>
    </w:pPr>
  </w:style>
  <w:style w:type="character" w:customStyle="1" w:styleId="SignatureChar">
    <w:name w:val="Signature Char"/>
    <w:basedOn w:val="DefaultParagraphFont"/>
    <w:link w:val="Signature"/>
    <w:rsid w:val="00D141FC"/>
    <w:rPr>
      <w:sz w:val="22"/>
    </w:rPr>
  </w:style>
  <w:style w:type="paragraph" w:styleId="BodyText">
    <w:name w:val="Body Text"/>
    <w:basedOn w:val="Normal"/>
    <w:link w:val="BodyTextChar"/>
    <w:rsid w:val="00D141FC"/>
    <w:pPr>
      <w:spacing w:after="120"/>
    </w:pPr>
  </w:style>
  <w:style w:type="character" w:customStyle="1" w:styleId="BodyTextChar">
    <w:name w:val="Body Text Char"/>
    <w:basedOn w:val="DefaultParagraphFont"/>
    <w:link w:val="BodyText"/>
    <w:rsid w:val="00D141FC"/>
    <w:rPr>
      <w:sz w:val="22"/>
    </w:rPr>
  </w:style>
  <w:style w:type="paragraph" w:styleId="BodyTextIndent">
    <w:name w:val="Body Text Indent"/>
    <w:basedOn w:val="Normal"/>
    <w:link w:val="BodyTextIndentChar"/>
    <w:rsid w:val="00D141FC"/>
    <w:pPr>
      <w:spacing w:after="120"/>
      <w:ind w:left="283"/>
    </w:pPr>
  </w:style>
  <w:style w:type="character" w:customStyle="1" w:styleId="BodyTextIndentChar">
    <w:name w:val="Body Text Indent Char"/>
    <w:basedOn w:val="DefaultParagraphFont"/>
    <w:link w:val="BodyTextIndent"/>
    <w:rsid w:val="00D141FC"/>
    <w:rPr>
      <w:sz w:val="22"/>
    </w:rPr>
  </w:style>
  <w:style w:type="paragraph" w:styleId="ListContinue">
    <w:name w:val="List Continue"/>
    <w:basedOn w:val="Normal"/>
    <w:rsid w:val="00D141FC"/>
    <w:pPr>
      <w:spacing w:after="120"/>
      <w:ind w:left="283"/>
    </w:pPr>
  </w:style>
  <w:style w:type="paragraph" w:styleId="ListContinue2">
    <w:name w:val="List Continue 2"/>
    <w:basedOn w:val="Normal"/>
    <w:rsid w:val="00D141FC"/>
    <w:pPr>
      <w:spacing w:after="120"/>
      <w:ind w:left="566"/>
    </w:pPr>
  </w:style>
  <w:style w:type="paragraph" w:styleId="ListContinue3">
    <w:name w:val="List Continue 3"/>
    <w:basedOn w:val="Normal"/>
    <w:rsid w:val="00D141FC"/>
    <w:pPr>
      <w:spacing w:after="120"/>
      <w:ind w:left="849"/>
    </w:pPr>
  </w:style>
  <w:style w:type="paragraph" w:styleId="ListContinue4">
    <w:name w:val="List Continue 4"/>
    <w:basedOn w:val="Normal"/>
    <w:rsid w:val="00D141FC"/>
    <w:pPr>
      <w:spacing w:after="120"/>
      <w:ind w:left="1132"/>
    </w:pPr>
  </w:style>
  <w:style w:type="paragraph" w:styleId="ListContinue5">
    <w:name w:val="List Continue 5"/>
    <w:basedOn w:val="Normal"/>
    <w:rsid w:val="00D141FC"/>
    <w:pPr>
      <w:spacing w:after="120"/>
      <w:ind w:left="1415"/>
    </w:pPr>
  </w:style>
  <w:style w:type="paragraph" w:styleId="MessageHeader">
    <w:name w:val="Message Header"/>
    <w:basedOn w:val="Normal"/>
    <w:link w:val="MessageHeaderChar"/>
    <w:rsid w:val="00D141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141FC"/>
    <w:rPr>
      <w:rFonts w:ascii="Arial" w:hAnsi="Arial" w:cs="Arial"/>
      <w:sz w:val="22"/>
      <w:shd w:val="pct20" w:color="auto" w:fill="auto"/>
    </w:rPr>
  </w:style>
  <w:style w:type="paragraph" w:styleId="Subtitle">
    <w:name w:val="Subtitle"/>
    <w:basedOn w:val="Normal"/>
    <w:link w:val="SubtitleChar"/>
    <w:qFormat/>
    <w:rsid w:val="00D141FC"/>
    <w:pPr>
      <w:spacing w:after="60"/>
      <w:jc w:val="center"/>
      <w:outlineLvl w:val="1"/>
    </w:pPr>
    <w:rPr>
      <w:rFonts w:ascii="Arial" w:hAnsi="Arial" w:cs="Arial"/>
    </w:rPr>
  </w:style>
  <w:style w:type="character" w:customStyle="1" w:styleId="SubtitleChar">
    <w:name w:val="Subtitle Char"/>
    <w:basedOn w:val="DefaultParagraphFont"/>
    <w:link w:val="Subtitle"/>
    <w:rsid w:val="00D141FC"/>
    <w:rPr>
      <w:rFonts w:ascii="Arial" w:hAnsi="Arial" w:cs="Arial"/>
      <w:sz w:val="22"/>
    </w:rPr>
  </w:style>
  <w:style w:type="paragraph" w:styleId="Salutation">
    <w:name w:val="Salutation"/>
    <w:basedOn w:val="Normal"/>
    <w:next w:val="Normal"/>
    <w:link w:val="SalutationChar"/>
    <w:rsid w:val="00D141FC"/>
  </w:style>
  <w:style w:type="character" w:customStyle="1" w:styleId="SalutationChar">
    <w:name w:val="Salutation Char"/>
    <w:basedOn w:val="DefaultParagraphFont"/>
    <w:link w:val="Salutation"/>
    <w:rsid w:val="00D141FC"/>
    <w:rPr>
      <w:sz w:val="22"/>
    </w:rPr>
  </w:style>
  <w:style w:type="paragraph" w:styleId="Date">
    <w:name w:val="Date"/>
    <w:basedOn w:val="Normal"/>
    <w:next w:val="Normal"/>
    <w:link w:val="DateChar"/>
    <w:rsid w:val="00D141FC"/>
  </w:style>
  <w:style w:type="character" w:customStyle="1" w:styleId="DateChar">
    <w:name w:val="Date Char"/>
    <w:basedOn w:val="DefaultParagraphFont"/>
    <w:link w:val="Date"/>
    <w:rsid w:val="00D141FC"/>
    <w:rPr>
      <w:sz w:val="22"/>
    </w:rPr>
  </w:style>
  <w:style w:type="paragraph" w:styleId="BodyTextFirstIndent">
    <w:name w:val="Body Text First Indent"/>
    <w:basedOn w:val="BodyText"/>
    <w:link w:val="BodyTextFirstIndentChar"/>
    <w:rsid w:val="00D141FC"/>
    <w:pPr>
      <w:ind w:firstLine="210"/>
    </w:pPr>
  </w:style>
  <w:style w:type="character" w:customStyle="1" w:styleId="BodyTextFirstIndentChar">
    <w:name w:val="Body Text First Indent Char"/>
    <w:basedOn w:val="BodyTextChar"/>
    <w:link w:val="BodyTextFirstIndent"/>
    <w:rsid w:val="00D141FC"/>
    <w:rPr>
      <w:sz w:val="22"/>
    </w:rPr>
  </w:style>
  <w:style w:type="paragraph" w:styleId="BodyTextFirstIndent2">
    <w:name w:val="Body Text First Indent 2"/>
    <w:basedOn w:val="BodyTextIndent"/>
    <w:link w:val="BodyTextFirstIndent2Char"/>
    <w:rsid w:val="00D141FC"/>
    <w:pPr>
      <w:ind w:firstLine="210"/>
    </w:pPr>
  </w:style>
  <w:style w:type="character" w:customStyle="1" w:styleId="BodyTextFirstIndent2Char">
    <w:name w:val="Body Text First Indent 2 Char"/>
    <w:basedOn w:val="BodyTextIndentChar"/>
    <w:link w:val="BodyTextFirstIndent2"/>
    <w:rsid w:val="00D141FC"/>
    <w:rPr>
      <w:sz w:val="22"/>
    </w:rPr>
  </w:style>
  <w:style w:type="paragraph" w:styleId="BodyText2">
    <w:name w:val="Body Text 2"/>
    <w:basedOn w:val="Normal"/>
    <w:link w:val="BodyText2Char"/>
    <w:rsid w:val="00D141FC"/>
    <w:pPr>
      <w:spacing w:after="120" w:line="480" w:lineRule="auto"/>
    </w:pPr>
  </w:style>
  <w:style w:type="character" w:customStyle="1" w:styleId="BodyText2Char">
    <w:name w:val="Body Text 2 Char"/>
    <w:basedOn w:val="DefaultParagraphFont"/>
    <w:link w:val="BodyText2"/>
    <w:rsid w:val="00D141FC"/>
    <w:rPr>
      <w:sz w:val="22"/>
    </w:rPr>
  </w:style>
  <w:style w:type="paragraph" w:styleId="BodyText3">
    <w:name w:val="Body Text 3"/>
    <w:basedOn w:val="Normal"/>
    <w:link w:val="BodyText3Char"/>
    <w:rsid w:val="00D141FC"/>
    <w:pPr>
      <w:spacing w:after="120"/>
    </w:pPr>
    <w:rPr>
      <w:sz w:val="16"/>
      <w:szCs w:val="16"/>
    </w:rPr>
  </w:style>
  <w:style w:type="character" w:customStyle="1" w:styleId="BodyText3Char">
    <w:name w:val="Body Text 3 Char"/>
    <w:basedOn w:val="DefaultParagraphFont"/>
    <w:link w:val="BodyText3"/>
    <w:rsid w:val="00D141FC"/>
    <w:rPr>
      <w:sz w:val="16"/>
      <w:szCs w:val="16"/>
    </w:rPr>
  </w:style>
  <w:style w:type="paragraph" w:styleId="BodyTextIndent2">
    <w:name w:val="Body Text Indent 2"/>
    <w:basedOn w:val="Normal"/>
    <w:link w:val="BodyTextIndent2Char"/>
    <w:rsid w:val="00D141FC"/>
    <w:pPr>
      <w:spacing w:after="120" w:line="480" w:lineRule="auto"/>
      <w:ind w:left="283"/>
    </w:pPr>
  </w:style>
  <w:style w:type="character" w:customStyle="1" w:styleId="BodyTextIndent2Char">
    <w:name w:val="Body Text Indent 2 Char"/>
    <w:basedOn w:val="DefaultParagraphFont"/>
    <w:link w:val="BodyTextIndent2"/>
    <w:rsid w:val="00D141FC"/>
    <w:rPr>
      <w:sz w:val="22"/>
    </w:rPr>
  </w:style>
  <w:style w:type="paragraph" w:styleId="BodyTextIndent3">
    <w:name w:val="Body Text Indent 3"/>
    <w:basedOn w:val="Normal"/>
    <w:link w:val="BodyTextIndent3Char"/>
    <w:rsid w:val="00D141FC"/>
    <w:pPr>
      <w:spacing w:after="120"/>
      <w:ind w:left="283"/>
    </w:pPr>
    <w:rPr>
      <w:sz w:val="16"/>
      <w:szCs w:val="16"/>
    </w:rPr>
  </w:style>
  <w:style w:type="character" w:customStyle="1" w:styleId="BodyTextIndent3Char">
    <w:name w:val="Body Text Indent 3 Char"/>
    <w:basedOn w:val="DefaultParagraphFont"/>
    <w:link w:val="BodyTextIndent3"/>
    <w:rsid w:val="00D141FC"/>
    <w:rPr>
      <w:sz w:val="16"/>
      <w:szCs w:val="16"/>
    </w:rPr>
  </w:style>
  <w:style w:type="paragraph" w:styleId="BlockText">
    <w:name w:val="Block Text"/>
    <w:basedOn w:val="Normal"/>
    <w:rsid w:val="00D141FC"/>
    <w:pPr>
      <w:spacing w:after="120"/>
      <w:ind w:left="1440" w:right="1440"/>
    </w:pPr>
  </w:style>
  <w:style w:type="character" w:styleId="Hyperlink">
    <w:name w:val="Hyperlink"/>
    <w:basedOn w:val="DefaultParagraphFont"/>
    <w:rsid w:val="00D141FC"/>
    <w:rPr>
      <w:color w:val="0000FF"/>
      <w:u w:val="single"/>
    </w:rPr>
  </w:style>
  <w:style w:type="character" w:styleId="FollowedHyperlink">
    <w:name w:val="FollowedHyperlink"/>
    <w:basedOn w:val="DefaultParagraphFont"/>
    <w:rsid w:val="00D141FC"/>
    <w:rPr>
      <w:color w:val="800080"/>
      <w:u w:val="single"/>
    </w:rPr>
  </w:style>
  <w:style w:type="character" w:styleId="Strong">
    <w:name w:val="Strong"/>
    <w:basedOn w:val="DefaultParagraphFont"/>
    <w:qFormat/>
    <w:rsid w:val="00D141FC"/>
    <w:rPr>
      <w:b/>
      <w:bCs/>
    </w:rPr>
  </w:style>
  <w:style w:type="character" w:styleId="Emphasis">
    <w:name w:val="Emphasis"/>
    <w:basedOn w:val="DefaultParagraphFont"/>
    <w:qFormat/>
    <w:rsid w:val="00D141FC"/>
    <w:rPr>
      <w:i/>
      <w:iCs/>
    </w:rPr>
  </w:style>
  <w:style w:type="paragraph" w:styleId="DocumentMap">
    <w:name w:val="Document Map"/>
    <w:basedOn w:val="Normal"/>
    <w:link w:val="DocumentMapChar"/>
    <w:rsid w:val="00D141FC"/>
    <w:pPr>
      <w:shd w:val="clear" w:color="auto" w:fill="000080"/>
    </w:pPr>
    <w:rPr>
      <w:rFonts w:ascii="Tahoma" w:hAnsi="Tahoma" w:cs="Tahoma"/>
    </w:rPr>
  </w:style>
  <w:style w:type="character" w:customStyle="1" w:styleId="DocumentMapChar">
    <w:name w:val="Document Map Char"/>
    <w:basedOn w:val="DefaultParagraphFont"/>
    <w:link w:val="DocumentMap"/>
    <w:rsid w:val="00D141FC"/>
    <w:rPr>
      <w:rFonts w:ascii="Tahoma" w:hAnsi="Tahoma" w:cs="Tahoma"/>
      <w:sz w:val="22"/>
      <w:shd w:val="clear" w:color="auto" w:fill="000080"/>
    </w:rPr>
  </w:style>
  <w:style w:type="paragraph" w:styleId="PlainText">
    <w:name w:val="Plain Text"/>
    <w:basedOn w:val="Normal"/>
    <w:link w:val="PlainTextChar"/>
    <w:rsid w:val="00D141FC"/>
    <w:rPr>
      <w:rFonts w:ascii="Courier New" w:hAnsi="Courier New" w:cs="Courier New"/>
      <w:sz w:val="20"/>
    </w:rPr>
  </w:style>
  <w:style w:type="character" w:customStyle="1" w:styleId="PlainTextChar">
    <w:name w:val="Plain Text Char"/>
    <w:basedOn w:val="DefaultParagraphFont"/>
    <w:link w:val="PlainText"/>
    <w:rsid w:val="00D141FC"/>
    <w:rPr>
      <w:rFonts w:ascii="Courier New" w:hAnsi="Courier New" w:cs="Courier New"/>
    </w:rPr>
  </w:style>
  <w:style w:type="paragraph" w:styleId="E-mailSignature">
    <w:name w:val="E-mail Signature"/>
    <w:basedOn w:val="Normal"/>
    <w:link w:val="E-mailSignatureChar"/>
    <w:rsid w:val="00D141FC"/>
  </w:style>
  <w:style w:type="character" w:customStyle="1" w:styleId="E-mailSignatureChar">
    <w:name w:val="E-mail Signature Char"/>
    <w:basedOn w:val="DefaultParagraphFont"/>
    <w:link w:val="E-mailSignature"/>
    <w:rsid w:val="00D141FC"/>
    <w:rPr>
      <w:sz w:val="22"/>
    </w:rPr>
  </w:style>
  <w:style w:type="paragraph" w:styleId="NormalWeb">
    <w:name w:val="Normal (Web)"/>
    <w:basedOn w:val="Normal"/>
    <w:rsid w:val="00D141FC"/>
  </w:style>
  <w:style w:type="character" w:styleId="HTMLAcronym">
    <w:name w:val="HTML Acronym"/>
    <w:basedOn w:val="DefaultParagraphFont"/>
    <w:rsid w:val="00D141FC"/>
  </w:style>
  <w:style w:type="paragraph" w:styleId="HTMLAddress">
    <w:name w:val="HTML Address"/>
    <w:basedOn w:val="Normal"/>
    <w:link w:val="HTMLAddressChar"/>
    <w:rsid w:val="00D141FC"/>
    <w:rPr>
      <w:i/>
      <w:iCs/>
    </w:rPr>
  </w:style>
  <w:style w:type="character" w:customStyle="1" w:styleId="HTMLAddressChar">
    <w:name w:val="HTML Address Char"/>
    <w:basedOn w:val="DefaultParagraphFont"/>
    <w:link w:val="HTMLAddress"/>
    <w:rsid w:val="00D141FC"/>
    <w:rPr>
      <w:i/>
      <w:iCs/>
      <w:sz w:val="22"/>
    </w:rPr>
  </w:style>
  <w:style w:type="character" w:styleId="HTMLCite">
    <w:name w:val="HTML Cite"/>
    <w:basedOn w:val="DefaultParagraphFont"/>
    <w:rsid w:val="00D141FC"/>
    <w:rPr>
      <w:i/>
      <w:iCs/>
    </w:rPr>
  </w:style>
  <w:style w:type="character" w:styleId="HTMLCode">
    <w:name w:val="HTML Code"/>
    <w:basedOn w:val="DefaultParagraphFont"/>
    <w:rsid w:val="00D141FC"/>
    <w:rPr>
      <w:rFonts w:ascii="Courier New" w:hAnsi="Courier New" w:cs="Courier New"/>
      <w:sz w:val="20"/>
      <w:szCs w:val="20"/>
    </w:rPr>
  </w:style>
  <w:style w:type="character" w:styleId="HTMLDefinition">
    <w:name w:val="HTML Definition"/>
    <w:basedOn w:val="DefaultParagraphFont"/>
    <w:rsid w:val="00D141FC"/>
    <w:rPr>
      <w:i/>
      <w:iCs/>
    </w:rPr>
  </w:style>
  <w:style w:type="character" w:styleId="HTMLKeyboard">
    <w:name w:val="HTML Keyboard"/>
    <w:basedOn w:val="DefaultParagraphFont"/>
    <w:rsid w:val="00D141FC"/>
    <w:rPr>
      <w:rFonts w:ascii="Courier New" w:hAnsi="Courier New" w:cs="Courier New"/>
      <w:sz w:val="20"/>
      <w:szCs w:val="20"/>
    </w:rPr>
  </w:style>
  <w:style w:type="paragraph" w:styleId="HTMLPreformatted">
    <w:name w:val="HTML Preformatted"/>
    <w:basedOn w:val="Normal"/>
    <w:link w:val="HTMLPreformattedChar"/>
    <w:rsid w:val="00D141FC"/>
    <w:rPr>
      <w:rFonts w:ascii="Courier New" w:hAnsi="Courier New" w:cs="Courier New"/>
      <w:sz w:val="20"/>
    </w:rPr>
  </w:style>
  <w:style w:type="character" w:customStyle="1" w:styleId="HTMLPreformattedChar">
    <w:name w:val="HTML Preformatted Char"/>
    <w:basedOn w:val="DefaultParagraphFont"/>
    <w:link w:val="HTMLPreformatted"/>
    <w:rsid w:val="00D141FC"/>
    <w:rPr>
      <w:rFonts w:ascii="Courier New" w:hAnsi="Courier New" w:cs="Courier New"/>
    </w:rPr>
  </w:style>
  <w:style w:type="character" w:styleId="HTMLSample">
    <w:name w:val="HTML Sample"/>
    <w:basedOn w:val="DefaultParagraphFont"/>
    <w:rsid w:val="00D141FC"/>
    <w:rPr>
      <w:rFonts w:ascii="Courier New" w:hAnsi="Courier New" w:cs="Courier New"/>
    </w:rPr>
  </w:style>
  <w:style w:type="character" w:styleId="HTMLTypewriter">
    <w:name w:val="HTML Typewriter"/>
    <w:basedOn w:val="DefaultParagraphFont"/>
    <w:rsid w:val="00D141FC"/>
    <w:rPr>
      <w:rFonts w:ascii="Courier New" w:hAnsi="Courier New" w:cs="Courier New"/>
      <w:sz w:val="20"/>
      <w:szCs w:val="20"/>
    </w:rPr>
  </w:style>
  <w:style w:type="character" w:styleId="HTMLVariable">
    <w:name w:val="HTML Variable"/>
    <w:basedOn w:val="DefaultParagraphFont"/>
    <w:rsid w:val="00D141FC"/>
    <w:rPr>
      <w:i/>
      <w:iCs/>
    </w:rPr>
  </w:style>
  <w:style w:type="paragraph" w:styleId="CommentSubject">
    <w:name w:val="annotation subject"/>
    <w:basedOn w:val="CommentText"/>
    <w:next w:val="CommentText"/>
    <w:link w:val="CommentSubjectChar"/>
    <w:rsid w:val="00D141FC"/>
    <w:rPr>
      <w:b/>
      <w:bCs/>
    </w:rPr>
  </w:style>
  <w:style w:type="character" w:customStyle="1" w:styleId="CommentSubjectChar">
    <w:name w:val="Comment Subject Char"/>
    <w:basedOn w:val="CommentTextChar"/>
    <w:link w:val="CommentSubject"/>
    <w:rsid w:val="00D141FC"/>
    <w:rPr>
      <w:b/>
      <w:bCs/>
    </w:rPr>
  </w:style>
  <w:style w:type="numbering" w:styleId="1ai">
    <w:name w:val="Outline List 1"/>
    <w:basedOn w:val="NoList"/>
    <w:rsid w:val="00D141FC"/>
    <w:pPr>
      <w:numPr>
        <w:numId w:val="14"/>
      </w:numPr>
    </w:pPr>
  </w:style>
  <w:style w:type="numbering" w:styleId="111111">
    <w:name w:val="Outline List 2"/>
    <w:basedOn w:val="NoList"/>
    <w:rsid w:val="00D141FC"/>
    <w:pPr>
      <w:numPr>
        <w:numId w:val="15"/>
      </w:numPr>
    </w:pPr>
  </w:style>
  <w:style w:type="numbering" w:styleId="ArticleSection">
    <w:name w:val="Outline List 3"/>
    <w:basedOn w:val="NoList"/>
    <w:rsid w:val="00D141FC"/>
    <w:pPr>
      <w:numPr>
        <w:numId w:val="17"/>
      </w:numPr>
    </w:pPr>
  </w:style>
  <w:style w:type="table" w:styleId="TableSimple1">
    <w:name w:val="Table Simple 1"/>
    <w:basedOn w:val="TableNormal"/>
    <w:rsid w:val="00D141F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41F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41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141F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41F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41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41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41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41F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41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41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41F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41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41F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41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141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41F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41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41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41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41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41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41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41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41F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41F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41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41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41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41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41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141F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41F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41F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141F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41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141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41F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41F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141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41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41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141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141FC"/>
    <w:rPr>
      <w:rFonts w:eastAsia="Times New Roman" w:cs="Times New Roman"/>
      <w:b/>
      <w:kern w:val="28"/>
      <w:sz w:val="24"/>
      <w:lang w:eastAsia="en-AU"/>
    </w:rPr>
  </w:style>
  <w:style w:type="paragraph" w:styleId="ListParagraph">
    <w:name w:val="List Paragraph"/>
    <w:basedOn w:val="Normal"/>
    <w:uiPriority w:val="34"/>
    <w:qFormat/>
    <w:rsid w:val="00ED7C85"/>
    <w:pPr>
      <w:spacing w:line="240" w:lineRule="auto"/>
      <w:ind w:left="720"/>
    </w:pPr>
    <w:rPr>
      <w:rFonts w:ascii="Calibri" w:hAnsi="Calibri" w:cs="Times New Roman"/>
      <w:szCs w:val="22"/>
    </w:rPr>
  </w:style>
  <w:style w:type="character" w:customStyle="1" w:styleId="DefinitionChar">
    <w:name w:val="Definition Char"/>
    <w:aliases w:val="dd Char"/>
    <w:link w:val="Definition"/>
    <w:rsid w:val="00CA4BE4"/>
    <w:rPr>
      <w:rFonts w:eastAsia="Times New Roman" w:cs="Times New Roman"/>
      <w:sz w:val="22"/>
      <w:lang w:eastAsia="en-AU"/>
    </w:rPr>
  </w:style>
  <w:style w:type="character" w:customStyle="1" w:styleId="paragraphChar">
    <w:name w:val="paragraph Char"/>
    <w:aliases w:val="a Char"/>
    <w:basedOn w:val="DefaultParagraphFont"/>
    <w:link w:val="paragraph"/>
    <w:rsid w:val="00DF49B5"/>
    <w:rPr>
      <w:rFonts w:eastAsia="Times New Roman" w:cs="Times New Roman"/>
      <w:sz w:val="22"/>
      <w:lang w:eastAsia="en-AU"/>
    </w:rPr>
  </w:style>
  <w:style w:type="character" w:customStyle="1" w:styleId="ItemHeadChar">
    <w:name w:val="ItemHead Char"/>
    <w:aliases w:val="ih Char"/>
    <w:basedOn w:val="DefaultParagraphFont"/>
    <w:link w:val="ItemHead"/>
    <w:rsid w:val="00DF49B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F49B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31874">
      <w:bodyDiv w:val="1"/>
      <w:marLeft w:val="0"/>
      <w:marRight w:val="0"/>
      <w:marTop w:val="0"/>
      <w:marBottom w:val="0"/>
      <w:divBdr>
        <w:top w:val="none" w:sz="0" w:space="0" w:color="auto"/>
        <w:left w:val="none" w:sz="0" w:space="0" w:color="auto"/>
        <w:bottom w:val="none" w:sz="0" w:space="0" w:color="auto"/>
        <w:right w:val="none" w:sz="0" w:space="0" w:color="auto"/>
      </w:divBdr>
    </w:div>
    <w:div w:id="5121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5BF8-5181-48FD-B646-B5C4A937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38</Pages>
  <Words>12263</Words>
  <Characters>62922</Characters>
  <Application>Microsoft Office Word</Application>
  <DocSecurity>0</DocSecurity>
  <PresentationFormat/>
  <Lines>1445</Lines>
  <Paragraphs>866</Paragraphs>
  <ScaleCrop>false</ScaleCrop>
  <HeadingPairs>
    <vt:vector size="2" baseType="variant">
      <vt:variant>
        <vt:lpstr>Title</vt:lpstr>
      </vt:variant>
      <vt:variant>
        <vt:i4>1</vt:i4>
      </vt:variant>
    </vt:vector>
  </HeadingPairs>
  <TitlesOfParts>
    <vt:vector size="1" baseType="lpstr">
      <vt:lpstr>National Health (Pharmaceuticals and Vaccines—Cost Recovery) Amendment Regulations 2019</vt:lpstr>
    </vt:vector>
  </TitlesOfParts>
  <Manager/>
  <Company/>
  <LinksUpToDate>false</LinksUpToDate>
  <CharactersWithSpaces>74807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2019-03-21T00:55:00Z</cp:lastPrinted>
  <dcterms:created xsi:type="dcterms:W3CDTF">2019-04-01T04:10:00Z</dcterms:created>
  <dcterms:modified xsi:type="dcterms:W3CDTF">2019-04-01T04:10:00Z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National Health (Pharmaceuticals and Vaccines—Cost Recovery) Amendment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04 April 2019</vt:lpwstr>
  </property>
  <property fmtid="{D5CDD505-2E9C-101B-9397-08002B2CF9AE}" pid="10" name="ID">
    <vt:lpwstr>OPC63831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04 April 2019</vt:lpwstr>
  </property>
</Properties>
</file>