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59C74" w14:textId="77777777" w:rsidR="000855FC" w:rsidRPr="000855FC" w:rsidRDefault="000855FC" w:rsidP="000855FC">
      <w:pPr>
        <w:keepNext/>
        <w:ind w:left="284"/>
        <w:jc w:val="center"/>
        <w:outlineLvl w:val="0"/>
        <w:rPr>
          <w:b/>
          <w:u w:val="single"/>
          <w:lang w:eastAsia="en-AU"/>
        </w:rPr>
      </w:pPr>
      <w:bookmarkStart w:id="0" w:name="_GoBack"/>
      <w:bookmarkEnd w:id="0"/>
      <w:r w:rsidRPr="000855FC">
        <w:rPr>
          <w:b/>
          <w:u w:val="single"/>
          <w:lang w:eastAsia="en-AU"/>
        </w:rPr>
        <w:t>EXPLANATORY STATEMENT</w:t>
      </w:r>
    </w:p>
    <w:p w14:paraId="44FFC1C4" w14:textId="77777777" w:rsidR="000855FC" w:rsidRPr="000855FC" w:rsidRDefault="000855FC" w:rsidP="000855FC">
      <w:pPr>
        <w:rPr>
          <w:u w:val="single"/>
          <w:lang w:eastAsia="en-AU"/>
        </w:rPr>
      </w:pPr>
    </w:p>
    <w:p w14:paraId="22B95BD0" w14:textId="77777777" w:rsidR="000855FC" w:rsidRPr="000855FC" w:rsidRDefault="000855FC" w:rsidP="000855FC">
      <w:pPr>
        <w:widowControl w:val="0"/>
        <w:tabs>
          <w:tab w:val="left" w:pos="993"/>
          <w:tab w:val="left" w:pos="1418"/>
        </w:tabs>
        <w:jc w:val="center"/>
        <w:rPr>
          <w:i/>
          <w:lang w:eastAsia="en-AU"/>
        </w:rPr>
      </w:pPr>
      <w:r w:rsidRPr="000855FC">
        <w:rPr>
          <w:i/>
          <w:lang w:eastAsia="en-AU"/>
        </w:rPr>
        <w:t>Health Insurance Act 1973</w:t>
      </w:r>
    </w:p>
    <w:p w14:paraId="3C040BB6" w14:textId="77777777" w:rsidR="000855FC" w:rsidRPr="000855FC" w:rsidRDefault="000855FC" w:rsidP="000855FC">
      <w:pPr>
        <w:jc w:val="both"/>
        <w:rPr>
          <w:i/>
          <w:lang w:eastAsia="en-AU"/>
        </w:rPr>
      </w:pPr>
    </w:p>
    <w:p w14:paraId="02421418" w14:textId="77777777" w:rsidR="000855FC" w:rsidRDefault="00010849" w:rsidP="00010849">
      <w:pPr>
        <w:jc w:val="center"/>
        <w:rPr>
          <w:i/>
          <w:lang w:eastAsia="en-AU"/>
        </w:rPr>
      </w:pPr>
      <w:r w:rsidRPr="00010849">
        <w:rPr>
          <w:i/>
          <w:lang w:eastAsia="en-AU"/>
        </w:rPr>
        <w:t>Health Insurance (General Medical Services Table) Regulations 201</w:t>
      </w:r>
      <w:r w:rsidR="00301E8E">
        <w:rPr>
          <w:i/>
          <w:lang w:eastAsia="en-AU"/>
        </w:rPr>
        <w:t>9</w:t>
      </w:r>
    </w:p>
    <w:p w14:paraId="3C09A16E" w14:textId="77777777" w:rsidR="00010849" w:rsidRPr="000855FC" w:rsidRDefault="00010849" w:rsidP="000855FC">
      <w:pPr>
        <w:jc w:val="both"/>
        <w:rPr>
          <w:highlight w:val="yellow"/>
          <w:lang w:eastAsia="en-AU"/>
        </w:rPr>
      </w:pPr>
    </w:p>
    <w:p w14:paraId="5882C218" w14:textId="4976C383" w:rsidR="000855FC" w:rsidRPr="000855FC" w:rsidRDefault="000855FC" w:rsidP="000855FC">
      <w:pPr>
        <w:ind w:right="-483"/>
        <w:rPr>
          <w:lang w:eastAsia="en-AU"/>
        </w:rPr>
      </w:pPr>
      <w:r w:rsidRPr="000855FC">
        <w:rPr>
          <w:lang w:eastAsia="en-AU"/>
        </w:rPr>
        <w:t xml:space="preserve">Subsection 133(1) of the </w:t>
      </w:r>
      <w:r w:rsidR="00044F99" w:rsidRPr="00EC60E6">
        <w:rPr>
          <w:i/>
          <w:lang w:eastAsia="en-AU"/>
        </w:rPr>
        <w:t>Health Insurance Act 1973</w:t>
      </w:r>
      <w:r w:rsidR="00044F99">
        <w:rPr>
          <w:lang w:eastAsia="en-AU"/>
        </w:rPr>
        <w:t xml:space="preserve"> (the </w:t>
      </w:r>
      <w:r w:rsidRPr="000855FC">
        <w:rPr>
          <w:lang w:eastAsia="en-AU"/>
        </w:rPr>
        <w:t>Act</w:t>
      </w:r>
      <w:r w:rsidR="00044F99">
        <w:rPr>
          <w:lang w:eastAsia="en-AU"/>
        </w:rPr>
        <w:t>)</w:t>
      </w:r>
      <w:r w:rsidRPr="000855FC">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2B5CE7FD" w14:textId="77777777" w:rsidR="000855FC" w:rsidRPr="000855FC" w:rsidRDefault="000855FC" w:rsidP="000855FC">
      <w:pPr>
        <w:ind w:right="-483"/>
        <w:rPr>
          <w:color w:val="C0504D" w:themeColor="accent2"/>
          <w:spacing w:val="5"/>
          <w:lang w:eastAsia="en-AU"/>
        </w:rPr>
      </w:pPr>
    </w:p>
    <w:p w14:paraId="263CA383" w14:textId="77777777" w:rsidR="000855FC" w:rsidRPr="000855FC" w:rsidRDefault="000855FC" w:rsidP="000855FC">
      <w:pPr>
        <w:ind w:right="-483"/>
        <w:rPr>
          <w:lang w:eastAsia="en-AU"/>
        </w:rPr>
      </w:pPr>
      <w:r w:rsidRPr="000855F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7F59A0D1" w14:textId="77777777" w:rsidR="000855FC" w:rsidRPr="000855FC" w:rsidRDefault="000855FC" w:rsidP="000855FC">
      <w:pPr>
        <w:rPr>
          <w:lang w:eastAsia="en-AU"/>
        </w:rPr>
      </w:pPr>
    </w:p>
    <w:p w14:paraId="2C7B7607" w14:textId="37FB27C4" w:rsidR="000855FC" w:rsidRPr="000855FC" w:rsidRDefault="000855FC" w:rsidP="000855FC">
      <w:pPr>
        <w:ind w:right="-483"/>
        <w:rPr>
          <w:lang w:eastAsia="en-AU"/>
        </w:rPr>
      </w:pPr>
      <w:r w:rsidRPr="000855FC">
        <w:rPr>
          <w:lang w:eastAsia="en-AU"/>
        </w:rPr>
        <w:t>Subsection 4(1) of the Act provides that regulations may prescribe a table of medical services which sets out items of medical services, the fees applicable for each item, and rules for interpreting the table. </w:t>
      </w:r>
      <w:r w:rsidR="00DC4EE9" w:rsidRPr="00730EA1">
        <w:rPr>
          <w:lang w:eastAsia="en-AU"/>
        </w:rPr>
        <w:t>The table made under this subsection is referred to as the</w:t>
      </w:r>
      <w:r w:rsidR="00DC4EE9">
        <w:rPr>
          <w:lang w:eastAsia="en-AU"/>
        </w:rPr>
        <w:t xml:space="preserve"> </w:t>
      </w:r>
      <w:r w:rsidR="00476435">
        <w:rPr>
          <w:lang w:eastAsia="en-AU"/>
        </w:rPr>
        <w:t>g</w:t>
      </w:r>
      <w:r w:rsidR="00DC4EE9">
        <w:rPr>
          <w:lang w:eastAsia="en-AU"/>
        </w:rPr>
        <w:t xml:space="preserve">eneral </w:t>
      </w:r>
      <w:r w:rsidR="00476435">
        <w:rPr>
          <w:lang w:eastAsia="en-AU"/>
        </w:rPr>
        <w:t>m</w:t>
      </w:r>
      <w:r w:rsidR="00DC4EE9">
        <w:rPr>
          <w:lang w:eastAsia="en-AU"/>
        </w:rPr>
        <w:t xml:space="preserve">edical </w:t>
      </w:r>
      <w:r w:rsidR="00476435">
        <w:rPr>
          <w:lang w:eastAsia="en-AU"/>
        </w:rPr>
        <w:t>s</w:t>
      </w:r>
      <w:r w:rsidR="00DC4EE9">
        <w:rPr>
          <w:lang w:eastAsia="en-AU"/>
        </w:rPr>
        <w:t xml:space="preserve">ervices </w:t>
      </w:r>
      <w:r w:rsidR="00476435">
        <w:rPr>
          <w:lang w:eastAsia="en-AU"/>
        </w:rPr>
        <w:t>t</w:t>
      </w:r>
      <w:r w:rsidR="00DC4EE9">
        <w:rPr>
          <w:lang w:eastAsia="en-AU"/>
        </w:rPr>
        <w:t>able (GMST).</w:t>
      </w:r>
    </w:p>
    <w:p w14:paraId="176BA703" w14:textId="77777777" w:rsidR="00003743" w:rsidRDefault="00003743" w:rsidP="002F3AE3"/>
    <w:p w14:paraId="17F2E7F9" w14:textId="221D6F1B" w:rsidR="008F38BA" w:rsidRDefault="008F38BA" w:rsidP="008F38BA">
      <w:r>
        <w:t>Subsection 4(2) of the Act provides that</w:t>
      </w:r>
      <w:r w:rsidR="002363BF">
        <w:t>,</w:t>
      </w:r>
      <w:r>
        <w:t xml:space="preserve"> unless repealed earlier, </w:t>
      </w:r>
      <w:r w:rsidR="0077571C">
        <w:t>the GMST</w:t>
      </w:r>
      <w:r>
        <w:t xml:space="preserve"> will cease to be in force and will be taken to have been repealed on the day following the 15</w:t>
      </w:r>
      <w:r>
        <w:rPr>
          <w:vertAlign w:val="superscript"/>
        </w:rPr>
        <w:t>th</w:t>
      </w:r>
      <w:r>
        <w:t xml:space="preserve"> sitting day of the House of Representatives after the end of a 12 month period which begins on the day when the regulation is registered on the Federal Register of Legislation (FRL). The </w:t>
      </w:r>
      <w:r w:rsidR="00DC4EE9" w:rsidRPr="00DC4EE9">
        <w:rPr>
          <w:i/>
        </w:rPr>
        <w:t>Health Insurance (General Medical Services Table) Regulations 2018</w:t>
      </w:r>
      <w:r w:rsidR="00196CBE">
        <w:rPr>
          <w:i/>
        </w:rPr>
        <w:t xml:space="preserve"> </w:t>
      </w:r>
      <w:r w:rsidR="00196CBE">
        <w:t>(the 2018 Regulations)</w:t>
      </w:r>
      <w:r w:rsidR="00DC4EE9">
        <w:t xml:space="preserve"> </w:t>
      </w:r>
      <w:r w:rsidR="0006587A">
        <w:t>were</w:t>
      </w:r>
      <w:r>
        <w:t xml:space="preserve"> registered on 1</w:t>
      </w:r>
      <w:r w:rsidR="00301E8E">
        <w:t>3</w:t>
      </w:r>
      <w:r w:rsidR="00031FD8">
        <w:t xml:space="preserve"> June 201</w:t>
      </w:r>
      <w:r w:rsidR="00301E8E">
        <w:t>8</w:t>
      </w:r>
      <w:r>
        <w:t xml:space="preserve">. </w:t>
      </w:r>
    </w:p>
    <w:p w14:paraId="5CB9F2AE" w14:textId="77777777" w:rsidR="008F38BA" w:rsidRDefault="008F38BA" w:rsidP="002F3AE3"/>
    <w:p w14:paraId="649FD207" w14:textId="77777777" w:rsidR="000855FC" w:rsidRPr="000855FC" w:rsidRDefault="000855FC" w:rsidP="000855FC">
      <w:pPr>
        <w:autoSpaceDE w:val="0"/>
        <w:autoSpaceDN w:val="0"/>
        <w:adjustRightInd w:val="0"/>
        <w:rPr>
          <w:b/>
          <w:lang w:eastAsia="en-AU"/>
        </w:rPr>
      </w:pPr>
      <w:r w:rsidRPr="000855FC">
        <w:rPr>
          <w:b/>
          <w:lang w:eastAsia="en-AU"/>
        </w:rPr>
        <w:t>Purpose</w:t>
      </w:r>
    </w:p>
    <w:p w14:paraId="0E381D55" w14:textId="7FF60728" w:rsidR="0077571C" w:rsidRDefault="00207867" w:rsidP="002803B1">
      <w:pPr>
        <w:rPr>
          <w:lang w:eastAsia="en-AU"/>
        </w:rPr>
      </w:pPr>
      <w:r>
        <w:rPr>
          <w:lang w:eastAsia="en-AU"/>
        </w:rPr>
        <w:t xml:space="preserve">The purpose of the </w:t>
      </w:r>
      <w:r w:rsidRPr="00E00FA2">
        <w:rPr>
          <w:i/>
          <w:lang w:eastAsia="en-AU"/>
        </w:rPr>
        <w:t>Health Insurance (General Medical Services Table) Regulations 201</w:t>
      </w:r>
      <w:r w:rsidR="00301E8E">
        <w:rPr>
          <w:i/>
          <w:lang w:eastAsia="en-AU"/>
        </w:rPr>
        <w:t>9</w:t>
      </w:r>
      <w:r>
        <w:rPr>
          <w:lang w:eastAsia="en-AU"/>
        </w:rPr>
        <w:t xml:space="preserve"> (</w:t>
      </w:r>
      <w:r w:rsidR="00E00FA2">
        <w:rPr>
          <w:lang w:eastAsia="en-AU"/>
        </w:rPr>
        <w:t xml:space="preserve">the </w:t>
      </w:r>
      <w:r>
        <w:rPr>
          <w:lang w:eastAsia="en-AU"/>
        </w:rPr>
        <w:t xml:space="preserve">Regulations) is to repeal the </w:t>
      </w:r>
      <w:r w:rsidR="0029018C">
        <w:rPr>
          <w:lang w:eastAsia="en-AU"/>
        </w:rPr>
        <w:t xml:space="preserve">2018 </w:t>
      </w:r>
      <w:r w:rsidR="00DF3AF6">
        <w:rPr>
          <w:lang w:eastAsia="en-AU"/>
        </w:rPr>
        <w:t>Regulations</w:t>
      </w:r>
      <w:r w:rsidR="0029018C">
        <w:rPr>
          <w:lang w:eastAsia="en-AU"/>
        </w:rPr>
        <w:t xml:space="preserve"> and prescribe a new table of medical services from 1 July 2019</w:t>
      </w:r>
      <w:r>
        <w:rPr>
          <w:lang w:eastAsia="en-AU"/>
        </w:rPr>
        <w:t xml:space="preserve">. This will ensure that Medicare benefits continue to be payable for </w:t>
      </w:r>
      <w:r w:rsidR="0077571C">
        <w:rPr>
          <w:lang w:eastAsia="en-AU"/>
        </w:rPr>
        <w:t xml:space="preserve">medical </w:t>
      </w:r>
      <w:r>
        <w:rPr>
          <w:lang w:eastAsia="en-AU"/>
        </w:rPr>
        <w:t xml:space="preserve">services </w:t>
      </w:r>
      <w:r w:rsidR="0077571C">
        <w:rPr>
          <w:lang w:eastAsia="en-AU"/>
        </w:rPr>
        <w:t xml:space="preserve">performed by </w:t>
      </w:r>
      <w:r w:rsidR="00EE1FD4">
        <w:rPr>
          <w:lang w:eastAsia="en-AU"/>
        </w:rPr>
        <w:t>general practitioners (</w:t>
      </w:r>
      <w:r w:rsidR="00B07DF7">
        <w:rPr>
          <w:lang w:eastAsia="en-AU"/>
        </w:rPr>
        <w:t>GPs</w:t>
      </w:r>
      <w:r w:rsidR="00EE1FD4">
        <w:rPr>
          <w:lang w:eastAsia="en-AU"/>
        </w:rPr>
        <w:t>)</w:t>
      </w:r>
      <w:r w:rsidR="0077571C">
        <w:rPr>
          <w:lang w:eastAsia="en-AU"/>
        </w:rPr>
        <w:t xml:space="preserve">, specialists and consultant physicians. </w:t>
      </w:r>
    </w:p>
    <w:p w14:paraId="4AE7A708" w14:textId="77777777" w:rsidR="0077571C" w:rsidRDefault="0077571C" w:rsidP="002803B1">
      <w:pPr>
        <w:rPr>
          <w:lang w:eastAsia="en-AU"/>
        </w:rPr>
      </w:pPr>
    </w:p>
    <w:p w14:paraId="64E7A7C5" w14:textId="0DF464AA" w:rsidR="001331BD" w:rsidRDefault="0003228D" w:rsidP="001331BD">
      <w:pPr>
        <w:rPr>
          <w:lang w:eastAsia="en-AU"/>
        </w:rPr>
      </w:pPr>
      <w:r>
        <w:rPr>
          <w:lang w:eastAsia="en-AU"/>
        </w:rPr>
        <w:t xml:space="preserve">The Regulations will also </w:t>
      </w:r>
      <w:r w:rsidR="001331BD">
        <w:rPr>
          <w:lang w:eastAsia="en-AU"/>
        </w:rPr>
        <w:t>implement</w:t>
      </w:r>
      <w:r>
        <w:rPr>
          <w:lang w:eastAsia="en-AU"/>
        </w:rPr>
        <w:t xml:space="preserve"> Government </w:t>
      </w:r>
      <w:r w:rsidR="007D1E97">
        <w:rPr>
          <w:lang w:eastAsia="en-AU"/>
        </w:rPr>
        <w:t>policy regarding Medicare indexation</w:t>
      </w:r>
      <w:r w:rsidR="001331BD">
        <w:rPr>
          <w:lang w:eastAsia="en-AU"/>
        </w:rPr>
        <w:t>. In the 2017-18 Budget</w:t>
      </w:r>
      <w:r w:rsidR="00A61AD1">
        <w:rPr>
          <w:lang w:eastAsia="en-AU"/>
        </w:rPr>
        <w:t>,</w:t>
      </w:r>
      <w:r w:rsidR="001331BD">
        <w:rPr>
          <w:lang w:eastAsia="en-AU"/>
        </w:rPr>
        <w:t xml:space="preserve"> the Government announced the re-commencement of indexation of Medicare benefits under the </w:t>
      </w:r>
      <w:r w:rsidR="001331BD" w:rsidRPr="00EC60E6">
        <w:rPr>
          <w:i/>
          <w:lang w:eastAsia="en-AU"/>
        </w:rPr>
        <w:t>Guaranteeing Medicare - Medicare Benefits Schedule - indexation</w:t>
      </w:r>
      <w:r w:rsidR="001331BD">
        <w:rPr>
          <w:lang w:eastAsia="en-AU"/>
        </w:rPr>
        <w:t xml:space="preserve"> measure. The Regulations will commence the third phase of this measure by implementing indexation of procedural and therapeutic items from 1 July 2019. Indexation of items which had re-commenced in earlier phases will also be continued. This includes the GP bulk-billing incentive items, standard GP consultations (attendances in group A1) and specialist attendances.  </w:t>
      </w:r>
    </w:p>
    <w:p w14:paraId="4F19CF57" w14:textId="77777777" w:rsidR="0006587A" w:rsidRDefault="0006587A" w:rsidP="00FD6B74">
      <w:pPr>
        <w:rPr>
          <w:lang w:eastAsia="en-AU"/>
        </w:rPr>
      </w:pPr>
    </w:p>
    <w:p w14:paraId="1304C4BA" w14:textId="3CF53967" w:rsidR="000855FC" w:rsidRDefault="000855FC" w:rsidP="00C23C5F">
      <w:pPr>
        <w:rPr>
          <w:b/>
        </w:rPr>
      </w:pPr>
      <w:r w:rsidRPr="000855FC">
        <w:rPr>
          <w:b/>
        </w:rPr>
        <w:t>Consultation</w:t>
      </w:r>
    </w:p>
    <w:p w14:paraId="70577D77" w14:textId="76EAF6C0" w:rsidR="00B7035A" w:rsidRDefault="00B7035A" w:rsidP="000855FC">
      <w:r w:rsidRPr="00B7035A">
        <w:rPr>
          <w:lang w:eastAsia="en-AU"/>
        </w:rPr>
        <w:t xml:space="preserve">Consultation was not undertaken for the remake of this instrument as it is machinery in nature and it does not alter existing arrangements. Consultation was undertaken on indexation as part of the compacts </w:t>
      </w:r>
      <w:r w:rsidR="006457D2">
        <w:rPr>
          <w:lang w:eastAsia="en-AU"/>
        </w:rPr>
        <w:t xml:space="preserve">Government </w:t>
      </w:r>
      <w:r w:rsidRPr="00B7035A">
        <w:rPr>
          <w:lang w:eastAsia="en-AU"/>
        </w:rPr>
        <w:t xml:space="preserve">negotiated </w:t>
      </w:r>
      <w:r w:rsidR="006457D2">
        <w:rPr>
          <w:lang w:eastAsia="en-AU"/>
        </w:rPr>
        <w:t xml:space="preserve">with </w:t>
      </w:r>
      <w:r w:rsidRPr="00B7035A">
        <w:rPr>
          <w:lang w:eastAsia="en-AU"/>
        </w:rPr>
        <w:t>the Australian Medical Association and the Royal Australian College of General Practitioners.</w:t>
      </w:r>
      <w:r w:rsidR="00B67A99">
        <w:rPr>
          <w:lang w:eastAsia="en-AU"/>
        </w:rPr>
        <w:t xml:space="preserve"> </w:t>
      </w:r>
    </w:p>
    <w:p w14:paraId="4BD9E811" w14:textId="77777777" w:rsidR="00F501E8" w:rsidRDefault="00F501E8" w:rsidP="000855FC">
      <w:pPr>
        <w:rPr>
          <w:lang w:eastAsia="en-AU"/>
        </w:rPr>
      </w:pPr>
    </w:p>
    <w:p w14:paraId="1DA618D9" w14:textId="77777777" w:rsidR="000855FC" w:rsidRPr="000855FC" w:rsidRDefault="000855FC" w:rsidP="000855FC">
      <w:pPr>
        <w:rPr>
          <w:lang w:eastAsia="en-AU"/>
        </w:rPr>
      </w:pPr>
      <w:r w:rsidRPr="000855FC">
        <w:rPr>
          <w:lang w:eastAsia="en-AU"/>
        </w:rPr>
        <w:t>Details of the Regulations</w:t>
      </w:r>
      <w:r w:rsidRPr="000855FC">
        <w:rPr>
          <w:i/>
          <w:lang w:eastAsia="en-AU"/>
        </w:rPr>
        <w:t xml:space="preserve"> </w:t>
      </w:r>
      <w:r w:rsidRPr="000855FC">
        <w:rPr>
          <w:lang w:eastAsia="en-AU"/>
        </w:rPr>
        <w:t xml:space="preserve">are set out in the </w:t>
      </w:r>
      <w:r w:rsidRPr="000855FC">
        <w:rPr>
          <w:u w:val="single"/>
          <w:lang w:eastAsia="en-AU"/>
        </w:rPr>
        <w:t>Attachment</w:t>
      </w:r>
      <w:r w:rsidRPr="000855FC">
        <w:rPr>
          <w:lang w:eastAsia="en-AU"/>
        </w:rPr>
        <w:t>.</w:t>
      </w:r>
    </w:p>
    <w:p w14:paraId="0813FACD" w14:textId="77777777" w:rsidR="000855FC" w:rsidRPr="000855FC" w:rsidRDefault="000855FC" w:rsidP="000855FC">
      <w:pPr>
        <w:rPr>
          <w:lang w:eastAsia="en-AU"/>
        </w:rPr>
      </w:pPr>
    </w:p>
    <w:p w14:paraId="01894645" w14:textId="77777777" w:rsidR="000855FC" w:rsidRPr="000855FC" w:rsidRDefault="000855FC" w:rsidP="000855FC">
      <w:pPr>
        <w:rPr>
          <w:szCs w:val="20"/>
          <w:lang w:eastAsia="en-AU"/>
        </w:rPr>
      </w:pPr>
      <w:r w:rsidRPr="000855FC">
        <w:rPr>
          <w:szCs w:val="20"/>
          <w:lang w:eastAsia="en-AU"/>
        </w:rPr>
        <w:lastRenderedPageBreak/>
        <w:t xml:space="preserve">The Regulations are a legislative instrument for the purposes of the </w:t>
      </w:r>
      <w:r w:rsidRPr="000855FC">
        <w:rPr>
          <w:i/>
          <w:iCs/>
          <w:szCs w:val="20"/>
          <w:lang w:eastAsia="en-AU"/>
        </w:rPr>
        <w:t>Legislation Act 2003</w:t>
      </w:r>
      <w:r w:rsidRPr="000855FC">
        <w:rPr>
          <w:szCs w:val="20"/>
          <w:lang w:eastAsia="en-AU"/>
        </w:rPr>
        <w:t>.</w:t>
      </w:r>
    </w:p>
    <w:p w14:paraId="0A597699" w14:textId="77777777" w:rsidR="000855FC" w:rsidRPr="000855FC" w:rsidRDefault="000855FC" w:rsidP="000855FC">
      <w:pPr>
        <w:rPr>
          <w:iCs/>
          <w:lang w:eastAsia="en-AU"/>
        </w:rPr>
      </w:pPr>
    </w:p>
    <w:p w14:paraId="25278189" w14:textId="77777777" w:rsidR="000855FC" w:rsidRPr="000855FC" w:rsidRDefault="00680570" w:rsidP="000855FC">
      <w:pPr>
        <w:rPr>
          <w:lang w:eastAsia="en-AU"/>
        </w:rPr>
      </w:pPr>
      <w:r>
        <w:rPr>
          <w:lang w:eastAsia="en-AU"/>
        </w:rPr>
        <w:t>The Regulations commence</w:t>
      </w:r>
      <w:r w:rsidR="000855FC" w:rsidRPr="000855FC">
        <w:rPr>
          <w:lang w:eastAsia="en-AU"/>
        </w:rPr>
        <w:t xml:space="preserve"> on </w:t>
      </w:r>
      <w:r w:rsidR="00E3236B">
        <w:rPr>
          <w:lang w:eastAsia="en-AU"/>
        </w:rPr>
        <w:t>1 July 201</w:t>
      </w:r>
      <w:r w:rsidR="009B4A81">
        <w:rPr>
          <w:lang w:eastAsia="en-AU"/>
        </w:rPr>
        <w:t>9</w:t>
      </w:r>
      <w:r w:rsidR="000855FC" w:rsidRPr="000855FC">
        <w:rPr>
          <w:lang w:eastAsia="en-AU"/>
        </w:rPr>
        <w:t xml:space="preserve">.  </w:t>
      </w:r>
    </w:p>
    <w:p w14:paraId="77A11B5A" w14:textId="77777777" w:rsidR="000855FC" w:rsidRPr="000855FC" w:rsidRDefault="000855FC" w:rsidP="000855FC">
      <w:pPr>
        <w:rPr>
          <w:lang w:eastAsia="en-AU"/>
        </w:rPr>
      </w:pPr>
    </w:p>
    <w:p w14:paraId="64A243D6" w14:textId="7FE8D3B3" w:rsidR="000855FC" w:rsidRPr="000855FC" w:rsidRDefault="000855FC" w:rsidP="00261A62">
      <w:pPr>
        <w:tabs>
          <w:tab w:val="left" w:pos="4395"/>
          <w:tab w:val="left" w:pos="5670"/>
        </w:tabs>
        <w:ind w:left="5670" w:hanging="1275"/>
        <w:jc w:val="center"/>
        <w:rPr>
          <w:lang w:eastAsia="en-AU"/>
        </w:rPr>
      </w:pPr>
      <w:r w:rsidRPr="000855FC">
        <w:rPr>
          <w:u w:val="single"/>
          <w:lang w:eastAsia="en-AU"/>
        </w:rPr>
        <w:t>Authority</w:t>
      </w:r>
      <w:r w:rsidRPr="000855FC">
        <w:rPr>
          <w:lang w:eastAsia="en-AU"/>
        </w:rPr>
        <w:t xml:space="preserve">:   Subsection 133(1) of the </w:t>
      </w:r>
      <w:r w:rsidRPr="000855FC">
        <w:rPr>
          <w:i/>
          <w:lang w:eastAsia="en-AU"/>
        </w:rPr>
        <w:t>Health Insurance Act 1973</w:t>
      </w:r>
      <w:r w:rsidRPr="000855FC">
        <w:rPr>
          <w:lang w:eastAsia="en-AU"/>
        </w:rPr>
        <w:t xml:space="preserve">  </w:t>
      </w:r>
    </w:p>
    <w:p w14:paraId="451FE8EC" w14:textId="77777777" w:rsidR="00261A62" w:rsidRDefault="000855FC" w:rsidP="000855FC">
      <w:pPr>
        <w:ind w:left="284"/>
        <w:rPr>
          <w:lang w:eastAsia="en-AU"/>
        </w:rPr>
        <w:sectPr w:rsidR="00261A62" w:rsidSect="00C502D3">
          <w:headerReference w:type="default" r:id="rId11"/>
          <w:pgSz w:w="11906" w:h="16838"/>
          <w:pgMar w:top="1440" w:right="1800" w:bottom="993" w:left="1800" w:header="708" w:footer="708" w:gutter="0"/>
          <w:cols w:space="708"/>
          <w:docGrid w:linePitch="360"/>
        </w:sectPr>
      </w:pPr>
      <w:r w:rsidRPr="000855FC">
        <w:rPr>
          <w:lang w:eastAsia="en-AU"/>
        </w:rPr>
        <w:br w:type="page"/>
      </w:r>
    </w:p>
    <w:p w14:paraId="40115D42" w14:textId="258D9F2B" w:rsidR="000855FC" w:rsidRDefault="000855FC" w:rsidP="000855FC">
      <w:pPr>
        <w:ind w:left="284"/>
        <w:rPr>
          <w:lang w:eastAsia="en-AU"/>
        </w:rPr>
      </w:pPr>
    </w:p>
    <w:p w14:paraId="753371C2" w14:textId="77777777" w:rsidR="000855FC" w:rsidRPr="000855FC" w:rsidRDefault="000855FC" w:rsidP="000855FC">
      <w:pPr>
        <w:jc w:val="right"/>
        <w:rPr>
          <w:b/>
          <w:lang w:eastAsia="en-AU"/>
        </w:rPr>
      </w:pPr>
      <w:r w:rsidRPr="000855FC">
        <w:rPr>
          <w:b/>
          <w:lang w:eastAsia="en-AU"/>
        </w:rPr>
        <w:t xml:space="preserve">ATTACHMENT </w:t>
      </w:r>
    </w:p>
    <w:p w14:paraId="51A015F0" w14:textId="77777777" w:rsidR="000855FC" w:rsidRPr="000855FC" w:rsidRDefault="000855FC" w:rsidP="000855FC">
      <w:pPr>
        <w:rPr>
          <w:b/>
          <w:lang w:eastAsia="en-AU"/>
        </w:rPr>
      </w:pPr>
    </w:p>
    <w:p w14:paraId="057678C6" w14:textId="6CFC50F2" w:rsidR="000855FC" w:rsidRDefault="000855FC" w:rsidP="000855FC">
      <w:pPr>
        <w:rPr>
          <w:b/>
          <w:i/>
          <w:lang w:eastAsia="en-AU"/>
        </w:rPr>
      </w:pPr>
      <w:r w:rsidRPr="00010849">
        <w:rPr>
          <w:b/>
          <w:lang w:eastAsia="en-AU"/>
        </w:rPr>
        <w:t xml:space="preserve">Details of the </w:t>
      </w:r>
      <w:r w:rsidRPr="00010849">
        <w:rPr>
          <w:b/>
          <w:i/>
          <w:lang w:eastAsia="en-AU"/>
        </w:rPr>
        <w:t>Health</w:t>
      </w:r>
      <w:r w:rsidRPr="000855FC">
        <w:rPr>
          <w:b/>
          <w:i/>
          <w:lang w:eastAsia="en-AU"/>
        </w:rPr>
        <w:t xml:space="preserve"> Insurance (General Medical Services Table) Regulations 201</w:t>
      </w:r>
      <w:r w:rsidR="00D34891">
        <w:rPr>
          <w:b/>
          <w:i/>
          <w:lang w:eastAsia="en-AU"/>
        </w:rPr>
        <w:t>9</w:t>
      </w:r>
    </w:p>
    <w:p w14:paraId="2D03FC94" w14:textId="77777777" w:rsidR="000855FC" w:rsidRDefault="000855FC" w:rsidP="000855FC">
      <w:pPr>
        <w:rPr>
          <w:b/>
          <w:i/>
          <w:lang w:eastAsia="en-AU"/>
        </w:rPr>
      </w:pPr>
    </w:p>
    <w:p w14:paraId="0CFD7988" w14:textId="77777777" w:rsidR="000855FC" w:rsidRPr="000855FC" w:rsidRDefault="000855FC" w:rsidP="000855FC">
      <w:pPr>
        <w:keepNext/>
        <w:tabs>
          <w:tab w:val="left" w:pos="284"/>
        </w:tabs>
        <w:outlineLvl w:val="0"/>
        <w:rPr>
          <w:u w:val="single"/>
          <w:lang w:eastAsia="en-AU"/>
        </w:rPr>
      </w:pPr>
      <w:r w:rsidRPr="000855FC">
        <w:rPr>
          <w:u w:val="single"/>
          <w:lang w:eastAsia="en-AU"/>
        </w:rPr>
        <w:t xml:space="preserve">Section 1 – Name </w:t>
      </w:r>
    </w:p>
    <w:p w14:paraId="732C1FFC" w14:textId="77777777" w:rsidR="000855FC" w:rsidRPr="000855FC" w:rsidRDefault="000855FC" w:rsidP="000855FC">
      <w:pPr>
        <w:keepNext/>
        <w:outlineLvl w:val="0"/>
        <w:rPr>
          <w:sz w:val="16"/>
          <w:szCs w:val="16"/>
          <w:lang w:eastAsia="en-AU"/>
        </w:rPr>
      </w:pPr>
    </w:p>
    <w:p w14:paraId="7ED3EE9E" w14:textId="6BB223F6" w:rsidR="000855FC" w:rsidRPr="000855FC" w:rsidRDefault="000855FC" w:rsidP="000855FC">
      <w:pPr>
        <w:keepNext/>
        <w:outlineLvl w:val="0"/>
        <w:rPr>
          <w:lang w:eastAsia="en-AU"/>
        </w:rPr>
      </w:pPr>
      <w:r w:rsidRPr="000855FC">
        <w:rPr>
          <w:lang w:eastAsia="en-AU"/>
        </w:rPr>
        <w:t xml:space="preserve">This section </w:t>
      </w:r>
      <w:r>
        <w:rPr>
          <w:lang w:eastAsia="en-AU"/>
        </w:rPr>
        <w:t>p</w:t>
      </w:r>
      <w:r w:rsidRPr="000855FC">
        <w:rPr>
          <w:lang w:eastAsia="en-AU"/>
        </w:rPr>
        <w:t>rovide</w:t>
      </w:r>
      <w:r>
        <w:rPr>
          <w:lang w:eastAsia="en-AU"/>
        </w:rPr>
        <w:t>s</w:t>
      </w:r>
      <w:r w:rsidRPr="000855FC">
        <w:rPr>
          <w:lang w:eastAsia="en-AU"/>
        </w:rPr>
        <w:t xml:space="preserve"> for the Regulations to be referred to as the</w:t>
      </w:r>
      <w:r w:rsidRPr="000855FC">
        <w:rPr>
          <w:i/>
          <w:lang w:eastAsia="en-AU"/>
        </w:rPr>
        <w:t xml:space="preserve"> Health Insurance (General Medical Services Table) Regulations 201</w:t>
      </w:r>
      <w:r w:rsidR="00D34891">
        <w:rPr>
          <w:i/>
          <w:lang w:eastAsia="en-AU"/>
        </w:rPr>
        <w:t>9</w:t>
      </w:r>
      <w:r w:rsidRPr="000855FC">
        <w:rPr>
          <w:i/>
          <w:lang w:eastAsia="en-AU"/>
        </w:rPr>
        <w:t>.</w:t>
      </w:r>
    </w:p>
    <w:p w14:paraId="23762F24" w14:textId="77777777" w:rsidR="000855FC" w:rsidRPr="000855FC" w:rsidRDefault="000855FC" w:rsidP="000855FC">
      <w:pPr>
        <w:rPr>
          <w:highlight w:val="yellow"/>
          <w:lang w:eastAsia="en-AU"/>
        </w:rPr>
      </w:pPr>
    </w:p>
    <w:p w14:paraId="07FB48C8" w14:textId="77777777" w:rsidR="000855FC" w:rsidRPr="000855FC" w:rsidRDefault="000855FC" w:rsidP="000855FC">
      <w:pPr>
        <w:rPr>
          <w:u w:val="single"/>
          <w:lang w:eastAsia="en-AU"/>
        </w:rPr>
      </w:pPr>
      <w:r w:rsidRPr="000855FC">
        <w:rPr>
          <w:u w:val="single"/>
          <w:lang w:eastAsia="en-AU"/>
        </w:rPr>
        <w:t xml:space="preserve">Section 2 – Commencement </w:t>
      </w:r>
    </w:p>
    <w:p w14:paraId="4E23C5D2" w14:textId="77777777" w:rsidR="000855FC" w:rsidRPr="000855FC" w:rsidRDefault="000855FC" w:rsidP="000855FC">
      <w:pPr>
        <w:rPr>
          <w:sz w:val="16"/>
          <w:szCs w:val="16"/>
          <w:lang w:eastAsia="en-AU"/>
        </w:rPr>
      </w:pPr>
    </w:p>
    <w:p w14:paraId="4D68E6B9" w14:textId="61DB731D" w:rsidR="000855FC" w:rsidRPr="000855FC" w:rsidRDefault="000855FC" w:rsidP="000855FC">
      <w:pPr>
        <w:rPr>
          <w:lang w:eastAsia="en-AU"/>
        </w:rPr>
      </w:pPr>
      <w:r w:rsidRPr="000855FC">
        <w:rPr>
          <w:lang w:eastAsia="en-AU"/>
        </w:rPr>
        <w:t>This section provide</w:t>
      </w:r>
      <w:r>
        <w:rPr>
          <w:lang w:eastAsia="en-AU"/>
        </w:rPr>
        <w:t>s</w:t>
      </w:r>
      <w:r w:rsidRPr="000855FC">
        <w:rPr>
          <w:lang w:eastAsia="en-AU"/>
        </w:rPr>
        <w:t xml:space="preserve"> for the Regulations to commence </w:t>
      </w:r>
      <w:r w:rsidR="00430160">
        <w:rPr>
          <w:lang w:eastAsia="en-AU"/>
        </w:rPr>
        <w:t>on 1 July 201</w:t>
      </w:r>
      <w:r w:rsidR="00D34891">
        <w:rPr>
          <w:lang w:eastAsia="en-AU"/>
        </w:rPr>
        <w:t>9</w:t>
      </w:r>
      <w:r w:rsidRPr="000855FC">
        <w:rPr>
          <w:lang w:eastAsia="en-AU"/>
        </w:rPr>
        <w:t>.</w:t>
      </w:r>
    </w:p>
    <w:p w14:paraId="4C683474" w14:textId="77777777" w:rsidR="000855FC" w:rsidRPr="000855FC" w:rsidRDefault="000855FC" w:rsidP="000855FC">
      <w:pPr>
        <w:rPr>
          <w:highlight w:val="yellow"/>
          <w:lang w:eastAsia="en-AU"/>
        </w:rPr>
      </w:pPr>
    </w:p>
    <w:p w14:paraId="54B11989" w14:textId="77777777" w:rsidR="000855FC" w:rsidRPr="000855FC" w:rsidRDefault="000855FC" w:rsidP="000855FC">
      <w:pPr>
        <w:rPr>
          <w:u w:val="single"/>
          <w:lang w:eastAsia="en-AU"/>
        </w:rPr>
      </w:pPr>
      <w:r w:rsidRPr="000855FC">
        <w:rPr>
          <w:u w:val="single"/>
          <w:lang w:eastAsia="en-AU"/>
        </w:rPr>
        <w:t xml:space="preserve">Section 3 – Authority  </w:t>
      </w:r>
    </w:p>
    <w:p w14:paraId="292D7CFB" w14:textId="77777777" w:rsidR="000855FC" w:rsidRPr="000855FC" w:rsidRDefault="000855FC" w:rsidP="000855FC">
      <w:pPr>
        <w:rPr>
          <w:sz w:val="16"/>
          <w:szCs w:val="16"/>
          <w:lang w:eastAsia="en-AU"/>
        </w:rPr>
      </w:pPr>
    </w:p>
    <w:p w14:paraId="5120655A" w14:textId="77777777" w:rsidR="000855FC" w:rsidRPr="000855FC" w:rsidRDefault="000855FC" w:rsidP="000855FC">
      <w:pPr>
        <w:ind w:right="-483"/>
        <w:rPr>
          <w:lang w:eastAsia="en-AU"/>
        </w:rPr>
      </w:pPr>
      <w:r w:rsidRPr="000855FC">
        <w:rPr>
          <w:szCs w:val="20"/>
          <w:lang w:eastAsia="en-AU"/>
        </w:rPr>
        <w:t>This section provide</w:t>
      </w:r>
      <w:r>
        <w:rPr>
          <w:szCs w:val="20"/>
          <w:lang w:eastAsia="en-AU"/>
        </w:rPr>
        <w:t>s</w:t>
      </w:r>
      <w:r w:rsidRPr="000855FC">
        <w:rPr>
          <w:szCs w:val="20"/>
          <w:lang w:eastAsia="en-AU"/>
        </w:rPr>
        <w:t xml:space="preserve"> that the Regulations </w:t>
      </w:r>
      <w:r>
        <w:rPr>
          <w:szCs w:val="20"/>
          <w:lang w:eastAsia="en-AU"/>
        </w:rPr>
        <w:t>are</w:t>
      </w:r>
      <w:r w:rsidRPr="000855FC">
        <w:rPr>
          <w:szCs w:val="20"/>
          <w:lang w:eastAsia="en-AU"/>
        </w:rPr>
        <w:t xml:space="preserve"> made under the </w:t>
      </w:r>
      <w:r w:rsidRPr="000855FC">
        <w:rPr>
          <w:i/>
          <w:szCs w:val="20"/>
          <w:lang w:eastAsia="en-AU"/>
        </w:rPr>
        <w:t>Health Insurance Act 1973</w:t>
      </w:r>
      <w:r w:rsidRPr="000855FC">
        <w:rPr>
          <w:lang w:eastAsia="en-AU"/>
        </w:rPr>
        <w:t>.</w:t>
      </w:r>
    </w:p>
    <w:p w14:paraId="62DD0210" w14:textId="77777777" w:rsidR="000855FC" w:rsidRPr="000855FC" w:rsidRDefault="000855FC" w:rsidP="000855FC">
      <w:pPr>
        <w:tabs>
          <w:tab w:val="num" w:pos="1080"/>
        </w:tabs>
        <w:rPr>
          <w:highlight w:val="yellow"/>
          <w:lang w:eastAsia="en-AU"/>
        </w:rPr>
      </w:pPr>
    </w:p>
    <w:p w14:paraId="53A50DE2" w14:textId="77777777" w:rsidR="000855FC" w:rsidRPr="000855FC" w:rsidRDefault="000855FC" w:rsidP="000855FC">
      <w:pPr>
        <w:tabs>
          <w:tab w:val="num" w:pos="1080"/>
        </w:tabs>
        <w:rPr>
          <w:u w:val="single"/>
          <w:lang w:eastAsia="en-AU"/>
        </w:rPr>
      </w:pPr>
      <w:r w:rsidRPr="000855FC">
        <w:rPr>
          <w:u w:val="single"/>
          <w:lang w:eastAsia="en-AU"/>
        </w:rPr>
        <w:t xml:space="preserve">Section </w:t>
      </w:r>
      <w:r w:rsidR="00C3673D">
        <w:rPr>
          <w:u w:val="single"/>
          <w:lang w:eastAsia="en-AU"/>
        </w:rPr>
        <w:t>4</w:t>
      </w:r>
      <w:r w:rsidRPr="000855FC">
        <w:rPr>
          <w:u w:val="single"/>
          <w:lang w:eastAsia="en-AU"/>
        </w:rPr>
        <w:t xml:space="preserve"> – General medical services table</w:t>
      </w:r>
    </w:p>
    <w:p w14:paraId="7E126A6B" w14:textId="77777777" w:rsidR="000855FC" w:rsidRPr="00E251ED" w:rsidRDefault="000855FC" w:rsidP="000855FC">
      <w:pPr>
        <w:tabs>
          <w:tab w:val="num" w:pos="1080"/>
        </w:tabs>
        <w:rPr>
          <w:lang w:eastAsia="en-AU"/>
        </w:rPr>
      </w:pPr>
    </w:p>
    <w:p w14:paraId="23898A7A" w14:textId="77777777" w:rsidR="000855FC" w:rsidRPr="000855FC" w:rsidRDefault="000855FC" w:rsidP="000855FC">
      <w:pPr>
        <w:tabs>
          <w:tab w:val="num" w:pos="1080"/>
        </w:tabs>
        <w:rPr>
          <w:lang w:eastAsia="en-AU"/>
        </w:rPr>
      </w:pPr>
      <w:r w:rsidRPr="000855FC">
        <w:rPr>
          <w:lang w:eastAsia="en-AU"/>
        </w:rPr>
        <w:t>This section provide</w:t>
      </w:r>
      <w:r>
        <w:rPr>
          <w:lang w:eastAsia="en-AU"/>
        </w:rPr>
        <w:t>s</w:t>
      </w:r>
      <w:r w:rsidRPr="000855FC">
        <w:rPr>
          <w:lang w:eastAsia="en-AU"/>
        </w:rPr>
        <w:t xml:space="preserve"> that the new table of medical services set out in Schedule 1 be prescribed for subsection 4(1) of the Act.</w:t>
      </w:r>
    </w:p>
    <w:p w14:paraId="6E922AAE" w14:textId="77777777" w:rsidR="000855FC" w:rsidRPr="000855FC" w:rsidRDefault="000855FC" w:rsidP="000855FC">
      <w:pPr>
        <w:tabs>
          <w:tab w:val="num" w:pos="1080"/>
        </w:tabs>
        <w:rPr>
          <w:lang w:eastAsia="en-AU"/>
        </w:rPr>
      </w:pPr>
    </w:p>
    <w:p w14:paraId="787C5689" w14:textId="77777777" w:rsidR="000855FC" w:rsidRPr="000855FC" w:rsidRDefault="000855FC" w:rsidP="000855FC">
      <w:pPr>
        <w:tabs>
          <w:tab w:val="num" w:pos="1080"/>
        </w:tabs>
        <w:rPr>
          <w:u w:val="single"/>
          <w:lang w:eastAsia="en-AU"/>
        </w:rPr>
      </w:pPr>
      <w:r w:rsidRPr="000855FC">
        <w:rPr>
          <w:u w:val="single"/>
          <w:lang w:eastAsia="en-AU"/>
        </w:rPr>
        <w:t xml:space="preserve">Section </w:t>
      </w:r>
      <w:r w:rsidR="00C3673D">
        <w:rPr>
          <w:u w:val="single"/>
          <w:lang w:eastAsia="en-AU"/>
        </w:rPr>
        <w:t>5</w:t>
      </w:r>
      <w:r w:rsidRPr="000855FC">
        <w:rPr>
          <w:u w:val="single"/>
          <w:lang w:eastAsia="en-AU"/>
        </w:rPr>
        <w:t xml:space="preserve"> – Dictionary </w:t>
      </w:r>
    </w:p>
    <w:p w14:paraId="5510B363" w14:textId="77777777" w:rsidR="000855FC" w:rsidRPr="000855FC" w:rsidRDefault="000855FC" w:rsidP="000855FC">
      <w:pPr>
        <w:tabs>
          <w:tab w:val="num" w:pos="1080"/>
        </w:tabs>
        <w:rPr>
          <w:u w:val="single"/>
          <w:lang w:eastAsia="en-AU"/>
        </w:rPr>
      </w:pPr>
    </w:p>
    <w:p w14:paraId="7CBED346" w14:textId="77777777" w:rsidR="000855FC" w:rsidRDefault="000855FC" w:rsidP="000855FC">
      <w:pPr>
        <w:tabs>
          <w:tab w:val="num" w:pos="1080"/>
          <w:tab w:val="center" w:pos="4153"/>
          <w:tab w:val="right" w:pos="8306"/>
        </w:tabs>
        <w:rPr>
          <w:lang w:eastAsia="en-AU"/>
        </w:rPr>
      </w:pPr>
      <w:r w:rsidRPr="000855FC">
        <w:rPr>
          <w:lang w:eastAsia="en-AU"/>
        </w:rPr>
        <w:t>This section provide</w:t>
      </w:r>
      <w:r>
        <w:rPr>
          <w:lang w:eastAsia="en-AU"/>
        </w:rPr>
        <w:t>s</w:t>
      </w:r>
      <w:r w:rsidRPr="000855FC">
        <w:rPr>
          <w:lang w:eastAsia="en-AU"/>
        </w:rPr>
        <w:t xml:space="preserve"> for a Dictionary in Part 3 of Schedule 1 at the end of the Regulations.</w:t>
      </w:r>
    </w:p>
    <w:p w14:paraId="3FBC1D5D" w14:textId="77777777" w:rsidR="00C3673D" w:rsidRDefault="00C3673D" w:rsidP="000855FC">
      <w:pPr>
        <w:tabs>
          <w:tab w:val="num" w:pos="1080"/>
          <w:tab w:val="center" w:pos="4153"/>
          <w:tab w:val="right" w:pos="8306"/>
        </w:tabs>
        <w:rPr>
          <w:lang w:eastAsia="en-AU"/>
        </w:rPr>
      </w:pPr>
    </w:p>
    <w:p w14:paraId="2EBF5938" w14:textId="77777777" w:rsidR="00C3673D" w:rsidRPr="000855FC" w:rsidRDefault="00C3673D" w:rsidP="00C3673D">
      <w:pPr>
        <w:tabs>
          <w:tab w:val="num" w:pos="1080"/>
        </w:tabs>
        <w:rPr>
          <w:u w:val="single"/>
          <w:lang w:eastAsia="en-AU"/>
        </w:rPr>
      </w:pPr>
      <w:r>
        <w:rPr>
          <w:u w:val="single"/>
          <w:lang w:eastAsia="en-AU"/>
        </w:rPr>
        <w:t>Section 6 – Schedule 2</w:t>
      </w:r>
    </w:p>
    <w:p w14:paraId="7DCE8A6A" w14:textId="77777777" w:rsidR="00C3673D" w:rsidRPr="000855FC" w:rsidRDefault="00C3673D" w:rsidP="00C3673D">
      <w:pPr>
        <w:tabs>
          <w:tab w:val="num" w:pos="1080"/>
        </w:tabs>
        <w:rPr>
          <w:u w:val="single"/>
          <w:lang w:eastAsia="en-AU"/>
        </w:rPr>
      </w:pPr>
    </w:p>
    <w:p w14:paraId="77A0F2E0" w14:textId="77777777" w:rsidR="00C3673D" w:rsidRPr="000855FC" w:rsidRDefault="00C3673D" w:rsidP="00C3673D">
      <w:pPr>
        <w:ind w:right="-483"/>
        <w:rPr>
          <w:szCs w:val="20"/>
          <w:lang w:eastAsia="en-AU"/>
        </w:rPr>
      </w:pPr>
      <w:r w:rsidRPr="000855FC">
        <w:rPr>
          <w:szCs w:val="20"/>
          <w:lang w:eastAsia="en-AU"/>
        </w:rPr>
        <w:t>This section provide</w:t>
      </w:r>
      <w:r>
        <w:rPr>
          <w:szCs w:val="20"/>
          <w:lang w:eastAsia="en-AU"/>
        </w:rPr>
        <w:t>s</w:t>
      </w:r>
      <w:r w:rsidRPr="000855FC">
        <w:rPr>
          <w:szCs w:val="20"/>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74926AA4" w14:textId="77777777" w:rsidR="000855FC" w:rsidRDefault="000855FC" w:rsidP="000855FC">
      <w:pPr>
        <w:tabs>
          <w:tab w:val="num" w:pos="1080"/>
          <w:tab w:val="center" w:pos="4153"/>
          <w:tab w:val="right" w:pos="8306"/>
        </w:tabs>
        <w:rPr>
          <w:lang w:eastAsia="en-AU"/>
        </w:rPr>
      </w:pPr>
    </w:p>
    <w:p w14:paraId="30120BBE" w14:textId="77777777" w:rsidR="008F38BA" w:rsidRPr="00016DAD" w:rsidRDefault="008F38BA" w:rsidP="008F38BA">
      <w:pPr>
        <w:tabs>
          <w:tab w:val="num" w:pos="2289"/>
        </w:tabs>
        <w:rPr>
          <w:u w:val="single"/>
          <w:lang w:val="en-US"/>
        </w:rPr>
      </w:pPr>
      <w:r w:rsidRPr="00016DAD">
        <w:rPr>
          <w:u w:val="single"/>
          <w:lang w:val="en-US"/>
        </w:rPr>
        <w:t>Schedule 1 – General medical services table</w:t>
      </w:r>
    </w:p>
    <w:p w14:paraId="3F593CBC" w14:textId="77777777" w:rsidR="008F38BA" w:rsidRPr="00016DAD" w:rsidRDefault="008F38BA" w:rsidP="008F38BA"/>
    <w:p w14:paraId="41AEDE58" w14:textId="77777777" w:rsidR="00AA0B23" w:rsidRDefault="008F38BA" w:rsidP="00207867">
      <w:r w:rsidRPr="00EE6FE6">
        <w:t xml:space="preserve">This part of the </w:t>
      </w:r>
      <w:r>
        <w:t>R</w:t>
      </w:r>
      <w:r w:rsidRPr="00EE6FE6">
        <w:t>egulation</w:t>
      </w:r>
      <w:r>
        <w:t>s remake</w:t>
      </w:r>
      <w:r w:rsidR="00CC5E0C">
        <w:t>s</w:t>
      </w:r>
      <w:r>
        <w:t xml:space="preserve"> </w:t>
      </w:r>
      <w:r w:rsidRPr="00EE6FE6">
        <w:t>the</w:t>
      </w:r>
      <w:r>
        <w:t xml:space="preserve"> </w:t>
      </w:r>
      <w:r w:rsidRPr="006C2A33">
        <w:t>existing</w:t>
      </w:r>
      <w:r w:rsidRPr="00EE6FE6">
        <w:t xml:space="preserve"> </w:t>
      </w:r>
      <w:r>
        <w:t xml:space="preserve">general medical services table, which is currently prescribed by the </w:t>
      </w:r>
      <w:r w:rsidR="00AA0B23" w:rsidRPr="00AA0B23">
        <w:rPr>
          <w:i/>
        </w:rPr>
        <w:t>Health Insurance (General Medical Services Table) Regulations 2018</w:t>
      </w:r>
      <w:r w:rsidRPr="00AA0B23">
        <w:t>.</w:t>
      </w:r>
      <w:r w:rsidR="00DF2FAB">
        <w:t xml:space="preserve"> </w:t>
      </w:r>
    </w:p>
    <w:p w14:paraId="2C3912F4" w14:textId="77777777" w:rsidR="00AA0B23" w:rsidRDefault="00AA0B23" w:rsidP="00207867"/>
    <w:p w14:paraId="5D22D137" w14:textId="05085888" w:rsidR="008F38BA" w:rsidRDefault="00207867" w:rsidP="00207867">
      <w:r>
        <w:t xml:space="preserve">In addition, the Regulations will commence the </w:t>
      </w:r>
      <w:r w:rsidR="00065031">
        <w:t>third</w:t>
      </w:r>
      <w:r>
        <w:t xml:space="preserve"> phase of the </w:t>
      </w:r>
      <w:r w:rsidRPr="00E00FA2">
        <w:rPr>
          <w:i/>
        </w:rPr>
        <w:t>Guaranteeing Medicare - Medicare Benefits Schedule - indexation</w:t>
      </w:r>
      <w:r>
        <w:t xml:space="preserve"> measure by indexing </w:t>
      </w:r>
      <w:r w:rsidR="001B0FA5">
        <w:t>almost 4</w:t>
      </w:r>
      <w:r w:rsidR="007165F3">
        <w:t>,</w:t>
      </w:r>
      <w:r w:rsidR="001B0FA5">
        <w:t>000</w:t>
      </w:r>
      <w:r w:rsidR="00CE6237" w:rsidRPr="00551F61">
        <w:t xml:space="preserve"> </w:t>
      </w:r>
      <w:r w:rsidR="005F1EF5" w:rsidRPr="005F1EF5">
        <w:t xml:space="preserve">items </w:t>
      </w:r>
      <w:r>
        <w:t xml:space="preserve">across </w:t>
      </w:r>
      <w:r w:rsidR="00065031">
        <w:t>procedur</w:t>
      </w:r>
      <w:r w:rsidR="00742D61">
        <w:t>al</w:t>
      </w:r>
      <w:r w:rsidR="001B0FA5">
        <w:t xml:space="preserve"> and therapeutic services</w:t>
      </w:r>
      <w:r w:rsidR="00065031">
        <w:t xml:space="preserve">, </w:t>
      </w:r>
      <w:r>
        <w:t>standard GP consultations (</w:t>
      </w:r>
      <w:r w:rsidR="00845338">
        <w:t>attendances in group</w:t>
      </w:r>
      <w:r>
        <w:t xml:space="preserve"> A1), specialist attendances and </w:t>
      </w:r>
      <w:r w:rsidR="001B0FA5">
        <w:t xml:space="preserve">the </w:t>
      </w:r>
      <w:r>
        <w:t>GP bulk</w:t>
      </w:r>
      <w:r w:rsidR="001B0FA5">
        <w:t xml:space="preserve"> </w:t>
      </w:r>
      <w:r>
        <w:t>billing incentive items.</w:t>
      </w:r>
    </w:p>
    <w:p w14:paraId="338A5A00" w14:textId="77777777" w:rsidR="003B74E0" w:rsidRDefault="003B74E0" w:rsidP="00415E6D"/>
    <w:p w14:paraId="3C1E11DC" w14:textId="4BC34233" w:rsidR="00D77EBE" w:rsidRPr="005A1AE6" w:rsidRDefault="00D77EBE" w:rsidP="00F550F1">
      <w:pPr>
        <w:rPr>
          <w:b/>
        </w:rPr>
      </w:pPr>
      <w:r w:rsidRPr="005A1AE6">
        <w:rPr>
          <w:b/>
        </w:rPr>
        <w:t>Application of items 16590, 16591 and 16407</w:t>
      </w:r>
    </w:p>
    <w:p w14:paraId="689FEBF4" w14:textId="5D73BB32" w:rsidR="001300F6" w:rsidRPr="005A1AE6" w:rsidRDefault="001300F6" w:rsidP="001300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rPr>
          <w:lang w:eastAsia="en-AU"/>
        </w:rPr>
      </w:pPr>
      <w:r w:rsidRPr="005A1AE6">
        <w:rPr>
          <w:lang w:eastAsia="en-AU"/>
        </w:rPr>
        <w:t xml:space="preserve">As part of an antenatal (items 16590 and 16591) or a postnatal (item 16407) service, it is expected that a medical practitioner </w:t>
      </w:r>
      <w:r w:rsidR="00DF3AF6">
        <w:rPr>
          <w:lang w:eastAsia="en-AU"/>
        </w:rPr>
        <w:t>is</w:t>
      </w:r>
      <w:r w:rsidRPr="005A1AE6">
        <w:rPr>
          <w:lang w:eastAsia="en-AU"/>
        </w:rPr>
        <w:t xml:space="preserve"> required to enquire about the mental wellbeing of the patient and undertake a more comprehensive assessment where agreed to by the patient. This would include a discussion about factors that pose a significant risk to mental health, such as drug and alcohol use and domestic violence. This would then enable monitoring or referral for appropriate assessment, support and treatment, and facilitate education about the inherent risks of drug and alcohol misuse in pregnancy.</w:t>
      </w:r>
    </w:p>
    <w:p w14:paraId="5A2BD0F9" w14:textId="77777777" w:rsidR="001300F6" w:rsidRPr="005A1AE6" w:rsidRDefault="001300F6" w:rsidP="001300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rPr>
          <w:lang w:eastAsia="en-AU"/>
        </w:rPr>
      </w:pPr>
    </w:p>
    <w:p w14:paraId="5DFCB86C" w14:textId="77777777" w:rsidR="001300F6" w:rsidRPr="005A1AE6" w:rsidRDefault="001300F6" w:rsidP="00F550F1">
      <w:pPr>
        <w:rPr>
          <w:lang w:eastAsia="en-AU"/>
        </w:rPr>
      </w:pPr>
      <w:r w:rsidRPr="005A1AE6">
        <w:rPr>
          <w:lang w:eastAsia="en-AU"/>
        </w:rPr>
        <w:t>It is not intended that the screening for drug and alcohol use would require diagnostic testing of the patient. It is also not intended that a patient would be ineligible for Medicare benefit</w:t>
      </w:r>
      <w:r w:rsidR="00595FF9" w:rsidRPr="005A1AE6">
        <w:rPr>
          <w:lang w:eastAsia="en-AU"/>
        </w:rPr>
        <w:t>s</w:t>
      </w:r>
      <w:r w:rsidRPr="005A1AE6">
        <w:rPr>
          <w:lang w:eastAsia="en-AU"/>
        </w:rPr>
        <w:t xml:space="preserve"> if the patient declines to receive a comprehensive mental health assessment. In that scenario, a Medicare benefit would still be payable providing the medical practitioner had enquired about the patient’s mental wellbeing.</w:t>
      </w:r>
    </w:p>
    <w:p w14:paraId="433BEA84" w14:textId="77777777" w:rsidR="001300F6" w:rsidRPr="005A1AE6" w:rsidRDefault="001300F6" w:rsidP="00F550F1">
      <w:pPr>
        <w:rPr>
          <w:lang w:eastAsia="en-AU"/>
        </w:rPr>
      </w:pPr>
    </w:p>
    <w:p w14:paraId="6CA09747" w14:textId="67791D64" w:rsidR="001300F6" w:rsidRDefault="001300F6" w:rsidP="00F550F1">
      <w:pPr>
        <w:rPr>
          <w:lang w:eastAsia="en-AU"/>
        </w:rPr>
      </w:pPr>
      <w:r w:rsidRPr="005A1AE6">
        <w:rPr>
          <w:lang w:eastAsia="en-AU"/>
        </w:rPr>
        <w:t xml:space="preserve">Further guidance </w:t>
      </w:r>
      <w:r w:rsidR="00F550F1" w:rsidRPr="005A1AE6">
        <w:rPr>
          <w:lang w:eastAsia="en-AU"/>
        </w:rPr>
        <w:t xml:space="preserve">around the </w:t>
      </w:r>
      <w:r w:rsidR="00DF3AF6">
        <w:rPr>
          <w:lang w:eastAsia="en-AU"/>
        </w:rPr>
        <w:t>claiming</w:t>
      </w:r>
      <w:r w:rsidR="00F550F1" w:rsidRPr="005A1AE6">
        <w:rPr>
          <w:lang w:eastAsia="en-AU"/>
        </w:rPr>
        <w:t xml:space="preserve"> of items under Medicare </w:t>
      </w:r>
      <w:r w:rsidRPr="005A1AE6">
        <w:rPr>
          <w:lang w:eastAsia="en-AU"/>
        </w:rPr>
        <w:t xml:space="preserve">can be obtained in the explanatory notes that are </w:t>
      </w:r>
      <w:r w:rsidR="005A0AF2" w:rsidRPr="005A1AE6">
        <w:rPr>
          <w:lang w:eastAsia="en-AU"/>
        </w:rPr>
        <w:t>availab</w:t>
      </w:r>
      <w:r w:rsidR="005A1AE6">
        <w:rPr>
          <w:lang w:eastAsia="en-AU"/>
        </w:rPr>
        <w:t xml:space="preserve">le at </w:t>
      </w:r>
      <w:hyperlink r:id="rId12" w:history="1">
        <w:r w:rsidR="005A1AE6" w:rsidRPr="00442DFF">
          <w:rPr>
            <w:rStyle w:val="Hyperlink"/>
            <w:lang w:eastAsia="en-AU"/>
          </w:rPr>
          <w:t>www.mbsonline.gov.au</w:t>
        </w:r>
      </w:hyperlink>
      <w:r w:rsidR="005A1AE6">
        <w:rPr>
          <w:lang w:eastAsia="en-AU"/>
        </w:rPr>
        <w:t xml:space="preserve">. </w:t>
      </w:r>
    </w:p>
    <w:p w14:paraId="67D86A03" w14:textId="77777777" w:rsidR="00D77EBE" w:rsidRDefault="00D77EBE" w:rsidP="008F38BA">
      <w:pPr>
        <w:pStyle w:val="BodyText"/>
        <w:rPr>
          <w:b w:val="0"/>
          <w:u w:val="single"/>
        </w:rPr>
      </w:pPr>
    </w:p>
    <w:p w14:paraId="7467F298" w14:textId="77777777" w:rsidR="008F38BA" w:rsidRPr="00016DAD" w:rsidRDefault="008F38BA" w:rsidP="008F38BA">
      <w:pPr>
        <w:pStyle w:val="BodyText"/>
        <w:rPr>
          <w:b w:val="0"/>
          <w:u w:val="single"/>
        </w:rPr>
      </w:pPr>
      <w:r w:rsidRPr="00016DAD">
        <w:rPr>
          <w:b w:val="0"/>
          <w:u w:val="single"/>
        </w:rPr>
        <w:t>Schedule 2 – Repeal</w:t>
      </w:r>
      <w:r>
        <w:rPr>
          <w:b w:val="0"/>
          <w:u w:val="single"/>
        </w:rPr>
        <w:t>s</w:t>
      </w:r>
    </w:p>
    <w:p w14:paraId="52D29493" w14:textId="77777777" w:rsidR="008F38BA" w:rsidRPr="008F38BA" w:rsidRDefault="008F38BA" w:rsidP="008F38BA">
      <w:pPr>
        <w:pStyle w:val="BodyText"/>
        <w:rPr>
          <w:b w:val="0"/>
          <w:szCs w:val="24"/>
          <w:u w:val="single"/>
        </w:rPr>
      </w:pPr>
    </w:p>
    <w:p w14:paraId="2025A20C" w14:textId="77777777" w:rsidR="00261A62" w:rsidRDefault="008F38BA" w:rsidP="00F43216">
      <w:pPr>
        <w:pStyle w:val="BodyText"/>
        <w:rPr>
          <w:b w:val="0"/>
        </w:rPr>
        <w:sectPr w:rsidR="00261A62" w:rsidSect="00261A62">
          <w:pgSz w:w="11906" w:h="16838"/>
          <w:pgMar w:top="1440" w:right="1800" w:bottom="993" w:left="1800" w:header="708" w:footer="708" w:gutter="0"/>
          <w:pgNumType w:start="1"/>
          <w:cols w:space="708"/>
          <w:docGrid w:linePitch="360"/>
        </w:sectPr>
      </w:pPr>
      <w:r w:rsidRPr="00016DAD">
        <w:rPr>
          <w:b w:val="0"/>
        </w:rPr>
        <w:t>This section repeal</w:t>
      </w:r>
      <w:r w:rsidR="00ED2BB8">
        <w:rPr>
          <w:b w:val="0"/>
        </w:rPr>
        <w:t>s</w:t>
      </w:r>
      <w:r w:rsidRPr="00016DAD">
        <w:rPr>
          <w:b w:val="0"/>
        </w:rPr>
        <w:t xml:space="preserve"> the </w:t>
      </w:r>
      <w:r w:rsidRPr="00016DAD">
        <w:rPr>
          <w:b w:val="0"/>
          <w:i/>
        </w:rPr>
        <w:t>Health Insurance (General Medical Services Table) Regulation</w:t>
      </w:r>
      <w:r w:rsidR="00010849">
        <w:rPr>
          <w:b w:val="0"/>
          <w:i/>
        </w:rPr>
        <w:t>s</w:t>
      </w:r>
      <w:r w:rsidRPr="00016DAD">
        <w:rPr>
          <w:b w:val="0"/>
          <w:i/>
        </w:rPr>
        <w:t xml:space="preserve"> </w:t>
      </w:r>
      <w:r>
        <w:rPr>
          <w:b w:val="0"/>
          <w:i/>
        </w:rPr>
        <w:t>201</w:t>
      </w:r>
      <w:r w:rsidR="008A3246">
        <w:rPr>
          <w:b w:val="0"/>
          <w:i/>
        </w:rPr>
        <w:t>8</w:t>
      </w:r>
      <w:r w:rsidRPr="00016DAD">
        <w:rPr>
          <w:b w:val="0"/>
        </w:rPr>
        <w:t xml:space="preserve">. </w:t>
      </w:r>
    </w:p>
    <w:p w14:paraId="54244B82" w14:textId="24DF903D" w:rsidR="00261A62" w:rsidRPr="006807AA" w:rsidRDefault="00261A62" w:rsidP="00AA0B23">
      <w:pPr>
        <w:spacing w:before="120" w:after="120"/>
        <w:jc w:val="center"/>
        <w:rPr>
          <w:b/>
          <w:sz w:val="28"/>
          <w:szCs w:val="28"/>
          <w:lang w:eastAsia="en-AU"/>
        </w:rPr>
      </w:pPr>
      <w:r w:rsidRPr="006807AA">
        <w:rPr>
          <w:b/>
          <w:sz w:val="28"/>
          <w:szCs w:val="28"/>
          <w:lang w:eastAsia="en-AU"/>
        </w:rPr>
        <w:t>Statement of Compatibility with Human Rights</w:t>
      </w:r>
    </w:p>
    <w:p w14:paraId="0F71998A" w14:textId="77777777" w:rsidR="00261A62" w:rsidRPr="006807AA" w:rsidRDefault="00261A62" w:rsidP="00261A62">
      <w:pPr>
        <w:spacing w:before="120" w:after="120"/>
        <w:jc w:val="center"/>
        <w:rPr>
          <w:lang w:eastAsia="en-AU"/>
        </w:rPr>
      </w:pPr>
      <w:r w:rsidRPr="006807AA">
        <w:rPr>
          <w:i/>
          <w:lang w:eastAsia="en-AU"/>
        </w:rPr>
        <w:t>Prepared in accordance with Part 3 of the Human Rights (Parliamentary Scrutiny) Act 2011</w:t>
      </w:r>
    </w:p>
    <w:p w14:paraId="141BF869" w14:textId="77777777" w:rsidR="00261A62" w:rsidRPr="006807AA" w:rsidRDefault="00261A62" w:rsidP="00261A62">
      <w:pPr>
        <w:tabs>
          <w:tab w:val="left" w:pos="1418"/>
        </w:tabs>
        <w:ind w:left="851"/>
        <w:jc w:val="center"/>
        <w:rPr>
          <w:b/>
          <w:i/>
          <w:lang w:eastAsia="en-AU"/>
        </w:rPr>
      </w:pPr>
      <w:r w:rsidRPr="006807AA">
        <w:rPr>
          <w:b/>
          <w:i/>
          <w:lang w:eastAsia="en-AU"/>
        </w:rPr>
        <w:t>Health Insurance (General Medical Services Table) Regulations 2019</w:t>
      </w:r>
    </w:p>
    <w:p w14:paraId="10158D3E" w14:textId="77777777" w:rsidR="00261A62" w:rsidRPr="006807AA" w:rsidRDefault="00261A62" w:rsidP="00261A62">
      <w:pPr>
        <w:tabs>
          <w:tab w:val="left" w:pos="1418"/>
        </w:tabs>
        <w:ind w:left="851"/>
        <w:jc w:val="center"/>
        <w:rPr>
          <w:b/>
          <w:i/>
          <w:lang w:eastAsia="en-AU"/>
        </w:rPr>
      </w:pPr>
    </w:p>
    <w:p w14:paraId="25D846BC" w14:textId="77777777" w:rsidR="00261A62" w:rsidRPr="006807AA" w:rsidRDefault="00261A62" w:rsidP="00261A62">
      <w:pPr>
        <w:jc w:val="center"/>
        <w:rPr>
          <w:lang w:eastAsia="en-AU"/>
        </w:rPr>
      </w:pPr>
      <w:r w:rsidRPr="006807AA">
        <w:rPr>
          <w:lang w:eastAsia="en-AU"/>
        </w:rPr>
        <w:t xml:space="preserve">This Regulation is compatible with the human rights and freedoms recognised or declared in the international instruments listed in section 3 of the </w:t>
      </w:r>
      <w:r w:rsidRPr="006807AA">
        <w:rPr>
          <w:i/>
          <w:lang w:eastAsia="en-AU"/>
        </w:rPr>
        <w:t>Human Rights (Parliamentary Scrutiny) Act 2011</w:t>
      </w:r>
      <w:r w:rsidRPr="006807AA">
        <w:rPr>
          <w:lang w:eastAsia="en-AU"/>
        </w:rPr>
        <w:t>.</w:t>
      </w:r>
    </w:p>
    <w:p w14:paraId="751E7183" w14:textId="77777777" w:rsidR="00261A62" w:rsidRPr="00AE205D" w:rsidRDefault="00261A62" w:rsidP="00261A62">
      <w:pPr>
        <w:jc w:val="center"/>
        <w:rPr>
          <w:highlight w:val="yellow"/>
          <w:lang w:eastAsia="en-AU"/>
        </w:rPr>
      </w:pPr>
    </w:p>
    <w:p w14:paraId="2BF598EA" w14:textId="77777777" w:rsidR="00261A62" w:rsidRPr="00865BE4" w:rsidRDefault="00261A62" w:rsidP="00261A62">
      <w:pPr>
        <w:spacing w:before="120" w:after="120"/>
        <w:ind w:right="-483"/>
        <w:rPr>
          <w:b/>
          <w:lang w:eastAsia="en-AU"/>
        </w:rPr>
      </w:pPr>
      <w:r w:rsidRPr="00865BE4">
        <w:rPr>
          <w:b/>
          <w:lang w:eastAsia="en-AU"/>
        </w:rPr>
        <w:t>Overview of the Disallowable Legislative Instrument</w:t>
      </w:r>
    </w:p>
    <w:p w14:paraId="07F81942" w14:textId="77777777" w:rsidR="00261A62" w:rsidRDefault="00261A62" w:rsidP="00261A62">
      <w:pPr>
        <w:spacing w:before="120" w:after="120"/>
        <w:rPr>
          <w:lang w:eastAsia="en-AU"/>
        </w:rPr>
      </w:pPr>
      <w:r>
        <w:rPr>
          <w:lang w:eastAsia="en-AU"/>
        </w:rPr>
        <w:t xml:space="preserve">The purpose of the </w:t>
      </w:r>
      <w:r w:rsidRPr="00E00FA2">
        <w:rPr>
          <w:i/>
          <w:lang w:eastAsia="en-AU"/>
        </w:rPr>
        <w:t>Health Insurance (General Medical Services Table) Regulations 201</w:t>
      </w:r>
      <w:r>
        <w:rPr>
          <w:i/>
          <w:lang w:eastAsia="en-AU"/>
        </w:rPr>
        <w:t>9</w:t>
      </w:r>
      <w:r>
        <w:rPr>
          <w:lang w:eastAsia="en-AU"/>
        </w:rPr>
        <w:t xml:space="preserve"> (the Regulations) is to repeal the </w:t>
      </w:r>
      <w:r w:rsidRPr="00865BE4">
        <w:rPr>
          <w:i/>
          <w:lang w:eastAsia="en-AU"/>
        </w:rPr>
        <w:t>Health Insurance (General Medical Services Table) Regulations 2018</w:t>
      </w:r>
      <w:r w:rsidRPr="00865BE4">
        <w:rPr>
          <w:lang w:eastAsia="en-AU"/>
        </w:rPr>
        <w:t xml:space="preserve"> </w:t>
      </w:r>
      <w:r>
        <w:rPr>
          <w:lang w:eastAsia="en-AU"/>
        </w:rPr>
        <w:t xml:space="preserve">and prescribe a new table of medical services from 1 July 2019. This will ensure that Medicare benefits continue to be payable for medical services performed by GPs, specialists and consultant physicians. </w:t>
      </w:r>
    </w:p>
    <w:p w14:paraId="53EDC10F" w14:textId="77777777" w:rsidR="00261A62" w:rsidRDefault="00261A62" w:rsidP="00261A62">
      <w:pPr>
        <w:spacing w:before="120" w:after="120"/>
        <w:rPr>
          <w:lang w:eastAsia="en-AU"/>
        </w:rPr>
      </w:pPr>
      <w:r>
        <w:rPr>
          <w:lang w:eastAsia="en-AU"/>
        </w:rPr>
        <w:t xml:space="preserve">The Regulations will also implement Government policy regarding Medicare indexation. In the 2017-18 Budget, the Government announced the re-commencement of indexation of Medicare benefits under the </w:t>
      </w:r>
      <w:r w:rsidRPr="00EC60E6">
        <w:rPr>
          <w:i/>
          <w:lang w:eastAsia="en-AU"/>
        </w:rPr>
        <w:t>Guaranteeing Medicare - Medicare Benefits Schedule - indexation</w:t>
      </w:r>
      <w:r>
        <w:rPr>
          <w:lang w:eastAsia="en-AU"/>
        </w:rPr>
        <w:t xml:space="preserve"> measure. The Regulations will commence the third phase of this measure by implementing indexation of procedural and therapeutic items from 1 July 2019. Indexation of items which had re-commenced in earlier phases will also be continued. This includes the GP bulk-billing incentive items, standard GP consultations (attendances in group A1) and specialist attendances.  </w:t>
      </w:r>
    </w:p>
    <w:p w14:paraId="63142C3F" w14:textId="77777777" w:rsidR="00261A62" w:rsidRPr="00865BE4" w:rsidRDefault="00261A62" w:rsidP="00261A62">
      <w:pPr>
        <w:spacing w:before="120" w:after="120"/>
        <w:ind w:right="-483"/>
        <w:rPr>
          <w:b/>
          <w:lang w:eastAsia="en-AU"/>
        </w:rPr>
      </w:pPr>
      <w:r w:rsidRPr="00865BE4">
        <w:rPr>
          <w:b/>
          <w:lang w:eastAsia="en-AU"/>
        </w:rPr>
        <w:t>Human rights implications</w:t>
      </w:r>
    </w:p>
    <w:p w14:paraId="17F257E3" w14:textId="77777777" w:rsidR="00261A62" w:rsidRPr="00865BE4" w:rsidRDefault="00261A62" w:rsidP="00261A62">
      <w:pPr>
        <w:spacing w:before="120" w:after="120"/>
        <w:ind w:right="-483"/>
        <w:rPr>
          <w:lang w:eastAsia="en-AU"/>
        </w:rPr>
      </w:pPr>
      <w:r w:rsidRPr="00865BE4">
        <w:rPr>
          <w:lang w:eastAsia="en-AU"/>
        </w:rPr>
        <w:t xml:space="preserve">The Regulations engage Articles 9 and 12 of the International Covenant on Economic Social and Cultural Rights (ICESCR), specifically the rights to health and social security. </w:t>
      </w:r>
    </w:p>
    <w:p w14:paraId="472261A0" w14:textId="77777777" w:rsidR="00261A62" w:rsidRPr="00865BE4" w:rsidRDefault="00261A62" w:rsidP="00261A62">
      <w:pPr>
        <w:spacing w:before="120" w:after="120"/>
        <w:rPr>
          <w:i/>
          <w:lang w:eastAsia="en-AU"/>
        </w:rPr>
      </w:pPr>
      <w:r w:rsidRPr="00865BE4">
        <w:rPr>
          <w:i/>
          <w:lang w:eastAsia="en-AU"/>
        </w:rPr>
        <w:t>The Right to Health</w:t>
      </w:r>
    </w:p>
    <w:p w14:paraId="0D081FE1" w14:textId="77777777" w:rsidR="00261A62" w:rsidRPr="00865BE4" w:rsidRDefault="00261A62" w:rsidP="00261A62">
      <w:pPr>
        <w:spacing w:before="120" w:after="120"/>
        <w:rPr>
          <w:lang w:eastAsia="en-AU"/>
        </w:rPr>
      </w:pPr>
      <w:r w:rsidRPr="00865BE4">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BBBABAC" w14:textId="77777777" w:rsidR="00261A62" w:rsidRPr="00865BE4" w:rsidRDefault="00261A62" w:rsidP="00261A62">
      <w:pPr>
        <w:spacing w:before="120" w:after="120"/>
        <w:rPr>
          <w:lang w:eastAsia="en-AU"/>
        </w:rPr>
      </w:pPr>
      <w:r w:rsidRPr="00865BE4">
        <w:rPr>
          <w:lang w:eastAsia="en-AU"/>
        </w:rPr>
        <w:t xml:space="preserve">The Committee reports that the </w:t>
      </w:r>
      <w:r w:rsidRPr="00865BE4">
        <w:rPr>
          <w:i/>
          <w:lang w:eastAsia="en-AU"/>
        </w:rPr>
        <w:t>‘highest attainable standard of health’</w:t>
      </w:r>
      <w:r w:rsidRPr="00865BE4">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9B58A0D" w14:textId="77777777" w:rsidR="00261A62" w:rsidRPr="00865BE4" w:rsidRDefault="00261A62" w:rsidP="00261A62">
      <w:pPr>
        <w:spacing w:before="120" w:after="120"/>
        <w:rPr>
          <w:i/>
          <w:lang w:eastAsia="en-AU"/>
        </w:rPr>
      </w:pPr>
      <w:r w:rsidRPr="00865BE4">
        <w:rPr>
          <w:i/>
          <w:lang w:eastAsia="en-AU"/>
        </w:rPr>
        <w:t xml:space="preserve">The Right to Social Security </w:t>
      </w:r>
    </w:p>
    <w:p w14:paraId="047DE0C7" w14:textId="77777777" w:rsidR="00261A62" w:rsidRPr="00865BE4" w:rsidRDefault="00261A62" w:rsidP="00261A62">
      <w:pPr>
        <w:spacing w:before="120" w:after="120"/>
        <w:rPr>
          <w:lang w:eastAsia="en-AU"/>
        </w:rPr>
      </w:pPr>
      <w:r w:rsidRPr="00865BE4">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C24F3C7" w14:textId="77777777" w:rsidR="00261A62" w:rsidRPr="00865BE4" w:rsidRDefault="00261A62" w:rsidP="00261A62">
      <w:pPr>
        <w:spacing w:before="120" w:after="120"/>
        <w:rPr>
          <w:lang w:eastAsia="en-AU"/>
        </w:rPr>
      </w:pPr>
      <w:r w:rsidRPr="00865BE4">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0A9100D" w14:textId="77777777" w:rsidR="00261A62" w:rsidRPr="00865BE4" w:rsidRDefault="00261A62" w:rsidP="00261A62">
      <w:pPr>
        <w:rPr>
          <w:lang w:eastAsia="en-AU"/>
        </w:rPr>
      </w:pPr>
      <w:r w:rsidRPr="00865BE4">
        <w:rPr>
          <w:u w:val="single"/>
          <w:lang w:eastAsia="en-AU"/>
        </w:rPr>
        <w:t xml:space="preserve">Analysis </w:t>
      </w:r>
    </w:p>
    <w:p w14:paraId="50D9BF2E" w14:textId="77777777" w:rsidR="00261A62" w:rsidRPr="00865BE4" w:rsidRDefault="00261A62" w:rsidP="00261A62">
      <w:pPr>
        <w:spacing w:before="120" w:after="120"/>
        <w:rPr>
          <w:lang w:eastAsia="en-AU"/>
        </w:rPr>
      </w:pPr>
      <w:r w:rsidRPr="00865BE4">
        <w:rPr>
          <w:szCs w:val="20"/>
          <w:lang w:eastAsia="en-AU"/>
        </w:rPr>
        <w:t xml:space="preserve">The Regulations maintain rights to health and social security by ensuring </w:t>
      </w:r>
      <w:r w:rsidRPr="00865BE4">
        <w:rPr>
          <w:lang w:eastAsia="en-AU"/>
        </w:rPr>
        <w:t xml:space="preserve">access to publicly subsidised </w:t>
      </w:r>
      <w:r>
        <w:rPr>
          <w:lang w:eastAsia="en-AU"/>
        </w:rPr>
        <w:t>medical</w:t>
      </w:r>
      <w:r w:rsidRPr="00865BE4">
        <w:rPr>
          <w:lang w:eastAsia="en-AU"/>
        </w:rPr>
        <w:t xml:space="preserve"> services which are clinically and cost-effective.</w:t>
      </w:r>
    </w:p>
    <w:p w14:paraId="4C88163C" w14:textId="77777777" w:rsidR="00261A62" w:rsidRPr="00865BE4" w:rsidRDefault="00261A62" w:rsidP="00261A62">
      <w:pPr>
        <w:spacing w:before="120" w:after="120" w:line="276" w:lineRule="auto"/>
        <w:rPr>
          <w:rFonts w:eastAsia="Calibri"/>
          <w:b/>
        </w:rPr>
      </w:pPr>
      <w:r w:rsidRPr="00865BE4">
        <w:rPr>
          <w:rFonts w:eastAsia="Calibri"/>
          <w:b/>
        </w:rPr>
        <w:t xml:space="preserve">Conclusion </w:t>
      </w:r>
    </w:p>
    <w:p w14:paraId="1BC9E36D" w14:textId="77777777" w:rsidR="00261A62" w:rsidRPr="00865BE4" w:rsidRDefault="00261A62" w:rsidP="00261A62">
      <w:pPr>
        <w:spacing w:before="120" w:after="120"/>
        <w:rPr>
          <w:lang w:eastAsia="en-AU"/>
        </w:rPr>
      </w:pPr>
      <w:r w:rsidRPr="00865BE4">
        <w:rPr>
          <w:lang w:eastAsia="en-AU"/>
        </w:rPr>
        <w:t>This instrument is compatible with human rights because it maintains existing arrangements and the protection of human rights.</w:t>
      </w:r>
    </w:p>
    <w:p w14:paraId="2B268818" w14:textId="77777777" w:rsidR="00261A62" w:rsidRPr="00865BE4" w:rsidRDefault="00261A62" w:rsidP="00261A62">
      <w:pPr>
        <w:rPr>
          <w:rFonts w:eastAsia="Calibri"/>
        </w:rPr>
      </w:pPr>
    </w:p>
    <w:p w14:paraId="003FBCBE" w14:textId="77777777" w:rsidR="00261A62" w:rsidRPr="00865BE4" w:rsidRDefault="00261A62" w:rsidP="00261A62">
      <w:pPr>
        <w:spacing w:before="120" w:after="120" w:line="276" w:lineRule="auto"/>
        <w:jc w:val="center"/>
        <w:rPr>
          <w:rFonts w:eastAsia="Calibri"/>
          <w:b/>
          <w:bCs/>
        </w:rPr>
      </w:pPr>
      <w:r w:rsidRPr="00865BE4">
        <w:rPr>
          <w:rFonts w:eastAsia="Calibri"/>
          <w:b/>
          <w:bCs/>
        </w:rPr>
        <w:t>Greg Hunt</w:t>
      </w:r>
    </w:p>
    <w:p w14:paraId="043A6A9E" w14:textId="45C5DFEE" w:rsidR="000855FC" w:rsidRPr="000855FC" w:rsidRDefault="00261A62" w:rsidP="00261A62">
      <w:pPr>
        <w:spacing w:before="120" w:after="120" w:line="276" w:lineRule="auto"/>
        <w:jc w:val="center"/>
        <w:rPr>
          <w:b/>
        </w:rPr>
      </w:pPr>
      <w:r w:rsidRPr="00865BE4">
        <w:rPr>
          <w:rFonts w:eastAsia="Calibri"/>
          <w:b/>
          <w:bCs/>
        </w:rPr>
        <w:t>Minister for Health</w:t>
      </w:r>
      <w:r w:rsidRPr="00E17FA1">
        <w:rPr>
          <w:rFonts w:eastAsia="Calibri"/>
          <w:b/>
          <w:bCs/>
        </w:rPr>
        <w:t xml:space="preserve"> </w:t>
      </w:r>
    </w:p>
    <w:sectPr w:rsidR="000855FC" w:rsidRPr="000855FC" w:rsidSect="00261A62">
      <w:pgSz w:w="11906" w:h="16838"/>
      <w:pgMar w:top="1440" w:right="1800" w:bottom="993"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4CEE" w14:textId="77777777" w:rsidR="00223451" w:rsidRDefault="00223451" w:rsidP="000855FC">
      <w:r>
        <w:separator/>
      </w:r>
    </w:p>
  </w:endnote>
  <w:endnote w:type="continuationSeparator" w:id="0">
    <w:p w14:paraId="7CFA90F7" w14:textId="77777777" w:rsidR="00223451" w:rsidRDefault="00223451"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C6EE" w14:textId="77777777" w:rsidR="00223451" w:rsidRDefault="00223451" w:rsidP="000855FC">
      <w:r>
        <w:separator/>
      </w:r>
    </w:p>
  </w:footnote>
  <w:footnote w:type="continuationSeparator" w:id="0">
    <w:p w14:paraId="2C9C2229" w14:textId="77777777" w:rsidR="00223451" w:rsidRDefault="00223451" w:rsidP="0008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01426"/>
      <w:docPartObj>
        <w:docPartGallery w:val="Page Numbers (Top of Page)"/>
        <w:docPartUnique/>
      </w:docPartObj>
    </w:sdtPr>
    <w:sdtEndPr>
      <w:rPr>
        <w:noProof/>
      </w:rPr>
    </w:sdtEndPr>
    <w:sdtContent>
      <w:p w14:paraId="73326817" w14:textId="5E0996F5" w:rsidR="000855FC" w:rsidRDefault="000855FC">
        <w:pPr>
          <w:pStyle w:val="Header"/>
          <w:jc w:val="center"/>
        </w:pPr>
        <w:r>
          <w:fldChar w:fldCharType="begin"/>
        </w:r>
        <w:r>
          <w:instrText xml:space="preserve"> PAGE   \* MERGEFORMAT </w:instrText>
        </w:r>
        <w:r>
          <w:fldChar w:fldCharType="separate"/>
        </w:r>
        <w:r w:rsidR="00B32AB1">
          <w:rPr>
            <w:noProof/>
          </w:rPr>
          <w:t>1</w:t>
        </w:r>
        <w:r>
          <w:rPr>
            <w:noProof/>
          </w:rPr>
          <w:fldChar w:fldCharType="end"/>
        </w:r>
      </w:p>
    </w:sdtContent>
  </w:sdt>
  <w:p w14:paraId="6FD02833" w14:textId="77777777" w:rsidR="000855FC" w:rsidRDefault="00085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B2000"/>
    <w:multiLevelType w:val="hybridMultilevel"/>
    <w:tmpl w:val="A2FE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F1329"/>
    <w:multiLevelType w:val="hybridMultilevel"/>
    <w:tmpl w:val="A6E2AD06"/>
    <w:lvl w:ilvl="0" w:tplc="82A6862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1F049E"/>
    <w:multiLevelType w:val="hybridMultilevel"/>
    <w:tmpl w:val="8F90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FC"/>
    <w:rsid w:val="00003743"/>
    <w:rsid w:val="00010849"/>
    <w:rsid w:val="00012BC0"/>
    <w:rsid w:val="00031FD8"/>
    <w:rsid w:val="0003228D"/>
    <w:rsid w:val="00033681"/>
    <w:rsid w:val="00034234"/>
    <w:rsid w:val="000356FB"/>
    <w:rsid w:val="00044F99"/>
    <w:rsid w:val="00050373"/>
    <w:rsid w:val="00065031"/>
    <w:rsid w:val="0006587A"/>
    <w:rsid w:val="00067456"/>
    <w:rsid w:val="00083D2D"/>
    <w:rsid w:val="000855FC"/>
    <w:rsid w:val="000977BC"/>
    <w:rsid w:val="000B52B3"/>
    <w:rsid w:val="000B555A"/>
    <w:rsid w:val="000C6A22"/>
    <w:rsid w:val="000E62DC"/>
    <w:rsid w:val="001055DD"/>
    <w:rsid w:val="00110452"/>
    <w:rsid w:val="001300F6"/>
    <w:rsid w:val="001331BD"/>
    <w:rsid w:val="00135A8C"/>
    <w:rsid w:val="00140DEA"/>
    <w:rsid w:val="0017672B"/>
    <w:rsid w:val="00196CBE"/>
    <w:rsid w:val="001B0FA5"/>
    <w:rsid w:val="001B3443"/>
    <w:rsid w:val="001B45E6"/>
    <w:rsid w:val="00207867"/>
    <w:rsid w:val="00223451"/>
    <w:rsid w:val="002363BF"/>
    <w:rsid w:val="00255E6A"/>
    <w:rsid w:val="00261A62"/>
    <w:rsid w:val="002803B1"/>
    <w:rsid w:val="00281959"/>
    <w:rsid w:val="0029018C"/>
    <w:rsid w:val="002B1E3F"/>
    <w:rsid w:val="002D50B8"/>
    <w:rsid w:val="002F3AE3"/>
    <w:rsid w:val="00300E49"/>
    <w:rsid w:val="00301E8E"/>
    <w:rsid w:val="003066AF"/>
    <w:rsid w:val="0030786C"/>
    <w:rsid w:val="003151AF"/>
    <w:rsid w:val="003415ED"/>
    <w:rsid w:val="003424A7"/>
    <w:rsid w:val="00342722"/>
    <w:rsid w:val="00343296"/>
    <w:rsid w:val="00344E32"/>
    <w:rsid w:val="0036434A"/>
    <w:rsid w:val="00385D88"/>
    <w:rsid w:val="003A1963"/>
    <w:rsid w:val="003A2F02"/>
    <w:rsid w:val="003B198A"/>
    <w:rsid w:val="003B74E0"/>
    <w:rsid w:val="003D17F9"/>
    <w:rsid w:val="003D608A"/>
    <w:rsid w:val="003E2FE6"/>
    <w:rsid w:val="004016AA"/>
    <w:rsid w:val="00415E6D"/>
    <w:rsid w:val="00423EB1"/>
    <w:rsid w:val="004259A3"/>
    <w:rsid w:val="00430160"/>
    <w:rsid w:val="004350D6"/>
    <w:rsid w:val="00442208"/>
    <w:rsid w:val="00476435"/>
    <w:rsid w:val="004813AA"/>
    <w:rsid w:val="004867E2"/>
    <w:rsid w:val="004C44E8"/>
    <w:rsid w:val="004F451E"/>
    <w:rsid w:val="0050639C"/>
    <w:rsid w:val="00526332"/>
    <w:rsid w:val="005272AE"/>
    <w:rsid w:val="00551F61"/>
    <w:rsid w:val="00553198"/>
    <w:rsid w:val="00573A4B"/>
    <w:rsid w:val="00582A92"/>
    <w:rsid w:val="00590BFB"/>
    <w:rsid w:val="005931B3"/>
    <w:rsid w:val="00595FF9"/>
    <w:rsid w:val="005A0AF2"/>
    <w:rsid w:val="005A1AE6"/>
    <w:rsid w:val="005A40D4"/>
    <w:rsid w:val="005B4719"/>
    <w:rsid w:val="005B71F4"/>
    <w:rsid w:val="005F1EF5"/>
    <w:rsid w:val="006457D2"/>
    <w:rsid w:val="006503C6"/>
    <w:rsid w:val="00652866"/>
    <w:rsid w:val="00665255"/>
    <w:rsid w:val="00680570"/>
    <w:rsid w:val="006807AA"/>
    <w:rsid w:val="006D4281"/>
    <w:rsid w:val="006F5787"/>
    <w:rsid w:val="006F6BED"/>
    <w:rsid w:val="007165F3"/>
    <w:rsid w:val="00726C38"/>
    <w:rsid w:val="00742D61"/>
    <w:rsid w:val="00767A9A"/>
    <w:rsid w:val="0077571C"/>
    <w:rsid w:val="007D1E97"/>
    <w:rsid w:val="007E405F"/>
    <w:rsid w:val="008264EB"/>
    <w:rsid w:val="00845338"/>
    <w:rsid w:val="00856B5D"/>
    <w:rsid w:val="008654C8"/>
    <w:rsid w:val="00865BE4"/>
    <w:rsid w:val="00876FF2"/>
    <w:rsid w:val="008855C3"/>
    <w:rsid w:val="008A3246"/>
    <w:rsid w:val="008A6B0E"/>
    <w:rsid w:val="008B11A6"/>
    <w:rsid w:val="008B7308"/>
    <w:rsid w:val="008C7EE5"/>
    <w:rsid w:val="008E295D"/>
    <w:rsid w:val="008F12CB"/>
    <w:rsid w:val="008F38BA"/>
    <w:rsid w:val="00901BB6"/>
    <w:rsid w:val="00911EA7"/>
    <w:rsid w:val="0094467A"/>
    <w:rsid w:val="00960061"/>
    <w:rsid w:val="009719D1"/>
    <w:rsid w:val="009756EA"/>
    <w:rsid w:val="009A43FE"/>
    <w:rsid w:val="009B4A81"/>
    <w:rsid w:val="009C2B86"/>
    <w:rsid w:val="009C634D"/>
    <w:rsid w:val="009C6662"/>
    <w:rsid w:val="009D3549"/>
    <w:rsid w:val="009F1D03"/>
    <w:rsid w:val="00A16541"/>
    <w:rsid w:val="00A34605"/>
    <w:rsid w:val="00A40F63"/>
    <w:rsid w:val="00A4512D"/>
    <w:rsid w:val="00A61AD1"/>
    <w:rsid w:val="00A636FC"/>
    <w:rsid w:val="00A705AF"/>
    <w:rsid w:val="00A73D69"/>
    <w:rsid w:val="00A753DB"/>
    <w:rsid w:val="00AA0B23"/>
    <w:rsid w:val="00AE020A"/>
    <w:rsid w:val="00AE205D"/>
    <w:rsid w:val="00AF01B8"/>
    <w:rsid w:val="00B07DF7"/>
    <w:rsid w:val="00B2623B"/>
    <w:rsid w:val="00B32AB1"/>
    <w:rsid w:val="00B33590"/>
    <w:rsid w:val="00B37545"/>
    <w:rsid w:val="00B42851"/>
    <w:rsid w:val="00B67A99"/>
    <w:rsid w:val="00B7035A"/>
    <w:rsid w:val="00BC1A17"/>
    <w:rsid w:val="00C23C5F"/>
    <w:rsid w:val="00C3673D"/>
    <w:rsid w:val="00C502D3"/>
    <w:rsid w:val="00C71FF7"/>
    <w:rsid w:val="00C810B1"/>
    <w:rsid w:val="00C918A4"/>
    <w:rsid w:val="00CB2385"/>
    <w:rsid w:val="00CB2651"/>
    <w:rsid w:val="00CB4828"/>
    <w:rsid w:val="00CB5B1A"/>
    <w:rsid w:val="00CC5E0C"/>
    <w:rsid w:val="00CC6898"/>
    <w:rsid w:val="00CE594F"/>
    <w:rsid w:val="00CE6237"/>
    <w:rsid w:val="00CF5E2A"/>
    <w:rsid w:val="00D02187"/>
    <w:rsid w:val="00D14E9E"/>
    <w:rsid w:val="00D34891"/>
    <w:rsid w:val="00D5694A"/>
    <w:rsid w:val="00D6174B"/>
    <w:rsid w:val="00D77EBE"/>
    <w:rsid w:val="00DC4EE9"/>
    <w:rsid w:val="00DE6300"/>
    <w:rsid w:val="00DF2FAB"/>
    <w:rsid w:val="00DF3AF6"/>
    <w:rsid w:val="00E00ADF"/>
    <w:rsid w:val="00E00FA2"/>
    <w:rsid w:val="00E0666D"/>
    <w:rsid w:val="00E251ED"/>
    <w:rsid w:val="00E3236B"/>
    <w:rsid w:val="00E43817"/>
    <w:rsid w:val="00E75ACC"/>
    <w:rsid w:val="00E864BC"/>
    <w:rsid w:val="00EB3185"/>
    <w:rsid w:val="00EB58A5"/>
    <w:rsid w:val="00EB5FE3"/>
    <w:rsid w:val="00EC3BB2"/>
    <w:rsid w:val="00EC60E6"/>
    <w:rsid w:val="00ED2BB8"/>
    <w:rsid w:val="00EE1FD4"/>
    <w:rsid w:val="00EF5621"/>
    <w:rsid w:val="00F0467B"/>
    <w:rsid w:val="00F24D71"/>
    <w:rsid w:val="00F3679A"/>
    <w:rsid w:val="00F37D68"/>
    <w:rsid w:val="00F4294E"/>
    <w:rsid w:val="00F43216"/>
    <w:rsid w:val="00F501E8"/>
    <w:rsid w:val="00F550F1"/>
    <w:rsid w:val="00FC59C7"/>
    <w:rsid w:val="00FD6B74"/>
    <w:rsid w:val="00FE14C4"/>
    <w:rsid w:val="00FE2068"/>
    <w:rsid w:val="00FF1F9B"/>
    <w:rsid w:val="00FF4291"/>
    <w:rsid w:val="00FF7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49356"/>
  <w15:docId w15:val="{76472EFA-4548-4975-B860-975CFD7E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paragraph" w:styleId="BalloonText">
    <w:name w:val="Balloon Text"/>
    <w:basedOn w:val="Normal"/>
    <w:link w:val="BalloonTextChar"/>
    <w:rsid w:val="000977BC"/>
    <w:rPr>
      <w:rFonts w:ascii="Tahoma" w:hAnsi="Tahoma" w:cs="Tahoma"/>
      <w:sz w:val="16"/>
      <w:szCs w:val="16"/>
    </w:rPr>
  </w:style>
  <w:style w:type="character" w:customStyle="1" w:styleId="BalloonTextChar">
    <w:name w:val="Balloon Text Char"/>
    <w:basedOn w:val="DefaultParagraphFont"/>
    <w:link w:val="BalloonText"/>
    <w:rsid w:val="000977BC"/>
    <w:rPr>
      <w:rFonts w:ascii="Tahoma" w:hAnsi="Tahoma" w:cs="Tahoma"/>
      <w:sz w:val="16"/>
      <w:szCs w:val="16"/>
      <w:lang w:eastAsia="en-US"/>
    </w:rPr>
  </w:style>
  <w:style w:type="character" w:styleId="CommentReference">
    <w:name w:val="annotation reference"/>
    <w:basedOn w:val="DefaultParagraphFont"/>
    <w:rsid w:val="00033681"/>
    <w:rPr>
      <w:sz w:val="16"/>
      <w:szCs w:val="16"/>
    </w:rPr>
  </w:style>
  <w:style w:type="paragraph" w:styleId="CommentText">
    <w:name w:val="annotation text"/>
    <w:basedOn w:val="Normal"/>
    <w:link w:val="CommentTextChar"/>
    <w:rsid w:val="00033681"/>
    <w:rPr>
      <w:sz w:val="20"/>
      <w:szCs w:val="20"/>
    </w:rPr>
  </w:style>
  <w:style w:type="character" w:customStyle="1" w:styleId="CommentTextChar">
    <w:name w:val="Comment Text Char"/>
    <w:basedOn w:val="DefaultParagraphFont"/>
    <w:link w:val="CommentText"/>
    <w:rsid w:val="00033681"/>
    <w:rPr>
      <w:lang w:eastAsia="en-US"/>
    </w:rPr>
  </w:style>
  <w:style w:type="paragraph" w:styleId="CommentSubject">
    <w:name w:val="annotation subject"/>
    <w:basedOn w:val="CommentText"/>
    <w:next w:val="CommentText"/>
    <w:link w:val="CommentSubjectChar"/>
    <w:rsid w:val="00033681"/>
    <w:rPr>
      <w:b/>
      <w:bCs/>
    </w:rPr>
  </w:style>
  <w:style w:type="character" w:customStyle="1" w:styleId="CommentSubjectChar">
    <w:name w:val="Comment Subject Char"/>
    <w:basedOn w:val="CommentTextChar"/>
    <w:link w:val="CommentSubject"/>
    <w:rsid w:val="00033681"/>
    <w:rPr>
      <w:b/>
      <w:bCs/>
      <w:lang w:eastAsia="en-US"/>
    </w:rPr>
  </w:style>
  <w:style w:type="character" w:styleId="FollowedHyperlink">
    <w:name w:val="FollowedHyperlink"/>
    <w:basedOn w:val="DefaultParagraphFont"/>
    <w:rsid w:val="00EB3185"/>
    <w:rPr>
      <w:color w:val="800080" w:themeColor="followedHyperlink"/>
      <w:u w:val="single"/>
    </w:rPr>
  </w:style>
  <w:style w:type="paragraph" w:styleId="Revision">
    <w:name w:val="Revision"/>
    <w:hidden/>
    <w:uiPriority w:val="99"/>
    <w:semiHidden/>
    <w:rsid w:val="00F429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0696">
      <w:bodyDiv w:val="1"/>
      <w:marLeft w:val="0"/>
      <w:marRight w:val="0"/>
      <w:marTop w:val="0"/>
      <w:marBottom w:val="0"/>
      <w:divBdr>
        <w:top w:val="none" w:sz="0" w:space="0" w:color="auto"/>
        <w:left w:val="none" w:sz="0" w:space="0" w:color="auto"/>
        <w:bottom w:val="none" w:sz="0" w:space="0" w:color="auto"/>
        <w:right w:val="none" w:sz="0" w:space="0" w:color="auto"/>
      </w:divBdr>
    </w:div>
    <w:div w:id="1290017877">
      <w:bodyDiv w:val="1"/>
      <w:marLeft w:val="0"/>
      <w:marRight w:val="0"/>
      <w:marTop w:val="0"/>
      <w:marBottom w:val="0"/>
      <w:divBdr>
        <w:top w:val="none" w:sz="0" w:space="0" w:color="auto"/>
        <w:left w:val="none" w:sz="0" w:space="0" w:color="auto"/>
        <w:bottom w:val="none" w:sz="0" w:space="0" w:color="auto"/>
        <w:right w:val="none" w:sz="0" w:space="0" w:color="auto"/>
      </w:divBdr>
    </w:div>
    <w:div w:id="1513110691">
      <w:bodyDiv w:val="1"/>
      <w:marLeft w:val="0"/>
      <w:marRight w:val="0"/>
      <w:marTop w:val="0"/>
      <w:marBottom w:val="0"/>
      <w:divBdr>
        <w:top w:val="none" w:sz="0" w:space="0" w:color="auto"/>
        <w:left w:val="none" w:sz="0" w:space="0" w:color="auto"/>
        <w:bottom w:val="none" w:sz="0" w:space="0" w:color="auto"/>
        <w:right w:val="none" w:sz="0" w:space="0" w:color="auto"/>
      </w:divBdr>
      <w:divsChild>
        <w:div w:id="247543344">
          <w:marLeft w:val="0"/>
          <w:marRight w:val="0"/>
          <w:marTop w:val="0"/>
          <w:marBottom w:val="0"/>
          <w:divBdr>
            <w:top w:val="none" w:sz="0" w:space="0" w:color="auto"/>
            <w:left w:val="none" w:sz="0" w:space="0" w:color="auto"/>
            <w:bottom w:val="none" w:sz="0" w:space="0" w:color="auto"/>
            <w:right w:val="none" w:sz="0" w:space="0" w:color="auto"/>
          </w:divBdr>
          <w:divsChild>
            <w:div w:id="569314775">
              <w:marLeft w:val="0"/>
              <w:marRight w:val="0"/>
              <w:marTop w:val="0"/>
              <w:marBottom w:val="0"/>
              <w:divBdr>
                <w:top w:val="none" w:sz="0" w:space="0" w:color="auto"/>
                <w:left w:val="none" w:sz="0" w:space="0" w:color="auto"/>
                <w:bottom w:val="none" w:sz="0" w:space="0" w:color="auto"/>
                <w:right w:val="none" w:sz="0" w:space="0" w:color="auto"/>
              </w:divBdr>
              <w:divsChild>
                <w:div w:id="138570220">
                  <w:marLeft w:val="0"/>
                  <w:marRight w:val="0"/>
                  <w:marTop w:val="0"/>
                  <w:marBottom w:val="0"/>
                  <w:divBdr>
                    <w:top w:val="none" w:sz="0" w:space="0" w:color="auto"/>
                    <w:left w:val="none" w:sz="0" w:space="0" w:color="auto"/>
                    <w:bottom w:val="none" w:sz="0" w:space="0" w:color="auto"/>
                    <w:right w:val="none" w:sz="0" w:space="0" w:color="auto"/>
                  </w:divBdr>
                  <w:divsChild>
                    <w:div w:id="272246497">
                      <w:marLeft w:val="0"/>
                      <w:marRight w:val="0"/>
                      <w:marTop w:val="0"/>
                      <w:marBottom w:val="0"/>
                      <w:divBdr>
                        <w:top w:val="none" w:sz="0" w:space="0" w:color="auto"/>
                        <w:left w:val="none" w:sz="0" w:space="0" w:color="auto"/>
                        <w:bottom w:val="none" w:sz="0" w:space="0" w:color="auto"/>
                        <w:right w:val="none" w:sz="0" w:space="0" w:color="auto"/>
                      </w:divBdr>
                      <w:divsChild>
                        <w:div w:id="400955527">
                          <w:marLeft w:val="0"/>
                          <w:marRight w:val="0"/>
                          <w:marTop w:val="0"/>
                          <w:marBottom w:val="0"/>
                          <w:divBdr>
                            <w:top w:val="none" w:sz="0" w:space="0" w:color="auto"/>
                            <w:left w:val="none" w:sz="0" w:space="0" w:color="auto"/>
                            <w:bottom w:val="none" w:sz="0" w:space="0" w:color="auto"/>
                            <w:right w:val="none" w:sz="0" w:space="0" w:color="auto"/>
                          </w:divBdr>
                          <w:divsChild>
                            <w:div w:id="1530338577">
                              <w:marLeft w:val="0"/>
                              <w:marRight w:val="0"/>
                              <w:marTop w:val="0"/>
                              <w:marBottom w:val="0"/>
                              <w:divBdr>
                                <w:top w:val="none" w:sz="0" w:space="0" w:color="auto"/>
                                <w:left w:val="none" w:sz="0" w:space="0" w:color="auto"/>
                                <w:bottom w:val="none" w:sz="0" w:space="0" w:color="auto"/>
                                <w:right w:val="none" w:sz="0" w:space="0" w:color="auto"/>
                              </w:divBdr>
                              <w:divsChild>
                                <w:div w:id="541752705">
                                  <w:marLeft w:val="0"/>
                                  <w:marRight w:val="0"/>
                                  <w:marTop w:val="0"/>
                                  <w:marBottom w:val="0"/>
                                  <w:divBdr>
                                    <w:top w:val="none" w:sz="0" w:space="0" w:color="auto"/>
                                    <w:left w:val="none" w:sz="0" w:space="0" w:color="auto"/>
                                    <w:bottom w:val="none" w:sz="0" w:space="0" w:color="auto"/>
                                    <w:right w:val="none" w:sz="0" w:space="0" w:color="auto"/>
                                  </w:divBdr>
                                  <w:divsChild>
                                    <w:div w:id="1516722910">
                                      <w:marLeft w:val="0"/>
                                      <w:marRight w:val="0"/>
                                      <w:marTop w:val="0"/>
                                      <w:marBottom w:val="0"/>
                                      <w:divBdr>
                                        <w:top w:val="none" w:sz="0" w:space="0" w:color="auto"/>
                                        <w:left w:val="none" w:sz="0" w:space="0" w:color="auto"/>
                                        <w:bottom w:val="none" w:sz="0" w:space="0" w:color="auto"/>
                                        <w:right w:val="none" w:sz="0" w:space="0" w:color="auto"/>
                                      </w:divBdr>
                                      <w:divsChild>
                                        <w:div w:id="1601058849">
                                          <w:marLeft w:val="0"/>
                                          <w:marRight w:val="0"/>
                                          <w:marTop w:val="0"/>
                                          <w:marBottom w:val="0"/>
                                          <w:divBdr>
                                            <w:top w:val="none" w:sz="0" w:space="0" w:color="auto"/>
                                            <w:left w:val="none" w:sz="0" w:space="0" w:color="auto"/>
                                            <w:bottom w:val="none" w:sz="0" w:space="0" w:color="auto"/>
                                            <w:right w:val="none" w:sz="0" w:space="0" w:color="auto"/>
                                          </w:divBdr>
                                          <w:divsChild>
                                            <w:div w:id="1813012145">
                                              <w:marLeft w:val="0"/>
                                              <w:marRight w:val="0"/>
                                              <w:marTop w:val="0"/>
                                              <w:marBottom w:val="0"/>
                                              <w:divBdr>
                                                <w:top w:val="none" w:sz="0" w:space="0" w:color="auto"/>
                                                <w:left w:val="none" w:sz="0" w:space="0" w:color="auto"/>
                                                <w:bottom w:val="none" w:sz="0" w:space="0" w:color="auto"/>
                                                <w:right w:val="none" w:sz="0" w:space="0" w:color="auto"/>
                                              </w:divBdr>
                                              <w:divsChild>
                                                <w:div w:id="1028020033">
                                                  <w:marLeft w:val="0"/>
                                                  <w:marRight w:val="0"/>
                                                  <w:marTop w:val="0"/>
                                                  <w:marBottom w:val="0"/>
                                                  <w:divBdr>
                                                    <w:top w:val="none" w:sz="0" w:space="0" w:color="auto"/>
                                                    <w:left w:val="none" w:sz="0" w:space="0" w:color="auto"/>
                                                    <w:bottom w:val="none" w:sz="0" w:space="0" w:color="auto"/>
                                                    <w:right w:val="none" w:sz="0" w:space="0" w:color="auto"/>
                                                  </w:divBdr>
                                                  <w:divsChild>
                                                    <w:div w:id="485510034">
                                                      <w:marLeft w:val="0"/>
                                                      <w:marRight w:val="0"/>
                                                      <w:marTop w:val="0"/>
                                                      <w:marBottom w:val="0"/>
                                                      <w:divBdr>
                                                        <w:top w:val="none" w:sz="0" w:space="0" w:color="auto"/>
                                                        <w:left w:val="none" w:sz="0" w:space="0" w:color="auto"/>
                                                        <w:bottom w:val="none" w:sz="0" w:space="0" w:color="auto"/>
                                                        <w:right w:val="none" w:sz="0" w:space="0" w:color="auto"/>
                                                      </w:divBdr>
                                                      <w:divsChild>
                                                        <w:div w:id="18879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bsonline.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43A8F966E5F8428C87B138E34FF38B" ma:contentTypeVersion="" ma:contentTypeDescription="PDMS Document Site Content Type" ma:contentTypeScope="" ma:versionID="f35eff2e02e1b18e5b8b7a1406fb0791">
  <xsd:schema xmlns:xsd="http://www.w3.org/2001/XMLSchema" xmlns:xs="http://www.w3.org/2001/XMLSchema" xmlns:p="http://schemas.microsoft.com/office/2006/metadata/properties" xmlns:ns2="9DFB3D52-C9A0-4EA3-ACE8-899B2FADFE56" targetNamespace="http://schemas.microsoft.com/office/2006/metadata/properties" ma:root="true" ma:fieldsID="2ccf128ee6273bc448e0b25ec029a6f8" ns2:_="">
    <xsd:import namespace="9DFB3D52-C9A0-4EA3-ACE8-899B2FADFE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3D52-C9A0-4EA3-ACE8-899B2FADFE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DFB3D52-C9A0-4EA3-ACE8-899B2FADFE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CAE3-6D98-4B6E-9FF5-3DCE7C931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3D52-C9A0-4EA3-ACE8-899B2FADF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497B2-E054-4FDB-9F0D-9C6AEE136E72}">
  <ds:schemaRefs>
    <ds:schemaRef ds:uri="http://schemas.microsoft.com/sharepoint/v3/contenttype/forms"/>
  </ds:schemaRefs>
</ds:datastoreItem>
</file>

<file path=customXml/itemProps3.xml><?xml version="1.0" encoding="utf-8"?>
<ds:datastoreItem xmlns:ds="http://schemas.openxmlformats.org/officeDocument/2006/customXml" ds:itemID="{F0E11291-1047-47C5-96AF-DAF5E346D482}">
  <ds:schemaRefs>
    <ds:schemaRef ds:uri="http://purl.org/dc/elements/1.1/"/>
    <ds:schemaRef ds:uri="http://schemas.microsoft.com/office/2006/metadata/properties"/>
    <ds:schemaRef ds:uri="9DFB3D52-C9A0-4EA3-ACE8-899B2FADFE5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FD5B5A-C5D0-4899-8CA9-17927EE0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8626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GRAYSON, Matthew</cp:lastModifiedBy>
  <cp:revision>2</cp:revision>
  <cp:lastPrinted>2019-03-01T04:18:00Z</cp:lastPrinted>
  <dcterms:created xsi:type="dcterms:W3CDTF">2019-04-04T21:33:00Z</dcterms:created>
  <dcterms:modified xsi:type="dcterms:W3CDTF">2019-04-04T21:33:00Z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0x010100266966F133664895A6EE3632470D45F500BA43A8F966E5F8428C87B138E34FF38B</vt:lpwstr>
  </property>
</Properties>
</file>