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5327F5" w:rsidRDefault="007231B2" w:rsidP="00454659">
      <w:pPr>
        <w:ind w:right="-709"/>
        <w:jc w:val="center"/>
        <w:rPr>
          <w:rFonts w:ascii="Times New Roman" w:hAnsi="Times New Roman"/>
          <w:b/>
          <w:szCs w:val="24"/>
          <w:u w:val="single"/>
        </w:rPr>
      </w:pPr>
      <w:r w:rsidRPr="005327F5">
        <w:rPr>
          <w:rFonts w:ascii="Times New Roman" w:hAnsi="Times New Roman"/>
          <w:b/>
          <w:szCs w:val="24"/>
          <w:u w:val="single"/>
        </w:rPr>
        <w:t>EXPLANATORY STATEMENT</w:t>
      </w:r>
    </w:p>
    <w:p w:rsidR="007231B2" w:rsidRPr="005327F5" w:rsidRDefault="007231B2" w:rsidP="00454659">
      <w:pPr>
        <w:ind w:right="-709"/>
        <w:rPr>
          <w:rFonts w:ascii="Times New Roman" w:hAnsi="Times New Roman"/>
          <w:b/>
          <w:szCs w:val="24"/>
        </w:rPr>
      </w:pPr>
    </w:p>
    <w:p w:rsidR="007231B2" w:rsidRPr="005327F5" w:rsidRDefault="007231B2" w:rsidP="00454659">
      <w:pPr>
        <w:ind w:right="-709"/>
        <w:jc w:val="center"/>
        <w:rPr>
          <w:rFonts w:ascii="Times New Roman" w:hAnsi="Times New Roman"/>
          <w:szCs w:val="24"/>
          <w:u w:val="single"/>
        </w:rPr>
      </w:pPr>
      <w:r w:rsidRPr="005327F5">
        <w:rPr>
          <w:rFonts w:ascii="Times New Roman" w:hAnsi="Times New Roman"/>
          <w:i/>
          <w:szCs w:val="24"/>
        </w:rPr>
        <w:t>Therapeutic Goods Act 1989</w:t>
      </w:r>
    </w:p>
    <w:p w:rsidR="007231B2" w:rsidRPr="005327F5" w:rsidRDefault="007231B2" w:rsidP="00454659">
      <w:pPr>
        <w:ind w:right="-709"/>
        <w:rPr>
          <w:rFonts w:ascii="Times New Roman" w:hAnsi="Times New Roman"/>
          <w:szCs w:val="24"/>
          <w:u w:val="single"/>
        </w:rPr>
      </w:pPr>
    </w:p>
    <w:p w:rsidR="002757A6" w:rsidRPr="005327F5" w:rsidRDefault="00CD6487" w:rsidP="00454659">
      <w:pPr>
        <w:ind w:right="-709"/>
        <w:jc w:val="center"/>
        <w:rPr>
          <w:rFonts w:ascii="Times New Roman" w:hAnsi="Times New Roman"/>
          <w:i/>
          <w:szCs w:val="24"/>
        </w:rPr>
      </w:pPr>
      <w:r w:rsidRPr="0098260D">
        <w:rPr>
          <w:rFonts w:ascii="Times New Roman" w:hAnsi="Times New Roman"/>
          <w:i/>
          <w:szCs w:val="24"/>
        </w:rPr>
        <w:t xml:space="preserve">Therapeutic Goods </w:t>
      </w:r>
      <w:r w:rsidR="00743163">
        <w:rPr>
          <w:rFonts w:ascii="Times New Roman" w:hAnsi="Times New Roman"/>
          <w:i/>
          <w:szCs w:val="24"/>
        </w:rPr>
        <w:t xml:space="preserve">Amendment </w:t>
      </w:r>
      <w:r w:rsidRPr="0098260D">
        <w:rPr>
          <w:rFonts w:ascii="Times New Roman" w:hAnsi="Times New Roman"/>
          <w:i/>
          <w:szCs w:val="24"/>
        </w:rPr>
        <w:t>(</w:t>
      </w:r>
      <w:r w:rsidR="006D1F21" w:rsidRPr="0098260D">
        <w:rPr>
          <w:i/>
        </w:rPr>
        <w:t>Medical Devices—Information that Must Accompany Application for Inclusion</w:t>
      </w:r>
      <w:r w:rsidRPr="0098260D">
        <w:rPr>
          <w:rFonts w:ascii="Times New Roman" w:hAnsi="Times New Roman"/>
          <w:i/>
          <w:szCs w:val="24"/>
        </w:rPr>
        <w:t>) Determination 201</w:t>
      </w:r>
      <w:r w:rsidR="00FB0404">
        <w:rPr>
          <w:rFonts w:ascii="Times New Roman" w:hAnsi="Times New Roman"/>
          <w:i/>
          <w:szCs w:val="24"/>
        </w:rPr>
        <w:t>9</w:t>
      </w:r>
    </w:p>
    <w:p w:rsidR="00CD6487" w:rsidRPr="005327F5" w:rsidRDefault="00CD6487" w:rsidP="00454659">
      <w:pPr>
        <w:ind w:right="-709"/>
        <w:jc w:val="center"/>
        <w:rPr>
          <w:rFonts w:ascii="Times New Roman" w:hAnsi="Times New Roman"/>
          <w:b/>
          <w:szCs w:val="24"/>
        </w:rPr>
      </w:pPr>
    </w:p>
    <w:p w:rsidR="007231B2" w:rsidRDefault="007231B2" w:rsidP="00454659">
      <w:pPr>
        <w:autoSpaceDE w:val="0"/>
        <w:autoSpaceDN w:val="0"/>
        <w:adjustRightInd w:val="0"/>
        <w:ind w:right="-709"/>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Act 1989</w:t>
      </w:r>
      <w:r w:rsidRPr="005327F5">
        <w:rPr>
          <w:rFonts w:ascii="Times New Roman" w:hAnsi="Times New Roman"/>
          <w:szCs w:val="24"/>
        </w:rPr>
        <w:t xml:space="preserve"> (</w:t>
      </w:r>
      <w:r w:rsidR="005C1891">
        <w:rPr>
          <w:rFonts w:ascii="Times New Roman" w:hAnsi="Times New Roman"/>
          <w:szCs w:val="24"/>
        </w:rPr>
        <w:t>“</w:t>
      </w:r>
      <w:r w:rsidR="00C17AEF">
        <w:rPr>
          <w:rFonts w:ascii="Times New Roman" w:hAnsi="Times New Roman"/>
          <w:szCs w:val="24"/>
        </w:rPr>
        <w:t xml:space="preserve">the </w:t>
      </w:r>
      <w:r w:rsidRPr="005327F5">
        <w:rPr>
          <w:rFonts w:ascii="Times New Roman" w:hAnsi="Times New Roman"/>
          <w:szCs w:val="24"/>
        </w:rPr>
        <w:t>Act</w:t>
      </w:r>
      <w:r w:rsidR="005C1891">
        <w:rPr>
          <w:rFonts w:ascii="Times New Roman" w:hAnsi="Times New Roman"/>
          <w:szCs w:val="24"/>
        </w:rPr>
        <w:t>”</w:t>
      </w:r>
      <w:r w:rsidRPr="005327F5">
        <w:rPr>
          <w:rFonts w:ascii="Times New Roman" w:hAnsi="Times New Roman"/>
          <w:szCs w:val="24"/>
        </w:rPr>
        <w:t>) provides for the e</w:t>
      </w:r>
      <w:r w:rsidR="002757A6" w:rsidRPr="005327F5">
        <w:rPr>
          <w:rFonts w:ascii="Times New Roman" w:hAnsi="Times New Roman"/>
          <w:szCs w:val="24"/>
        </w:rPr>
        <w:t>stablishment and maintenance of</w:t>
      </w:r>
      <w:r w:rsidR="0046497F" w:rsidRPr="005327F5">
        <w:rPr>
          <w:rFonts w:ascii="Times New Roman" w:hAnsi="Times New Roman"/>
          <w:szCs w:val="24"/>
        </w:rPr>
        <w:t xml:space="preserve"> </w:t>
      </w:r>
      <w:r w:rsidRPr="005327F5">
        <w:rPr>
          <w:rFonts w:ascii="Times New Roman" w:hAnsi="Times New Roman"/>
          <w:szCs w:val="24"/>
        </w:rPr>
        <w:t xml:space="preserve">a national system of controls for the quality, safety, efficacy and timely availability of therapeutic goods that are </w:t>
      </w:r>
      <w:r w:rsidR="000257B7" w:rsidRPr="005327F5">
        <w:rPr>
          <w:rFonts w:ascii="Times New Roman" w:hAnsi="Times New Roman"/>
          <w:szCs w:val="24"/>
        </w:rPr>
        <w:t>used</w:t>
      </w:r>
      <w:r w:rsidR="00C74E09" w:rsidRPr="005327F5">
        <w:rPr>
          <w:rFonts w:ascii="Times New Roman" w:hAnsi="Times New Roman"/>
          <w:szCs w:val="24"/>
        </w:rPr>
        <w:t xml:space="preserve"> in</w:t>
      </w:r>
      <w:r w:rsidR="009B2729" w:rsidRPr="005327F5">
        <w:rPr>
          <w:rFonts w:ascii="Times New Roman" w:hAnsi="Times New Roman"/>
          <w:szCs w:val="24"/>
        </w:rPr>
        <w:t>,</w:t>
      </w:r>
      <w:r w:rsidRPr="005327F5">
        <w:rPr>
          <w:rFonts w:ascii="Times New Roman" w:hAnsi="Times New Roman"/>
          <w:szCs w:val="24"/>
        </w:rPr>
        <w:t xml:space="preserve"> or exported from</w:t>
      </w:r>
      <w:r w:rsidR="009B2729" w:rsidRPr="005327F5">
        <w:rPr>
          <w:rFonts w:ascii="Times New Roman" w:hAnsi="Times New Roman"/>
          <w:szCs w:val="24"/>
        </w:rPr>
        <w:t>,</w:t>
      </w:r>
      <w:r w:rsidRPr="005327F5">
        <w:rPr>
          <w:rFonts w:ascii="Times New Roman" w:hAnsi="Times New Roman"/>
          <w:szCs w:val="24"/>
        </w:rPr>
        <w:t xml:space="preserve"> Australia.</w:t>
      </w:r>
      <w:r w:rsidR="006C5802">
        <w:rPr>
          <w:rFonts w:ascii="Times New Roman" w:hAnsi="Times New Roman"/>
          <w:szCs w:val="24"/>
        </w:rPr>
        <w:t xml:space="preserve"> </w:t>
      </w:r>
      <w:r w:rsidR="006C5802">
        <w:t>The Act is administered by the Therapeutic Goods Administration (the TGA) within the Australian Government Department of Health.</w:t>
      </w:r>
    </w:p>
    <w:p w:rsidR="008E7A36" w:rsidRPr="005327F5" w:rsidRDefault="008E7A36" w:rsidP="00454659">
      <w:pPr>
        <w:autoSpaceDE w:val="0"/>
        <w:autoSpaceDN w:val="0"/>
        <w:adjustRightInd w:val="0"/>
        <w:ind w:right="-709"/>
        <w:rPr>
          <w:rFonts w:ascii="Times New Roman" w:hAnsi="Times New Roman"/>
          <w:szCs w:val="24"/>
        </w:rPr>
      </w:pPr>
    </w:p>
    <w:p w:rsidR="008E7A36" w:rsidRPr="005327F5" w:rsidRDefault="008E7A36" w:rsidP="00454659">
      <w:pPr>
        <w:autoSpaceDE w:val="0"/>
        <w:autoSpaceDN w:val="0"/>
        <w:adjustRightInd w:val="0"/>
        <w:ind w:right="-709"/>
        <w:rPr>
          <w:rFonts w:ascii="Times New Roman" w:hAnsi="Times New Roman"/>
          <w:szCs w:val="24"/>
        </w:rPr>
      </w:pPr>
      <w:r>
        <w:rPr>
          <w:rFonts w:ascii="Times New Roman" w:hAnsi="Times New Roman"/>
          <w:szCs w:val="24"/>
        </w:rPr>
        <w:t>S</w:t>
      </w:r>
      <w:r w:rsidRPr="005327F5">
        <w:rPr>
          <w:rFonts w:ascii="Times New Roman" w:hAnsi="Times New Roman"/>
          <w:szCs w:val="24"/>
        </w:rPr>
        <w:t>ection</w:t>
      </w:r>
      <w:r>
        <w:rPr>
          <w:rFonts w:ascii="Times New Roman" w:hAnsi="Times New Roman"/>
          <w:szCs w:val="24"/>
        </w:rPr>
        <w:t> 41FDB of</w:t>
      </w:r>
      <w:r w:rsidRPr="005327F5">
        <w:rPr>
          <w:rFonts w:ascii="Times New Roman" w:hAnsi="Times New Roman"/>
          <w:szCs w:val="24"/>
        </w:rPr>
        <w:t xml:space="preserve"> the Act</w:t>
      </w:r>
      <w:r>
        <w:rPr>
          <w:rFonts w:ascii="Times New Roman" w:hAnsi="Times New Roman"/>
          <w:szCs w:val="24"/>
        </w:rPr>
        <w:t xml:space="preserve"> </w:t>
      </w:r>
      <w:r w:rsidRPr="005327F5">
        <w:rPr>
          <w:rFonts w:ascii="Times New Roman" w:hAnsi="Times New Roman"/>
          <w:szCs w:val="24"/>
        </w:rPr>
        <w:t xml:space="preserve">sets out the preliminary assessment requirements </w:t>
      </w:r>
      <w:r>
        <w:rPr>
          <w:rFonts w:ascii="Times New Roman" w:hAnsi="Times New Roman"/>
          <w:szCs w:val="24"/>
        </w:rPr>
        <w:t>in relation to an</w:t>
      </w:r>
      <w:r w:rsidRPr="005327F5">
        <w:rPr>
          <w:rFonts w:ascii="Times New Roman" w:hAnsi="Times New Roman"/>
          <w:szCs w:val="24"/>
        </w:rPr>
        <w:t xml:space="preserve"> application</w:t>
      </w:r>
      <w:r>
        <w:rPr>
          <w:rFonts w:ascii="Times New Roman" w:hAnsi="Times New Roman"/>
          <w:szCs w:val="24"/>
        </w:rPr>
        <w:t xml:space="preserve"> to the Secretary</w:t>
      </w:r>
      <w:r w:rsidRPr="005327F5">
        <w:rPr>
          <w:rFonts w:ascii="Times New Roman" w:hAnsi="Times New Roman"/>
          <w:szCs w:val="24"/>
        </w:rPr>
        <w:t xml:space="preserve"> for </w:t>
      </w:r>
      <w:r>
        <w:rPr>
          <w:rFonts w:ascii="Times New Roman" w:hAnsi="Times New Roman"/>
          <w:szCs w:val="24"/>
        </w:rPr>
        <w:t>a</w:t>
      </w:r>
      <w:r w:rsidRPr="005327F5">
        <w:rPr>
          <w:rFonts w:ascii="Times New Roman" w:hAnsi="Times New Roman"/>
          <w:szCs w:val="24"/>
        </w:rPr>
        <w:t xml:space="preserve"> </w:t>
      </w:r>
      <w:r>
        <w:rPr>
          <w:rFonts w:ascii="Times New Roman" w:hAnsi="Times New Roman"/>
          <w:szCs w:val="24"/>
        </w:rPr>
        <w:t>kind of medical device to be included in the Register</w:t>
      </w:r>
      <w:r w:rsidRPr="005327F5">
        <w:rPr>
          <w:rFonts w:ascii="Times New Roman" w:hAnsi="Times New Roman"/>
          <w:szCs w:val="24"/>
        </w:rPr>
        <w:t>. These include requirement</w:t>
      </w:r>
      <w:r>
        <w:rPr>
          <w:rFonts w:ascii="Times New Roman" w:hAnsi="Times New Roman"/>
          <w:szCs w:val="24"/>
        </w:rPr>
        <w:t>s</w:t>
      </w:r>
      <w:r w:rsidRPr="005327F5">
        <w:rPr>
          <w:rFonts w:ascii="Times New Roman" w:hAnsi="Times New Roman"/>
          <w:szCs w:val="24"/>
        </w:rPr>
        <w:t xml:space="preserve"> that the application be accompanied by information that is of a kind determined under subsection </w:t>
      </w:r>
      <w:proofErr w:type="gramStart"/>
      <w:r>
        <w:rPr>
          <w:rFonts w:ascii="Times New Roman" w:hAnsi="Times New Roman"/>
          <w:szCs w:val="24"/>
        </w:rPr>
        <w:t>41FDB(</w:t>
      </w:r>
      <w:proofErr w:type="gramEnd"/>
      <w:r>
        <w:rPr>
          <w:rFonts w:ascii="Times New Roman" w:hAnsi="Times New Roman"/>
          <w:szCs w:val="24"/>
        </w:rPr>
        <w:t>7), and in a form determined under subsection 41FDB(8), for the relevant classification of medical device (subparagraphs 41FDB(2)(d)(</w:t>
      </w:r>
      <w:proofErr w:type="spellStart"/>
      <w:r>
        <w:rPr>
          <w:rFonts w:ascii="Times New Roman" w:hAnsi="Times New Roman"/>
          <w:szCs w:val="24"/>
        </w:rPr>
        <w:t>i</w:t>
      </w:r>
      <w:proofErr w:type="spellEnd"/>
      <w:r>
        <w:rPr>
          <w:rFonts w:ascii="Times New Roman" w:hAnsi="Times New Roman"/>
          <w:szCs w:val="24"/>
        </w:rPr>
        <w:t>) and 41FDB(2)(d)(ii) refers)</w:t>
      </w:r>
      <w:r w:rsidRPr="005327F5">
        <w:rPr>
          <w:rFonts w:ascii="Times New Roman" w:hAnsi="Times New Roman"/>
          <w:szCs w:val="24"/>
        </w:rPr>
        <w:t>.</w:t>
      </w:r>
    </w:p>
    <w:p w:rsidR="008E7A36" w:rsidRDefault="008E7A36" w:rsidP="00454659">
      <w:pPr>
        <w:ind w:right="-709"/>
        <w:rPr>
          <w:rFonts w:ascii="Times New Roman" w:hAnsi="Times New Roman"/>
          <w:szCs w:val="24"/>
        </w:rPr>
      </w:pPr>
    </w:p>
    <w:p w:rsidR="008E7A36" w:rsidRDefault="008E7A36" w:rsidP="00454659">
      <w:pPr>
        <w:ind w:right="-709"/>
        <w:rPr>
          <w:rFonts w:ascii="Times New Roman" w:hAnsi="Times New Roman"/>
          <w:szCs w:val="24"/>
        </w:rPr>
      </w:pPr>
      <w:r w:rsidRPr="005327F5">
        <w:rPr>
          <w:rFonts w:ascii="Times New Roman" w:hAnsi="Times New Roman"/>
          <w:szCs w:val="24"/>
        </w:rPr>
        <w:t>Subsection</w:t>
      </w:r>
      <w:r>
        <w:rPr>
          <w:rFonts w:ascii="Times New Roman" w:hAnsi="Times New Roman"/>
          <w:szCs w:val="24"/>
        </w:rPr>
        <w:t>s</w:t>
      </w:r>
      <w:r w:rsidRPr="005327F5">
        <w:rPr>
          <w:rFonts w:ascii="Times New Roman" w:hAnsi="Times New Roman"/>
          <w:szCs w:val="24"/>
        </w:rPr>
        <w:t xml:space="preserve"> </w:t>
      </w:r>
      <w:r>
        <w:rPr>
          <w:rFonts w:ascii="Times New Roman" w:hAnsi="Times New Roman"/>
          <w:szCs w:val="24"/>
        </w:rPr>
        <w:t>41FDB(7)</w:t>
      </w:r>
      <w:r w:rsidRPr="005327F5">
        <w:rPr>
          <w:rFonts w:ascii="Times New Roman" w:hAnsi="Times New Roman"/>
          <w:szCs w:val="24"/>
        </w:rPr>
        <w:t xml:space="preserve"> </w:t>
      </w:r>
      <w:r>
        <w:rPr>
          <w:rFonts w:ascii="Times New Roman" w:hAnsi="Times New Roman"/>
          <w:szCs w:val="24"/>
        </w:rPr>
        <w:t>and 41FDB(8)</w:t>
      </w:r>
      <w:r w:rsidRPr="005327F5">
        <w:rPr>
          <w:rFonts w:ascii="Times New Roman" w:hAnsi="Times New Roman"/>
          <w:szCs w:val="24"/>
        </w:rPr>
        <w:t xml:space="preserve"> of the Act </w:t>
      </w:r>
      <w:r>
        <w:rPr>
          <w:rFonts w:ascii="Times New Roman" w:hAnsi="Times New Roman"/>
          <w:szCs w:val="24"/>
        </w:rPr>
        <w:t xml:space="preserve">relevantly </w:t>
      </w:r>
      <w:r w:rsidRPr="005327F5">
        <w:rPr>
          <w:rFonts w:ascii="Times New Roman" w:hAnsi="Times New Roman"/>
          <w:szCs w:val="24"/>
        </w:rPr>
        <w:t xml:space="preserve">provide that the Secretary may, by legislative instrument, determine a kind </w:t>
      </w:r>
      <w:r>
        <w:rPr>
          <w:rFonts w:ascii="Times New Roman" w:hAnsi="Times New Roman"/>
          <w:szCs w:val="24"/>
        </w:rPr>
        <w:t xml:space="preserve">and form </w:t>
      </w:r>
      <w:r w:rsidRPr="005327F5">
        <w:rPr>
          <w:rFonts w:ascii="Times New Roman" w:hAnsi="Times New Roman"/>
          <w:szCs w:val="24"/>
        </w:rPr>
        <w:t>of information</w:t>
      </w:r>
      <w:r>
        <w:rPr>
          <w:rFonts w:ascii="Times New Roman" w:hAnsi="Times New Roman"/>
          <w:szCs w:val="24"/>
        </w:rPr>
        <w:t xml:space="preserve"> respectively</w:t>
      </w:r>
      <w:r w:rsidRPr="005327F5">
        <w:rPr>
          <w:rFonts w:ascii="Times New Roman" w:hAnsi="Times New Roman"/>
          <w:szCs w:val="24"/>
        </w:rPr>
        <w:t xml:space="preserve"> for the purposes of </w:t>
      </w:r>
      <w:r>
        <w:rPr>
          <w:rFonts w:ascii="Times New Roman" w:hAnsi="Times New Roman"/>
          <w:szCs w:val="24"/>
        </w:rPr>
        <w:t xml:space="preserve">an </w:t>
      </w:r>
      <w:r w:rsidRPr="005327F5">
        <w:rPr>
          <w:rFonts w:ascii="Times New Roman" w:hAnsi="Times New Roman"/>
          <w:szCs w:val="24"/>
        </w:rPr>
        <w:t xml:space="preserve">application </w:t>
      </w:r>
      <w:r>
        <w:rPr>
          <w:rFonts w:ascii="Times New Roman" w:hAnsi="Times New Roman"/>
          <w:szCs w:val="24"/>
        </w:rPr>
        <w:t xml:space="preserve">mentioned in </w:t>
      </w:r>
      <w:r w:rsidRPr="005327F5">
        <w:rPr>
          <w:rFonts w:ascii="Times New Roman" w:hAnsi="Times New Roman"/>
          <w:szCs w:val="24"/>
        </w:rPr>
        <w:t>subparagraph</w:t>
      </w:r>
      <w:r>
        <w:rPr>
          <w:rFonts w:ascii="Times New Roman" w:hAnsi="Times New Roman"/>
          <w:szCs w:val="24"/>
        </w:rPr>
        <w:t>s</w:t>
      </w:r>
      <w:r w:rsidRPr="005327F5">
        <w:rPr>
          <w:rFonts w:ascii="Times New Roman" w:hAnsi="Times New Roman"/>
          <w:szCs w:val="24"/>
        </w:rPr>
        <w:t xml:space="preserve"> </w:t>
      </w:r>
      <w:r>
        <w:rPr>
          <w:rFonts w:ascii="Times New Roman" w:hAnsi="Times New Roman"/>
          <w:szCs w:val="24"/>
        </w:rPr>
        <w:t>41FDB</w:t>
      </w:r>
      <w:r w:rsidRPr="005327F5">
        <w:rPr>
          <w:rFonts w:ascii="Times New Roman" w:hAnsi="Times New Roman"/>
          <w:szCs w:val="24"/>
        </w:rPr>
        <w:t>(2)(d)(</w:t>
      </w:r>
      <w:proofErr w:type="spellStart"/>
      <w:r w:rsidRPr="005327F5">
        <w:rPr>
          <w:rFonts w:ascii="Times New Roman" w:hAnsi="Times New Roman"/>
          <w:szCs w:val="24"/>
        </w:rPr>
        <w:t>i</w:t>
      </w:r>
      <w:proofErr w:type="spellEnd"/>
      <w:r w:rsidRPr="005327F5">
        <w:rPr>
          <w:rFonts w:ascii="Times New Roman" w:hAnsi="Times New Roman"/>
          <w:szCs w:val="24"/>
        </w:rPr>
        <w:t>)</w:t>
      </w:r>
      <w:r>
        <w:rPr>
          <w:rFonts w:ascii="Times New Roman" w:hAnsi="Times New Roman"/>
          <w:szCs w:val="24"/>
        </w:rPr>
        <w:t xml:space="preserve"> and (ii) </w:t>
      </w:r>
      <w:r w:rsidRPr="005327F5">
        <w:rPr>
          <w:rFonts w:ascii="Times New Roman" w:hAnsi="Times New Roman"/>
          <w:szCs w:val="24"/>
        </w:rPr>
        <w:t xml:space="preserve">of the Act </w:t>
      </w:r>
      <w:r>
        <w:rPr>
          <w:rFonts w:ascii="Times New Roman" w:hAnsi="Times New Roman"/>
          <w:szCs w:val="24"/>
        </w:rPr>
        <w:t xml:space="preserve">in relation </w:t>
      </w:r>
      <w:r w:rsidRPr="005327F5">
        <w:rPr>
          <w:rFonts w:ascii="Times New Roman" w:hAnsi="Times New Roman"/>
          <w:szCs w:val="24"/>
        </w:rPr>
        <w:t xml:space="preserve">to </w:t>
      </w:r>
      <w:r>
        <w:rPr>
          <w:rFonts w:ascii="Times New Roman" w:hAnsi="Times New Roman"/>
          <w:szCs w:val="24"/>
        </w:rPr>
        <w:t>medical devices of a particular classification</w:t>
      </w:r>
      <w:r w:rsidRPr="005327F5">
        <w:rPr>
          <w:rFonts w:ascii="Times New Roman" w:hAnsi="Times New Roman"/>
          <w:szCs w:val="24"/>
        </w:rPr>
        <w:t>.</w:t>
      </w:r>
    </w:p>
    <w:p w:rsidR="008E7A36" w:rsidRDefault="008E7A36" w:rsidP="00454659">
      <w:pPr>
        <w:ind w:right="-709"/>
        <w:rPr>
          <w:rFonts w:ascii="Times New Roman" w:hAnsi="Times New Roman"/>
          <w:szCs w:val="24"/>
        </w:rPr>
      </w:pPr>
      <w:bookmarkStart w:id="0" w:name="_GoBack"/>
      <w:bookmarkEnd w:id="0"/>
    </w:p>
    <w:p w:rsidR="008E7A36" w:rsidRDefault="008E7A36" w:rsidP="00454659">
      <w:pPr>
        <w:ind w:right="-709"/>
        <w:rPr>
          <w:rFonts w:ascii="Times New Roman" w:hAnsi="Times New Roman"/>
          <w:szCs w:val="24"/>
        </w:rPr>
      </w:pPr>
      <w:r w:rsidRPr="00BF3CEB">
        <w:rPr>
          <w:rFonts w:ascii="Times New Roman" w:hAnsi="Times New Roman"/>
          <w:szCs w:val="24"/>
        </w:rPr>
        <w:t xml:space="preserve">The </w:t>
      </w:r>
      <w:r w:rsidRPr="009838D9">
        <w:rPr>
          <w:rFonts w:ascii="Times New Roman" w:hAnsi="Times New Roman"/>
          <w:i/>
          <w:szCs w:val="24"/>
        </w:rPr>
        <w:t>Therapeutic Goods (</w:t>
      </w:r>
      <w:r w:rsidRPr="009838D9">
        <w:rPr>
          <w:i/>
        </w:rPr>
        <w:t>Medical Devices—Information that Must Accompany Application for Inclusion</w:t>
      </w:r>
      <w:r w:rsidRPr="009838D9">
        <w:rPr>
          <w:rFonts w:ascii="Times New Roman" w:hAnsi="Times New Roman"/>
          <w:i/>
          <w:szCs w:val="24"/>
        </w:rPr>
        <w:t>) Determination 2018</w:t>
      </w:r>
      <w:r w:rsidRPr="00BF3CEB">
        <w:rPr>
          <w:rFonts w:ascii="Times New Roman" w:hAnsi="Times New Roman"/>
          <w:szCs w:val="24"/>
        </w:rPr>
        <w:t xml:space="preserve"> </w:t>
      </w:r>
      <w:r w:rsidRPr="002B294C">
        <w:rPr>
          <w:rFonts w:ascii="Times New Roman" w:hAnsi="Times New Roman"/>
          <w:szCs w:val="24"/>
        </w:rPr>
        <w:t>(</w:t>
      </w:r>
      <w:r w:rsidRPr="00805C6E">
        <w:rPr>
          <w:rFonts w:ascii="Times New Roman" w:hAnsi="Times New Roman"/>
          <w:szCs w:val="24"/>
        </w:rPr>
        <w:t>“</w:t>
      </w:r>
      <w:r w:rsidR="00CD72ED">
        <w:rPr>
          <w:rFonts w:ascii="Times New Roman" w:hAnsi="Times New Roman"/>
          <w:szCs w:val="24"/>
        </w:rPr>
        <w:t xml:space="preserve">Principal </w:t>
      </w:r>
      <w:r w:rsidRPr="00805C6E">
        <w:rPr>
          <w:rFonts w:ascii="Times New Roman" w:hAnsi="Times New Roman"/>
          <w:szCs w:val="24"/>
        </w:rPr>
        <w:t xml:space="preserve">Determination”) </w:t>
      </w:r>
      <w:r>
        <w:rPr>
          <w:rFonts w:ascii="Times New Roman" w:hAnsi="Times New Roman"/>
          <w:szCs w:val="24"/>
        </w:rPr>
        <w:t>wa</w:t>
      </w:r>
      <w:r w:rsidRPr="00805C6E">
        <w:rPr>
          <w:rFonts w:ascii="Times New Roman" w:hAnsi="Times New Roman"/>
          <w:szCs w:val="24"/>
        </w:rPr>
        <w:t xml:space="preserve">s made for the purposes of subsections </w:t>
      </w:r>
      <w:proofErr w:type="gramStart"/>
      <w:r w:rsidRPr="00805C6E">
        <w:rPr>
          <w:rFonts w:ascii="Times New Roman" w:hAnsi="Times New Roman"/>
          <w:szCs w:val="24"/>
        </w:rPr>
        <w:t>41FDB(</w:t>
      </w:r>
      <w:proofErr w:type="gramEnd"/>
      <w:r w:rsidRPr="00805C6E">
        <w:rPr>
          <w:rFonts w:ascii="Times New Roman" w:hAnsi="Times New Roman"/>
          <w:szCs w:val="24"/>
        </w:rPr>
        <w:t>7) and 41FDB(8)</w:t>
      </w:r>
      <w:r>
        <w:rPr>
          <w:rFonts w:ascii="Times New Roman" w:hAnsi="Times New Roman"/>
          <w:szCs w:val="24"/>
        </w:rPr>
        <w:t xml:space="preserve"> of the Act and commenced on 10 October 2018. As above, it determines the kind and form of information that must accompany an application for kinds of medical devices of a particular classification to be included in the Register.</w:t>
      </w:r>
    </w:p>
    <w:p w:rsidR="008E7A36" w:rsidRDefault="008E7A36" w:rsidP="00454659">
      <w:pPr>
        <w:ind w:right="-709"/>
        <w:rPr>
          <w:rFonts w:ascii="Times New Roman" w:hAnsi="Times New Roman"/>
          <w:szCs w:val="24"/>
        </w:rPr>
      </w:pPr>
    </w:p>
    <w:p w:rsidR="00607490" w:rsidRDefault="00840E1F" w:rsidP="00454659">
      <w:pPr>
        <w:ind w:right="-709"/>
        <w:rPr>
          <w:rFonts w:ascii="Times New Roman" w:hAnsi="Times New Roman"/>
          <w:szCs w:val="24"/>
        </w:rPr>
      </w:pPr>
      <w:r>
        <w:rPr>
          <w:rFonts w:ascii="Times New Roman" w:hAnsi="Times New Roman"/>
          <w:szCs w:val="24"/>
        </w:rPr>
        <w:t xml:space="preserve">The kinds of information </w:t>
      </w:r>
      <w:r w:rsidR="00514995">
        <w:rPr>
          <w:rFonts w:ascii="Times New Roman" w:hAnsi="Times New Roman"/>
          <w:szCs w:val="24"/>
        </w:rPr>
        <w:t xml:space="preserve">specified in this Determination </w:t>
      </w:r>
      <w:r>
        <w:rPr>
          <w:rFonts w:ascii="Times New Roman" w:hAnsi="Times New Roman"/>
          <w:szCs w:val="24"/>
        </w:rPr>
        <w:t xml:space="preserve">relate to </w:t>
      </w:r>
      <w:r w:rsidR="00805C6E">
        <w:rPr>
          <w:rFonts w:ascii="Times New Roman" w:hAnsi="Times New Roman"/>
          <w:szCs w:val="24"/>
        </w:rPr>
        <w:t xml:space="preserve">the conformity assessment documents that are required to demonstrate that appropriate conformity assessment procedures have been applied by the manufacturer </w:t>
      </w:r>
      <w:r w:rsidR="00514995">
        <w:rPr>
          <w:rFonts w:ascii="Times New Roman" w:hAnsi="Times New Roman"/>
          <w:szCs w:val="24"/>
        </w:rPr>
        <w:t xml:space="preserve">to its quality management system and </w:t>
      </w:r>
      <w:r w:rsidR="00805C6E">
        <w:rPr>
          <w:rFonts w:ascii="Times New Roman" w:hAnsi="Times New Roman"/>
          <w:szCs w:val="24"/>
        </w:rPr>
        <w:t xml:space="preserve">the particular kind of </w:t>
      </w:r>
      <w:r w:rsidR="007C64DB">
        <w:rPr>
          <w:rFonts w:ascii="Times New Roman" w:hAnsi="Times New Roman"/>
          <w:szCs w:val="24"/>
        </w:rPr>
        <w:t xml:space="preserve">medical </w:t>
      </w:r>
      <w:r w:rsidR="00805C6E">
        <w:rPr>
          <w:rFonts w:ascii="Times New Roman" w:hAnsi="Times New Roman"/>
          <w:szCs w:val="24"/>
        </w:rPr>
        <w:t xml:space="preserve">device. </w:t>
      </w:r>
      <w:r w:rsidR="00155B04">
        <w:rPr>
          <w:rFonts w:ascii="Times New Roman" w:hAnsi="Times New Roman"/>
          <w:szCs w:val="24"/>
        </w:rPr>
        <w:t xml:space="preserve">The </w:t>
      </w:r>
      <w:r w:rsidR="00514995">
        <w:rPr>
          <w:rFonts w:ascii="Times New Roman" w:hAnsi="Times New Roman"/>
          <w:szCs w:val="24"/>
        </w:rPr>
        <w:t xml:space="preserve">conformity assessment documents </w:t>
      </w:r>
      <w:r w:rsidR="00155B04">
        <w:rPr>
          <w:rFonts w:ascii="Times New Roman" w:hAnsi="Times New Roman"/>
          <w:szCs w:val="24"/>
        </w:rPr>
        <w:t xml:space="preserve">include certificates and other documents which have been issued or recognised by </w:t>
      </w:r>
      <w:r w:rsidR="00514995">
        <w:rPr>
          <w:rFonts w:ascii="Times New Roman" w:hAnsi="Times New Roman"/>
          <w:szCs w:val="24"/>
        </w:rPr>
        <w:t xml:space="preserve">the Secretary and, in the alternative, </w:t>
      </w:r>
      <w:r w:rsidR="00155B04">
        <w:rPr>
          <w:rFonts w:ascii="Times New Roman" w:hAnsi="Times New Roman"/>
          <w:szCs w:val="24"/>
        </w:rPr>
        <w:t>comparable overseas regulators</w:t>
      </w:r>
      <w:r w:rsidR="00C17AEF">
        <w:rPr>
          <w:rFonts w:ascii="Times New Roman" w:hAnsi="Times New Roman"/>
          <w:szCs w:val="24"/>
        </w:rPr>
        <w:t>,</w:t>
      </w:r>
      <w:r w:rsidR="002C1BFA">
        <w:rPr>
          <w:rFonts w:ascii="Times New Roman" w:hAnsi="Times New Roman"/>
          <w:szCs w:val="24"/>
        </w:rPr>
        <w:t xml:space="preserve"> as def</w:t>
      </w:r>
      <w:r w:rsidR="00C17AEF">
        <w:rPr>
          <w:rFonts w:ascii="Times New Roman" w:hAnsi="Times New Roman"/>
          <w:szCs w:val="24"/>
        </w:rPr>
        <w:t>ined in section 41BIB</w:t>
      </w:r>
      <w:r w:rsidR="009973AF">
        <w:rPr>
          <w:rFonts w:ascii="Times New Roman" w:hAnsi="Times New Roman"/>
          <w:szCs w:val="24"/>
        </w:rPr>
        <w:t xml:space="preserve"> </w:t>
      </w:r>
      <w:r w:rsidR="00C17AEF">
        <w:rPr>
          <w:rFonts w:ascii="Times New Roman" w:hAnsi="Times New Roman"/>
          <w:szCs w:val="24"/>
        </w:rPr>
        <w:t>of the Act</w:t>
      </w:r>
      <w:r w:rsidR="00155B04">
        <w:rPr>
          <w:rFonts w:ascii="Times New Roman" w:hAnsi="Times New Roman"/>
          <w:szCs w:val="24"/>
        </w:rPr>
        <w:t>.</w:t>
      </w:r>
      <w:r w:rsidR="009973AF">
        <w:rPr>
          <w:rFonts w:ascii="Times New Roman" w:hAnsi="Times New Roman"/>
          <w:szCs w:val="24"/>
        </w:rPr>
        <w:t xml:space="preserve"> The </w:t>
      </w:r>
      <w:r w:rsidR="009973AF" w:rsidRPr="00C17AEF">
        <w:rPr>
          <w:rFonts w:ascii="Times New Roman" w:hAnsi="Times New Roman"/>
          <w:i/>
          <w:szCs w:val="24"/>
        </w:rPr>
        <w:t>Therapeutic Goods (Overseas Regulators) Determination 2018</w:t>
      </w:r>
      <w:r w:rsidR="009973AF">
        <w:rPr>
          <w:rFonts w:ascii="Times New Roman" w:hAnsi="Times New Roman"/>
          <w:szCs w:val="24"/>
        </w:rPr>
        <w:t xml:space="preserve"> (“Overseas Regulators Determination”) specifies the bodies that have been determined by the Secretary to be an overseas regulator for the purposes of section 41BIB of the Act.</w:t>
      </w:r>
    </w:p>
    <w:p w:rsidR="00AE04AB" w:rsidRPr="005327F5" w:rsidRDefault="00AE04AB" w:rsidP="00454659">
      <w:pPr>
        <w:ind w:right="-709"/>
        <w:rPr>
          <w:rFonts w:ascii="Times New Roman" w:hAnsi="Times New Roman"/>
          <w:szCs w:val="24"/>
        </w:rPr>
      </w:pPr>
    </w:p>
    <w:p w:rsidR="00A832B6" w:rsidRPr="00AF22E7" w:rsidRDefault="00CD72ED" w:rsidP="00454659">
      <w:pPr>
        <w:ind w:right="-709"/>
        <w:rPr>
          <w:rFonts w:ascii="Times New Roman" w:hAnsi="Times New Roman"/>
          <w:szCs w:val="24"/>
        </w:rPr>
      </w:pPr>
      <w:r w:rsidRPr="00CD72ED">
        <w:rPr>
          <w:rFonts w:ascii="Times New Roman" w:hAnsi="Times New Roman"/>
          <w:szCs w:val="24"/>
        </w:rPr>
        <w:t>The</w:t>
      </w:r>
      <w:r>
        <w:rPr>
          <w:rFonts w:ascii="Times New Roman" w:hAnsi="Times New Roman"/>
          <w:i/>
          <w:szCs w:val="24"/>
        </w:rPr>
        <w:t xml:space="preserve"> </w:t>
      </w:r>
      <w:r w:rsidR="008E7A36" w:rsidRPr="009838D9">
        <w:rPr>
          <w:rFonts w:ascii="Times New Roman" w:hAnsi="Times New Roman"/>
          <w:i/>
          <w:szCs w:val="24"/>
        </w:rPr>
        <w:t xml:space="preserve">Therapeutic Goods </w:t>
      </w:r>
      <w:r w:rsidR="008E7A36">
        <w:rPr>
          <w:rFonts w:ascii="Times New Roman" w:hAnsi="Times New Roman"/>
          <w:i/>
          <w:szCs w:val="24"/>
        </w:rPr>
        <w:t xml:space="preserve">Amendment </w:t>
      </w:r>
      <w:r w:rsidR="008E7A36" w:rsidRPr="009838D9">
        <w:rPr>
          <w:rFonts w:ascii="Times New Roman" w:hAnsi="Times New Roman"/>
          <w:i/>
          <w:szCs w:val="24"/>
        </w:rPr>
        <w:t>(</w:t>
      </w:r>
      <w:r w:rsidR="008E7A36" w:rsidRPr="009838D9">
        <w:rPr>
          <w:i/>
        </w:rPr>
        <w:t>Medical Devices—Information that Must Accompany Application for Inclusion</w:t>
      </w:r>
      <w:r w:rsidR="00FB0404">
        <w:rPr>
          <w:rFonts w:ascii="Times New Roman" w:hAnsi="Times New Roman"/>
          <w:i/>
          <w:szCs w:val="24"/>
        </w:rPr>
        <w:t>) Determination 2019</w:t>
      </w:r>
      <w:r w:rsidR="008E7A36">
        <w:rPr>
          <w:rFonts w:ascii="Times New Roman" w:hAnsi="Times New Roman"/>
          <w:i/>
          <w:szCs w:val="24"/>
        </w:rPr>
        <w:t xml:space="preserve"> </w:t>
      </w:r>
      <w:r w:rsidR="008E7A36" w:rsidRPr="008E7A36">
        <w:rPr>
          <w:rFonts w:ascii="Times New Roman" w:hAnsi="Times New Roman"/>
          <w:szCs w:val="24"/>
        </w:rPr>
        <w:t>(</w:t>
      </w:r>
      <w:r>
        <w:rPr>
          <w:rFonts w:ascii="Times New Roman" w:hAnsi="Times New Roman"/>
          <w:szCs w:val="24"/>
        </w:rPr>
        <w:t xml:space="preserve">“Amendment </w:t>
      </w:r>
      <w:r w:rsidR="008E7A36" w:rsidRPr="008E7A36">
        <w:rPr>
          <w:rFonts w:ascii="Times New Roman" w:hAnsi="Times New Roman"/>
          <w:szCs w:val="24"/>
        </w:rPr>
        <w:t>Determination</w:t>
      </w:r>
      <w:r>
        <w:rPr>
          <w:rFonts w:ascii="Times New Roman" w:hAnsi="Times New Roman"/>
          <w:szCs w:val="24"/>
        </w:rPr>
        <w:t>”</w:t>
      </w:r>
      <w:r w:rsidR="008E7A36" w:rsidRPr="008E7A36">
        <w:rPr>
          <w:rFonts w:ascii="Times New Roman" w:hAnsi="Times New Roman"/>
          <w:szCs w:val="24"/>
        </w:rPr>
        <w:t>)</w:t>
      </w:r>
      <w:r w:rsidR="008E7A36">
        <w:rPr>
          <w:rFonts w:ascii="Times New Roman" w:hAnsi="Times New Roman"/>
          <w:i/>
          <w:szCs w:val="24"/>
        </w:rPr>
        <w:t xml:space="preserve"> </w:t>
      </w:r>
      <w:r w:rsidR="008E7A36">
        <w:rPr>
          <w:rFonts w:ascii="Times New Roman" w:hAnsi="Times New Roman"/>
          <w:szCs w:val="24"/>
        </w:rPr>
        <w:t>amends</w:t>
      </w:r>
      <w:r>
        <w:rPr>
          <w:rFonts w:ascii="Times New Roman" w:hAnsi="Times New Roman"/>
          <w:szCs w:val="24"/>
        </w:rPr>
        <w:t xml:space="preserve"> the Principal Determination </w:t>
      </w:r>
      <w:r w:rsidR="00FB0404">
        <w:rPr>
          <w:rFonts w:ascii="Times New Roman" w:hAnsi="Times New Roman"/>
          <w:szCs w:val="24"/>
        </w:rPr>
        <w:t xml:space="preserve">primarily </w:t>
      </w:r>
      <w:r>
        <w:rPr>
          <w:rFonts w:ascii="Times New Roman" w:hAnsi="Times New Roman"/>
          <w:szCs w:val="24"/>
        </w:rPr>
        <w:t xml:space="preserve">to include an additional </w:t>
      </w:r>
      <w:r w:rsidR="008A73E8">
        <w:rPr>
          <w:rFonts w:ascii="Times New Roman" w:hAnsi="Times New Roman"/>
          <w:szCs w:val="24"/>
        </w:rPr>
        <w:t>kind</w:t>
      </w:r>
      <w:r w:rsidR="00AA58C7">
        <w:rPr>
          <w:rFonts w:ascii="Times New Roman" w:hAnsi="Times New Roman"/>
          <w:szCs w:val="24"/>
        </w:rPr>
        <w:t xml:space="preserve"> of </w:t>
      </w:r>
      <w:r>
        <w:rPr>
          <w:rFonts w:ascii="Times New Roman" w:hAnsi="Times New Roman"/>
          <w:szCs w:val="24"/>
        </w:rPr>
        <w:t xml:space="preserve">conformity assessment document that may accompany an application for </w:t>
      </w:r>
      <w:r w:rsidR="008A73E8">
        <w:rPr>
          <w:rFonts w:ascii="Times New Roman" w:hAnsi="Times New Roman"/>
          <w:szCs w:val="24"/>
        </w:rPr>
        <w:t xml:space="preserve">inclusion in the </w:t>
      </w:r>
      <w:r w:rsidR="00F42F1B">
        <w:rPr>
          <w:rFonts w:ascii="Times New Roman" w:hAnsi="Times New Roman"/>
          <w:szCs w:val="24"/>
        </w:rPr>
        <w:t>Australian Register of Therapeutic Goods (</w:t>
      </w:r>
      <w:r w:rsidR="002700C9">
        <w:rPr>
          <w:rFonts w:ascii="Times New Roman" w:hAnsi="Times New Roman"/>
          <w:szCs w:val="24"/>
        </w:rPr>
        <w:t>“</w:t>
      </w:r>
      <w:r w:rsidR="00C17AEF">
        <w:rPr>
          <w:rFonts w:ascii="Times New Roman" w:hAnsi="Times New Roman"/>
          <w:szCs w:val="24"/>
        </w:rPr>
        <w:t xml:space="preserve">the </w:t>
      </w:r>
      <w:r w:rsidR="008A73E8">
        <w:rPr>
          <w:rFonts w:ascii="Times New Roman" w:hAnsi="Times New Roman"/>
          <w:szCs w:val="24"/>
        </w:rPr>
        <w:t>R</w:t>
      </w:r>
      <w:r>
        <w:rPr>
          <w:rFonts w:ascii="Times New Roman" w:hAnsi="Times New Roman"/>
          <w:szCs w:val="24"/>
        </w:rPr>
        <w:t>egister</w:t>
      </w:r>
      <w:r w:rsidR="002700C9">
        <w:rPr>
          <w:rFonts w:ascii="Times New Roman" w:hAnsi="Times New Roman"/>
          <w:szCs w:val="24"/>
        </w:rPr>
        <w:t>”</w:t>
      </w:r>
      <w:r w:rsidR="00F42F1B">
        <w:rPr>
          <w:rFonts w:ascii="Times New Roman" w:hAnsi="Times New Roman"/>
          <w:szCs w:val="24"/>
        </w:rPr>
        <w:t>)</w:t>
      </w:r>
      <w:r>
        <w:rPr>
          <w:rFonts w:ascii="Times New Roman" w:hAnsi="Times New Roman"/>
          <w:szCs w:val="24"/>
        </w:rPr>
        <w:t xml:space="preserve"> </w:t>
      </w:r>
      <w:r w:rsidR="00D86CD2">
        <w:rPr>
          <w:rFonts w:ascii="Times New Roman" w:hAnsi="Times New Roman"/>
          <w:szCs w:val="24"/>
        </w:rPr>
        <w:t xml:space="preserve">in relation to </w:t>
      </w:r>
      <w:r>
        <w:rPr>
          <w:rFonts w:ascii="Times New Roman" w:hAnsi="Times New Roman"/>
          <w:szCs w:val="24"/>
        </w:rPr>
        <w:t>Class 2 and Class 3 IVD medical devices</w:t>
      </w:r>
      <w:r w:rsidR="00DA3D87">
        <w:rPr>
          <w:rFonts w:ascii="Times New Roman" w:hAnsi="Times New Roman"/>
          <w:szCs w:val="24"/>
        </w:rPr>
        <w:t xml:space="preserve">. </w:t>
      </w:r>
      <w:r w:rsidR="00DA3D87">
        <w:t xml:space="preserve">That document </w:t>
      </w:r>
      <w:r w:rsidR="002C1BFA" w:rsidRPr="002C1BFA">
        <w:t>is</w:t>
      </w:r>
      <w:r w:rsidR="002C1BFA" w:rsidRPr="002C1BFA">
        <w:rPr>
          <w:rFonts w:ascii="Times New Roman" w:hAnsi="Times New Roman"/>
          <w:szCs w:val="24"/>
        </w:rPr>
        <w:t xml:space="preserve"> </w:t>
      </w:r>
      <w:r w:rsidR="00BD7F06">
        <w:rPr>
          <w:rFonts w:ascii="Times New Roman" w:hAnsi="Times New Roman"/>
          <w:szCs w:val="24"/>
        </w:rPr>
        <w:t>issued</w:t>
      </w:r>
      <w:r w:rsidR="00AA58C7" w:rsidRPr="00772365">
        <w:rPr>
          <w:rFonts w:ascii="Times New Roman" w:hAnsi="Times New Roman"/>
          <w:szCs w:val="24"/>
        </w:rPr>
        <w:t xml:space="preserve"> by a</w:t>
      </w:r>
      <w:r w:rsidR="00FB0404">
        <w:rPr>
          <w:rFonts w:ascii="Times New Roman" w:hAnsi="Times New Roman"/>
          <w:szCs w:val="24"/>
        </w:rPr>
        <w:t>n</w:t>
      </w:r>
      <w:r w:rsidR="00AA58C7" w:rsidRPr="00772365">
        <w:rPr>
          <w:rFonts w:ascii="Times New Roman" w:hAnsi="Times New Roman"/>
          <w:szCs w:val="24"/>
        </w:rPr>
        <w:t xml:space="preserve"> </w:t>
      </w:r>
      <w:r w:rsidR="00FB0404" w:rsidRPr="00FB0404">
        <w:rPr>
          <w:rFonts w:ascii="Times New Roman" w:hAnsi="Times New Roman"/>
          <w:szCs w:val="24"/>
        </w:rPr>
        <w:t>“</w:t>
      </w:r>
      <w:r w:rsidR="00FB0404" w:rsidRPr="00FB0404">
        <w:t>IAF accredited conformity assessment body”</w:t>
      </w:r>
      <w:r w:rsidR="00A22190" w:rsidRPr="00FB0404">
        <w:rPr>
          <w:rFonts w:ascii="Times New Roman" w:hAnsi="Times New Roman"/>
          <w:szCs w:val="24"/>
        </w:rPr>
        <w:t>,</w:t>
      </w:r>
      <w:r w:rsidR="00D86CD2" w:rsidRPr="00FB0404">
        <w:rPr>
          <w:rFonts w:ascii="Times New Roman" w:hAnsi="Times New Roman"/>
          <w:szCs w:val="24"/>
        </w:rPr>
        <w:t xml:space="preserve"> certif</w:t>
      </w:r>
      <w:r w:rsidR="00DA3D87" w:rsidRPr="00FB0404">
        <w:rPr>
          <w:rFonts w:ascii="Times New Roman" w:hAnsi="Times New Roman"/>
          <w:szCs w:val="24"/>
        </w:rPr>
        <w:t>ying</w:t>
      </w:r>
      <w:r w:rsidR="00DA3D87">
        <w:rPr>
          <w:rFonts w:ascii="Times New Roman" w:hAnsi="Times New Roman"/>
          <w:szCs w:val="24"/>
        </w:rPr>
        <w:t xml:space="preserve"> </w:t>
      </w:r>
      <w:r w:rsidR="00D86CD2" w:rsidRPr="002C1BFA">
        <w:rPr>
          <w:rFonts w:ascii="Times New Roman" w:hAnsi="Times New Roman"/>
          <w:szCs w:val="24"/>
        </w:rPr>
        <w:t>compliance with</w:t>
      </w:r>
      <w:r w:rsidR="00D86CD2">
        <w:rPr>
          <w:rFonts w:ascii="Times New Roman" w:hAnsi="Times New Roman"/>
          <w:szCs w:val="24"/>
        </w:rPr>
        <w:t xml:space="preserve"> </w:t>
      </w:r>
      <w:r w:rsidR="00D86CD2">
        <w:t xml:space="preserve">International Standard </w:t>
      </w:r>
      <w:r w:rsidR="00D86CD2" w:rsidRPr="00C409D5">
        <w:t xml:space="preserve">ISO 13485:2016 </w:t>
      </w:r>
      <w:r w:rsidR="00D86CD2" w:rsidRPr="00C409D5">
        <w:rPr>
          <w:i/>
        </w:rPr>
        <w:t>Medical devices</w:t>
      </w:r>
      <w:r w:rsidR="00D86CD2">
        <w:rPr>
          <w:i/>
        </w:rPr>
        <w:sym w:font="Symbol" w:char="F0BE"/>
      </w:r>
      <w:r w:rsidR="00D86CD2" w:rsidRPr="00C409D5">
        <w:rPr>
          <w:i/>
        </w:rPr>
        <w:t>Quality management systems</w:t>
      </w:r>
      <w:r w:rsidR="00D86CD2">
        <w:rPr>
          <w:i/>
        </w:rPr>
        <w:sym w:font="Symbol" w:char="F0BE"/>
      </w:r>
      <w:r w:rsidR="00D86CD2" w:rsidRPr="00C409D5">
        <w:rPr>
          <w:i/>
        </w:rPr>
        <w:t>Requirements for regulatory purposes</w:t>
      </w:r>
      <w:r w:rsidR="00024307">
        <w:rPr>
          <w:i/>
        </w:rPr>
        <w:t>.</w:t>
      </w:r>
      <w:r w:rsidR="00024307" w:rsidRPr="00024307">
        <w:t xml:space="preserve"> </w:t>
      </w:r>
      <w:r w:rsidR="00024307">
        <w:t>Th</w:t>
      </w:r>
      <w:r w:rsidR="00F241AB">
        <w:t xml:space="preserve">e practical effect is to enable </w:t>
      </w:r>
      <w:r w:rsidR="00024307">
        <w:t>manufacturers with current ISO</w:t>
      </w:r>
      <w:r w:rsidR="00AF22E7">
        <w:t xml:space="preserve"> </w:t>
      </w:r>
      <w:proofErr w:type="gramStart"/>
      <w:r w:rsidR="00024307">
        <w:t>13485 certification from an IAF</w:t>
      </w:r>
      <w:proofErr w:type="gramEnd"/>
      <w:r w:rsidR="00024307">
        <w:t xml:space="preserve"> accredited conformity assessment body sufficient time to obtain certification under </w:t>
      </w:r>
      <w:r w:rsidR="006C5802">
        <w:t xml:space="preserve">the new </w:t>
      </w:r>
      <w:r w:rsidR="00024307" w:rsidRPr="00A832B6">
        <w:rPr>
          <w:rFonts w:ascii="Times New Roman" w:hAnsi="Times New Roman"/>
          <w:i/>
          <w:szCs w:val="24"/>
        </w:rPr>
        <w:t xml:space="preserve">Regulation (EU) 2017/746 of the European Parliament and of the Council of 5 April 2017 on </w:t>
      </w:r>
      <w:r w:rsidR="00024307">
        <w:rPr>
          <w:rFonts w:ascii="Times New Roman" w:hAnsi="Times New Roman"/>
          <w:i/>
          <w:szCs w:val="24"/>
        </w:rPr>
        <w:t xml:space="preserve">in vitro </w:t>
      </w:r>
      <w:r w:rsidR="00024307">
        <w:rPr>
          <w:rFonts w:ascii="Times New Roman" w:hAnsi="Times New Roman"/>
          <w:i/>
          <w:szCs w:val="24"/>
        </w:rPr>
        <w:lastRenderedPageBreak/>
        <w:t xml:space="preserve">diagnostic medical devices </w:t>
      </w:r>
      <w:r w:rsidR="00024307">
        <w:rPr>
          <w:rFonts w:ascii="Times New Roman" w:hAnsi="Times New Roman"/>
          <w:szCs w:val="24"/>
        </w:rPr>
        <w:t>(“EU IVD Regulation”)</w:t>
      </w:r>
      <w:r w:rsidR="006C5802">
        <w:rPr>
          <w:rFonts w:ascii="Times New Roman" w:hAnsi="Times New Roman"/>
          <w:i/>
          <w:szCs w:val="24"/>
        </w:rPr>
        <w:t xml:space="preserve"> </w:t>
      </w:r>
      <w:r w:rsidR="006C5802" w:rsidRPr="006C5802">
        <w:rPr>
          <w:rFonts w:ascii="Times New Roman" w:hAnsi="Times New Roman"/>
          <w:szCs w:val="24"/>
        </w:rPr>
        <w:t>or</w:t>
      </w:r>
      <w:r w:rsidR="00AF22E7">
        <w:rPr>
          <w:rFonts w:ascii="Times New Roman" w:hAnsi="Times New Roman"/>
          <w:i/>
          <w:szCs w:val="24"/>
        </w:rPr>
        <w:t xml:space="preserve"> </w:t>
      </w:r>
      <w:r w:rsidR="006C5802">
        <w:t xml:space="preserve">an MDSAP certificate. </w:t>
      </w:r>
      <w:r w:rsidR="00AF22E7">
        <w:rPr>
          <w:rFonts w:ascii="Times New Roman" w:hAnsi="Times New Roman"/>
          <w:szCs w:val="24"/>
        </w:rPr>
        <w:t>(An MDSAP certificate is a certification document issued by a recognised auditing organisation under the Medical Devices Single Audit Program following the completion of an audit of a manufacturer’s quality management system).</w:t>
      </w:r>
    </w:p>
    <w:p w:rsidR="00A832B6" w:rsidRDefault="00A832B6" w:rsidP="00454659">
      <w:pPr>
        <w:ind w:right="-709"/>
        <w:rPr>
          <w:rFonts w:ascii="Times New Roman" w:hAnsi="Times New Roman"/>
          <w:szCs w:val="24"/>
        </w:rPr>
      </w:pPr>
    </w:p>
    <w:p w:rsidR="002700C9" w:rsidRDefault="006C5802" w:rsidP="00454659">
      <w:pPr>
        <w:ind w:right="-709"/>
      </w:pPr>
      <w:r>
        <w:rPr>
          <w:rFonts w:ascii="Times New Roman" w:hAnsi="Times New Roman"/>
          <w:szCs w:val="24"/>
        </w:rPr>
        <w:t>T</w:t>
      </w:r>
      <w:r w:rsidR="009973AF">
        <w:rPr>
          <w:rFonts w:ascii="Times New Roman" w:hAnsi="Times New Roman"/>
          <w:szCs w:val="24"/>
        </w:rPr>
        <w:t xml:space="preserve">he </w:t>
      </w:r>
      <w:r w:rsidR="00C17AEF" w:rsidRPr="009973AF">
        <w:rPr>
          <w:i/>
        </w:rPr>
        <w:t>Therapeutic Goods Amendment (Overseas Regulators) Determination 2019</w:t>
      </w:r>
      <w:r w:rsidR="009973AF">
        <w:t xml:space="preserve"> amends the Overseas Regulators Determination to determine a</w:t>
      </w:r>
      <w:r w:rsidR="001F1380">
        <w:rPr>
          <w:rFonts w:ascii="Times New Roman" w:hAnsi="Times New Roman"/>
          <w:szCs w:val="24"/>
        </w:rPr>
        <w:t xml:space="preserve">n </w:t>
      </w:r>
      <w:r w:rsidR="002700C9" w:rsidRPr="001F1380">
        <w:t>IAF accredited conformity assessment body</w:t>
      </w:r>
      <w:r w:rsidR="009973AF">
        <w:t xml:space="preserve"> as an overseas regulator</w:t>
      </w:r>
      <w:r w:rsidR="00083AA7">
        <w:t xml:space="preserve"> for the purposes of section 41BIB of the Act</w:t>
      </w:r>
      <w:r w:rsidR="009973AF">
        <w:t>. This</w:t>
      </w:r>
      <w:r w:rsidR="002700C9" w:rsidRPr="0010111C">
        <w:rPr>
          <w:b/>
          <w:i/>
        </w:rPr>
        <w:t xml:space="preserve"> </w:t>
      </w:r>
      <w:r w:rsidR="001F1380">
        <w:t>is defined as</w:t>
      </w:r>
      <w:r w:rsidR="002700C9" w:rsidRPr="00C6156F">
        <w:t xml:space="preserve"> a body that is accredited to undertake certification for compliance with</w:t>
      </w:r>
      <w:r w:rsidR="009973AF">
        <w:t xml:space="preserve"> </w:t>
      </w:r>
      <w:r w:rsidR="002700C9" w:rsidRPr="00C6156F">
        <w:t xml:space="preserve">ISO 13485 by an accreditation body </w:t>
      </w:r>
      <w:r w:rsidR="002700C9">
        <w:t xml:space="preserve">member </w:t>
      </w:r>
      <w:r w:rsidR="002700C9" w:rsidRPr="00C6156F">
        <w:t>that is a signatory to the Multilateral Recognition Arrangement of the International Accreditation Forum, Inc., otherwise known as the IAF MLA</w:t>
      </w:r>
      <w:r w:rsidR="001F1380">
        <w:t>.</w:t>
      </w:r>
      <w:r w:rsidR="00024307">
        <w:t xml:space="preserve"> </w:t>
      </w:r>
    </w:p>
    <w:p w:rsidR="00A832B6" w:rsidRDefault="00A832B6" w:rsidP="00454659">
      <w:pPr>
        <w:ind w:right="-709"/>
      </w:pPr>
    </w:p>
    <w:p w:rsidR="00B40D58" w:rsidRDefault="00123878" w:rsidP="00454659">
      <w:pPr>
        <w:ind w:right="-709"/>
        <w:rPr>
          <w:rFonts w:ascii="Times New Roman" w:hAnsi="Times New Roman"/>
          <w:szCs w:val="24"/>
        </w:rPr>
      </w:pPr>
      <w:r>
        <w:rPr>
          <w:rFonts w:ascii="Times New Roman" w:hAnsi="Times New Roman"/>
          <w:szCs w:val="24"/>
        </w:rPr>
        <w:t>ISO 13485 c</w:t>
      </w:r>
      <w:r w:rsidR="00AF3811">
        <w:rPr>
          <w:rFonts w:ascii="Times New Roman" w:hAnsi="Times New Roman"/>
          <w:szCs w:val="24"/>
        </w:rPr>
        <w:t>ertification issued by an IAF accredited conformity assessment</w:t>
      </w:r>
      <w:r w:rsidR="00165214">
        <w:rPr>
          <w:rFonts w:ascii="Times New Roman" w:hAnsi="Times New Roman"/>
          <w:szCs w:val="24"/>
        </w:rPr>
        <w:t xml:space="preserve"> body</w:t>
      </w:r>
      <w:r w:rsidR="00AF3811">
        <w:rPr>
          <w:rFonts w:ascii="Times New Roman" w:hAnsi="Times New Roman"/>
          <w:szCs w:val="24"/>
        </w:rPr>
        <w:t xml:space="preserve"> </w:t>
      </w:r>
      <w:r w:rsidR="00DA4585">
        <w:rPr>
          <w:rFonts w:ascii="Times New Roman" w:hAnsi="Times New Roman"/>
          <w:szCs w:val="24"/>
        </w:rPr>
        <w:t xml:space="preserve">may only </w:t>
      </w:r>
      <w:r w:rsidR="00AF3811">
        <w:rPr>
          <w:rFonts w:ascii="Times New Roman" w:hAnsi="Times New Roman"/>
          <w:szCs w:val="24"/>
        </w:rPr>
        <w:t>accompany a</w:t>
      </w:r>
      <w:r w:rsidR="00AF22E7">
        <w:rPr>
          <w:rFonts w:ascii="Times New Roman" w:hAnsi="Times New Roman"/>
          <w:szCs w:val="24"/>
        </w:rPr>
        <w:t>n a</w:t>
      </w:r>
      <w:r w:rsidR="00AF3811">
        <w:rPr>
          <w:rFonts w:ascii="Times New Roman" w:hAnsi="Times New Roman"/>
          <w:szCs w:val="24"/>
        </w:rPr>
        <w:t xml:space="preserve">pplication for inclusion </w:t>
      </w:r>
      <w:r w:rsidR="00AF22E7">
        <w:rPr>
          <w:rFonts w:ascii="Times New Roman" w:hAnsi="Times New Roman"/>
          <w:szCs w:val="24"/>
        </w:rPr>
        <w:t xml:space="preserve">of a Class 2 or Class 3 IVD </w:t>
      </w:r>
      <w:r w:rsidR="006C5802">
        <w:rPr>
          <w:rFonts w:ascii="Times New Roman" w:hAnsi="Times New Roman"/>
          <w:szCs w:val="24"/>
        </w:rPr>
        <w:t xml:space="preserve">medical device </w:t>
      </w:r>
      <w:r w:rsidR="00AF3811">
        <w:rPr>
          <w:rFonts w:ascii="Times New Roman" w:hAnsi="Times New Roman"/>
          <w:szCs w:val="24"/>
        </w:rPr>
        <w:t xml:space="preserve">that </w:t>
      </w:r>
      <w:r w:rsidR="00AF22E7">
        <w:rPr>
          <w:rFonts w:ascii="Times New Roman" w:hAnsi="Times New Roman"/>
          <w:szCs w:val="24"/>
        </w:rPr>
        <w:t>is</w:t>
      </w:r>
      <w:r w:rsidR="00AF3811">
        <w:rPr>
          <w:rFonts w:ascii="Times New Roman" w:hAnsi="Times New Roman"/>
          <w:szCs w:val="24"/>
        </w:rPr>
        <w:t xml:space="preserve"> submitted before </w:t>
      </w:r>
      <w:r w:rsidR="00DA4585">
        <w:rPr>
          <w:rFonts w:ascii="Times New Roman" w:hAnsi="Times New Roman"/>
          <w:szCs w:val="24"/>
        </w:rPr>
        <w:t xml:space="preserve">26 </w:t>
      </w:r>
      <w:r w:rsidR="00AF3811">
        <w:rPr>
          <w:rFonts w:ascii="Times New Roman" w:hAnsi="Times New Roman"/>
          <w:szCs w:val="24"/>
        </w:rPr>
        <w:t>May 2022</w:t>
      </w:r>
      <w:r w:rsidR="00DA4585">
        <w:rPr>
          <w:rFonts w:ascii="Times New Roman" w:hAnsi="Times New Roman"/>
          <w:szCs w:val="24"/>
        </w:rPr>
        <w:t xml:space="preserve">. That date </w:t>
      </w:r>
      <w:r w:rsidR="00AF3811">
        <w:rPr>
          <w:rFonts w:ascii="Times New Roman" w:hAnsi="Times New Roman"/>
          <w:szCs w:val="24"/>
        </w:rPr>
        <w:t>corresponds with the end of the transition period in relation to the new EU IVD Regulation</w:t>
      </w:r>
      <w:r w:rsidR="00AF3811">
        <w:rPr>
          <w:rFonts w:ascii="Times New Roman" w:hAnsi="Times New Roman"/>
          <w:i/>
          <w:szCs w:val="24"/>
        </w:rPr>
        <w:t xml:space="preserve">. </w:t>
      </w:r>
      <w:r w:rsidR="00AF3811">
        <w:rPr>
          <w:rFonts w:ascii="Times New Roman" w:hAnsi="Times New Roman"/>
          <w:szCs w:val="24"/>
        </w:rPr>
        <w:t xml:space="preserve">From 26 May 2022, technical documentation and processes relating to the manufacture of IVD medical devices will be required to meet the requirements </w:t>
      </w:r>
      <w:r w:rsidR="006C5802">
        <w:rPr>
          <w:rFonts w:ascii="Times New Roman" w:hAnsi="Times New Roman"/>
          <w:szCs w:val="24"/>
        </w:rPr>
        <w:t>of</w:t>
      </w:r>
      <w:r w:rsidR="00AF3811">
        <w:rPr>
          <w:rFonts w:ascii="Times New Roman" w:hAnsi="Times New Roman"/>
          <w:szCs w:val="24"/>
        </w:rPr>
        <w:t xml:space="preserve"> the EU </w:t>
      </w:r>
      <w:r w:rsidR="006C5802">
        <w:rPr>
          <w:rFonts w:ascii="Times New Roman" w:hAnsi="Times New Roman"/>
          <w:szCs w:val="24"/>
        </w:rPr>
        <w:t xml:space="preserve">IVD </w:t>
      </w:r>
      <w:r w:rsidR="00AF3811">
        <w:rPr>
          <w:rFonts w:ascii="Times New Roman" w:hAnsi="Times New Roman"/>
          <w:szCs w:val="24"/>
        </w:rPr>
        <w:t>Regulation</w:t>
      </w:r>
      <w:r w:rsidR="00AF22E7">
        <w:rPr>
          <w:rFonts w:ascii="Times New Roman" w:hAnsi="Times New Roman"/>
          <w:szCs w:val="24"/>
        </w:rPr>
        <w:t xml:space="preserve"> (or other certification </w:t>
      </w:r>
      <w:r w:rsidR="006C5802">
        <w:rPr>
          <w:rFonts w:ascii="Times New Roman" w:hAnsi="Times New Roman"/>
          <w:szCs w:val="24"/>
        </w:rPr>
        <w:t xml:space="preserve">documentation </w:t>
      </w:r>
      <w:r w:rsidR="00AF22E7">
        <w:rPr>
          <w:rFonts w:ascii="Times New Roman" w:hAnsi="Times New Roman"/>
          <w:szCs w:val="24"/>
        </w:rPr>
        <w:t>that has been determined</w:t>
      </w:r>
      <w:r w:rsidR="006C5802">
        <w:rPr>
          <w:rFonts w:ascii="Times New Roman" w:hAnsi="Times New Roman"/>
          <w:szCs w:val="24"/>
        </w:rPr>
        <w:t xml:space="preserve"> under subsection </w:t>
      </w:r>
      <w:proofErr w:type="gramStart"/>
      <w:r w:rsidR="006C5802">
        <w:rPr>
          <w:rFonts w:ascii="Times New Roman" w:hAnsi="Times New Roman"/>
          <w:szCs w:val="24"/>
        </w:rPr>
        <w:t>41FDB(</w:t>
      </w:r>
      <w:proofErr w:type="gramEnd"/>
      <w:r w:rsidR="006C5802">
        <w:rPr>
          <w:rFonts w:ascii="Times New Roman" w:hAnsi="Times New Roman"/>
          <w:szCs w:val="24"/>
        </w:rPr>
        <w:t>7) of the Act</w:t>
      </w:r>
      <w:r w:rsidR="00AF22E7">
        <w:rPr>
          <w:rFonts w:ascii="Times New Roman" w:hAnsi="Times New Roman"/>
          <w:szCs w:val="24"/>
        </w:rPr>
        <w:t>)</w:t>
      </w:r>
      <w:r w:rsidR="00AF3811">
        <w:rPr>
          <w:rFonts w:ascii="Times New Roman" w:hAnsi="Times New Roman"/>
          <w:szCs w:val="24"/>
        </w:rPr>
        <w:t>, and certificates issued under ISO 13485</w:t>
      </w:r>
      <w:r w:rsidR="00057106" w:rsidRPr="00057106">
        <w:t xml:space="preserve"> </w:t>
      </w:r>
      <w:r w:rsidR="00057106" w:rsidRPr="00057106">
        <w:rPr>
          <w:rFonts w:ascii="Times New Roman" w:hAnsi="Times New Roman"/>
          <w:szCs w:val="24"/>
        </w:rPr>
        <w:t>by an IAF accredited conformity assessment body</w:t>
      </w:r>
      <w:r w:rsidR="00AF3811">
        <w:rPr>
          <w:rFonts w:ascii="Times New Roman" w:hAnsi="Times New Roman"/>
          <w:szCs w:val="24"/>
        </w:rPr>
        <w:t xml:space="preserve"> will no longer be accepted.</w:t>
      </w:r>
      <w:r>
        <w:rPr>
          <w:rFonts w:ascii="Times New Roman" w:hAnsi="Times New Roman"/>
          <w:szCs w:val="24"/>
        </w:rPr>
        <w:t xml:space="preserve"> </w:t>
      </w:r>
    </w:p>
    <w:p w:rsidR="00B40D58" w:rsidRDefault="00B40D58" w:rsidP="00454659">
      <w:pPr>
        <w:ind w:right="-709"/>
        <w:rPr>
          <w:rFonts w:ascii="Times New Roman" w:hAnsi="Times New Roman"/>
          <w:szCs w:val="24"/>
        </w:rPr>
      </w:pPr>
    </w:p>
    <w:p w:rsidR="00A832B6" w:rsidRDefault="00D3730E" w:rsidP="00454659">
      <w:pPr>
        <w:ind w:right="-709"/>
      </w:pPr>
      <w:r>
        <w:rPr>
          <w:rFonts w:ascii="Times New Roman" w:hAnsi="Times New Roman"/>
          <w:szCs w:val="24"/>
        </w:rPr>
        <w:t xml:space="preserve">Similarly, the </w:t>
      </w:r>
      <w:r w:rsidR="00B40D58">
        <w:rPr>
          <w:rFonts w:ascii="Times New Roman" w:hAnsi="Times New Roman"/>
          <w:szCs w:val="24"/>
        </w:rPr>
        <w:t>transition period applies in relation to</w:t>
      </w:r>
      <w:r w:rsidR="00A90C85">
        <w:rPr>
          <w:rFonts w:ascii="Times New Roman" w:hAnsi="Times New Roman"/>
          <w:szCs w:val="24"/>
        </w:rPr>
        <w:t xml:space="preserve"> ISO 13485 certification issued by a notified body within the meaning of </w:t>
      </w:r>
      <w:r w:rsidR="00A90C85" w:rsidRPr="008A076D">
        <w:rPr>
          <w:rFonts w:ascii="Times New Roman" w:hAnsi="Times New Roman"/>
          <w:i/>
          <w:szCs w:val="24"/>
        </w:rPr>
        <w:t>Directive 98/79/EC</w:t>
      </w:r>
      <w:r w:rsidR="008A076D" w:rsidRPr="008A076D">
        <w:rPr>
          <w:rFonts w:ascii="Times New Roman" w:hAnsi="Times New Roman"/>
          <w:i/>
          <w:szCs w:val="24"/>
        </w:rPr>
        <w:t xml:space="preserve"> of the European Parliament and of the Council of 27 October </w:t>
      </w:r>
      <w:r w:rsidR="008A076D">
        <w:rPr>
          <w:rFonts w:ascii="Times New Roman" w:hAnsi="Times New Roman"/>
          <w:i/>
          <w:szCs w:val="24"/>
        </w:rPr>
        <w:t xml:space="preserve">1998 </w:t>
      </w:r>
      <w:r w:rsidR="008A076D" w:rsidRPr="008A076D">
        <w:rPr>
          <w:rFonts w:ascii="Times New Roman" w:hAnsi="Times New Roman"/>
          <w:i/>
          <w:szCs w:val="24"/>
        </w:rPr>
        <w:t>on in vitro diagnostic medical devices</w:t>
      </w:r>
      <w:r w:rsidR="008A076D">
        <w:rPr>
          <w:rFonts w:ascii="Times New Roman" w:hAnsi="Times New Roman"/>
          <w:szCs w:val="24"/>
        </w:rPr>
        <w:t xml:space="preserve"> (“Directive 98/79/EC”)</w:t>
      </w:r>
      <w:r w:rsidR="00A90C85">
        <w:rPr>
          <w:rFonts w:ascii="Times New Roman" w:hAnsi="Times New Roman"/>
          <w:szCs w:val="24"/>
        </w:rPr>
        <w:t>.</w:t>
      </w:r>
      <w:r w:rsidR="00123878">
        <w:rPr>
          <w:rFonts w:ascii="Times New Roman" w:hAnsi="Times New Roman"/>
          <w:szCs w:val="24"/>
        </w:rPr>
        <w:t xml:space="preserve"> </w:t>
      </w:r>
      <w:r>
        <w:rPr>
          <w:rFonts w:ascii="Times New Roman" w:hAnsi="Times New Roman"/>
          <w:szCs w:val="24"/>
        </w:rPr>
        <w:t xml:space="preserve">Consequently, the </w:t>
      </w:r>
      <w:r w:rsidR="00B40D58">
        <w:rPr>
          <w:rFonts w:ascii="Times New Roman" w:hAnsi="Times New Roman"/>
          <w:szCs w:val="24"/>
        </w:rPr>
        <w:t>A</w:t>
      </w:r>
      <w:r w:rsidR="00123878">
        <w:rPr>
          <w:rFonts w:ascii="Times New Roman" w:hAnsi="Times New Roman"/>
          <w:szCs w:val="24"/>
        </w:rPr>
        <w:t>mendment</w:t>
      </w:r>
      <w:r w:rsidR="00B40D58">
        <w:rPr>
          <w:rFonts w:ascii="Times New Roman" w:hAnsi="Times New Roman"/>
          <w:szCs w:val="24"/>
        </w:rPr>
        <w:t xml:space="preserve"> Determination </w:t>
      </w:r>
      <w:r>
        <w:rPr>
          <w:rFonts w:ascii="Times New Roman" w:hAnsi="Times New Roman"/>
          <w:szCs w:val="24"/>
        </w:rPr>
        <w:t xml:space="preserve">also </w:t>
      </w:r>
      <w:r w:rsidR="008A076D">
        <w:rPr>
          <w:rFonts w:ascii="Times New Roman" w:hAnsi="Times New Roman"/>
          <w:szCs w:val="24"/>
        </w:rPr>
        <w:t>a</w:t>
      </w:r>
      <w:r w:rsidR="00B40D58">
        <w:rPr>
          <w:rFonts w:ascii="Times New Roman" w:hAnsi="Times New Roman"/>
          <w:szCs w:val="24"/>
        </w:rPr>
        <w:t>mend</w:t>
      </w:r>
      <w:r w:rsidR="008A076D">
        <w:rPr>
          <w:rFonts w:ascii="Times New Roman" w:hAnsi="Times New Roman"/>
          <w:szCs w:val="24"/>
        </w:rPr>
        <w:t>s</w:t>
      </w:r>
      <w:r w:rsidR="00123878">
        <w:rPr>
          <w:rFonts w:ascii="Times New Roman" w:hAnsi="Times New Roman"/>
          <w:szCs w:val="24"/>
        </w:rPr>
        <w:t xml:space="preserve"> Schedule 2 </w:t>
      </w:r>
      <w:r w:rsidR="00B40D58">
        <w:rPr>
          <w:rFonts w:ascii="Times New Roman" w:hAnsi="Times New Roman"/>
          <w:szCs w:val="24"/>
        </w:rPr>
        <w:t xml:space="preserve">to the Principal Determination </w:t>
      </w:r>
      <w:r w:rsidR="00123878">
        <w:rPr>
          <w:rFonts w:ascii="Times New Roman" w:hAnsi="Times New Roman"/>
          <w:szCs w:val="24"/>
        </w:rPr>
        <w:t>to clarify that a document certifying compliance</w:t>
      </w:r>
      <w:r w:rsidR="00A90C85">
        <w:rPr>
          <w:rFonts w:ascii="Times New Roman" w:hAnsi="Times New Roman"/>
          <w:szCs w:val="24"/>
        </w:rPr>
        <w:t xml:space="preserve"> with ISO 13485</w:t>
      </w:r>
      <w:r w:rsidR="00123878">
        <w:rPr>
          <w:rFonts w:ascii="Times New Roman" w:hAnsi="Times New Roman"/>
          <w:szCs w:val="24"/>
        </w:rPr>
        <w:t xml:space="preserve"> that is issued by </w:t>
      </w:r>
      <w:r w:rsidR="00A90C85">
        <w:rPr>
          <w:rFonts w:ascii="Times New Roman" w:hAnsi="Times New Roman"/>
          <w:szCs w:val="24"/>
        </w:rPr>
        <w:t xml:space="preserve">such </w:t>
      </w:r>
      <w:r w:rsidR="00123878">
        <w:rPr>
          <w:rFonts w:ascii="Times New Roman" w:hAnsi="Times New Roman"/>
          <w:szCs w:val="24"/>
        </w:rPr>
        <w:t>a body may only accompany an application for inclusion submitted before 26 May 2022.</w:t>
      </w:r>
    </w:p>
    <w:p w:rsidR="00D516B7" w:rsidRDefault="00D516B7" w:rsidP="00454659">
      <w:pPr>
        <w:ind w:right="-709"/>
        <w:rPr>
          <w:rFonts w:ascii="Times New Roman" w:hAnsi="Times New Roman"/>
          <w:szCs w:val="24"/>
        </w:rPr>
      </w:pPr>
    </w:p>
    <w:p w:rsidR="00D3730E" w:rsidRDefault="00105BC4" w:rsidP="00454659">
      <w:pPr>
        <w:ind w:right="-709"/>
        <w:rPr>
          <w:rFonts w:ascii="Times New Roman" w:hAnsi="Times New Roman"/>
          <w:szCs w:val="24"/>
        </w:rPr>
      </w:pPr>
      <w:r>
        <w:rPr>
          <w:rFonts w:ascii="Times New Roman" w:hAnsi="Times New Roman"/>
          <w:szCs w:val="24"/>
        </w:rPr>
        <w:t>T</w:t>
      </w:r>
      <w:r w:rsidR="00D516B7">
        <w:rPr>
          <w:rFonts w:ascii="Times New Roman" w:hAnsi="Times New Roman"/>
          <w:szCs w:val="24"/>
        </w:rPr>
        <w:t xml:space="preserve">he Amendment Determination </w:t>
      </w:r>
      <w:r>
        <w:rPr>
          <w:rFonts w:ascii="Times New Roman" w:hAnsi="Times New Roman"/>
          <w:szCs w:val="24"/>
        </w:rPr>
        <w:t xml:space="preserve">further </w:t>
      </w:r>
      <w:r w:rsidR="00D516B7">
        <w:rPr>
          <w:rFonts w:ascii="Times New Roman" w:hAnsi="Times New Roman"/>
          <w:szCs w:val="24"/>
        </w:rPr>
        <w:t>clarif</w:t>
      </w:r>
      <w:r w:rsidR="00AF3811">
        <w:rPr>
          <w:rFonts w:ascii="Times New Roman" w:hAnsi="Times New Roman"/>
          <w:szCs w:val="24"/>
        </w:rPr>
        <w:t>ies</w:t>
      </w:r>
      <w:r w:rsidR="00D516B7">
        <w:rPr>
          <w:rFonts w:ascii="Times New Roman" w:hAnsi="Times New Roman"/>
          <w:szCs w:val="24"/>
        </w:rPr>
        <w:t xml:space="preserve"> that documentation </w:t>
      </w:r>
      <w:r w:rsidR="006E6DD5">
        <w:rPr>
          <w:rFonts w:ascii="Times New Roman" w:hAnsi="Times New Roman"/>
          <w:szCs w:val="24"/>
        </w:rPr>
        <w:t xml:space="preserve">relating to product assessment </w:t>
      </w:r>
      <w:r w:rsidR="00AF3811">
        <w:rPr>
          <w:rFonts w:ascii="Times New Roman" w:hAnsi="Times New Roman"/>
          <w:szCs w:val="24"/>
        </w:rPr>
        <w:t>demonstrating that appropriate conformity assessment procedures have been applied by the manufacturer to the particular kind of device</w:t>
      </w:r>
      <w:r w:rsidR="00D516B7">
        <w:rPr>
          <w:rFonts w:ascii="Times New Roman" w:hAnsi="Times New Roman"/>
          <w:szCs w:val="24"/>
        </w:rPr>
        <w:t xml:space="preserve"> is not </w:t>
      </w:r>
      <w:r w:rsidR="00211732">
        <w:rPr>
          <w:rFonts w:ascii="Times New Roman" w:hAnsi="Times New Roman"/>
          <w:szCs w:val="24"/>
        </w:rPr>
        <w:t xml:space="preserve">determined </w:t>
      </w:r>
      <w:r w:rsidR="004A593D">
        <w:rPr>
          <w:rFonts w:ascii="Times New Roman" w:hAnsi="Times New Roman"/>
          <w:szCs w:val="24"/>
        </w:rPr>
        <w:t xml:space="preserve">to be required </w:t>
      </w:r>
      <w:r w:rsidR="0041644F">
        <w:rPr>
          <w:rFonts w:ascii="Times New Roman" w:hAnsi="Times New Roman"/>
          <w:szCs w:val="24"/>
        </w:rPr>
        <w:t xml:space="preserve">under the Principal Instrument in relation to </w:t>
      </w:r>
      <w:r w:rsidR="00D516B7">
        <w:rPr>
          <w:rFonts w:ascii="Times New Roman" w:hAnsi="Times New Roman"/>
          <w:szCs w:val="24"/>
        </w:rPr>
        <w:t xml:space="preserve">applications </w:t>
      </w:r>
      <w:r w:rsidR="00AF3811">
        <w:rPr>
          <w:rFonts w:ascii="Times New Roman" w:hAnsi="Times New Roman"/>
          <w:szCs w:val="24"/>
        </w:rPr>
        <w:t xml:space="preserve">for inclusion of Class 2 or </w:t>
      </w:r>
      <w:r w:rsidR="00E144DA">
        <w:rPr>
          <w:rFonts w:ascii="Times New Roman" w:hAnsi="Times New Roman"/>
          <w:szCs w:val="24"/>
        </w:rPr>
        <w:t xml:space="preserve">Class </w:t>
      </w:r>
      <w:r w:rsidR="00AF3811">
        <w:rPr>
          <w:rFonts w:ascii="Times New Roman" w:hAnsi="Times New Roman"/>
          <w:szCs w:val="24"/>
        </w:rPr>
        <w:t>3 IVD medical devices</w:t>
      </w:r>
      <w:r w:rsidR="004A593D">
        <w:rPr>
          <w:rFonts w:ascii="Times New Roman" w:hAnsi="Times New Roman"/>
          <w:szCs w:val="24"/>
        </w:rPr>
        <w:t xml:space="preserve">, which </w:t>
      </w:r>
      <w:r w:rsidR="00AF3811">
        <w:rPr>
          <w:rFonts w:ascii="Times New Roman" w:hAnsi="Times New Roman"/>
          <w:szCs w:val="24"/>
        </w:rPr>
        <w:t>are accompanied by</w:t>
      </w:r>
      <w:r w:rsidR="00D516B7">
        <w:rPr>
          <w:rFonts w:ascii="Times New Roman" w:hAnsi="Times New Roman"/>
          <w:szCs w:val="24"/>
        </w:rPr>
        <w:t xml:space="preserve"> a MDSAP certificate recognised by Health Canada</w:t>
      </w:r>
      <w:r w:rsidR="004A593D">
        <w:rPr>
          <w:rFonts w:ascii="Times New Roman" w:hAnsi="Times New Roman"/>
          <w:szCs w:val="24"/>
        </w:rPr>
        <w:t>,</w:t>
      </w:r>
      <w:r w:rsidR="00D516B7">
        <w:rPr>
          <w:rFonts w:ascii="Times New Roman" w:hAnsi="Times New Roman"/>
          <w:szCs w:val="24"/>
        </w:rPr>
        <w:t xml:space="preserve"> or a quality management system </w:t>
      </w:r>
      <w:r w:rsidR="006C5802">
        <w:rPr>
          <w:rFonts w:ascii="Times New Roman" w:hAnsi="Times New Roman"/>
          <w:szCs w:val="24"/>
        </w:rPr>
        <w:t xml:space="preserve">(“QMS”) </w:t>
      </w:r>
      <w:r w:rsidR="00D516B7">
        <w:rPr>
          <w:rFonts w:ascii="Times New Roman" w:hAnsi="Times New Roman"/>
          <w:szCs w:val="24"/>
        </w:rPr>
        <w:t>certificate for the purposes of the Canad</w:t>
      </w:r>
      <w:r w:rsidR="00AF3811">
        <w:rPr>
          <w:rFonts w:ascii="Times New Roman" w:hAnsi="Times New Roman"/>
          <w:szCs w:val="24"/>
        </w:rPr>
        <w:t>ian medical devices regulations</w:t>
      </w:r>
      <w:r w:rsidR="003C1C62">
        <w:rPr>
          <w:rFonts w:ascii="Times New Roman" w:hAnsi="Times New Roman"/>
          <w:szCs w:val="24"/>
        </w:rPr>
        <w:t xml:space="preserve"> (item 4 in Part 1 of Schedule 2 and item 7 in Part 2 of Schedule 2 to the Principal Determination</w:t>
      </w:r>
      <w:r w:rsidR="00D3730E">
        <w:rPr>
          <w:rFonts w:ascii="Times New Roman" w:hAnsi="Times New Roman"/>
          <w:szCs w:val="24"/>
        </w:rPr>
        <w:t xml:space="preserve"> refer</w:t>
      </w:r>
      <w:r w:rsidR="003C1C62">
        <w:rPr>
          <w:rFonts w:ascii="Times New Roman" w:hAnsi="Times New Roman"/>
          <w:szCs w:val="24"/>
        </w:rPr>
        <w:t>)</w:t>
      </w:r>
      <w:r w:rsidR="00AF3811">
        <w:rPr>
          <w:rFonts w:ascii="Times New Roman" w:hAnsi="Times New Roman"/>
          <w:szCs w:val="24"/>
        </w:rPr>
        <w:t>.</w:t>
      </w:r>
    </w:p>
    <w:p w:rsidR="00D3730E" w:rsidRDefault="00D3730E" w:rsidP="00454659">
      <w:pPr>
        <w:ind w:right="-709"/>
        <w:rPr>
          <w:rFonts w:ascii="Times New Roman" w:hAnsi="Times New Roman"/>
          <w:szCs w:val="24"/>
        </w:rPr>
      </w:pPr>
    </w:p>
    <w:p w:rsidR="00105BC4" w:rsidRDefault="00105BC4" w:rsidP="00454659">
      <w:pPr>
        <w:ind w:right="-709"/>
        <w:rPr>
          <w:rFonts w:ascii="Times New Roman" w:hAnsi="Times New Roman"/>
          <w:bCs/>
          <w:szCs w:val="24"/>
        </w:rPr>
      </w:pPr>
      <w:r w:rsidRPr="00E144DA">
        <w:rPr>
          <w:rFonts w:ascii="Times New Roman" w:hAnsi="Times New Roman"/>
          <w:szCs w:val="24"/>
        </w:rPr>
        <w:t>In addition, the r</w:t>
      </w:r>
      <w:r w:rsidRPr="00E144DA">
        <w:rPr>
          <w:rFonts w:ascii="Times New Roman" w:hAnsi="Times New Roman"/>
          <w:bCs/>
          <w:szCs w:val="24"/>
        </w:rPr>
        <w:t xml:space="preserve">equirement </w:t>
      </w:r>
      <w:r w:rsidR="003C1C62" w:rsidRPr="00E144DA">
        <w:rPr>
          <w:rFonts w:ascii="Times New Roman" w:hAnsi="Times New Roman"/>
          <w:bCs/>
          <w:szCs w:val="24"/>
        </w:rPr>
        <w:t xml:space="preserve">in </w:t>
      </w:r>
      <w:r w:rsidR="00DA4585">
        <w:rPr>
          <w:rFonts w:ascii="Times New Roman" w:hAnsi="Times New Roman"/>
          <w:bCs/>
          <w:szCs w:val="24"/>
        </w:rPr>
        <w:t xml:space="preserve">paragraph (b) of </w:t>
      </w:r>
      <w:r w:rsidR="0041644F">
        <w:rPr>
          <w:rFonts w:ascii="Times New Roman" w:hAnsi="Times New Roman"/>
          <w:bCs/>
          <w:szCs w:val="24"/>
        </w:rPr>
        <w:t xml:space="preserve">those items </w:t>
      </w:r>
      <w:r w:rsidRPr="00E144DA">
        <w:rPr>
          <w:rFonts w:ascii="Times New Roman" w:hAnsi="Times New Roman"/>
          <w:bCs/>
          <w:szCs w:val="24"/>
        </w:rPr>
        <w:t>that an application must have been submitted before 1 January 2019</w:t>
      </w:r>
      <w:r w:rsidR="005D5FE8" w:rsidRPr="00E144DA">
        <w:rPr>
          <w:rFonts w:ascii="Times New Roman" w:hAnsi="Times New Roman"/>
          <w:bCs/>
          <w:szCs w:val="24"/>
        </w:rPr>
        <w:t xml:space="preserve"> </w:t>
      </w:r>
      <w:r w:rsidR="006C5802">
        <w:rPr>
          <w:rFonts w:ascii="Times New Roman" w:hAnsi="Times New Roman"/>
          <w:bCs/>
          <w:szCs w:val="24"/>
        </w:rPr>
        <w:t xml:space="preserve">in relation to a QMS certificate for the purposes of the Canadian medical devices regulations </w:t>
      </w:r>
      <w:r w:rsidR="005D5FE8" w:rsidRPr="00E144DA">
        <w:rPr>
          <w:rFonts w:ascii="Times New Roman" w:hAnsi="Times New Roman"/>
          <w:bCs/>
          <w:szCs w:val="24"/>
        </w:rPr>
        <w:t>has been removed</w:t>
      </w:r>
      <w:r w:rsidRPr="00E144DA">
        <w:rPr>
          <w:rFonts w:ascii="Times New Roman" w:hAnsi="Times New Roman"/>
          <w:bCs/>
          <w:szCs w:val="24"/>
        </w:rPr>
        <w:t>.</w:t>
      </w:r>
      <w:r w:rsidR="00E144DA">
        <w:rPr>
          <w:rFonts w:ascii="Times New Roman" w:hAnsi="Times New Roman"/>
          <w:bCs/>
          <w:szCs w:val="24"/>
        </w:rPr>
        <w:t xml:space="preserve"> These amendments are required as a result of differences in</w:t>
      </w:r>
      <w:r w:rsidR="00E144DA" w:rsidRPr="00E144DA">
        <w:rPr>
          <w:rFonts w:ascii="Times New Roman" w:hAnsi="Times New Roman"/>
          <w:bCs/>
          <w:szCs w:val="24"/>
        </w:rPr>
        <w:t xml:space="preserve"> </w:t>
      </w:r>
      <w:r w:rsidR="00E144DA">
        <w:rPr>
          <w:rFonts w:ascii="Times New Roman" w:hAnsi="Times New Roman"/>
          <w:bCs/>
          <w:szCs w:val="24"/>
        </w:rPr>
        <w:t xml:space="preserve">the classification of IVD medical devices in Australia and Canada, and also to allow sufficient time for manufacturers to transition </w:t>
      </w:r>
      <w:r w:rsidR="004A593D">
        <w:rPr>
          <w:rFonts w:ascii="Times New Roman" w:hAnsi="Times New Roman"/>
          <w:bCs/>
          <w:szCs w:val="24"/>
        </w:rPr>
        <w:t xml:space="preserve">to </w:t>
      </w:r>
      <w:r w:rsidR="0041644F">
        <w:rPr>
          <w:rFonts w:ascii="Times New Roman" w:hAnsi="Times New Roman"/>
          <w:bCs/>
          <w:szCs w:val="24"/>
        </w:rPr>
        <w:t xml:space="preserve">alternative </w:t>
      </w:r>
      <w:r w:rsidR="004A593D">
        <w:rPr>
          <w:rFonts w:ascii="Times New Roman" w:hAnsi="Times New Roman"/>
          <w:bCs/>
          <w:szCs w:val="24"/>
        </w:rPr>
        <w:t>arrangements</w:t>
      </w:r>
      <w:r w:rsidR="00E144DA">
        <w:rPr>
          <w:rFonts w:ascii="Times New Roman" w:hAnsi="Times New Roman"/>
          <w:bCs/>
          <w:szCs w:val="24"/>
        </w:rPr>
        <w:t xml:space="preserve">. These amendments are </w:t>
      </w:r>
      <w:r w:rsidR="006C5802">
        <w:rPr>
          <w:rFonts w:ascii="Times New Roman" w:hAnsi="Times New Roman"/>
          <w:bCs/>
          <w:szCs w:val="24"/>
        </w:rPr>
        <w:t xml:space="preserve">also </w:t>
      </w:r>
      <w:r w:rsidR="00E144DA">
        <w:rPr>
          <w:rFonts w:ascii="Times New Roman" w:hAnsi="Times New Roman"/>
          <w:bCs/>
          <w:szCs w:val="24"/>
        </w:rPr>
        <w:t>consistent with the current treatment of MDSAP certificates issued by a recognised auditing organisation under the Principal Determination.</w:t>
      </w:r>
      <w:r w:rsidR="009364C3">
        <w:rPr>
          <w:rFonts w:ascii="Times New Roman" w:hAnsi="Times New Roman"/>
          <w:bCs/>
          <w:szCs w:val="24"/>
        </w:rPr>
        <w:t xml:space="preserve"> </w:t>
      </w:r>
    </w:p>
    <w:p w:rsidR="00E144DA" w:rsidRDefault="00E144DA" w:rsidP="00454659">
      <w:pPr>
        <w:ind w:right="-709"/>
        <w:rPr>
          <w:rFonts w:ascii="Times New Roman" w:hAnsi="Times New Roman"/>
          <w:szCs w:val="24"/>
        </w:rPr>
      </w:pPr>
    </w:p>
    <w:p w:rsidR="00242711" w:rsidRPr="00242711" w:rsidRDefault="00242711" w:rsidP="00454659">
      <w:pPr>
        <w:keepNext/>
        <w:ind w:right="-709"/>
        <w:rPr>
          <w:rFonts w:ascii="Times New Roman" w:hAnsi="Times New Roman"/>
          <w:b/>
          <w:szCs w:val="24"/>
        </w:rPr>
      </w:pPr>
      <w:r w:rsidRPr="00242711">
        <w:rPr>
          <w:rFonts w:ascii="Times New Roman" w:hAnsi="Times New Roman"/>
          <w:b/>
          <w:szCs w:val="24"/>
        </w:rPr>
        <w:t xml:space="preserve">Consultation </w:t>
      </w:r>
    </w:p>
    <w:p w:rsidR="00D347E6" w:rsidRDefault="00D347E6" w:rsidP="00454659">
      <w:pPr>
        <w:keepNext/>
        <w:ind w:right="-709"/>
        <w:rPr>
          <w:rFonts w:ascii="Times New Roman" w:hAnsi="Times New Roman"/>
          <w:szCs w:val="24"/>
        </w:rPr>
      </w:pPr>
    </w:p>
    <w:p w:rsidR="00E654E8" w:rsidRDefault="00D86CD2" w:rsidP="00454659">
      <w:pPr>
        <w:ind w:right="-709"/>
        <w:rPr>
          <w:rFonts w:ascii="Times New Roman" w:hAnsi="Times New Roman"/>
          <w:szCs w:val="24"/>
        </w:rPr>
      </w:pPr>
      <w:r w:rsidRPr="00C73A4A">
        <w:rPr>
          <w:rFonts w:ascii="Times New Roman" w:hAnsi="Times New Roman"/>
          <w:szCs w:val="24"/>
        </w:rPr>
        <w:t xml:space="preserve">The </w:t>
      </w:r>
      <w:r w:rsidR="00DB3E33">
        <w:rPr>
          <w:rFonts w:ascii="Times New Roman" w:hAnsi="Times New Roman"/>
          <w:szCs w:val="24"/>
        </w:rPr>
        <w:t>TGA</w:t>
      </w:r>
      <w:r w:rsidR="00E654E8" w:rsidRPr="00C73A4A">
        <w:rPr>
          <w:rFonts w:ascii="Times New Roman" w:hAnsi="Times New Roman"/>
          <w:szCs w:val="24"/>
        </w:rPr>
        <w:t xml:space="preserve"> </w:t>
      </w:r>
      <w:r w:rsidRPr="00C73A4A">
        <w:rPr>
          <w:rFonts w:ascii="Times New Roman" w:hAnsi="Times New Roman"/>
          <w:szCs w:val="24"/>
        </w:rPr>
        <w:t>conducted extensive consultation in</w:t>
      </w:r>
      <w:r w:rsidR="00CE65F0" w:rsidRPr="00C73A4A">
        <w:rPr>
          <w:rFonts w:ascii="Times New Roman" w:hAnsi="Times New Roman"/>
          <w:szCs w:val="24"/>
        </w:rPr>
        <w:t> </w:t>
      </w:r>
      <w:r w:rsidRPr="00C73A4A">
        <w:rPr>
          <w:rFonts w:ascii="Times New Roman" w:hAnsi="Times New Roman"/>
          <w:szCs w:val="24"/>
        </w:rPr>
        <w:t>relation to the Expert Panel Review of Medicines and Medical Device Regulation (“Review”)</w:t>
      </w:r>
      <w:r w:rsidR="00E654E8" w:rsidRPr="00C73A4A">
        <w:rPr>
          <w:rFonts w:ascii="Times New Roman" w:hAnsi="Times New Roman"/>
          <w:szCs w:val="24"/>
        </w:rPr>
        <w:t xml:space="preserve">. The Review </w:t>
      </w:r>
      <w:r w:rsidRPr="00C73A4A">
        <w:rPr>
          <w:rFonts w:ascii="Times New Roman" w:hAnsi="Times New Roman"/>
          <w:szCs w:val="24"/>
        </w:rPr>
        <w:t xml:space="preserve">included </w:t>
      </w:r>
      <w:r w:rsidR="00E654E8" w:rsidRPr="00C73A4A">
        <w:rPr>
          <w:rFonts w:ascii="Times New Roman" w:hAnsi="Times New Roman"/>
          <w:szCs w:val="24"/>
        </w:rPr>
        <w:t xml:space="preserve">recommendations to streamline processes for including medical devices in the Register in order to improve access by Australian consumers. In response, the Government introduced </w:t>
      </w:r>
      <w:r w:rsidR="00E654E8" w:rsidRPr="00C73A4A">
        <w:rPr>
          <w:rFonts w:ascii="Times New Roman" w:hAnsi="Times New Roman"/>
          <w:szCs w:val="24"/>
        </w:rPr>
        <w:lastRenderedPageBreak/>
        <w:t>measures to make greater use of</w:t>
      </w:r>
      <w:r w:rsidR="00CE65F0" w:rsidRPr="00C73A4A">
        <w:rPr>
          <w:rFonts w:ascii="Times New Roman" w:hAnsi="Times New Roman"/>
          <w:szCs w:val="24"/>
        </w:rPr>
        <w:t> </w:t>
      </w:r>
      <w:r w:rsidR="00E654E8" w:rsidRPr="00C73A4A">
        <w:rPr>
          <w:rFonts w:ascii="Times New Roman" w:hAnsi="Times New Roman"/>
          <w:szCs w:val="24"/>
        </w:rPr>
        <w:t xml:space="preserve">marketing approvals </w:t>
      </w:r>
      <w:r w:rsidR="00DA3D87" w:rsidRPr="00C73A4A">
        <w:rPr>
          <w:rFonts w:ascii="Times New Roman" w:hAnsi="Times New Roman"/>
          <w:szCs w:val="24"/>
        </w:rPr>
        <w:t xml:space="preserve">issued by </w:t>
      </w:r>
      <w:r w:rsidR="00E654E8" w:rsidRPr="00C73A4A">
        <w:rPr>
          <w:rFonts w:ascii="Times New Roman" w:hAnsi="Times New Roman"/>
          <w:szCs w:val="24"/>
        </w:rPr>
        <w:t>comparable overseas regulators (see Review Recommendation 15).</w:t>
      </w:r>
    </w:p>
    <w:p w:rsidR="00B666FE" w:rsidRDefault="00B666FE" w:rsidP="00454659">
      <w:pPr>
        <w:ind w:right="-709"/>
        <w:rPr>
          <w:rFonts w:ascii="Times New Roman" w:hAnsi="Times New Roman"/>
          <w:szCs w:val="24"/>
        </w:rPr>
      </w:pPr>
    </w:p>
    <w:p w:rsidR="006C6E34" w:rsidRPr="00B666FE" w:rsidRDefault="00B666FE" w:rsidP="00454659">
      <w:pPr>
        <w:ind w:right="-709"/>
        <w:rPr>
          <w:rFonts w:ascii="Times New Roman" w:hAnsi="Times New Roman"/>
          <w:szCs w:val="24"/>
        </w:rPr>
      </w:pPr>
      <w:r>
        <w:rPr>
          <w:rFonts w:ascii="Times New Roman" w:hAnsi="Times New Roman"/>
          <w:szCs w:val="24"/>
        </w:rPr>
        <w:t xml:space="preserve">The TGA conducted targeted stakeholder consultation on 28 February </w:t>
      </w:r>
      <w:r w:rsidRPr="00B666FE">
        <w:rPr>
          <w:rFonts w:ascii="Times New Roman" w:hAnsi="Times New Roman"/>
          <w:szCs w:val="24"/>
        </w:rPr>
        <w:t xml:space="preserve">2019 </w:t>
      </w:r>
      <w:r w:rsidR="00A35475" w:rsidRPr="00B666FE">
        <w:rPr>
          <w:rFonts w:ascii="Times New Roman" w:hAnsi="Times New Roman"/>
          <w:szCs w:val="24"/>
        </w:rPr>
        <w:t>with members of the Regulatory and Technical Consultative Forum for medical devices (“</w:t>
      </w:r>
      <w:proofErr w:type="spellStart"/>
      <w:r w:rsidR="00A35475" w:rsidRPr="00B666FE">
        <w:rPr>
          <w:rFonts w:ascii="Times New Roman" w:hAnsi="Times New Roman"/>
          <w:szCs w:val="24"/>
        </w:rPr>
        <w:t>RegTech</w:t>
      </w:r>
      <w:proofErr w:type="spellEnd"/>
      <w:r w:rsidR="00A35475" w:rsidRPr="00B666FE">
        <w:rPr>
          <w:rFonts w:ascii="Times New Roman" w:hAnsi="Times New Roman"/>
          <w:szCs w:val="24"/>
        </w:rPr>
        <w:t>”)</w:t>
      </w:r>
      <w:r w:rsidR="000A44DC">
        <w:rPr>
          <w:rFonts w:ascii="Times New Roman" w:hAnsi="Times New Roman"/>
          <w:szCs w:val="24"/>
        </w:rPr>
        <w:t xml:space="preserve"> in relation to the amendments proposed by the </w:t>
      </w:r>
      <w:r w:rsidR="00CE65F0" w:rsidRPr="00B666FE">
        <w:rPr>
          <w:rFonts w:ascii="Times New Roman" w:hAnsi="Times New Roman"/>
          <w:szCs w:val="24"/>
        </w:rPr>
        <w:t>Amendment Determination.</w:t>
      </w:r>
      <w:r w:rsidR="00DA4585">
        <w:rPr>
          <w:rFonts w:ascii="Times New Roman" w:hAnsi="Times New Roman"/>
          <w:szCs w:val="24"/>
        </w:rPr>
        <w:t xml:space="preserve"> No further consultation was considered necessary for the purposes of </w:t>
      </w:r>
      <w:r w:rsidR="00903974">
        <w:rPr>
          <w:rFonts w:ascii="Times New Roman" w:hAnsi="Times New Roman"/>
          <w:szCs w:val="24"/>
        </w:rPr>
        <w:t xml:space="preserve">making </w:t>
      </w:r>
      <w:r w:rsidR="00DA4585">
        <w:rPr>
          <w:rFonts w:ascii="Times New Roman" w:hAnsi="Times New Roman"/>
          <w:szCs w:val="24"/>
        </w:rPr>
        <w:t xml:space="preserve">this Amendment Determination, noting that the effect of the amendment </w:t>
      </w:r>
      <w:r w:rsidR="00EF72B2">
        <w:rPr>
          <w:rFonts w:ascii="Times New Roman" w:hAnsi="Times New Roman"/>
          <w:szCs w:val="24"/>
        </w:rPr>
        <w:t xml:space="preserve">provides a beneficial outcome to industry by </w:t>
      </w:r>
      <w:r w:rsidR="00DA4585">
        <w:rPr>
          <w:rFonts w:ascii="Times New Roman" w:hAnsi="Times New Roman"/>
          <w:szCs w:val="24"/>
        </w:rPr>
        <w:t>expand</w:t>
      </w:r>
      <w:r w:rsidR="00EF72B2">
        <w:rPr>
          <w:rFonts w:ascii="Times New Roman" w:hAnsi="Times New Roman"/>
          <w:szCs w:val="24"/>
        </w:rPr>
        <w:t>ing</w:t>
      </w:r>
      <w:r w:rsidR="00DA4585">
        <w:rPr>
          <w:rFonts w:ascii="Times New Roman" w:hAnsi="Times New Roman"/>
          <w:szCs w:val="24"/>
        </w:rPr>
        <w:t xml:space="preserve"> the kind of conformity assessment documents that may be provided with </w:t>
      </w:r>
      <w:r w:rsidR="00EF72B2">
        <w:rPr>
          <w:rFonts w:ascii="Times New Roman" w:hAnsi="Times New Roman"/>
          <w:szCs w:val="24"/>
        </w:rPr>
        <w:t xml:space="preserve">relevant </w:t>
      </w:r>
      <w:r w:rsidR="00DA4585">
        <w:rPr>
          <w:rFonts w:ascii="Times New Roman" w:hAnsi="Times New Roman"/>
          <w:szCs w:val="24"/>
        </w:rPr>
        <w:t>applications for inclusion.</w:t>
      </w:r>
    </w:p>
    <w:p w:rsidR="006C6E34" w:rsidRDefault="006C6E34" w:rsidP="00454659">
      <w:pPr>
        <w:ind w:right="-709"/>
        <w:rPr>
          <w:rFonts w:ascii="Times New Roman" w:hAnsi="Times New Roman"/>
          <w:szCs w:val="24"/>
        </w:rPr>
      </w:pPr>
    </w:p>
    <w:p w:rsidR="00700F37" w:rsidRPr="00CB3EFF" w:rsidRDefault="00700F37" w:rsidP="00454659">
      <w:pPr>
        <w:ind w:right="-709"/>
        <w:rPr>
          <w:rFonts w:ascii="Times New Roman" w:hAnsi="Times New Roman"/>
          <w:b/>
          <w:sz w:val="22"/>
          <w:szCs w:val="22"/>
        </w:rPr>
      </w:pPr>
      <w:r w:rsidRPr="00CB3EFF">
        <w:rPr>
          <w:rFonts w:ascii="Times New Roman" w:hAnsi="Times New Roman"/>
          <w:b/>
          <w:sz w:val="22"/>
          <w:szCs w:val="22"/>
        </w:rPr>
        <w:t>Documents incorporated by reference</w:t>
      </w:r>
    </w:p>
    <w:p w:rsidR="00F42F1B" w:rsidRDefault="00F42F1B" w:rsidP="00454659">
      <w:pPr>
        <w:ind w:right="-709"/>
        <w:rPr>
          <w:rFonts w:ascii="Times New Roman" w:eastAsiaTheme="minorHAnsi" w:hAnsi="Times New Roman"/>
          <w:color w:val="000000"/>
          <w:szCs w:val="24"/>
          <w:lang w:eastAsia="en-US"/>
        </w:rPr>
      </w:pPr>
    </w:p>
    <w:p w:rsidR="00782045" w:rsidRDefault="00F63AF4" w:rsidP="00454659">
      <w:pPr>
        <w:ind w:right="-709"/>
        <w:rPr>
          <w:rFonts w:ascii="Times New Roman" w:eastAsiaTheme="minorHAnsi" w:hAnsi="Times New Roman"/>
          <w:color w:val="000000"/>
          <w:szCs w:val="24"/>
          <w:lang w:eastAsia="en-US"/>
        </w:rPr>
      </w:pPr>
      <w:r>
        <w:rPr>
          <w:rFonts w:ascii="Times New Roman" w:eastAsiaTheme="minorHAnsi" w:hAnsi="Times New Roman"/>
          <w:color w:val="000000"/>
          <w:szCs w:val="24"/>
          <w:lang w:eastAsia="en-US"/>
        </w:rPr>
        <w:t>Th</w:t>
      </w:r>
      <w:r w:rsidR="00700F37">
        <w:rPr>
          <w:rFonts w:ascii="Times New Roman" w:eastAsiaTheme="minorHAnsi" w:hAnsi="Times New Roman"/>
          <w:color w:val="000000"/>
          <w:szCs w:val="24"/>
          <w:lang w:eastAsia="en-US"/>
        </w:rPr>
        <w:t>e</w:t>
      </w:r>
      <w:r w:rsidR="00C73A4A">
        <w:rPr>
          <w:rFonts w:ascii="Times New Roman" w:eastAsiaTheme="minorHAnsi" w:hAnsi="Times New Roman"/>
          <w:color w:val="000000"/>
          <w:szCs w:val="24"/>
          <w:lang w:eastAsia="en-US"/>
        </w:rPr>
        <w:t xml:space="preserve"> primary</w:t>
      </w:r>
      <w:r w:rsidR="00700F37">
        <w:rPr>
          <w:rFonts w:ascii="Times New Roman" w:eastAsiaTheme="minorHAnsi" w:hAnsi="Times New Roman"/>
          <w:color w:val="000000"/>
          <w:szCs w:val="24"/>
          <w:lang w:eastAsia="en-US"/>
        </w:rPr>
        <w:t xml:space="preserve"> </w:t>
      </w:r>
      <w:r w:rsidR="00C013A3">
        <w:rPr>
          <w:rFonts w:ascii="Times New Roman" w:eastAsiaTheme="minorHAnsi" w:hAnsi="Times New Roman"/>
          <w:color w:val="000000"/>
          <w:szCs w:val="24"/>
          <w:lang w:eastAsia="en-US"/>
        </w:rPr>
        <w:t xml:space="preserve">purpose </w:t>
      </w:r>
      <w:r w:rsidR="001B1946">
        <w:rPr>
          <w:rFonts w:ascii="Times New Roman" w:eastAsiaTheme="minorHAnsi" w:hAnsi="Times New Roman"/>
          <w:color w:val="000000"/>
          <w:szCs w:val="24"/>
          <w:lang w:eastAsia="en-US"/>
        </w:rPr>
        <w:t xml:space="preserve">of the </w:t>
      </w:r>
      <w:r>
        <w:rPr>
          <w:rFonts w:ascii="Times New Roman" w:eastAsiaTheme="minorHAnsi" w:hAnsi="Times New Roman"/>
          <w:color w:val="000000"/>
          <w:szCs w:val="24"/>
          <w:lang w:eastAsia="en-US"/>
        </w:rPr>
        <w:t xml:space="preserve">Amendment </w:t>
      </w:r>
      <w:r w:rsidR="00700F37">
        <w:rPr>
          <w:rFonts w:ascii="Times New Roman" w:eastAsiaTheme="minorHAnsi" w:hAnsi="Times New Roman"/>
          <w:color w:val="000000"/>
          <w:szCs w:val="24"/>
          <w:lang w:eastAsia="en-US"/>
        </w:rPr>
        <w:t xml:space="preserve">Determination </w:t>
      </w:r>
      <w:r w:rsidR="001B1946">
        <w:rPr>
          <w:rFonts w:ascii="Times New Roman" w:eastAsiaTheme="minorHAnsi" w:hAnsi="Times New Roman"/>
          <w:color w:val="000000"/>
          <w:szCs w:val="24"/>
          <w:lang w:eastAsia="en-US"/>
        </w:rPr>
        <w:t xml:space="preserve">is to </w:t>
      </w:r>
      <w:r w:rsidR="00F42F1B">
        <w:rPr>
          <w:rFonts w:ascii="Times New Roman" w:eastAsiaTheme="minorHAnsi" w:hAnsi="Times New Roman"/>
          <w:color w:val="000000"/>
          <w:szCs w:val="24"/>
          <w:lang w:eastAsia="en-US"/>
        </w:rPr>
        <w:t xml:space="preserve">specify an additional </w:t>
      </w:r>
      <w:r w:rsidR="00700F37">
        <w:rPr>
          <w:rFonts w:ascii="Times New Roman" w:eastAsiaTheme="minorHAnsi" w:hAnsi="Times New Roman"/>
          <w:color w:val="000000"/>
          <w:szCs w:val="24"/>
          <w:lang w:eastAsia="en-US"/>
        </w:rPr>
        <w:t xml:space="preserve">kind of information </w:t>
      </w:r>
      <w:r w:rsidR="006404CF">
        <w:rPr>
          <w:rFonts w:ascii="Times New Roman" w:eastAsiaTheme="minorHAnsi" w:hAnsi="Times New Roman"/>
          <w:color w:val="000000"/>
          <w:szCs w:val="24"/>
          <w:lang w:eastAsia="en-US"/>
        </w:rPr>
        <w:t>that may</w:t>
      </w:r>
      <w:r w:rsidR="00700F37">
        <w:rPr>
          <w:rFonts w:ascii="Times New Roman" w:eastAsiaTheme="minorHAnsi" w:hAnsi="Times New Roman"/>
          <w:color w:val="000000"/>
          <w:szCs w:val="24"/>
          <w:lang w:eastAsia="en-US"/>
        </w:rPr>
        <w:t xml:space="preserve"> accompany an application for inclusion </w:t>
      </w:r>
      <w:r w:rsidR="001B1946">
        <w:rPr>
          <w:rFonts w:ascii="Times New Roman" w:eastAsiaTheme="minorHAnsi" w:hAnsi="Times New Roman"/>
          <w:color w:val="000000"/>
          <w:szCs w:val="24"/>
          <w:lang w:eastAsia="en-US"/>
        </w:rPr>
        <w:t xml:space="preserve">in the Register </w:t>
      </w:r>
      <w:r w:rsidR="00700F37">
        <w:rPr>
          <w:rFonts w:ascii="Times New Roman" w:eastAsiaTheme="minorHAnsi" w:hAnsi="Times New Roman"/>
          <w:color w:val="000000"/>
          <w:szCs w:val="24"/>
          <w:lang w:eastAsia="en-US"/>
        </w:rPr>
        <w:t xml:space="preserve">of a </w:t>
      </w:r>
      <w:r w:rsidR="008A73E8">
        <w:rPr>
          <w:rFonts w:ascii="Times New Roman" w:eastAsiaTheme="minorHAnsi" w:hAnsi="Times New Roman"/>
          <w:color w:val="000000"/>
          <w:szCs w:val="24"/>
          <w:lang w:eastAsia="en-US"/>
        </w:rPr>
        <w:t>C</w:t>
      </w:r>
      <w:r>
        <w:rPr>
          <w:rFonts w:ascii="Times New Roman" w:eastAsiaTheme="minorHAnsi" w:hAnsi="Times New Roman"/>
          <w:color w:val="000000"/>
          <w:szCs w:val="24"/>
          <w:lang w:eastAsia="en-US"/>
        </w:rPr>
        <w:t>lass</w:t>
      </w:r>
      <w:r w:rsidR="001B1946">
        <w:rPr>
          <w:rFonts w:ascii="Times New Roman" w:eastAsiaTheme="minorHAnsi" w:hAnsi="Times New Roman"/>
          <w:color w:val="000000"/>
          <w:szCs w:val="24"/>
          <w:lang w:eastAsia="en-US"/>
        </w:rPr>
        <w:t> </w:t>
      </w:r>
      <w:r>
        <w:rPr>
          <w:rFonts w:ascii="Times New Roman" w:eastAsiaTheme="minorHAnsi" w:hAnsi="Times New Roman"/>
          <w:color w:val="000000"/>
          <w:szCs w:val="24"/>
          <w:lang w:eastAsia="en-US"/>
        </w:rPr>
        <w:t xml:space="preserve">2 or </w:t>
      </w:r>
      <w:r w:rsidR="008A73E8">
        <w:rPr>
          <w:rFonts w:ascii="Times New Roman" w:eastAsiaTheme="minorHAnsi" w:hAnsi="Times New Roman"/>
          <w:color w:val="000000"/>
          <w:szCs w:val="24"/>
          <w:lang w:eastAsia="en-US"/>
        </w:rPr>
        <w:t>C</w:t>
      </w:r>
      <w:r>
        <w:rPr>
          <w:rFonts w:ascii="Times New Roman" w:eastAsiaTheme="minorHAnsi" w:hAnsi="Times New Roman"/>
          <w:color w:val="000000"/>
          <w:szCs w:val="24"/>
          <w:lang w:eastAsia="en-US"/>
        </w:rPr>
        <w:t xml:space="preserve">lass 3 IVD </w:t>
      </w:r>
      <w:r w:rsidR="00700F37">
        <w:rPr>
          <w:rFonts w:ascii="Times New Roman" w:eastAsiaTheme="minorHAnsi" w:hAnsi="Times New Roman"/>
          <w:color w:val="000000"/>
          <w:szCs w:val="24"/>
          <w:lang w:eastAsia="en-US"/>
        </w:rPr>
        <w:t xml:space="preserve">medical </w:t>
      </w:r>
      <w:r w:rsidR="00872025">
        <w:rPr>
          <w:rFonts w:ascii="Times New Roman" w:eastAsiaTheme="minorHAnsi" w:hAnsi="Times New Roman"/>
          <w:color w:val="000000"/>
          <w:szCs w:val="24"/>
          <w:lang w:eastAsia="en-US"/>
        </w:rPr>
        <w:t>device</w:t>
      </w:r>
      <w:r w:rsidR="00F42F1B">
        <w:rPr>
          <w:rFonts w:ascii="Times New Roman" w:eastAsiaTheme="minorHAnsi" w:hAnsi="Times New Roman"/>
          <w:color w:val="000000"/>
          <w:szCs w:val="24"/>
          <w:lang w:eastAsia="en-US"/>
        </w:rPr>
        <w:t xml:space="preserve">, being </w:t>
      </w:r>
      <w:r w:rsidR="00CD5934">
        <w:rPr>
          <w:rFonts w:ascii="Times New Roman" w:eastAsiaTheme="minorHAnsi" w:hAnsi="Times New Roman"/>
          <w:color w:val="000000"/>
          <w:szCs w:val="24"/>
          <w:lang w:eastAsia="en-US"/>
        </w:rPr>
        <w:t>a</w:t>
      </w:r>
      <w:r w:rsidR="00F42F1B" w:rsidRPr="00F42F1B">
        <w:t xml:space="preserve"> </w:t>
      </w:r>
      <w:r w:rsidR="00F42F1B">
        <w:t>document</w:t>
      </w:r>
      <w:r w:rsidR="00FB7BDE">
        <w:t xml:space="preserve"> certifying compliance with International Standard ISO 134</w:t>
      </w:r>
      <w:r w:rsidR="003E0781">
        <w:t>8</w:t>
      </w:r>
      <w:r w:rsidR="00FB7BDE">
        <w:t>5</w:t>
      </w:r>
      <w:r w:rsidR="003E0781">
        <w:t>:2016</w:t>
      </w:r>
      <w:r w:rsidR="00FB7BDE">
        <w:t xml:space="preserve"> </w:t>
      </w:r>
      <w:r w:rsidR="00F42F1B">
        <w:rPr>
          <w:rFonts w:ascii="Times New Roman" w:hAnsi="Times New Roman"/>
          <w:szCs w:val="24"/>
        </w:rPr>
        <w:t>issued</w:t>
      </w:r>
      <w:r w:rsidR="00F42F1B" w:rsidRPr="00772365">
        <w:rPr>
          <w:rFonts w:ascii="Times New Roman" w:hAnsi="Times New Roman"/>
          <w:szCs w:val="24"/>
        </w:rPr>
        <w:t xml:space="preserve"> by </w:t>
      </w:r>
      <w:r w:rsidR="00F42F1B" w:rsidRPr="002700C9">
        <w:rPr>
          <w:rFonts w:ascii="Times New Roman" w:hAnsi="Times New Roman"/>
          <w:szCs w:val="24"/>
        </w:rPr>
        <w:t>a</w:t>
      </w:r>
      <w:r w:rsidR="002700C9" w:rsidRPr="002700C9">
        <w:rPr>
          <w:rFonts w:ascii="Times New Roman" w:hAnsi="Times New Roman"/>
          <w:szCs w:val="24"/>
        </w:rPr>
        <w:t>n</w:t>
      </w:r>
      <w:r w:rsidR="002700C9" w:rsidRPr="002700C9">
        <w:t xml:space="preserve"> IAF accredited conformity assessment body</w:t>
      </w:r>
      <w:r w:rsidR="00CD5934">
        <w:rPr>
          <w:rFonts w:ascii="Times New Roman" w:hAnsi="Times New Roman"/>
          <w:szCs w:val="24"/>
        </w:rPr>
        <w:t>.</w:t>
      </w:r>
      <w:r w:rsidR="00534E61">
        <w:rPr>
          <w:rFonts w:ascii="Times New Roman" w:hAnsi="Times New Roman"/>
          <w:szCs w:val="24"/>
        </w:rPr>
        <w:t xml:space="preserve"> </w:t>
      </w:r>
      <w:r w:rsidR="00C013A3">
        <w:rPr>
          <w:rFonts w:ascii="Times New Roman" w:hAnsi="Times New Roman"/>
          <w:szCs w:val="24"/>
        </w:rPr>
        <w:t xml:space="preserve">This is achieved by repealing and substituting </w:t>
      </w:r>
      <w:r w:rsidR="00534E61">
        <w:rPr>
          <w:rFonts w:ascii="Times New Roman" w:hAnsi="Times New Roman"/>
          <w:szCs w:val="24"/>
        </w:rPr>
        <w:t xml:space="preserve">two items in Schedule 2 of the Principal Determination </w:t>
      </w:r>
      <w:r w:rsidR="003E0781">
        <w:rPr>
          <w:rFonts w:ascii="Times New Roman" w:hAnsi="Times New Roman"/>
          <w:szCs w:val="24"/>
        </w:rPr>
        <w:t>and, in so doing,</w:t>
      </w:r>
      <w:r w:rsidR="00534E61">
        <w:rPr>
          <w:rFonts w:ascii="Times New Roman" w:hAnsi="Times New Roman"/>
          <w:szCs w:val="24"/>
        </w:rPr>
        <w:t xml:space="preserve"> </w:t>
      </w:r>
      <w:r w:rsidR="00534E61">
        <w:rPr>
          <w:rFonts w:ascii="Times New Roman" w:eastAsiaTheme="minorHAnsi" w:hAnsi="Times New Roman"/>
          <w:color w:val="000000"/>
          <w:szCs w:val="24"/>
          <w:lang w:eastAsia="en-US"/>
        </w:rPr>
        <w:t>referenc</w:t>
      </w:r>
      <w:r w:rsidR="00C013A3">
        <w:rPr>
          <w:rFonts w:ascii="Times New Roman" w:eastAsiaTheme="minorHAnsi" w:hAnsi="Times New Roman"/>
          <w:color w:val="000000"/>
          <w:szCs w:val="24"/>
          <w:lang w:eastAsia="en-US"/>
        </w:rPr>
        <w:t>ing</w:t>
      </w:r>
      <w:r w:rsidR="00534E61">
        <w:rPr>
          <w:rFonts w:ascii="Times New Roman" w:eastAsiaTheme="minorHAnsi" w:hAnsi="Times New Roman"/>
          <w:color w:val="000000"/>
          <w:szCs w:val="24"/>
          <w:lang w:eastAsia="en-US"/>
        </w:rPr>
        <w:t xml:space="preserve"> </w:t>
      </w:r>
      <w:r>
        <w:rPr>
          <w:rFonts w:ascii="Times New Roman" w:eastAsiaTheme="minorHAnsi" w:hAnsi="Times New Roman"/>
          <w:color w:val="000000"/>
          <w:szCs w:val="24"/>
          <w:lang w:eastAsia="en-US"/>
        </w:rPr>
        <w:t>the following:</w:t>
      </w:r>
    </w:p>
    <w:p w:rsidR="00F63AF4" w:rsidRPr="00F63AF4" w:rsidRDefault="00F63AF4" w:rsidP="00454659">
      <w:pPr>
        <w:pStyle w:val="ListParagraph"/>
        <w:numPr>
          <w:ilvl w:val="0"/>
          <w:numId w:val="6"/>
        </w:numPr>
        <w:autoSpaceDE w:val="0"/>
        <w:autoSpaceDN w:val="0"/>
        <w:adjustRightInd w:val="0"/>
        <w:spacing w:before="120"/>
        <w:ind w:left="714" w:right="-709" w:hanging="357"/>
        <w:contextualSpacing w:val="0"/>
        <w:rPr>
          <w:rFonts w:ascii="Times New Roman" w:eastAsiaTheme="minorHAnsi" w:hAnsi="Times New Roman"/>
          <w:color w:val="000000"/>
          <w:szCs w:val="24"/>
          <w:lang w:eastAsia="en-US"/>
        </w:rPr>
      </w:pPr>
      <w:r>
        <w:t xml:space="preserve">International Standard </w:t>
      </w:r>
      <w:r w:rsidRPr="00C409D5">
        <w:t xml:space="preserve">ISO 13485:2016 </w:t>
      </w:r>
      <w:r w:rsidRPr="00C409D5">
        <w:rPr>
          <w:i/>
        </w:rPr>
        <w:t>Medical devices</w:t>
      </w:r>
      <w:r>
        <w:rPr>
          <w:i/>
        </w:rPr>
        <w:sym w:font="Symbol" w:char="F0BE"/>
      </w:r>
      <w:r w:rsidRPr="00C409D5">
        <w:rPr>
          <w:i/>
        </w:rPr>
        <w:t>Quality management systems</w:t>
      </w:r>
      <w:r>
        <w:rPr>
          <w:i/>
        </w:rPr>
        <w:sym w:font="Symbol" w:char="F0BE"/>
      </w:r>
      <w:r w:rsidRPr="00C409D5">
        <w:rPr>
          <w:i/>
        </w:rPr>
        <w:t>Requirements for regulatory purposes</w:t>
      </w:r>
      <w:r>
        <w:rPr>
          <w:i/>
        </w:rPr>
        <w:t xml:space="preserve"> </w:t>
      </w:r>
      <w:r w:rsidR="006404CF">
        <w:t>(ISO 13485</w:t>
      </w:r>
      <w:proofErr w:type="gramStart"/>
      <w:r w:rsidR="006404CF">
        <w:t>)</w:t>
      </w:r>
      <w:proofErr w:type="gramEnd"/>
      <w:r w:rsidR="006404CF">
        <w:sym w:font="Symbol" w:char="F0BE"/>
      </w:r>
      <w:r w:rsidR="006404CF">
        <w:t xml:space="preserve">this international standard </w:t>
      </w:r>
      <w:r w:rsidR="0050773F">
        <w:t>was</w:t>
      </w:r>
      <w:r>
        <w:rPr>
          <w:i/>
        </w:rPr>
        <w:t xml:space="preserve"> </w:t>
      </w:r>
      <w:r w:rsidRPr="00C409D5">
        <w:t>issued by the International Organizati</w:t>
      </w:r>
      <w:r>
        <w:t>on for Standardization in March</w:t>
      </w:r>
      <w:r w:rsidR="0050773F">
        <w:t xml:space="preserve"> 2016</w:t>
      </w:r>
      <w:r>
        <w:t xml:space="preserve">. </w:t>
      </w:r>
      <w:r w:rsidR="0050773F">
        <w:t xml:space="preserve">It </w:t>
      </w:r>
      <w:r w:rsidR="006404CF">
        <w:t>specifies</w:t>
      </w:r>
      <w:r w:rsidR="0050773F">
        <w:t xml:space="preserve"> requirements for quality management system</w:t>
      </w:r>
      <w:r w:rsidR="006404CF">
        <w:t>s</w:t>
      </w:r>
      <w:r w:rsidR="0050773F">
        <w:t xml:space="preserve"> </w:t>
      </w:r>
      <w:r w:rsidR="006404CF">
        <w:t>that enable</w:t>
      </w:r>
      <w:r w:rsidR="0050773F">
        <w:t xml:space="preserve"> an organisation to demonstrate </w:t>
      </w:r>
      <w:r w:rsidR="006404CF">
        <w:t>that it is able</w:t>
      </w:r>
      <w:r w:rsidR="0050773F">
        <w:t xml:space="preserve"> to </w:t>
      </w:r>
      <w:r w:rsidR="00A35475">
        <w:t xml:space="preserve">manufacture </w:t>
      </w:r>
      <w:r w:rsidR="0050773F">
        <w:t xml:space="preserve">medical devices and related services that meet </w:t>
      </w:r>
      <w:r w:rsidR="006404CF">
        <w:t>applicable</w:t>
      </w:r>
      <w:r w:rsidR="0050773F">
        <w:t xml:space="preserve"> regulatory requirements. </w:t>
      </w:r>
      <w:r>
        <w:t xml:space="preserve">The standard may be purchased from </w:t>
      </w:r>
      <w:hyperlink r:id="rId9" w:history="1">
        <w:r w:rsidRPr="0050773F">
          <w:rPr>
            <w:rStyle w:val="Hyperlink"/>
          </w:rPr>
          <w:t>http://www.iso.org</w:t>
        </w:r>
      </w:hyperlink>
      <w:r>
        <w:t xml:space="preserve">. It is not freely available and is subject to copyright. The cost </w:t>
      </w:r>
      <w:r w:rsidR="003629D6">
        <w:t>of obtaining the standard is a matter for industry. The TGA has no control over these costs. However, by prior written arrangement with the TGA, a copy of the standard may be made available for viewing free of charge at the TGA office in Symonston, ACT</w:t>
      </w:r>
      <w:r w:rsidR="008A73E8">
        <w:rPr>
          <w:rFonts w:ascii="Times New Roman" w:eastAsiaTheme="minorHAnsi" w:hAnsi="Times New Roman"/>
          <w:color w:val="000000"/>
          <w:szCs w:val="24"/>
          <w:lang w:eastAsia="en-US"/>
        </w:rPr>
        <w:t>;</w:t>
      </w:r>
      <w:r w:rsidR="00A35475">
        <w:rPr>
          <w:rFonts w:ascii="Times New Roman" w:eastAsiaTheme="minorHAnsi" w:hAnsi="Times New Roman"/>
          <w:color w:val="000000"/>
          <w:szCs w:val="24"/>
          <w:lang w:eastAsia="en-US"/>
        </w:rPr>
        <w:t xml:space="preserve"> and</w:t>
      </w:r>
    </w:p>
    <w:p w:rsidR="003D2BBD" w:rsidRPr="000411C4" w:rsidRDefault="002700C9" w:rsidP="00454659">
      <w:pPr>
        <w:pStyle w:val="ListParagraph"/>
        <w:numPr>
          <w:ilvl w:val="0"/>
          <w:numId w:val="6"/>
        </w:numPr>
        <w:autoSpaceDE w:val="0"/>
        <w:autoSpaceDN w:val="0"/>
        <w:adjustRightInd w:val="0"/>
        <w:spacing w:before="120"/>
        <w:ind w:right="-709"/>
        <w:contextualSpacing w:val="0"/>
        <w:rPr>
          <w:rFonts w:ascii="Times New Roman" w:eastAsiaTheme="minorHAnsi" w:hAnsi="Times New Roman"/>
          <w:color w:val="000000"/>
          <w:szCs w:val="24"/>
          <w:lang w:eastAsia="en-US"/>
        </w:rPr>
      </w:pPr>
      <w:r>
        <w:t>Multilateral Recognition Arrangement of the International Accreditation Forum, Inc.</w:t>
      </w:r>
      <w:r w:rsidR="00DB3E33">
        <w:t>, otherwise known as the IAF MLA</w:t>
      </w:r>
      <w:r w:rsidR="003629D6">
        <w:sym w:font="Symbol" w:char="F0BE"/>
      </w:r>
      <w:r w:rsidR="00C73A4A">
        <w:t>the purpose of the IAF MLA is to allow accreditations and certificates issued by certification</w:t>
      </w:r>
      <w:r w:rsidR="001A65DD">
        <w:t xml:space="preserve"> and </w:t>
      </w:r>
      <w:r w:rsidR="00C73A4A">
        <w:t xml:space="preserve">registration bodies accredited by members of the MLA to be recognised by other members of the MLA. </w:t>
      </w:r>
      <w:r w:rsidR="000411C4">
        <w:t xml:space="preserve">Details in relation to the IAF and the MLA are available from the IAF website at </w:t>
      </w:r>
      <w:hyperlink r:id="rId10" w:history="1">
        <w:r w:rsidR="000411C4" w:rsidRPr="00F034A3">
          <w:rPr>
            <w:rStyle w:val="Hyperlink"/>
          </w:rPr>
          <w:t>www.iaf.nu</w:t>
        </w:r>
      </w:hyperlink>
      <w:r w:rsidR="000411C4">
        <w:t xml:space="preserve">. </w:t>
      </w:r>
      <w:r w:rsidR="00C73A4A">
        <w:t>T</w:t>
      </w:r>
      <w:r w:rsidR="003D2BBD" w:rsidRPr="000411C4">
        <w:rPr>
          <w:rFonts w:ascii="Times New Roman" w:eastAsiaTheme="minorHAnsi" w:hAnsi="Times New Roman"/>
          <w:color w:val="000000"/>
          <w:szCs w:val="24"/>
          <w:lang w:eastAsia="en-US"/>
        </w:rPr>
        <w:t xml:space="preserve">he structure and scope of the IAF MLA is detailed in the IAF Procedures Document </w:t>
      </w:r>
      <w:r w:rsidR="003D2BBD" w:rsidRPr="000411C4">
        <w:rPr>
          <w:rFonts w:ascii="Times New Roman" w:eastAsiaTheme="minorHAnsi" w:hAnsi="Times New Roman"/>
          <w:i/>
          <w:color w:val="000000"/>
          <w:szCs w:val="24"/>
          <w:lang w:eastAsia="en-US"/>
        </w:rPr>
        <w:t>Structure of the IAF MLA and List of IAF Endorsed Normative Document</w:t>
      </w:r>
      <w:r w:rsidR="00D516B7" w:rsidRPr="000411C4">
        <w:rPr>
          <w:rFonts w:ascii="Times New Roman" w:eastAsiaTheme="minorHAnsi" w:hAnsi="Times New Roman"/>
          <w:i/>
          <w:color w:val="000000"/>
          <w:szCs w:val="24"/>
          <w:lang w:eastAsia="en-US"/>
        </w:rPr>
        <w:t>s</w:t>
      </w:r>
      <w:r w:rsidR="003D2BBD" w:rsidRPr="000411C4">
        <w:rPr>
          <w:rFonts w:ascii="Times New Roman" w:eastAsiaTheme="minorHAnsi" w:hAnsi="Times New Roman"/>
          <w:color w:val="000000"/>
          <w:szCs w:val="24"/>
          <w:lang w:eastAsia="en-US"/>
        </w:rPr>
        <w:t xml:space="preserve"> which is available at the following link</w:t>
      </w:r>
      <w:r w:rsidR="00D516B7" w:rsidRPr="000411C4">
        <w:rPr>
          <w:rFonts w:ascii="Times New Roman" w:eastAsiaTheme="minorHAnsi" w:hAnsi="Times New Roman"/>
          <w:color w:val="000000"/>
          <w:szCs w:val="24"/>
          <w:lang w:eastAsia="en-US"/>
        </w:rPr>
        <w:t xml:space="preserve"> on the IAF website</w:t>
      </w:r>
      <w:proofErr w:type="gramStart"/>
      <w:r w:rsidR="003D2BBD" w:rsidRPr="000411C4">
        <w:rPr>
          <w:rFonts w:ascii="Times New Roman" w:eastAsiaTheme="minorHAnsi" w:hAnsi="Times New Roman"/>
          <w:color w:val="000000"/>
          <w:szCs w:val="24"/>
          <w:lang w:eastAsia="en-US"/>
        </w:rPr>
        <w:t>:</w:t>
      </w:r>
      <w:proofErr w:type="gramEnd"/>
      <w:r w:rsidR="003D2BBD" w:rsidRPr="000411C4">
        <w:rPr>
          <w:rFonts w:ascii="Times New Roman" w:eastAsiaTheme="minorHAnsi" w:hAnsi="Times New Roman"/>
          <w:color w:val="000000"/>
          <w:szCs w:val="24"/>
          <w:lang w:eastAsia="en-US"/>
        </w:rPr>
        <w:br/>
      </w:r>
      <w:hyperlink r:id="rId11" w:history="1">
        <w:r w:rsidR="003D2BBD" w:rsidRPr="000411C4">
          <w:rPr>
            <w:rStyle w:val="Hyperlink"/>
            <w:rFonts w:ascii="Times New Roman" w:eastAsiaTheme="minorHAnsi" w:hAnsi="Times New Roman"/>
            <w:szCs w:val="24"/>
            <w:lang w:eastAsia="en-US"/>
          </w:rPr>
          <w:t>https://www.iaf.nu/upFiles/IAF_PR_MLA_Structure_Normative_Documents_23102015_Publication_Version.pdf</w:t>
        </w:r>
      </w:hyperlink>
      <w:r w:rsidR="003D2BBD" w:rsidRPr="000411C4">
        <w:rPr>
          <w:rFonts w:ascii="Times New Roman" w:eastAsiaTheme="minorHAnsi" w:hAnsi="Times New Roman"/>
          <w:color w:val="000000"/>
          <w:szCs w:val="24"/>
          <w:lang w:eastAsia="en-US"/>
        </w:rPr>
        <w:t xml:space="preserve">. A list of IAF accreditation body members and signatories to the IAF MLA is available at: </w:t>
      </w:r>
      <w:hyperlink r:id="rId12" w:history="1">
        <w:r w:rsidR="003D2BBD" w:rsidRPr="000411C4">
          <w:rPr>
            <w:rStyle w:val="Hyperlink"/>
            <w:rFonts w:ascii="Times New Roman" w:eastAsiaTheme="minorHAnsi" w:hAnsi="Times New Roman"/>
            <w:szCs w:val="24"/>
            <w:lang w:eastAsia="en-US"/>
          </w:rPr>
          <w:t>https://www.iaf.nu/articles/IAF_MEMBERS_SIGNATORIES/4</w:t>
        </w:r>
      </w:hyperlink>
      <w:r w:rsidR="001A65DD" w:rsidRPr="000411C4">
        <w:rPr>
          <w:rStyle w:val="Hyperlink"/>
          <w:rFonts w:ascii="Times New Roman" w:eastAsiaTheme="minorHAnsi" w:hAnsi="Times New Roman"/>
          <w:szCs w:val="24"/>
          <w:lang w:eastAsia="en-US"/>
        </w:rPr>
        <w:t>.</w:t>
      </w:r>
    </w:p>
    <w:p w:rsidR="00D516B7" w:rsidRDefault="00D516B7" w:rsidP="00454659">
      <w:pPr>
        <w:ind w:right="-709"/>
        <w:rPr>
          <w:rFonts w:ascii="Times New Roman" w:hAnsi="Times New Roman"/>
          <w:szCs w:val="24"/>
        </w:rPr>
      </w:pPr>
    </w:p>
    <w:p w:rsidR="00782045" w:rsidRPr="00FD0AA0" w:rsidRDefault="00782045" w:rsidP="00454659">
      <w:pPr>
        <w:ind w:right="-709"/>
        <w:rPr>
          <w:rFonts w:ascii="Times New Roman" w:hAnsi="Times New Roman"/>
          <w:szCs w:val="24"/>
        </w:rPr>
      </w:pPr>
      <w:r w:rsidRPr="00FD0AA0">
        <w:rPr>
          <w:rFonts w:ascii="Times New Roman" w:hAnsi="Times New Roman"/>
          <w:szCs w:val="24"/>
        </w:rPr>
        <w:t xml:space="preserve">In accordance with section 14 of the </w:t>
      </w:r>
      <w:r w:rsidRPr="00FD0AA0">
        <w:rPr>
          <w:rFonts w:ascii="Times New Roman" w:hAnsi="Times New Roman"/>
          <w:i/>
          <w:szCs w:val="24"/>
        </w:rPr>
        <w:t>Legislation Act</w:t>
      </w:r>
      <w:r w:rsidR="008A73E8" w:rsidRPr="00FD0AA0">
        <w:rPr>
          <w:rFonts w:ascii="Times New Roman" w:hAnsi="Times New Roman"/>
          <w:szCs w:val="24"/>
        </w:rPr>
        <w:t xml:space="preserve"> </w:t>
      </w:r>
      <w:r w:rsidR="008A73E8" w:rsidRPr="00FD0AA0">
        <w:rPr>
          <w:rFonts w:ascii="Times New Roman" w:hAnsi="Times New Roman"/>
          <w:i/>
          <w:szCs w:val="24"/>
        </w:rPr>
        <w:t>2003</w:t>
      </w:r>
      <w:r w:rsidRPr="00FD0AA0">
        <w:rPr>
          <w:rFonts w:ascii="Times New Roman" w:hAnsi="Times New Roman"/>
          <w:szCs w:val="24"/>
        </w:rPr>
        <w:t>, these documents are incorporated as in force or existing immediately before the commencement of this Determination. This means that any subsequent changes to these documents will not be automatically applied under the Determination.</w:t>
      </w:r>
    </w:p>
    <w:p w:rsidR="00700F37" w:rsidRDefault="00700F37" w:rsidP="00454659">
      <w:pPr>
        <w:ind w:right="-709"/>
        <w:rPr>
          <w:rFonts w:ascii="Times New Roman" w:eastAsiaTheme="minorHAnsi" w:hAnsi="Times New Roman"/>
          <w:color w:val="000000"/>
          <w:szCs w:val="24"/>
          <w:lang w:eastAsia="en-US"/>
        </w:rPr>
      </w:pPr>
    </w:p>
    <w:p w:rsidR="00294A49" w:rsidRDefault="00294A49" w:rsidP="00454659">
      <w:pPr>
        <w:ind w:right="-709"/>
        <w:rPr>
          <w:rFonts w:ascii="Times New Roman" w:hAnsi="Times New Roman"/>
          <w:szCs w:val="24"/>
        </w:rPr>
      </w:pPr>
      <w:r w:rsidRPr="005327F5">
        <w:rPr>
          <w:rFonts w:ascii="Times New Roman" w:hAnsi="Times New Roman"/>
          <w:szCs w:val="24"/>
        </w:rPr>
        <w:t xml:space="preserve">Details of the </w:t>
      </w:r>
      <w:r w:rsidR="00F63AF4">
        <w:rPr>
          <w:rFonts w:ascii="Times New Roman" w:hAnsi="Times New Roman"/>
          <w:szCs w:val="24"/>
        </w:rPr>
        <w:t xml:space="preserve">Amendment </w:t>
      </w:r>
      <w:r w:rsidR="00147EBC" w:rsidRPr="005327F5">
        <w:rPr>
          <w:rFonts w:ascii="Times New Roman" w:hAnsi="Times New Roman"/>
          <w:szCs w:val="24"/>
        </w:rPr>
        <w:t xml:space="preserve">Determination </w:t>
      </w:r>
      <w:r w:rsidRPr="005327F5">
        <w:rPr>
          <w:rFonts w:ascii="Times New Roman" w:hAnsi="Times New Roman"/>
          <w:szCs w:val="24"/>
        </w:rPr>
        <w:t xml:space="preserve">are set out in </w:t>
      </w:r>
      <w:r w:rsidRPr="00353387">
        <w:rPr>
          <w:rFonts w:ascii="Times New Roman" w:hAnsi="Times New Roman"/>
          <w:b/>
          <w:szCs w:val="24"/>
        </w:rPr>
        <w:t>Attachment A</w:t>
      </w:r>
      <w:r w:rsidRPr="005327F5">
        <w:rPr>
          <w:rFonts w:ascii="Times New Roman" w:hAnsi="Times New Roman"/>
          <w:szCs w:val="24"/>
        </w:rPr>
        <w:t>.</w:t>
      </w:r>
    </w:p>
    <w:p w:rsidR="00D347E6" w:rsidRDefault="00D347E6" w:rsidP="00454659">
      <w:pPr>
        <w:ind w:right="-709"/>
        <w:rPr>
          <w:rFonts w:ascii="Times New Roman" w:hAnsi="Times New Roman"/>
          <w:szCs w:val="24"/>
        </w:rPr>
      </w:pPr>
    </w:p>
    <w:p w:rsidR="00294A49" w:rsidRPr="005327F5" w:rsidRDefault="00294A49" w:rsidP="00454659">
      <w:pPr>
        <w:ind w:right="-709"/>
        <w:rPr>
          <w:rFonts w:ascii="Times New Roman" w:hAnsi="Times New Roman"/>
          <w:szCs w:val="24"/>
        </w:rPr>
      </w:pPr>
      <w:r w:rsidRPr="005327F5">
        <w:rPr>
          <w:rFonts w:ascii="Times New Roman" w:hAnsi="Times New Roman"/>
          <w:szCs w:val="24"/>
        </w:rPr>
        <w:lastRenderedPageBreak/>
        <w:t xml:space="preserve">The </w:t>
      </w:r>
      <w:r w:rsidR="00F63AF4">
        <w:rPr>
          <w:rFonts w:ascii="Times New Roman" w:hAnsi="Times New Roman"/>
          <w:szCs w:val="24"/>
        </w:rPr>
        <w:t xml:space="preserve">Amendment </w:t>
      </w:r>
      <w:r w:rsidR="00147EBC" w:rsidRPr="005327F5">
        <w:rPr>
          <w:rFonts w:ascii="Times New Roman" w:hAnsi="Times New Roman"/>
          <w:szCs w:val="24"/>
        </w:rPr>
        <w:t>Determination</w:t>
      </w:r>
      <w:r w:rsidRPr="005327F5">
        <w:rPr>
          <w:rFonts w:ascii="Times New Roman" w:hAnsi="Times New Roman"/>
          <w:szCs w:val="24"/>
        </w:rPr>
        <w:t xml:space="preserve"> is compatible with human rights and freedoms recognised or declared under section 3 of the </w:t>
      </w:r>
      <w:r w:rsidRPr="005327F5">
        <w:rPr>
          <w:rFonts w:ascii="Times New Roman" w:hAnsi="Times New Roman"/>
          <w:i/>
          <w:szCs w:val="24"/>
        </w:rPr>
        <w:t>Human Rights (Parliamentary Scrutiny) Act 2011</w:t>
      </w:r>
      <w:r w:rsidRPr="005327F5">
        <w:rPr>
          <w:rFonts w:ascii="Times New Roman" w:hAnsi="Times New Roman"/>
          <w:szCs w:val="24"/>
        </w:rPr>
        <w:t xml:space="preserve">. A full statement of compatibility is set out in </w:t>
      </w:r>
      <w:r w:rsidRPr="00353387">
        <w:rPr>
          <w:rFonts w:ascii="Times New Roman" w:hAnsi="Times New Roman"/>
          <w:b/>
          <w:szCs w:val="24"/>
        </w:rPr>
        <w:t xml:space="preserve">Attachment </w:t>
      </w:r>
      <w:r w:rsidR="00292591" w:rsidRPr="00353387">
        <w:rPr>
          <w:rFonts w:ascii="Times New Roman" w:hAnsi="Times New Roman"/>
          <w:b/>
          <w:szCs w:val="24"/>
        </w:rPr>
        <w:t>B</w:t>
      </w:r>
      <w:r w:rsidRPr="005327F5">
        <w:rPr>
          <w:rFonts w:ascii="Times New Roman" w:hAnsi="Times New Roman"/>
          <w:szCs w:val="24"/>
        </w:rPr>
        <w:t>.</w:t>
      </w:r>
    </w:p>
    <w:p w:rsidR="00294A49" w:rsidRPr="005327F5" w:rsidRDefault="00294A49" w:rsidP="00454659">
      <w:pPr>
        <w:ind w:right="-709"/>
        <w:rPr>
          <w:rFonts w:ascii="Times New Roman" w:hAnsi="Times New Roman"/>
          <w:szCs w:val="24"/>
        </w:rPr>
      </w:pPr>
    </w:p>
    <w:p w:rsidR="00CC7CE5" w:rsidRDefault="00CC7CE5" w:rsidP="00454659">
      <w:pPr>
        <w:autoSpaceDE w:val="0"/>
        <w:autoSpaceDN w:val="0"/>
        <w:adjustRightInd w:val="0"/>
        <w:ind w:right="-709"/>
        <w:rPr>
          <w:rFonts w:ascii="Times New Roman" w:hAnsi="Times New Roman"/>
          <w:szCs w:val="24"/>
        </w:rPr>
      </w:pPr>
      <w:r w:rsidRPr="005327F5">
        <w:rPr>
          <w:rFonts w:ascii="Times New Roman" w:hAnsi="Times New Roman"/>
          <w:szCs w:val="24"/>
        </w:rPr>
        <w:t xml:space="preserve">The </w:t>
      </w:r>
      <w:r w:rsidR="00F63AF4">
        <w:rPr>
          <w:rFonts w:ascii="Times New Roman" w:hAnsi="Times New Roman"/>
          <w:szCs w:val="24"/>
        </w:rPr>
        <w:t xml:space="preserve">Amendment </w:t>
      </w:r>
      <w:r w:rsidR="00147EBC" w:rsidRPr="005327F5">
        <w:rPr>
          <w:rFonts w:ascii="Times New Roman" w:hAnsi="Times New Roman"/>
          <w:szCs w:val="24"/>
        </w:rPr>
        <w:t xml:space="preserve">Determination </w:t>
      </w:r>
      <w:r w:rsidRPr="005327F5">
        <w:rPr>
          <w:rFonts w:ascii="Times New Roman" w:hAnsi="Times New Roman"/>
          <w:szCs w:val="24"/>
        </w:rPr>
        <w:t>is a disallowable legislative instrument</w:t>
      </w:r>
      <w:r w:rsidRPr="005327F5">
        <w:rPr>
          <w:rFonts w:ascii="Times New Roman" w:hAnsi="Times New Roman"/>
          <w:i/>
          <w:szCs w:val="24"/>
        </w:rPr>
        <w:t xml:space="preserve"> </w:t>
      </w:r>
      <w:r w:rsidR="006833B2" w:rsidRPr="005327F5">
        <w:rPr>
          <w:rFonts w:ascii="Times New Roman" w:hAnsi="Times New Roman"/>
          <w:szCs w:val="24"/>
        </w:rPr>
        <w:t>and commence</w:t>
      </w:r>
      <w:r w:rsidR="006D3BC0">
        <w:rPr>
          <w:rFonts w:ascii="Times New Roman" w:hAnsi="Times New Roman"/>
          <w:szCs w:val="24"/>
        </w:rPr>
        <w:t>s</w:t>
      </w:r>
      <w:r w:rsidRPr="005327F5">
        <w:rPr>
          <w:rFonts w:ascii="Times New Roman" w:hAnsi="Times New Roman"/>
          <w:szCs w:val="24"/>
        </w:rPr>
        <w:t xml:space="preserve"> on </w:t>
      </w:r>
      <w:r w:rsidR="006833B2" w:rsidRPr="005327F5">
        <w:rPr>
          <w:rFonts w:ascii="Times New Roman" w:hAnsi="Times New Roman"/>
          <w:szCs w:val="24"/>
        </w:rPr>
        <w:t xml:space="preserve">the day after it </w:t>
      </w:r>
      <w:r w:rsidR="006D3BC0">
        <w:rPr>
          <w:rFonts w:ascii="Times New Roman" w:hAnsi="Times New Roman"/>
          <w:szCs w:val="24"/>
        </w:rPr>
        <w:t>is</w:t>
      </w:r>
      <w:r w:rsidR="006D3BC0" w:rsidRPr="005327F5">
        <w:rPr>
          <w:rFonts w:ascii="Times New Roman" w:hAnsi="Times New Roman"/>
          <w:szCs w:val="24"/>
        </w:rPr>
        <w:t xml:space="preserve"> </w:t>
      </w:r>
      <w:r w:rsidR="006833B2" w:rsidRPr="005327F5">
        <w:rPr>
          <w:rFonts w:ascii="Times New Roman" w:hAnsi="Times New Roman"/>
          <w:szCs w:val="24"/>
        </w:rPr>
        <w:t>registered</w:t>
      </w:r>
      <w:r w:rsidRPr="005327F5">
        <w:rPr>
          <w:rFonts w:ascii="Times New Roman" w:hAnsi="Times New Roman"/>
          <w:szCs w:val="24"/>
        </w:rPr>
        <w:t>.</w:t>
      </w:r>
    </w:p>
    <w:p w:rsidR="00F7228D" w:rsidRDefault="00F7228D" w:rsidP="00454659">
      <w:pPr>
        <w:autoSpaceDE w:val="0"/>
        <w:autoSpaceDN w:val="0"/>
        <w:adjustRightInd w:val="0"/>
        <w:ind w:right="-709"/>
        <w:rPr>
          <w:rFonts w:ascii="Times New Roman" w:hAnsi="Times New Roman"/>
          <w:szCs w:val="24"/>
        </w:rPr>
      </w:pPr>
    </w:p>
    <w:p w:rsidR="00B818BD" w:rsidRDefault="00B818BD" w:rsidP="00454659">
      <w:pPr>
        <w:spacing w:after="200" w:line="276" w:lineRule="auto"/>
        <w:ind w:right="-709"/>
        <w:rPr>
          <w:rFonts w:ascii="Times New Roman" w:hAnsi="Times New Roman"/>
          <w:b/>
          <w:bCs/>
          <w:szCs w:val="24"/>
        </w:rPr>
      </w:pPr>
      <w:r>
        <w:rPr>
          <w:rFonts w:ascii="Times New Roman" w:hAnsi="Times New Roman"/>
          <w:b/>
          <w:bCs/>
          <w:szCs w:val="24"/>
        </w:rPr>
        <w:br w:type="page"/>
      </w:r>
    </w:p>
    <w:p w:rsidR="00420786" w:rsidRPr="005327F5" w:rsidRDefault="00420786" w:rsidP="00454659">
      <w:pPr>
        <w:spacing w:after="200" w:line="276" w:lineRule="auto"/>
        <w:ind w:right="-709"/>
        <w:rPr>
          <w:rFonts w:ascii="Times New Roman" w:hAnsi="Times New Roman"/>
          <w:b/>
          <w:bCs/>
          <w:szCs w:val="24"/>
        </w:rPr>
      </w:pPr>
    </w:p>
    <w:p w:rsidR="00294A49" w:rsidRPr="005327F5" w:rsidRDefault="00294A49" w:rsidP="00454659">
      <w:pPr>
        <w:ind w:right="-709"/>
        <w:jc w:val="right"/>
        <w:rPr>
          <w:rFonts w:ascii="Times New Roman" w:hAnsi="Times New Roman"/>
          <w:b/>
          <w:bCs/>
          <w:szCs w:val="24"/>
        </w:rPr>
      </w:pPr>
      <w:r w:rsidRPr="005327F5">
        <w:rPr>
          <w:rFonts w:ascii="Times New Roman" w:hAnsi="Times New Roman"/>
          <w:b/>
          <w:bCs/>
          <w:szCs w:val="24"/>
        </w:rPr>
        <w:t>Attachment A</w:t>
      </w:r>
    </w:p>
    <w:p w:rsidR="00294A49" w:rsidRPr="005327F5" w:rsidRDefault="00294A49" w:rsidP="00454659">
      <w:pPr>
        <w:ind w:right="-709"/>
        <w:rPr>
          <w:rFonts w:ascii="Times New Roman" w:hAnsi="Times New Roman"/>
          <w:b/>
          <w:bCs/>
          <w:szCs w:val="24"/>
        </w:rPr>
      </w:pPr>
    </w:p>
    <w:p w:rsidR="00294A49" w:rsidRPr="005327F5" w:rsidRDefault="00294A49" w:rsidP="00454659">
      <w:pPr>
        <w:ind w:right="-709"/>
        <w:rPr>
          <w:rFonts w:ascii="Times New Roman" w:hAnsi="Times New Roman"/>
          <w:b/>
          <w:bCs/>
          <w:i/>
          <w:szCs w:val="24"/>
        </w:rPr>
      </w:pPr>
      <w:r w:rsidRPr="002A431C">
        <w:rPr>
          <w:rFonts w:ascii="Times New Roman" w:hAnsi="Times New Roman"/>
          <w:b/>
          <w:bCs/>
          <w:szCs w:val="24"/>
        </w:rPr>
        <w:t xml:space="preserve">Details of the </w:t>
      </w:r>
      <w:r w:rsidR="0060165C" w:rsidRPr="002A431C">
        <w:rPr>
          <w:rFonts w:ascii="Times New Roman" w:hAnsi="Times New Roman"/>
          <w:b/>
          <w:i/>
          <w:szCs w:val="24"/>
        </w:rPr>
        <w:t>Therapeutic Goods</w:t>
      </w:r>
      <w:r w:rsidR="0050773F">
        <w:rPr>
          <w:rFonts w:ascii="Times New Roman" w:hAnsi="Times New Roman"/>
          <w:b/>
          <w:i/>
          <w:szCs w:val="24"/>
        </w:rPr>
        <w:t xml:space="preserve"> Amendment</w:t>
      </w:r>
      <w:r w:rsidR="0060165C" w:rsidRPr="002A431C">
        <w:rPr>
          <w:rFonts w:ascii="Times New Roman" w:hAnsi="Times New Roman"/>
          <w:b/>
          <w:i/>
          <w:szCs w:val="24"/>
        </w:rPr>
        <w:t xml:space="preserve"> (</w:t>
      </w:r>
      <w:r w:rsidR="006D1F21" w:rsidRPr="002A431C">
        <w:rPr>
          <w:b/>
          <w:i/>
        </w:rPr>
        <w:t>Medical Devices—Information that Must Accompany Application for Inclusion</w:t>
      </w:r>
      <w:r w:rsidR="0060165C" w:rsidRPr="002A431C">
        <w:rPr>
          <w:rFonts w:ascii="Times New Roman" w:hAnsi="Times New Roman"/>
          <w:b/>
          <w:i/>
          <w:szCs w:val="24"/>
        </w:rPr>
        <w:t>) Determination 201</w:t>
      </w:r>
      <w:r w:rsidR="00B32379">
        <w:rPr>
          <w:rFonts w:ascii="Times New Roman" w:hAnsi="Times New Roman"/>
          <w:b/>
          <w:i/>
          <w:szCs w:val="24"/>
        </w:rPr>
        <w:t>9</w:t>
      </w:r>
    </w:p>
    <w:p w:rsidR="00294A49" w:rsidRPr="005327F5" w:rsidRDefault="00294A49" w:rsidP="00454659">
      <w:pPr>
        <w:ind w:right="-709"/>
        <w:rPr>
          <w:rFonts w:ascii="Times New Roman" w:hAnsi="Times New Roman"/>
          <w:b/>
          <w:bCs/>
          <w:i/>
          <w:szCs w:val="24"/>
        </w:rPr>
      </w:pPr>
    </w:p>
    <w:p w:rsidR="00294A49" w:rsidRPr="005327F5" w:rsidRDefault="00B279BF" w:rsidP="00454659">
      <w:pPr>
        <w:ind w:right="-709"/>
        <w:rPr>
          <w:rFonts w:ascii="Times New Roman" w:hAnsi="Times New Roman"/>
          <w:b/>
          <w:bCs/>
          <w:szCs w:val="24"/>
        </w:rPr>
      </w:pPr>
      <w:r w:rsidRPr="005327F5">
        <w:rPr>
          <w:rFonts w:ascii="Times New Roman" w:hAnsi="Times New Roman"/>
          <w:b/>
          <w:bCs/>
          <w:szCs w:val="24"/>
        </w:rPr>
        <w:t>Section 1 – Name</w:t>
      </w:r>
    </w:p>
    <w:p w:rsidR="00B279BF" w:rsidRPr="005327F5" w:rsidRDefault="00B279BF" w:rsidP="00454659">
      <w:pPr>
        <w:ind w:right="-709"/>
        <w:rPr>
          <w:rFonts w:ascii="Times New Roman" w:hAnsi="Times New Roman"/>
          <w:b/>
          <w:bCs/>
          <w:szCs w:val="24"/>
        </w:rPr>
      </w:pPr>
    </w:p>
    <w:p w:rsidR="00B279BF" w:rsidRPr="005327F5" w:rsidRDefault="00B279BF" w:rsidP="00454659">
      <w:pPr>
        <w:ind w:right="-709"/>
        <w:rPr>
          <w:rFonts w:ascii="Times New Roman" w:hAnsi="Times New Roman"/>
          <w:bCs/>
          <w:szCs w:val="24"/>
        </w:rPr>
      </w:pPr>
      <w:r w:rsidRPr="005327F5">
        <w:rPr>
          <w:rFonts w:ascii="Times New Roman" w:hAnsi="Times New Roman"/>
          <w:bCs/>
          <w:szCs w:val="24"/>
        </w:rPr>
        <w:t>This section provides that the name of th</w:t>
      </w:r>
      <w:r w:rsidR="00846A95" w:rsidRPr="005327F5">
        <w:rPr>
          <w:rFonts w:ascii="Times New Roman" w:hAnsi="Times New Roman"/>
          <w:bCs/>
          <w:szCs w:val="24"/>
        </w:rPr>
        <w:t>e</w:t>
      </w:r>
      <w:r w:rsidRPr="005327F5">
        <w:rPr>
          <w:rFonts w:ascii="Times New Roman" w:hAnsi="Times New Roman"/>
          <w:bCs/>
          <w:szCs w:val="24"/>
        </w:rPr>
        <w:t xml:space="preserve"> </w:t>
      </w:r>
      <w:r w:rsidR="00DC5BDE">
        <w:rPr>
          <w:rFonts w:ascii="Times New Roman" w:hAnsi="Times New Roman"/>
          <w:bCs/>
          <w:szCs w:val="24"/>
        </w:rPr>
        <w:t>instrument</w:t>
      </w:r>
      <w:r w:rsidR="00DC5BDE" w:rsidRPr="005327F5">
        <w:rPr>
          <w:rFonts w:ascii="Times New Roman" w:hAnsi="Times New Roman"/>
          <w:bCs/>
          <w:szCs w:val="24"/>
        </w:rPr>
        <w:t xml:space="preserve"> </w:t>
      </w:r>
      <w:r w:rsidRPr="005327F5">
        <w:rPr>
          <w:rFonts w:ascii="Times New Roman" w:hAnsi="Times New Roman"/>
          <w:bCs/>
          <w:szCs w:val="24"/>
        </w:rPr>
        <w:t xml:space="preserve">is </w:t>
      </w:r>
      <w:r w:rsidRPr="00BF3CEB">
        <w:rPr>
          <w:rFonts w:ascii="Times New Roman" w:hAnsi="Times New Roman"/>
          <w:bCs/>
          <w:szCs w:val="24"/>
        </w:rPr>
        <w:t xml:space="preserve">the </w:t>
      </w:r>
      <w:r w:rsidR="0060165C" w:rsidRPr="002A431C">
        <w:rPr>
          <w:rFonts w:ascii="Times New Roman" w:hAnsi="Times New Roman"/>
          <w:i/>
          <w:szCs w:val="24"/>
        </w:rPr>
        <w:t>Therapeutic Goods</w:t>
      </w:r>
      <w:r w:rsidR="00544675">
        <w:rPr>
          <w:rFonts w:ascii="Times New Roman" w:hAnsi="Times New Roman"/>
          <w:i/>
          <w:szCs w:val="24"/>
        </w:rPr>
        <w:t xml:space="preserve"> Amendment</w:t>
      </w:r>
      <w:r w:rsidR="0060165C" w:rsidRPr="002A431C">
        <w:rPr>
          <w:rFonts w:ascii="Times New Roman" w:hAnsi="Times New Roman"/>
          <w:i/>
          <w:szCs w:val="24"/>
        </w:rPr>
        <w:t xml:space="preserve"> (</w:t>
      </w:r>
      <w:r w:rsidR="006D1F21" w:rsidRPr="002A431C">
        <w:rPr>
          <w:i/>
        </w:rPr>
        <w:t>Medical Devices—Information that Must Accompany Application for Inclusion</w:t>
      </w:r>
      <w:r w:rsidR="0060165C" w:rsidRPr="002A431C">
        <w:rPr>
          <w:rFonts w:ascii="Times New Roman" w:hAnsi="Times New Roman"/>
          <w:i/>
          <w:szCs w:val="24"/>
        </w:rPr>
        <w:t>) Determination 201</w:t>
      </w:r>
      <w:r w:rsidR="0071662D">
        <w:rPr>
          <w:rFonts w:ascii="Times New Roman" w:hAnsi="Times New Roman"/>
          <w:i/>
          <w:szCs w:val="24"/>
        </w:rPr>
        <w:t>9</w:t>
      </w:r>
      <w:r w:rsidR="00337507" w:rsidRPr="002A431C">
        <w:rPr>
          <w:rFonts w:ascii="Times New Roman" w:hAnsi="Times New Roman"/>
          <w:i/>
          <w:szCs w:val="24"/>
        </w:rPr>
        <w:t>.</w:t>
      </w:r>
    </w:p>
    <w:p w:rsidR="00B279BF" w:rsidRPr="005327F5" w:rsidRDefault="00B279BF" w:rsidP="00454659">
      <w:pPr>
        <w:ind w:right="-709"/>
        <w:rPr>
          <w:rFonts w:ascii="Times New Roman" w:hAnsi="Times New Roman"/>
          <w:bCs/>
          <w:szCs w:val="24"/>
        </w:rPr>
      </w:pPr>
    </w:p>
    <w:p w:rsidR="00B279BF" w:rsidRPr="005327F5" w:rsidRDefault="00B279BF" w:rsidP="00454659">
      <w:pPr>
        <w:ind w:right="-709"/>
        <w:rPr>
          <w:rFonts w:ascii="Times New Roman" w:hAnsi="Times New Roman"/>
          <w:b/>
          <w:bCs/>
          <w:szCs w:val="24"/>
        </w:rPr>
      </w:pPr>
      <w:r w:rsidRPr="005327F5">
        <w:rPr>
          <w:rFonts w:ascii="Times New Roman" w:hAnsi="Times New Roman"/>
          <w:b/>
          <w:bCs/>
          <w:szCs w:val="24"/>
        </w:rPr>
        <w:t>Section 2 – Commencement</w:t>
      </w:r>
    </w:p>
    <w:p w:rsidR="00B279BF" w:rsidRPr="005327F5" w:rsidRDefault="00B279BF" w:rsidP="00454659">
      <w:pPr>
        <w:ind w:right="-709"/>
        <w:rPr>
          <w:rFonts w:ascii="Times New Roman" w:hAnsi="Times New Roman"/>
          <w:b/>
          <w:bCs/>
          <w:szCs w:val="24"/>
        </w:rPr>
      </w:pPr>
    </w:p>
    <w:p w:rsidR="00B279BF" w:rsidRPr="005327F5" w:rsidRDefault="00B279BF" w:rsidP="00454659">
      <w:pPr>
        <w:ind w:right="-709"/>
        <w:rPr>
          <w:rFonts w:ascii="Times New Roman" w:hAnsi="Times New Roman"/>
          <w:bCs/>
          <w:szCs w:val="24"/>
        </w:rPr>
      </w:pPr>
      <w:r w:rsidRPr="005327F5">
        <w:rPr>
          <w:rFonts w:ascii="Times New Roman" w:hAnsi="Times New Roman"/>
          <w:bCs/>
          <w:szCs w:val="24"/>
        </w:rPr>
        <w:t xml:space="preserve">This section provides that </w:t>
      </w:r>
      <w:r w:rsidR="00846A95" w:rsidRPr="005327F5">
        <w:rPr>
          <w:rFonts w:ascii="Times New Roman" w:hAnsi="Times New Roman"/>
          <w:bCs/>
          <w:szCs w:val="24"/>
        </w:rPr>
        <w:t xml:space="preserve">the </w:t>
      </w:r>
      <w:r w:rsidR="00592942">
        <w:rPr>
          <w:rFonts w:ascii="Times New Roman" w:hAnsi="Times New Roman"/>
          <w:bCs/>
          <w:szCs w:val="24"/>
        </w:rPr>
        <w:t>instrument</w:t>
      </w:r>
      <w:r w:rsidR="00592942" w:rsidRPr="005327F5">
        <w:rPr>
          <w:rFonts w:ascii="Times New Roman" w:hAnsi="Times New Roman"/>
          <w:bCs/>
          <w:szCs w:val="24"/>
        </w:rPr>
        <w:t xml:space="preserve"> </w:t>
      </w:r>
      <w:r w:rsidR="00846A95" w:rsidRPr="005327F5">
        <w:rPr>
          <w:rFonts w:ascii="Times New Roman" w:hAnsi="Times New Roman"/>
          <w:bCs/>
          <w:szCs w:val="24"/>
        </w:rPr>
        <w:t xml:space="preserve">commences </w:t>
      </w:r>
      <w:r w:rsidR="00337507" w:rsidRPr="005327F5">
        <w:rPr>
          <w:rFonts w:ascii="Times New Roman" w:hAnsi="Times New Roman"/>
          <w:bCs/>
          <w:szCs w:val="24"/>
        </w:rPr>
        <w:t xml:space="preserve">on </w:t>
      </w:r>
      <w:r w:rsidR="0013396D" w:rsidRPr="005327F5">
        <w:rPr>
          <w:rFonts w:ascii="Times New Roman" w:hAnsi="Times New Roman"/>
          <w:bCs/>
          <w:szCs w:val="24"/>
        </w:rPr>
        <w:t>the day after it is registered</w:t>
      </w:r>
      <w:r w:rsidR="00846A95" w:rsidRPr="005327F5">
        <w:rPr>
          <w:rFonts w:ascii="Times New Roman" w:hAnsi="Times New Roman"/>
          <w:bCs/>
          <w:szCs w:val="24"/>
        </w:rPr>
        <w:t>.</w:t>
      </w:r>
    </w:p>
    <w:p w:rsidR="00B279BF" w:rsidRPr="005327F5" w:rsidRDefault="00B279BF" w:rsidP="00454659">
      <w:pPr>
        <w:ind w:right="-709"/>
        <w:rPr>
          <w:rFonts w:ascii="Times New Roman" w:hAnsi="Times New Roman"/>
          <w:b/>
          <w:bCs/>
          <w:szCs w:val="24"/>
        </w:rPr>
      </w:pPr>
    </w:p>
    <w:p w:rsidR="00DC5BDE" w:rsidRPr="005327F5" w:rsidRDefault="00DC5BDE" w:rsidP="00454659">
      <w:pPr>
        <w:ind w:right="-709"/>
        <w:rPr>
          <w:rFonts w:ascii="Times New Roman" w:hAnsi="Times New Roman"/>
          <w:b/>
          <w:bCs/>
          <w:szCs w:val="24"/>
        </w:rPr>
      </w:pPr>
      <w:r w:rsidRPr="005327F5">
        <w:rPr>
          <w:rFonts w:ascii="Times New Roman" w:hAnsi="Times New Roman"/>
          <w:b/>
          <w:bCs/>
          <w:szCs w:val="24"/>
        </w:rPr>
        <w:t xml:space="preserve">Section </w:t>
      </w:r>
      <w:r>
        <w:rPr>
          <w:rFonts w:ascii="Times New Roman" w:hAnsi="Times New Roman"/>
          <w:b/>
          <w:bCs/>
          <w:szCs w:val="24"/>
        </w:rPr>
        <w:t>3</w:t>
      </w:r>
      <w:r w:rsidRPr="005327F5">
        <w:rPr>
          <w:rFonts w:ascii="Times New Roman" w:hAnsi="Times New Roman"/>
          <w:b/>
          <w:bCs/>
          <w:szCs w:val="24"/>
        </w:rPr>
        <w:t xml:space="preserve"> – </w:t>
      </w:r>
      <w:r>
        <w:rPr>
          <w:rFonts w:ascii="Times New Roman" w:hAnsi="Times New Roman"/>
          <w:b/>
          <w:bCs/>
          <w:szCs w:val="24"/>
        </w:rPr>
        <w:t>Authority</w:t>
      </w:r>
    </w:p>
    <w:p w:rsidR="00DC5BDE" w:rsidRPr="005327F5" w:rsidRDefault="00DC5BDE" w:rsidP="00454659">
      <w:pPr>
        <w:ind w:right="-709"/>
        <w:rPr>
          <w:rFonts w:ascii="Times New Roman" w:hAnsi="Times New Roman"/>
          <w:b/>
          <w:bCs/>
          <w:szCs w:val="24"/>
        </w:rPr>
      </w:pPr>
    </w:p>
    <w:p w:rsidR="003F7A28" w:rsidRDefault="00DC5BDE" w:rsidP="00454659">
      <w:pPr>
        <w:ind w:right="-709"/>
      </w:pPr>
      <w:r w:rsidRPr="005327F5">
        <w:rPr>
          <w:rFonts w:ascii="Times New Roman" w:hAnsi="Times New Roman"/>
          <w:bCs/>
          <w:szCs w:val="24"/>
        </w:rPr>
        <w:t xml:space="preserve">This section provides </w:t>
      </w:r>
      <w:r>
        <w:rPr>
          <w:rFonts w:ascii="Times New Roman" w:hAnsi="Times New Roman"/>
          <w:bCs/>
          <w:szCs w:val="24"/>
        </w:rPr>
        <w:t xml:space="preserve">that </w:t>
      </w:r>
      <w:r w:rsidRPr="005327F5">
        <w:rPr>
          <w:rFonts w:ascii="Times New Roman" w:hAnsi="Times New Roman"/>
          <w:bCs/>
          <w:szCs w:val="24"/>
        </w:rPr>
        <w:t xml:space="preserve">the </w:t>
      </w:r>
      <w:r>
        <w:rPr>
          <w:rFonts w:ascii="Times New Roman" w:hAnsi="Times New Roman"/>
          <w:bCs/>
          <w:szCs w:val="24"/>
        </w:rPr>
        <w:t>instrument</w:t>
      </w:r>
      <w:r w:rsidRPr="005327F5">
        <w:rPr>
          <w:rFonts w:ascii="Times New Roman" w:hAnsi="Times New Roman"/>
          <w:bCs/>
          <w:szCs w:val="24"/>
        </w:rPr>
        <w:t xml:space="preserve"> </w:t>
      </w:r>
      <w:r>
        <w:rPr>
          <w:rFonts w:ascii="Times New Roman" w:hAnsi="Times New Roman"/>
          <w:bCs/>
          <w:szCs w:val="24"/>
        </w:rPr>
        <w:t xml:space="preserve">is made under subsection </w:t>
      </w:r>
      <w:proofErr w:type="gramStart"/>
      <w:r>
        <w:t>41FDB(</w:t>
      </w:r>
      <w:proofErr w:type="gramEnd"/>
      <w:r>
        <w:t xml:space="preserve">7) </w:t>
      </w:r>
      <w:r>
        <w:rPr>
          <w:rFonts w:ascii="Times New Roman" w:hAnsi="Times New Roman"/>
          <w:bCs/>
          <w:szCs w:val="24"/>
        </w:rPr>
        <w:t>of</w:t>
      </w:r>
      <w:r w:rsidRPr="005327F5">
        <w:rPr>
          <w:rFonts w:ascii="Times New Roman" w:hAnsi="Times New Roman"/>
          <w:bCs/>
          <w:szCs w:val="24"/>
        </w:rPr>
        <w:t xml:space="preserve"> the Act. </w:t>
      </w:r>
      <w:r>
        <w:rPr>
          <w:rFonts w:ascii="Times New Roman" w:hAnsi="Times New Roman"/>
          <w:bCs/>
          <w:szCs w:val="24"/>
        </w:rPr>
        <w:t>Th</w:t>
      </w:r>
      <w:r w:rsidR="003F7A28">
        <w:rPr>
          <w:rFonts w:ascii="Times New Roman" w:hAnsi="Times New Roman"/>
          <w:bCs/>
          <w:szCs w:val="24"/>
        </w:rPr>
        <w:t>is</w:t>
      </w:r>
      <w:r>
        <w:rPr>
          <w:rFonts w:ascii="Times New Roman" w:hAnsi="Times New Roman"/>
          <w:bCs/>
          <w:szCs w:val="24"/>
        </w:rPr>
        <w:t xml:space="preserve"> provision</w:t>
      </w:r>
      <w:r>
        <w:t xml:space="preserve"> empower</w:t>
      </w:r>
      <w:r w:rsidR="003F7A28">
        <w:t>s</w:t>
      </w:r>
      <w:r>
        <w:t xml:space="preserve"> the Secretary to determine, by legislative instrument, a</w:t>
      </w:r>
      <w:r w:rsidR="003E14EF">
        <w:t xml:space="preserve"> kind</w:t>
      </w:r>
      <w:r w:rsidR="00F343F7" w:rsidRPr="00F343F7">
        <w:t xml:space="preserve"> </w:t>
      </w:r>
      <w:r w:rsidR="00F343F7">
        <w:t>of</w:t>
      </w:r>
      <w:r>
        <w:t xml:space="preserve"> information that </w:t>
      </w:r>
      <w:r w:rsidR="00DA3D87">
        <w:t xml:space="preserve">may </w:t>
      </w:r>
      <w:r w:rsidR="003E14EF">
        <w:t>accompany an application to the Secretary for a kind of medical device to be included in the Register.</w:t>
      </w:r>
    </w:p>
    <w:p w:rsidR="003F7A28" w:rsidRDefault="003F7A28" w:rsidP="00454659">
      <w:pPr>
        <w:ind w:right="-709"/>
      </w:pPr>
    </w:p>
    <w:p w:rsidR="00DC5BDE" w:rsidRDefault="006C1570" w:rsidP="00454659">
      <w:pPr>
        <w:ind w:right="-709"/>
      </w:pPr>
      <w:r>
        <w:t>S</w:t>
      </w:r>
      <w:r w:rsidR="003F7A28">
        <w:t xml:space="preserve">ubsection 33(3) of the </w:t>
      </w:r>
      <w:r w:rsidR="003F7A28" w:rsidRPr="003F7A28">
        <w:rPr>
          <w:i/>
        </w:rPr>
        <w:t>Acts Interpretation Act 1901</w:t>
      </w:r>
      <w:r w:rsidR="008708A6">
        <w:rPr>
          <w:i/>
        </w:rPr>
        <w:t xml:space="preserve"> </w:t>
      </w:r>
      <w:r>
        <w:t xml:space="preserve">relevantly provides that, </w:t>
      </w:r>
      <w:r w:rsidR="003F7A28">
        <w:t>where an</w:t>
      </w:r>
      <w:r w:rsidR="00CE65F0">
        <w:t> </w:t>
      </w:r>
      <w:r w:rsidR="003F7A28">
        <w:t xml:space="preserve">Act confers a power to </w:t>
      </w:r>
      <w:r w:rsidR="003F7A28" w:rsidRPr="003F7A28">
        <w:t>make, grant or issue any instrument of a legislati</w:t>
      </w:r>
      <w:r w:rsidR="003F7A28">
        <w:t>ve or administrative character</w:t>
      </w:r>
      <w:r w:rsidR="003F7A28" w:rsidRPr="003F7A28">
        <w:t>, the power shall be construed as including a power exercisable in the like manner and subject to the like conditions (if any) to repeal, rescind, revoke, amend, or vary any such instrument.</w:t>
      </w:r>
      <w:r w:rsidR="00A35475">
        <w:t xml:space="preserve"> </w:t>
      </w:r>
      <w:r>
        <w:t xml:space="preserve">This </w:t>
      </w:r>
      <w:r w:rsidR="00A35475">
        <w:t xml:space="preserve">instrument is made </w:t>
      </w:r>
      <w:r w:rsidR="00DA3D87">
        <w:t xml:space="preserve">in accordance </w:t>
      </w:r>
      <w:r>
        <w:t xml:space="preserve">with that </w:t>
      </w:r>
      <w:r w:rsidR="00A35475">
        <w:t>provision.</w:t>
      </w:r>
    </w:p>
    <w:p w:rsidR="003F7A28" w:rsidRDefault="003F7A28" w:rsidP="00454659">
      <w:pPr>
        <w:ind w:right="-709"/>
      </w:pPr>
    </w:p>
    <w:p w:rsidR="004E6B0E" w:rsidRPr="005327F5" w:rsidRDefault="004E6B0E" w:rsidP="00454659">
      <w:pPr>
        <w:ind w:right="-709"/>
        <w:rPr>
          <w:rFonts w:ascii="Times New Roman" w:hAnsi="Times New Roman"/>
          <w:b/>
          <w:bCs/>
          <w:szCs w:val="24"/>
        </w:rPr>
      </w:pPr>
      <w:r w:rsidRPr="005327F5">
        <w:rPr>
          <w:rFonts w:ascii="Times New Roman" w:hAnsi="Times New Roman"/>
          <w:b/>
          <w:bCs/>
          <w:szCs w:val="24"/>
        </w:rPr>
        <w:t xml:space="preserve">Section </w:t>
      </w:r>
      <w:r w:rsidR="0050773F">
        <w:rPr>
          <w:rFonts w:ascii="Times New Roman" w:hAnsi="Times New Roman"/>
          <w:b/>
          <w:bCs/>
          <w:szCs w:val="24"/>
        </w:rPr>
        <w:t>4</w:t>
      </w:r>
      <w:r w:rsidRPr="005327F5">
        <w:rPr>
          <w:rFonts w:ascii="Times New Roman" w:hAnsi="Times New Roman"/>
          <w:b/>
          <w:bCs/>
          <w:szCs w:val="24"/>
        </w:rPr>
        <w:t xml:space="preserve"> – </w:t>
      </w:r>
      <w:r w:rsidR="0050773F">
        <w:rPr>
          <w:rFonts w:ascii="Times New Roman" w:hAnsi="Times New Roman"/>
          <w:b/>
          <w:bCs/>
          <w:szCs w:val="24"/>
        </w:rPr>
        <w:t>Amendments</w:t>
      </w:r>
    </w:p>
    <w:p w:rsidR="004E6B0E" w:rsidRPr="005327F5" w:rsidRDefault="004E6B0E" w:rsidP="00454659">
      <w:pPr>
        <w:ind w:right="-709"/>
        <w:rPr>
          <w:rFonts w:ascii="Times New Roman" w:hAnsi="Times New Roman"/>
          <w:b/>
          <w:bCs/>
          <w:szCs w:val="24"/>
        </w:rPr>
      </w:pPr>
    </w:p>
    <w:p w:rsidR="00026418" w:rsidRDefault="009B69DB" w:rsidP="00454659">
      <w:pPr>
        <w:ind w:right="-709"/>
        <w:rPr>
          <w:rFonts w:ascii="Times New Roman" w:hAnsi="Times New Roman"/>
          <w:bCs/>
          <w:szCs w:val="24"/>
        </w:rPr>
      </w:pPr>
      <w:r w:rsidRPr="005327F5">
        <w:rPr>
          <w:rFonts w:ascii="Times New Roman" w:hAnsi="Times New Roman"/>
          <w:bCs/>
          <w:szCs w:val="24"/>
        </w:rPr>
        <w:t xml:space="preserve">This section </w:t>
      </w:r>
      <w:r>
        <w:rPr>
          <w:rFonts w:ascii="Times New Roman" w:hAnsi="Times New Roman"/>
          <w:bCs/>
          <w:szCs w:val="24"/>
        </w:rPr>
        <w:t xml:space="preserve">provides that </w:t>
      </w:r>
      <w:r w:rsidR="00026418">
        <w:rPr>
          <w:rFonts w:ascii="Times New Roman" w:hAnsi="Times New Roman"/>
          <w:bCs/>
          <w:szCs w:val="24"/>
        </w:rPr>
        <w:t>each instrument that is specified in a Schedule to this instrument is amended as set out in the applicable items in the Schedule concerned, and any other item in a Schedule to this instrument has effect according to its terms.</w:t>
      </w:r>
    </w:p>
    <w:p w:rsidR="004E6B0E" w:rsidRPr="005327F5" w:rsidRDefault="004E6B0E" w:rsidP="00454659">
      <w:pPr>
        <w:ind w:right="-709"/>
        <w:rPr>
          <w:rFonts w:ascii="Times New Roman" w:hAnsi="Times New Roman"/>
          <w:bCs/>
          <w:szCs w:val="24"/>
        </w:rPr>
      </w:pPr>
    </w:p>
    <w:p w:rsidR="004E6B0E" w:rsidRPr="005327F5" w:rsidRDefault="004E6B0E" w:rsidP="00454659">
      <w:pPr>
        <w:keepNext/>
        <w:ind w:right="-709"/>
        <w:rPr>
          <w:rFonts w:ascii="Times New Roman" w:hAnsi="Times New Roman"/>
          <w:b/>
          <w:bCs/>
          <w:szCs w:val="24"/>
        </w:rPr>
      </w:pPr>
      <w:r w:rsidRPr="005327F5">
        <w:rPr>
          <w:rFonts w:ascii="Times New Roman" w:hAnsi="Times New Roman"/>
          <w:b/>
          <w:bCs/>
          <w:szCs w:val="24"/>
        </w:rPr>
        <w:t>S</w:t>
      </w:r>
      <w:r w:rsidR="00026418">
        <w:rPr>
          <w:rFonts w:ascii="Times New Roman" w:hAnsi="Times New Roman"/>
          <w:b/>
          <w:bCs/>
          <w:szCs w:val="24"/>
        </w:rPr>
        <w:t>chedule 1</w:t>
      </w:r>
      <w:r w:rsidRPr="005327F5">
        <w:rPr>
          <w:rFonts w:ascii="Times New Roman" w:hAnsi="Times New Roman"/>
          <w:b/>
          <w:bCs/>
          <w:szCs w:val="24"/>
        </w:rPr>
        <w:t xml:space="preserve"> –</w:t>
      </w:r>
      <w:r w:rsidR="00E003FC">
        <w:rPr>
          <w:rFonts w:ascii="Times New Roman" w:hAnsi="Times New Roman"/>
          <w:b/>
          <w:bCs/>
          <w:szCs w:val="24"/>
        </w:rPr>
        <w:t xml:space="preserve"> </w:t>
      </w:r>
      <w:r w:rsidR="00026418">
        <w:rPr>
          <w:rFonts w:ascii="Times New Roman" w:hAnsi="Times New Roman"/>
          <w:b/>
          <w:bCs/>
          <w:szCs w:val="24"/>
        </w:rPr>
        <w:t>Amendments</w:t>
      </w:r>
    </w:p>
    <w:p w:rsidR="004E6B0E" w:rsidRDefault="004E6B0E" w:rsidP="00454659">
      <w:pPr>
        <w:ind w:right="-709"/>
        <w:rPr>
          <w:rFonts w:ascii="Times New Roman" w:hAnsi="Times New Roman"/>
          <w:bCs/>
          <w:szCs w:val="24"/>
        </w:rPr>
      </w:pPr>
    </w:p>
    <w:p w:rsidR="00EE5FED" w:rsidRDefault="00EE5FED" w:rsidP="00454659">
      <w:pPr>
        <w:ind w:right="-709"/>
        <w:rPr>
          <w:rFonts w:ascii="Times New Roman" w:hAnsi="Times New Roman"/>
          <w:bCs/>
          <w:szCs w:val="24"/>
        </w:rPr>
      </w:pPr>
      <w:r>
        <w:rPr>
          <w:rFonts w:ascii="Times New Roman" w:hAnsi="Times New Roman"/>
          <w:bCs/>
          <w:szCs w:val="24"/>
        </w:rPr>
        <w:t xml:space="preserve">Schedule 1 amends the </w:t>
      </w:r>
      <w:r w:rsidRPr="00EE5FED">
        <w:rPr>
          <w:rFonts w:ascii="Times New Roman" w:hAnsi="Times New Roman"/>
          <w:bCs/>
          <w:i/>
          <w:szCs w:val="24"/>
        </w:rPr>
        <w:t>Therapeutic Goods (Medical Devices</w:t>
      </w:r>
      <w:r w:rsidRPr="00EE5FED">
        <w:rPr>
          <w:rFonts w:ascii="Times New Roman" w:hAnsi="Times New Roman"/>
          <w:bCs/>
          <w:i/>
          <w:szCs w:val="24"/>
        </w:rPr>
        <w:sym w:font="Symbol" w:char="F0BE"/>
      </w:r>
      <w:r w:rsidRPr="00EE5FED">
        <w:rPr>
          <w:rFonts w:ascii="Times New Roman" w:hAnsi="Times New Roman"/>
          <w:bCs/>
          <w:i/>
          <w:szCs w:val="24"/>
        </w:rPr>
        <w:t>Information that Must</w:t>
      </w:r>
      <w:r w:rsidR="00CE65F0">
        <w:rPr>
          <w:rFonts w:ascii="Times New Roman" w:hAnsi="Times New Roman"/>
          <w:bCs/>
          <w:i/>
          <w:szCs w:val="24"/>
        </w:rPr>
        <w:t> </w:t>
      </w:r>
      <w:r w:rsidRPr="00EE5FED">
        <w:rPr>
          <w:rFonts w:ascii="Times New Roman" w:hAnsi="Times New Roman"/>
          <w:bCs/>
          <w:i/>
          <w:szCs w:val="24"/>
        </w:rPr>
        <w:t>Accompany Application for Inclusion) Determination 2018</w:t>
      </w:r>
      <w:r w:rsidR="006C1570">
        <w:rPr>
          <w:rFonts w:ascii="Times New Roman" w:hAnsi="Times New Roman"/>
          <w:bCs/>
          <w:i/>
          <w:szCs w:val="24"/>
        </w:rPr>
        <w:t xml:space="preserve"> </w:t>
      </w:r>
      <w:r w:rsidR="006C1570">
        <w:rPr>
          <w:rFonts w:ascii="Times New Roman" w:hAnsi="Times New Roman"/>
          <w:bCs/>
          <w:szCs w:val="24"/>
        </w:rPr>
        <w:t>(“Principal Determination”)</w:t>
      </w:r>
      <w:r w:rsidR="00C50FF5">
        <w:rPr>
          <w:rFonts w:ascii="Times New Roman" w:hAnsi="Times New Roman"/>
          <w:bCs/>
          <w:szCs w:val="24"/>
        </w:rPr>
        <w:t>.</w:t>
      </w:r>
    </w:p>
    <w:p w:rsidR="0071662D" w:rsidRDefault="0071662D" w:rsidP="00454659">
      <w:pPr>
        <w:ind w:right="-709"/>
        <w:rPr>
          <w:rFonts w:ascii="Times New Roman" w:hAnsi="Times New Roman"/>
          <w:bCs/>
          <w:szCs w:val="24"/>
        </w:rPr>
      </w:pPr>
    </w:p>
    <w:p w:rsidR="0071662D" w:rsidRPr="0014529C" w:rsidRDefault="0071662D" w:rsidP="00454659">
      <w:pPr>
        <w:ind w:right="-709"/>
        <w:rPr>
          <w:rFonts w:ascii="Times New Roman" w:hAnsi="Times New Roman"/>
          <w:bCs/>
          <w:szCs w:val="24"/>
        </w:rPr>
      </w:pPr>
      <w:r w:rsidRPr="00165214">
        <w:rPr>
          <w:rFonts w:ascii="Times New Roman" w:hAnsi="Times New Roman"/>
          <w:bCs/>
          <w:szCs w:val="24"/>
        </w:rPr>
        <w:t>Item 1</w:t>
      </w:r>
      <w:r w:rsidRPr="00EF72B2">
        <w:rPr>
          <w:rFonts w:ascii="Times New Roman" w:hAnsi="Times New Roman"/>
          <w:bCs/>
          <w:szCs w:val="24"/>
        </w:rPr>
        <w:t xml:space="preserve"> o</w:t>
      </w:r>
      <w:r w:rsidRPr="0014529C">
        <w:rPr>
          <w:rFonts w:ascii="Times New Roman" w:hAnsi="Times New Roman"/>
          <w:bCs/>
          <w:szCs w:val="24"/>
        </w:rPr>
        <w:t xml:space="preserve">f Schedule 1 </w:t>
      </w:r>
      <w:r>
        <w:rPr>
          <w:rFonts w:ascii="Times New Roman" w:hAnsi="Times New Roman"/>
          <w:bCs/>
          <w:szCs w:val="24"/>
        </w:rPr>
        <w:t xml:space="preserve">clarifies that the </w:t>
      </w:r>
      <w:r w:rsidR="000411C4">
        <w:rPr>
          <w:rFonts w:ascii="Times New Roman" w:hAnsi="Times New Roman"/>
          <w:bCs/>
          <w:szCs w:val="24"/>
        </w:rPr>
        <w:t>term ‘Act’ in section 3 of the Principal Determination</w:t>
      </w:r>
      <w:r>
        <w:rPr>
          <w:rFonts w:ascii="Times New Roman" w:hAnsi="Times New Roman"/>
          <w:bCs/>
          <w:szCs w:val="24"/>
        </w:rPr>
        <w:t xml:space="preserve"> is the </w:t>
      </w:r>
      <w:r w:rsidRPr="0071662D">
        <w:rPr>
          <w:rFonts w:ascii="Times New Roman" w:hAnsi="Times New Roman"/>
          <w:bCs/>
          <w:i/>
          <w:szCs w:val="24"/>
        </w:rPr>
        <w:t>Therapeutic Goods Act 1989</w:t>
      </w:r>
      <w:r w:rsidRPr="0014529C">
        <w:rPr>
          <w:rFonts w:ascii="Times New Roman" w:hAnsi="Times New Roman"/>
          <w:bCs/>
          <w:szCs w:val="24"/>
        </w:rPr>
        <w:t>.</w:t>
      </w:r>
    </w:p>
    <w:p w:rsidR="00EE5FED" w:rsidRPr="0014529C" w:rsidRDefault="00EE5FED" w:rsidP="00454659">
      <w:pPr>
        <w:ind w:right="-709"/>
        <w:rPr>
          <w:rFonts w:ascii="Times New Roman" w:hAnsi="Times New Roman"/>
          <w:bCs/>
          <w:szCs w:val="24"/>
        </w:rPr>
      </w:pPr>
    </w:p>
    <w:p w:rsidR="00026418" w:rsidRPr="0014529C" w:rsidRDefault="0071662D" w:rsidP="00454659">
      <w:pPr>
        <w:ind w:right="-709"/>
        <w:rPr>
          <w:rFonts w:ascii="Times New Roman" w:hAnsi="Times New Roman"/>
          <w:bCs/>
          <w:szCs w:val="24"/>
        </w:rPr>
      </w:pPr>
      <w:r w:rsidRPr="00165214">
        <w:rPr>
          <w:rFonts w:ascii="Times New Roman" w:hAnsi="Times New Roman"/>
          <w:bCs/>
          <w:szCs w:val="24"/>
        </w:rPr>
        <w:t>Item 2</w:t>
      </w:r>
      <w:r w:rsidR="00026418" w:rsidRPr="0014529C">
        <w:rPr>
          <w:rFonts w:ascii="Times New Roman" w:hAnsi="Times New Roman"/>
          <w:bCs/>
          <w:szCs w:val="24"/>
        </w:rPr>
        <w:t xml:space="preserve"> of </w:t>
      </w:r>
      <w:r w:rsidR="004E6B0E" w:rsidRPr="0014529C">
        <w:rPr>
          <w:rFonts w:ascii="Times New Roman" w:hAnsi="Times New Roman"/>
          <w:bCs/>
          <w:szCs w:val="24"/>
        </w:rPr>
        <w:t xml:space="preserve">Schedule </w:t>
      </w:r>
      <w:r w:rsidR="00026418" w:rsidRPr="0014529C">
        <w:rPr>
          <w:rFonts w:ascii="Times New Roman" w:hAnsi="Times New Roman"/>
          <w:bCs/>
          <w:szCs w:val="24"/>
        </w:rPr>
        <w:t xml:space="preserve">1 inserts a definition of </w:t>
      </w:r>
      <w:r w:rsidRPr="0010111C">
        <w:rPr>
          <w:b/>
          <w:i/>
        </w:rPr>
        <w:t xml:space="preserve">IAF accredited conformity assessment body </w:t>
      </w:r>
      <w:r w:rsidR="0014529C" w:rsidRPr="0014529C">
        <w:rPr>
          <w:rFonts w:ascii="Times New Roman" w:hAnsi="Times New Roman"/>
          <w:bCs/>
          <w:szCs w:val="24"/>
        </w:rPr>
        <w:t>in</w:t>
      </w:r>
      <w:r w:rsidR="00BD7F06">
        <w:rPr>
          <w:rFonts w:ascii="Times New Roman" w:hAnsi="Times New Roman"/>
          <w:bCs/>
          <w:szCs w:val="24"/>
        </w:rPr>
        <w:t>to</w:t>
      </w:r>
      <w:r w:rsidR="0014529C" w:rsidRPr="0014529C">
        <w:rPr>
          <w:rFonts w:ascii="Times New Roman" w:hAnsi="Times New Roman"/>
          <w:bCs/>
          <w:szCs w:val="24"/>
        </w:rPr>
        <w:t xml:space="preserve"> </w:t>
      </w:r>
      <w:r w:rsidR="00C50FF5">
        <w:rPr>
          <w:rFonts w:ascii="Times New Roman" w:hAnsi="Times New Roman"/>
          <w:bCs/>
          <w:szCs w:val="24"/>
        </w:rPr>
        <w:t xml:space="preserve">section 4 of </w:t>
      </w:r>
      <w:r w:rsidR="0014529C" w:rsidRPr="0014529C">
        <w:rPr>
          <w:rFonts w:ascii="Times New Roman" w:hAnsi="Times New Roman"/>
          <w:bCs/>
          <w:szCs w:val="24"/>
        </w:rPr>
        <w:t xml:space="preserve">the Principal Determination. </w:t>
      </w:r>
      <w:r w:rsidRPr="0071662D">
        <w:t>IAF accredited conformity assessment body is defined as meaning a body that is</w:t>
      </w:r>
      <w:r w:rsidRPr="00C6156F">
        <w:t xml:space="preserve"> accredited to undertake certification for compliance with ISO 13485 by an accreditation body </w:t>
      </w:r>
      <w:r>
        <w:t xml:space="preserve">member </w:t>
      </w:r>
      <w:r w:rsidRPr="00C6156F">
        <w:t>that is a signatory to the Multilateral Recognition Arrangement of the International Accreditation Forum, Inc., otherwise known as the IAF MLA</w:t>
      </w:r>
      <w:r w:rsidR="000411C4">
        <w:t>.</w:t>
      </w:r>
      <w:r w:rsidR="00DB2A95">
        <w:rPr>
          <w:rFonts w:ascii="Times New Roman" w:hAnsi="Times New Roman"/>
          <w:bCs/>
          <w:szCs w:val="24"/>
        </w:rPr>
        <w:t xml:space="preserve"> </w:t>
      </w:r>
      <w:r w:rsidR="000411C4">
        <w:rPr>
          <w:rFonts w:ascii="Times New Roman" w:hAnsi="Times New Roman"/>
          <w:bCs/>
          <w:szCs w:val="24"/>
        </w:rPr>
        <w:t xml:space="preserve">A definition of </w:t>
      </w:r>
      <w:r w:rsidR="00DB2A95" w:rsidRPr="00C6156F">
        <w:t>ISO 13485</w:t>
      </w:r>
      <w:r w:rsidR="000411C4">
        <w:t xml:space="preserve"> is </w:t>
      </w:r>
      <w:r w:rsidR="0053672C">
        <w:t>currently</w:t>
      </w:r>
      <w:r w:rsidR="000411C4">
        <w:t xml:space="preserve"> included</w:t>
      </w:r>
      <w:r w:rsidR="00DB2A95">
        <w:t xml:space="preserve"> in</w:t>
      </w:r>
      <w:r w:rsidR="000411C4">
        <w:t xml:space="preserve"> section 4 of</w:t>
      </w:r>
      <w:r w:rsidR="00DB2A95">
        <w:t xml:space="preserve"> the Principal Determination</w:t>
      </w:r>
      <w:r w:rsidR="000411C4">
        <w:t>.</w:t>
      </w:r>
    </w:p>
    <w:p w:rsidR="00026418" w:rsidRDefault="00026418" w:rsidP="00454659">
      <w:pPr>
        <w:ind w:right="-709"/>
        <w:rPr>
          <w:rFonts w:ascii="Times New Roman" w:hAnsi="Times New Roman"/>
          <w:bCs/>
          <w:szCs w:val="24"/>
        </w:rPr>
      </w:pPr>
    </w:p>
    <w:p w:rsidR="000E514C" w:rsidRDefault="000E514C" w:rsidP="00454659">
      <w:pPr>
        <w:ind w:right="-709"/>
        <w:rPr>
          <w:rFonts w:ascii="Times New Roman" w:hAnsi="Times New Roman"/>
          <w:bCs/>
          <w:szCs w:val="24"/>
        </w:rPr>
      </w:pPr>
      <w:r>
        <w:rPr>
          <w:rFonts w:ascii="Times New Roman" w:hAnsi="Times New Roman"/>
          <w:bCs/>
          <w:szCs w:val="24"/>
        </w:rPr>
        <w:lastRenderedPageBreak/>
        <w:t xml:space="preserve">Item 3 of Schedule 1 repeals and substitutes item 2 of the table in Part 1 of Schedule 2 to the Principal Determination </w:t>
      </w:r>
      <w:r w:rsidR="00D5737B">
        <w:rPr>
          <w:rFonts w:ascii="Times New Roman" w:hAnsi="Times New Roman"/>
          <w:bCs/>
          <w:szCs w:val="24"/>
        </w:rPr>
        <w:t>to clarify that ISO 13485 certification issued by a notified body within the meaning of Directive 98/79</w:t>
      </w:r>
      <w:r w:rsidR="0046493F">
        <w:rPr>
          <w:rFonts w:ascii="Times New Roman" w:hAnsi="Times New Roman"/>
          <w:bCs/>
          <w:szCs w:val="24"/>
        </w:rPr>
        <w:t>/EC</w:t>
      </w:r>
      <w:r w:rsidR="00477D73">
        <w:rPr>
          <w:rFonts w:ascii="Times New Roman" w:hAnsi="Times New Roman"/>
          <w:bCs/>
          <w:szCs w:val="24"/>
        </w:rPr>
        <w:t xml:space="preserve"> may only accompany an application</w:t>
      </w:r>
      <w:r w:rsidR="00EA233A">
        <w:rPr>
          <w:rFonts w:ascii="Times New Roman" w:hAnsi="Times New Roman"/>
          <w:bCs/>
          <w:szCs w:val="24"/>
        </w:rPr>
        <w:t xml:space="preserve"> for inclusion of a Class 2 IVD medical device</w:t>
      </w:r>
      <w:r w:rsidR="00477D73">
        <w:rPr>
          <w:rFonts w:ascii="Times New Roman" w:hAnsi="Times New Roman"/>
          <w:bCs/>
          <w:szCs w:val="24"/>
        </w:rPr>
        <w:t xml:space="preserve"> submitted before 26 May 2022.</w:t>
      </w:r>
      <w:r w:rsidR="00DD3DA5">
        <w:rPr>
          <w:rFonts w:ascii="Times New Roman" w:hAnsi="Times New Roman"/>
          <w:bCs/>
          <w:szCs w:val="24"/>
        </w:rPr>
        <w:t xml:space="preserve"> Item 7</w:t>
      </w:r>
      <w:r w:rsidR="00EA233A">
        <w:rPr>
          <w:rFonts w:ascii="Times New Roman" w:hAnsi="Times New Roman"/>
          <w:bCs/>
          <w:szCs w:val="24"/>
        </w:rPr>
        <w:t xml:space="preserve"> </w:t>
      </w:r>
      <w:r w:rsidR="000D196F">
        <w:rPr>
          <w:rFonts w:ascii="Times New Roman" w:hAnsi="Times New Roman"/>
          <w:bCs/>
          <w:szCs w:val="24"/>
        </w:rPr>
        <w:t xml:space="preserve">of the Schedule </w:t>
      </w:r>
      <w:r w:rsidR="00311E8B">
        <w:rPr>
          <w:rFonts w:ascii="Times New Roman" w:hAnsi="Times New Roman"/>
          <w:bCs/>
          <w:szCs w:val="24"/>
        </w:rPr>
        <w:t xml:space="preserve">repeals and substitutes item 3 of the table in Part 2 of Schedule 2 to the Principal Determination in order to make </w:t>
      </w:r>
      <w:r w:rsidR="00EA233A">
        <w:rPr>
          <w:rFonts w:ascii="Times New Roman" w:hAnsi="Times New Roman"/>
          <w:bCs/>
          <w:szCs w:val="24"/>
        </w:rPr>
        <w:t xml:space="preserve">the same provision in relation to </w:t>
      </w:r>
      <w:r w:rsidR="00311E8B">
        <w:rPr>
          <w:rFonts w:ascii="Times New Roman" w:hAnsi="Times New Roman"/>
          <w:bCs/>
          <w:szCs w:val="24"/>
        </w:rPr>
        <w:t>an application for inclusion of a Class 3 IVD medical device.</w:t>
      </w:r>
    </w:p>
    <w:p w:rsidR="000E514C" w:rsidRDefault="000E514C" w:rsidP="00454659">
      <w:pPr>
        <w:ind w:right="-709"/>
        <w:rPr>
          <w:rFonts w:ascii="Times New Roman" w:hAnsi="Times New Roman"/>
          <w:bCs/>
          <w:szCs w:val="24"/>
        </w:rPr>
      </w:pPr>
    </w:p>
    <w:p w:rsidR="00F241AB" w:rsidRDefault="00DB2A95" w:rsidP="00454659">
      <w:pPr>
        <w:ind w:right="-709"/>
        <w:rPr>
          <w:rFonts w:ascii="Times New Roman" w:hAnsi="Times New Roman"/>
          <w:bCs/>
          <w:szCs w:val="24"/>
        </w:rPr>
      </w:pPr>
      <w:r w:rsidRPr="00165214">
        <w:rPr>
          <w:rFonts w:ascii="Times New Roman" w:hAnsi="Times New Roman"/>
          <w:bCs/>
          <w:szCs w:val="24"/>
        </w:rPr>
        <w:t xml:space="preserve">Item </w:t>
      </w:r>
      <w:r w:rsidR="000E514C">
        <w:rPr>
          <w:rFonts w:ascii="Times New Roman" w:hAnsi="Times New Roman"/>
          <w:bCs/>
          <w:szCs w:val="24"/>
        </w:rPr>
        <w:t>4</w:t>
      </w:r>
      <w:r w:rsidR="00407A46">
        <w:rPr>
          <w:rFonts w:ascii="Times New Roman" w:hAnsi="Times New Roman"/>
          <w:bCs/>
          <w:szCs w:val="24"/>
        </w:rPr>
        <w:t xml:space="preserve"> of Schedule 1 </w:t>
      </w:r>
      <w:r w:rsidR="007C3652">
        <w:rPr>
          <w:rFonts w:ascii="Times New Roman" w:hAnsi="Times New Roman"/>
          <w:bCs/>
          <w:szCs w:val="24"/>
        </w:rPr>
        <w:t xml:space="preserve">repeals and substitutes </w:t>
      </w:r>
      <w:r>
        <w:rPr>
          <w:rFonts w:ascii="Times New Roman" w:hAnsi="Times New Roman"/>
          <w:bCs/>
          <w:szCs w:val="24"/>
        </w:rPr>
        <w:t>item 4</w:t>
      </w:r>
      <w:r w:rsidR="00407A46">
        <w:rPr>
          <w:rFonts w:ascii="Times New Roman" w:hAnsi="Times New Roman"/>
          <w:bCs/>
          <w:szCs w:val="24"/>
        </w:rPr>
        <w:t xml:space="preserve"> of the table in Part 1 of Schedule 2 to the Principal Determination to </w:t>
      </w:r>
      <w:r>
        <w:rPr>
          <w:rFonts w:ascii="Times New Roman" w:hAnsi="Times New Roman"/>
          <w:bCs/>
          <w:szCs w:val="24"/>
        </w:rPr>
        <w:t>clarify that documenta</w:t>
      </w:r>
      <w:r w:rsidR="00105BC4">
        <w:rPr>
          <w:rFonts w:ascii="Times New Roman" w:hAnsi="Times New Roman"/>
          <w:bCs/>
          <w:szCs w:val="24"/>
        </w:rPr>
        <w:t xml:space="preserve">tion </w:t>
      </w:r>
      <w:r w:rsidR="00CD28CD">
        <w:rPr>
          <w:rFonts w:ascii="Times New Roman" w:hAnsi="Times New Roman"/>
          <w:bCs/>
          <w:szCs w:val="24"/>
        </w:rPr>
        <w:t xml:space="preserve">relating to product assessment </w:t>
      </w:r>
      <w:r w:rsidR="00105BC4">
        <w:rPr>
          <w:rFonts w:ascii="Times New Roman" w:hAnsi="Times New Roman"/>
          <w:bCs/>
          <w:szCs w:val="24"/>
        </w:rPr>
        <w:t>demonstrating that appropriate conformity assessment procedures have been applied by the manufacturer to the particular kind of device i</w:t>
      </w:r>
      <w:r>
        <w:rPr>
          <w:rFonts w:ascii="Times New Roman" w:hAnsi="Times New Roman"/>
          <w:bCs/>
          <w:szCs w:val="24"/>
        </w:rPr>
        <w:t>s not required where an MDSAP certificate recognised by Health Canada, or a quality management system certificate for the purposes of the Canadian medical devices regulations</w:t>
      </w:r>
      <w:r w:rsidR="00105BC4">
        <w:rPr>
          <w:rFonts w:ascii="Times New Roman" w:hAnsi="Times New Roman"/>
          <w:bCs/>
          <w:szCs w:val="24"/>
        </w:rPr>
        <w:t>,</w:t>
      </w:r>
      <w:r>
        <w:rPr>
          <w:rFonts w:ascii="Times New Roman" w:hAnsi="Times New Roman"/>
          <w:bCs/>
          <w:szCs w:val="24"/>
        </w:rPr>
        <w:t xml:space="preserve"> accompanies an application for inclusion of a Class 2 IVD medical device.</w:t>
      </w:r>
    </w:p>
    <w:p w:rsidR="00F241AB" w:rsidRDefault="00F241AB" w:rsidP="00454659">
      <w:pPr>
        <w:ind w:right="-709"/>
        <w:rPr>
          <w:rFonts w:ascii="Times New Roman" w:hAnsi="Times New Roman"/>
          <w:bCs/>
          <w:szCs w:val="24"/>
        </w:rPr>
      </w:pPr>
    </w:p>
    <w:p w:rsidR="00105BC4" w:rsidRDefault="00F241AB" w:rsidP="00454659">
      <w:pPr>
        <w:ind w:right="-709"/>
        <w:rPr>
          <w:rFonts w:ascii="Times New Roman" w:hAnsi="Times New Roman"/>
          <w:bCs/>
          <w:szCs w:val="24"/>
        </w:rPr>
      </w:pPr>
      <w:r>
        <w:rPr>
          <w:rFonts w:ascii="Times New Roman" w:hAnsi="Times New Roman"/>
          <w:bCs/>
          <w:szCs w:val="24"/>
        </w:rPr>
        <w:t xml:space="preserve">Likewise, </w:t>
      </w:r>
      <w:r w:rsidRPr="00165214">
        <w:rPr>
          <w:rFonts w:ascii="Times New Roman" w:hAnsi="Times New Roman"/>
          <w:bCs/>
          <w:szCs w:val="24"/>
        </w:rPr>
        <w:t>i</w:t>
      </w:r>
      <w:r w:rsidR="00DB2A95" w:rsidRPr="00165214">
        <w:rPr>
          <w:rFonts w:ascii="Times New Roman" w:hAnsi="Times New Roman"/>
          <w:bCs/>
          <w:szCs w:val="24"/>
        </w:rPr>
        <w:t xml:space="preserve">tem </w:t>
      </w:r>
      <w:r w:rsidR="0046493F">
        <w:rPr>
          <w:rFonts w:ascii="Times New Roman" w:hAnsi="Times New Roman"/>
          <w:bCs/>
          <w:szCs w:val="24"/>
        </w:rPr>
        <w:t>8</w:t>
      </w:r>
      <w:r w:rsidR="00DB2A95">
        <w:rPr>
          <w:rFonts w:ascii="Times New Roman" w:hAnsi="Times New Roman"/>
          <w:bCs/>
          <w:szCs w:val="24"/>
        </w:rPr>
        <w:t xml:space="preserve"> of Schedule 1 </w:t>
      </w:r>
      <w:r w:rsidR="00105BC4">
        <w:rPr>
          <w:rFonts w:ascii="Times New Roman" w:hAnsi="Times New Roman"/>
          <w:bCs/>
          <w:szCs w:val="24"/>
        </w:rPr>
        <w:t xml:space="preserve">repeals and substitutes item 7 of the table in Part 2 of Schedule 2 to the Principal Determination to </w:t>
      </w:r>
      <w:r w:rsidR="00DB2A95">
        <w:rPr>
          <w:rFonts w:ascii="Times New Roman" w:hAnsi="Times New Roman"/>
          <w:bCs/>
          <w:szCs w:val="24"/>
        </w:rPr>
        <w:t>make similar provision in relation to</w:t>
      </w:r>
      <w:r w:rsidR="00105BC4">
        <w:rPr>
          <w:rFonts w:ascii="Times New Roman" w:hAnsi="Times New Roman"/>
          <w:bCs/>
          <w:szCs w:val="24"/>
        </w:rPr>
        <w:t xml:space="preserve"> applications for inclusion of</w:t>
      </w:r>
      <w:r w:rsidR="00DB2A95">
        <w:rPr>
          <w:rFonts w:ascii="Times New Roman" w:hAnsi="Times New Roman"/>
          <w:bCs/>
          <w:szCs w:val="24"/>
        </w:rPr>
        <w:t xml:space="preserve"> Class 3 IVD medical devices</w:t>
      </w:r>
      <w:r w:rsidR="00DB2A95" w:rsidRPr="00AF6EC7">
        <w:rPr>
          <w:rFonts w:ascii="Times New Roman" w:hAnsi="Times New Roman"/>
          <w:bCs/>
          <w:szCs w:val="24"/>
        </w:rPr>
        <w:t>.</w:t>
      </w:r>
      <w:r w:rsidR="00105BC4" w:rsidRPr="00AF6EC7">
        <w:rPr>
          <w:rFonts w:ascii="Times New Roman" w:hAnsi="Times New Roman"/>
          <w:bCs/>
          <w:szCs w:val="24"/>
        </w:rPr>
        <w:t xml:space="preserve"> </w:t>
      </w:r>
      <w:r w:rsidR="005D5FE8" w:rsidRPr="00AF6EC7">
        <w:rPr>
          <w:rFonts w:ascii="Times New Roman" w:hAnsi="Times New Roman"/>
          <w:bCs/>
          <w:szCs w:val="24"/>
        </w:rPr>
        <w:t xml:space="preserve">In addition, </w:t>
      </w:r>
      <w:r w:rsidR="005D5FE8" w:rsidRPr="00165214">
        <w:rPr>
          <w:rFonts w:ascii="Times New Roman" w:hAnsi="Times New Roman"/>
          <w:bCs/>
          <w:szCs w:val="24"/>
        </w:rPr>
        <w:t xml:space="preserve">items </w:t>
      </w:r>
      <w:r w:rsidR="0046493F">
        <w:rPr>
          <w:rFonts w:ascii="Times New Roman" w:hAnsi="Times New Roman"/>
          <w:bCs/>
          <w:szCs w:val="24"/>
        </w:rPr>
        <w:t>4</w:t>
      </w:r>
      <w:r w:rsidR="005D5FE8" w:rsidRPr="00165214">
        <w:rPr>
          <w:rFonts w:ascii="Times New Roman" w:hAnsi="Times New Roman"/>
          <w:bCs/>
          <w:szCs w:val="24"/>
        </w:rPr>
        <w:t xml:space="preserve"> and </w:t>
      </w:r>
      <w:r w:rsidR="000D196F">
        <w:rPr>
          <w:rFonts w:ascii="Times New Roman" w:hAnsi="Times New Roman"/>
          <w:bCs/>
          <w:szCs w:val="24"/>
        </w:rPr>
        <w:t>8 of Schedule 1</w:t>
      </w:r>
      <w:r w:rsidR="000D196F" w:rsidRPr="00F241AB">
        <w:rPr>
          <w:rFonts w:ascii="Times New Roman" w:hAnsi="Times New Roman"/>
          <w:bCs/>
          <w:szCs w:val="24"/>
        </w:rPr>
        <w:t xml:space="preserve"> </w:t>
      </w:r>
      <w:r w:rsidR="005D5FE8" w:rsidRPr="00AF6EC7">
        <w:rPr>
          <w:rFonts w:ascii="Times New Roman" w:hAnsi="Times New Roman"/>
          <w:bCs/>
          <w:szCs w:val="24"/>
        </w:rPr>
        <w:t xml:space="preserve">remove the </w:t>
      </w:r>
      <w:r w:rsidR="00105BC4" w:rsidRPr="00AF6EC7">
        <w:rPr>
          <w:rFonts w:ascii="Times New Roman" w:hAnsi="Times New Roman"/>
          <w:bCs/>
          <w:szCs w:val="24"/>
        </w:rPr>
        <w:t>requirement that an application must have been submitted before 1 January 2019</w:t>
      </w:r>
      <w:r w:rsidR="0053672C">
        <w:rPr>
          <w:rFonts w:ascii="Times New Roman" w:hAnsi="Times New Roman"/>
          <w:bCs/>
          <w:szCs w:val="24"/>
        </w:rPr>
        <w:t xml:space="preserve"> in order to be able to be accompanied by a quality management system certificate for the purposes of the Canadian medical devices regulations</w:t>
      </w:r>
      <w:r w:rsidR="00105BC4" w:rsidRPr="00AF6EC7">
        <w:rPr>
          <w:rFonts w:ascii="Times New Roman" w:hAnsi="Times New Roman"/>
          <w:bCs/>
          <w:szCs w:val="24"/>
        </w:rPr>
        <w:t>.</w:t>
      </w:r>
    </w:p>
    <w:p w:rsidR="00105BC4" w:rsidRDefault="00105BC4" w:rsidP="00454659">
      <w:pPr>
        <w:ind w:right="-709"/>
        <w:rPr>
          <w:rFonts w:ascii="Times New Roman" w:hAnsi="Times New Roman"/>
          <w:szCs w:val="24"/>
        </w:rPr>
      </w:pPr>
    </w:p>
    <w:p w:rsidR="00DB12D6" w:rsidRDefault="00DB12D6" w:rsidP="00454659">
      <w:pPr>
        <w:ind w:right="-709"/>
        <w:rPr>
          <w:rFonts w:ascii="Times New Roman" w:hAnsi="Times New Roman"/>
          <w:bCs/>
          <w:szCs w:val="24"/>
        </w:rPr>
      </w:pPr>
      <w:r w:rsidRPr="00165214">
        <w:rPr>
          <w:rFonts w:ascii="Times New Roman" w:hAnsi="Times New Roman"/>
          <w:bCs/>
          <w:szCs w:val="24"/>
        </w:rPr>
        <w:t xml:space="preserve">Item </w:t>
      </w:r>
      <w:r w:rsidR="00DD3DA5">
        <w:rPr>
          <w:rFonts w:ascii="Times New Roman" w:hAnsi="Times New Roman"/>
          <w:bCs/>
          <w:szCs w:val="24"/>
        </w:rPr>
        <w:t>5</w:t>
      </w:r>
      <w:r w:rsidR="00DB2A95" w:rsidRPr="00F241AB">
        <w:rPr>
          <w:rFonts w:ascii="Times New Roman" w:hAnsi="Times New Roman"/>
          <w:bCs/>
          <w:szCs w:val="24"/>
        </w:rPr>
        <w:t xml:space="preserve"> </w:t>
      </w:r>
      <w:r w:rsidR="00DB2A95">
        <w:rPr>
          <w:rFonts w:ascii="Times New Roman" w:hAnsi="Times New Roman"/>
          <w:bCs/>
          <w:szCs w:val="24"/>
        </w:rPr>
        <w:t xml:space="preserve">of Schedule 1 </w:t>
      </w:r>
      <w:r w:rsidR="0053672C">
        <w:rPr>
          <w:rFonts w:ascii="Times New Roman" w:hAnsi="Times New Roman"/>
          <w:bCs/>
          <w:szCs w:val="24"/>
        </w:rPr>
        <w:t>contains</w:t>
      </w:r>
      <w:r>
        <w:rPr>
          <w:rFonts w:ascii="Times New Roman" w:hAnsi="Times New Roman"/>
          <w:bCs/>
          <w:szCs w:val="24"/>
        </w:rPr>
        <w:t xml:space="preserve"> a minor </w:t>
      </w:r>
      <w:r w:rsidR="005D5FE8">
        <w:rPr>
          <w:rFonts w:ascii="Times New Roman" w:hAnsi="Times New Roman"/>
          <w:bCs/>
          <w:szCs w:val="24"/>
        </w:rPr>
        <w:t xml:space="preserve">formatting </w:t>
      </w:r>
      <w:r>
        <w:rPr>
          <w:rFonts w:ascii="Times New Roman" w:hAnsi="Times New Roman"/>
          <w:bCs/>
          <w:szCs w:val="24"/>
        </w:rPr>
        <w:t>amendment.</w:t>
      </w:r>
    </w:p>
    <w:p w:rsidR="00DB12D6" w:rsidRDefault="00DB12D6" w:rsidP="00454659">
      <w:pPr>
        <w:ind w:right="-709"/>
        <w:rPr>
          <w:rFonts w:ascii="Times New Roman" w:hAnsi="Times New Roman"/>
          <w:bCs/>
          <w:szCs w:val="24"/>
        </w:rPr>
      </w:pPr>
    </w:p>
    <w:p w:rsidR="00407A46" w:rsidRDefault="00DB12D6" w:rsidP="00454659">
      <w:pPr>
        <w:ind w:right="-709"/>
        <w:rPr>
          <w:rFonts w:ascii="Times New Roman" w:hAnsi="Times New Roman"/>
          <w:bCs/>
          <w:szCs w:val="24"/>
        </w:rPr>
      </w:pPr>
      <w:r w:rsidRPr="00165214">
        <w:rPr>
          <w:rFonts w:ascii="Times New Roman" w:hAnsi="Times New Roman"/>
          <w:bCs/>
          <w:szCs w:val="24"/>
        </w:rPr>
        <w:t xml:space="preserve">Item </w:t>
      </w:r>
      <w:r w:rsidR="00DD3DA5">
        <w:rPr>
          <w:rFonts w:ascii="Times New Roman" w:hAnsi="Times New Roman"/>
          <w:bCs/>
          <w:szCs w:val="24"/>
        </w:rPr>
        <w:t>6</w:t>
      </w:r>
      <w:r>
        <w:rPr>
          <w:rFonts w:ascii="Times New Roman" w:hAnsi="Times New Roman"/>
          <w:bCs/>
          <w:szCs w:val="24"/>
        </w:rPr>
        <w:t xml:space="preserve"> of Schedule 1 </w:t>
      </w:r>
      <w:r w:rsidR="00800182">
        <w:rPr>
          <w:rFonts w:ascii="Times New Roman" w:hAnsi="Times New Roman"/>
          <w:bCs/>
          <w:szCs w:val="24"/>
        </w:rPr>
        <w:t>specif</w:t>
      </w:r>
      <w:r w:rsidR="00105BC4">
        <w:rPr>
          <w:rFonts w:ascii="Times New Roman" w:hAnsi="Times New Roman"/>
          <w:bCs/>
          <w:szCs w:val="24"/>
        </w:rPr>
        <w:t>ies</w:t>
      </w:r>
      <w:r w:rsidR="00800182">
        <w:rPr>
          <w:rFonts w:ascii="Times New Roman" w:hAnsi="Times New Roman"/>
          <w:bCs/>
          <w:szCs w:val="24"/>
        </w:rPr>
        <w:t xml:space="preserve"> an additional </w:t>
      </w:r>
      <w:r w:rsidR="00DA3D87">
        <w:rPr>
          <w:rFonts w:ascii="Times New Roman" w:hAnsi="Times New Roman"/>
          <w:bCs/>
          <w:szCs w:val="24"/>
        </w:rPr>
        <w:t xml:space="preserve">kind of </w:t>
      </w:r>
      <w:r w:rsidR="00800182">
        <w:rPr>
          <w:rFonts w:ascii="Times New Roman" w:hAnsi="Times New Roman"/>
          <w:bCs/>
          <w:szCs w:val="24"/>
        </w:rPr>
        <w:t>conformity assessment document</w:t>
      </w:r>
      <w:r w:rsidR="005D5FE8" w:rsidRPr="005D5FE8">
        <w:rPr>
          <w:rFonts w:ascii="Times New Roman" w:hAnsi="Times New Roman"/>
          <w:bCs/>
          <w:szCs w:val="24"/>
        </w:rPr>
        <w:t xml:space="preserve"> </w:t>
      </w:r>
      <w:r w:rsidR="005D5FE8">
        <w:rPr>
          <w:rFonts w:ascii="Times New Roman" w:hAnsi="Times New Roman"/>
          <w:bCs/>
          <w:szCs w:val="24"/>
        </w:rPr>
        <w:t>certifying compliance with ISO 13485</w:t>
      </w:r>
      <w:r w:rsidR="00903974">
        <w:rPr>
          <w:rFonts w:ascii="Times New Roman" w:hAnsi="Times New Roman"/>
          <w:bCs/>
          <w:szCs w:val="24"/>
        </w:rPr>
        <w:t>,</w:t>
      </w:r>
      <w:r w:rsidR="005D5FE8">
        <w:rPr>
          <w:rFonts w:ascii="Times New Roman" w:hAnsi="Times New Roman"/>
          <w:bCs/>
          <w:szCs w:val="24"/>
        </w:rPr>
        <w:t xml:space="preserve"> </w:t>
      </w:r>
      <w:r w:rsidR="00BD7F06">
        <w:rPr>
          <w:rFonts w:ascii="Times New Roman" w:hAnsi="Times New Roman"/>
          <w:bCs/>
          <w:szCs w:val="24"/>
        </w:rPr>
        <w:t>issued</w:t>
      </w:r>
      <w:r w:rsidR="00407A46">
        <w:rPr>
          <w:rFonts w:ascii="Times New Roman" w:hAnsi="Times New Roman"/>
          <w:bCs/>
          <w:szCs w:val="24"/>
        </w:rPr>
        <w:t xml:space="preserve"> by</w:t>
      </w:r>
      <w:r w:rsidR="005D5FE8">
        <w:rPr>
          <w:rFonts w:ascii="Times New Roman" w:hAnsi="Times New Roman"/>
          <w:bCs/>
          <w:szCs w:val="24"/>
        </w:rPr>
        <w:t xml:space="preserve"> an</w:t>
      </w:r>
      <w:r w:rsidR="00407A46">
        <w:rPr>
          <w:rFonts w:ascii="Times New Roman" w:hAnsi="Times New Roman"/>
          <w:bCs/>
          <w:szCs w:val="24"/>
        </w:rPr>
        <w:t xml:space="preserve"> </w:t>
      </w:r>
      <w:r w:rsidR="005D5FE8" w:rsidRPr="00DF0291">
        <w:t>IAF accredited conformity assessment body</w:t>
      </w:r>
      <w:r w:rsidR="00407A46">
        <w:rPr>
          <w:rFonts w:ascii="Times New Roman" w:hAnsi="Times New Roman"/>
          <w:bCs/>
          <w:szCs w:val="24"/>
        </w:rPr>
        <w:t>.</w:t>
      </w:r>
      <w:r w:rsidR="00B87942">
        <w:rPr>
          <w:rFonts w:ascii="Times New Roman" w:hAnsi="Times New Roman"/>
          <w:bCs/>
          <w:szCs w:val="24"/>
        </w:rPr>
        <w:t xml:space="preserve"> The effect </w:t>
      </w:r>
      <w:r w:rsidR="00DA3D87">
        <w:rPr>
          <w:rFonts w:ascii="Times New Roman" w:hAnsi="Times New Roman"/>
          <w:bCs/>
          <w:szCs w:val="24"/>
        </w:rPr>
        <w:t xml:space="preserve">of </w:t>
      </w:r>
      <w:r w:rsidR="005D5FE8">
        <w:rPr>
          <w:rFonts w:ascii="Times New Roman" w:hAnsi="Times New Roman"/>
          <w:bCs/>
          <w:szCs w:val="24"/>
        </w:rPr>
        <w:t xml:space="preserve">new item 7 in the table in Part 1 of Schedule 2 to the Principal Determination </w:t>
      </w:r>
      <w:r w:rsidR="00DA3D87">
        <w:rPr>
          <w:rFonts w:ascii="Times New Roman" w:hAnsi="Times New Roman"/>
          <w:bCs/>
          <w:szCs w:val="24"/>
        </w:rPr>
        <w:t xml:space="preserve">is </w:t>
      </w:r>
      <w:r w:rsidR="00B87942">
        <w:rPr>
          <w:rFonts w:ascii="Times New Roman" w:hAnsi="Times New Roman"/>
          <w:bCs/>
          <w:szCs w:val="24"/>
        </w:rPr>
        <w:t xml:space="preserve">to enable an application for inclusion of a Class 2 IVD medical device </w:t>
      </w:r>
      <w:r w:rsidR="00311E8B">
        <w:rPr>
          <w:rFonts w:ascii="Times New Roman" w:hAnsi="Times New Roman"/>
          <w:bCs/>
          <w:szCs w:val="24"/>
        </w:rPr>
        <w:t xml:space="preserve">submitted before 26 May 2022 </w:t>
      </w:r>
      <w:r w:rsidR="00B87942">
        <w:rPr>
          <w:rFonts w:ascii="Times New Roman" w:hAnsi="Times New Roman"/>
          <w:bCs/>
          <w:szCs w:val="24"/>
        </w:rPr>
        <w:t xml:space="preserve">to be accompanied </w:t>
      </w:r>
      <w:r w:rsidR="007C3652">
        <w:rPr>
          <w:rFonts w:ascii="Times New Roman" w:hAnsi="Times New Roman"/>
          <w:bCs/>
          <w:szCs w:val="24"/>
        </w:rPr>
        <w:t>by th</w:t>
      </w:r>
      <w:r w:rsidR="00DA3D87">
        <w:rPr>
          <w:rFonts w:ascii="Times New Roman" w:hAnsi="Times New Roman"/>
          <w:bCs/>
          <w:szCs w:val="24"/>
        </w:rPr>
        <w:t>e</w:t>
      </w:r>
      <w:r w:rsidR="007C3652">
        <w:rPr>
          <w:rFonts w:ascii="Times New Roman" w:hAnsi="Times New Roman"/>
          <w:bCs/>
          <w:szCs w:val="24"/>
        </w:rPr>
        <w:t xml:space="preserve"> </w:t>
      </w:r>
      <w:r w:rsidR="00DA3D87">
        <w:rPr>
          <w:rFonts w:ascii="Times New Roman" w:hAnsi="Times New Roman"/>
          <w:bCs/>
          <w:szCs w:val="24"/>
        </w:rPr>
        <w:t xml:space="preserve">additional </w:t>
      </w:r>
      <w:r w:rsidR="007C3652">
        <w:rPr>
          <w:rFonts w:ascii="Times New Roman" w:hAnsi="Times New Roman"/>
          <w:bCs/>
          <w:szCs w:val="24"/>
        </w:rPr>
        <w:t>document</w:t>
      </w:r>
      <w:r w:rsidR="00DA3D87">
        <w:rPr>
          <w:rFonts w:ascii="Times New Roman" w:hAnsi="Times New Roman"/>
          <w:bCs/>
          <w:szCs w:val="24"/>
        </w:rPr>
        <w:t xml:space="preserve"> so determined</w:t>
      </w:r>
      <w:r w:rsidR="007C3652">
        <w:rPr>
          <w:rFonts w:ascii="Times New Roman" w:hAnsi="Times New Roman"/>
          <w:bCs/>
          <w:szCs w:val="24"/>
        </w:rPr>
        <w:t>.</w:t>
      </w:r>
    </w:p>
    <w:p w:rsidR="00407A46" w:rsidRDefault="00407A46" w:rsidP="00454659">
      <w:pPr>
        <w:ind w:right="-709"/>
        <w:rPr>
          <w:rFonts w:ascii="Times New Roman" w:hAnsi="Times New Roman"/>
          <w:bCs/>
          <w:szCs w:val="24"/>
        </w:rPr>
      </w:pPr>
    </w:p>
    <w:p w:rsidR="00407A46" w:rsidRDefault="007C3652" w:rsidP="00454659">
      <w:pPr>
        <w:ind w:right="-709"/>
        <w:rPr>
          <w:rFonts w:ascii="Times New Roman" w:hAnsi="Times New Roman"/>
          <w:bCs/>
          <w:szCs w:val="24"/>
        </w:rPr>
      </w:pPr>
      <w:r>
        <w:rPr>
          <w:rFonts w:ascii="Times New Roman" w:hAnsi="Times New Roman"/>
          <w:bCs/>
          <w:szCs w:val="24"/>
        </w:rPr>
        <w:t xml:space="preserve">Similarly, </w:t>
      </w:r>
      <w:r w:rsidRPr="00165214">
        <w:rPr>
          <w:rFonts w:ascii="Times New Roman" w:hAnsi="Times New Roman"/>
          <w:bCs/>
          <w:szCs w:val="24"/>
        </w:rPr>
        <w:t>i</w:t>
      </w:r>
      <w:r w:rsidR="00407A46" w:rsidRPr="00165214">
        <w:rPr>
          <w:rFonts w:ascii="Times New Roman" w:hAnsi="Times New Roman"/>
          <w:bCs/>
          <w:szCs w:val="24"/>
        </w:rPr>
        <w:t xml:space="preserve">tem </w:t>
      </w:r>
      <w:r w:rsidR="00DD3DA5">
        <w:rPr>
          <w:rFonts w:ascii="Times New Roman" w:hAnsi="Times New Roman"/>
          <w:bCs/>
          <w:szCs w:val="24"/>
        </w:rPr>
        <w:t>9</w:t>
      </w:r>
      <w:r w:rsidR="00407A46">
        <w:rPr>
          <w:rFonts w:ascii="Times New Roman" w:hAnsi="Times New Roman"/>
          <w:bCs/>
          <w:szCs w:val="24"/>
        </w:rPr>
        <w:t xml:space="preserve"> of Schedule 1 </w:t>
      </w:r>
      <w:r w:rsidR="005D5FE8">
        <w:rPr>
          <w:rFonts w:ascii="Times New Roman" w:hAnsi="Times New Roman"/>
          <w:bCs/>
          <w:szCs w:val="24"/>
        </w:rPr>
        <w:t>inserts a new</w:t>
      </w:r>
      <w:r>
        <w:rPr>
          <w:rFonts w:ascii="Times New Roman" w:hAnsi="Times New Roman"/>
          <w:bCs/>
          <w:szCs w:val="24"/>
        </w:rPr>
        <w:t xml:space="preserve"> </w:t>
      </w:r>
      <w:r w:rsidR="00407A46">
        <w:rPr>
          <w:rFonts w:ascii="Times New Roman" w:hAnsi="Times New Roman"/>
          <w:bCs/>
          <w:szCs w:val="24"/>
        </w:rPr>
        <w:t xml:space="preserve">item </w:t>
      </w:r>
      <w:r w:rsidR="005D5FE8">
        <w:rPr>
          <w:rFonts w:ascii="Times New Roman" w:hAnsi="Times New Roman"/>
          <w:bCs/>
          <w:szCs w:val="24"/>
        </w:rPr>
        <w:t>11 into</w:t>
      </w:r>
      <w:r w:rsidR="00407A46">
        <w:rPr>
          <w:rFonts w:ascii="Times New Roman" w:hAnsi="Times New Roman"/>
          <w:bCs/>
          <w:szCs w:val="24"/>
        </w:rPr>
        <w:t xml:space="preserve"> the table in </w:t>
      </w:r>
      <w:r w:rsidR="008C628A">
        <w:rPr>
          <w:rFonts w:ascii="Times New Roman" w:hAnsi="Times New Roman"/>
          <w:bCs/>
          <w:szCs w:val="24"/>
        </w:rPr>
        <w:t>Part 2</w:t>
      </w:r>
      <w:r w:rsidR="00407A46">
        <w:rPr>
          <w:rFonts w:ascii="Times New Roman" w:hAnsi="Times New Roman"/>
          <w:bCs/>
          <w:szCs w:val="24"/>
        </w:rPr>
        <w:t xml:space="preserve"> of Schedule 2 to the Principal Determination to </w:t>
      </w:r>
      <w:r>
        <w:rPr>
          <w:rFonts w:ascii="Times New Roman" w:hAnsi="Times New Roman"/>
          <w:bCs/>
          <w:szCs w:val="24"/>
        </w:rPr>
        <w:t xml:space="preserve">specify </w:t>
      </w:r>
      <w:r w:rsidR="00800182">
        <w:rPr>
          <w:rFonts w:ascii="Times New Roman" w:hAnsi="Times New Roman"/>
          <w:bCs/>
          <w:szCs w:val="24"/>
        </w:rPr>
        <w:t xml:space="preserve">the same </w:t>
      </w:r>
      <w:r>
        <w:rPr>
          <w:rFonts w:ascii="Times New Roman" w:hAnsi="Times New Roman"/>
          <w:bCs/>
          <w:szCs w:val="24"/>
        </w:rPr>
        <w:t>conformity assessment document</w:t>
      </w:r>
      <w:r w:rsidR="00800182">
        <w:rPr>
          <w:rFonts w:ascii="Times New Roman" w:hAnsi="Times New Roman"/>
          <w:bCs/>
          <w:szCs w:val="24"/>
        </w:rPr>
        <w:t>,</w:t>
      </w:r>
      <w:r>
        <w:rPr>
          <w:rFonts w:ascii="Times New Roman" w:hAnsi="Times New Roman"/>
          <w:bCs/>
          <w:szCs w:val="24"/>
        </w:rPr>
        <w:t xml:space="preserve"> </w:t>
      </w:r>
      <w:r w:rsidR="00BD7F06">
        <w:rPr>
          <w:rFonts w:ascii="Times New Roman" w:hAnsi="Times New Roman"/>
          <w:bCs/>
          <w:szCs w:val="24"/>
        </w:rPr>
        <w:t>issued</w:t>
      </w:r>
      <w:r w:rsidR="00407A46">
        <w:rPr>
          <w:rFonts w:ascii="Times New Roman" w:hAnsi="Times New Roman"/>
          <w:bCs/>
          <w:szCs w:val="24"/>
        </w:rPr>
        <w:t xml:space="preserve"> by a</w:t>
      </w:r>
      <w:r w:rsidR="005D5FE8">
        <w:rPr>
          <w:rFonts w:ascii="Times New Roman" w:hAnsi="Times New Roman"/>
          <w:bCs/>
          <w:szCs w:val="24"/>
        </w:rPr>
        <w:t xml:space="preserve">n </w:t>
      </w:r>
      <w:r w:rsidR="005D5FE8" w:rsidRPr="00DF0291">
        <w:t>IAF accredited conformity assessment body</w:t>
      </w:r>
      <w:r w:rsidR="00800182">
        <w:rPr>
          <w:rFonts w:ascii="Times New Roman" w:hAnsi="Times New Roman"/>
          <w:bCs/>
          <w:szCs w:val="24"/>
        </w:rPr>
        <w:t>, ce</w:t>
      </w:r>
      <w:r w:rsidR="00444AC0">
        <w:rPr>
          <w:rFonts w:ascii="Times New Roman" w:hAnsi="Times New Roman"/>
          <w:bCs/>
          <w:szCs w:val="24"/>
        </w:rPr>
        <w:t>rtifying compliance with ISO 13</w:t>
      </w:r>
      <w:r w:rsidR="00800182">
        <w:rPr>
          <w:rFonts w:ascii="Times New Roman" w:hAnsi="Times New Roman"/>
          <w:bCs/>
          <w:szCs w:val="24"/>
        </w:rPr>
        <w:t>4</w:t>
      </w:r>
      <w:r w:rsidR="00444AC0">
        <w:rPr>
          <w:rFonts w:ascii="Times New Roman" w:hAnsi="Times New Roman"/>
          <w:bCs/>
          <w:szCs w:val="24"/>
        </w:rPr>
        <w:t>8</w:t>
      </w:r>
      <w:r w:rsidR="00800182">
        <w:rPr>
          <w:rFonts w:ascii="Times New Roman" w:hAnsi="Times New Roman"/>
          <w:bCs/>
          <w:szCs w:val="24"/>
        </w:rPr>
        <w:t xml:space="preserve">5. The effect of </w:t>
      </w:r>
      <w:r w:rsidR="00DA3D87">
        <w:rPr>
          <w:rFonts w:ascii="Times New Roman" w:hAnsi="Times New Roman"/>
          <w:bCs/>
          <w:szCs w:val="24"/>
        </w:rPr>
        <w:t xml:space="preserve">this </w:t>
      </w:r>
      <w:r w:rsidR="005D5FE8">
        <w:rPr>
          <w:rFonts w:ascii="Times New Roman" w:hAnsi="Times New Roman"/>
          <w:bCs/>
          <w:szCs w:val="24"/>
        </w:rPr>
        <w:t>new item</w:t>
      </w:r>
      <w:r w:rsidR="00DA3D87">
        <w:rPr>
          <w:rFonts w:ascii="Times New Roman" w:hAnsi="Times New Roman"/>
          <w:bCs/>
          <w:szCs w:val="24"/>
        </w:rPr>
        <w:t xml:space="preserve"> </w:t>
      </w:r>
      <w:r w:rsidR="00800182">
        <w:rPr>
          <w:rFonts w:ascii="Times New Roman" w:hAnsi="Times New Roman"/>
          <w:bCs/>
          <w:szCs w:val="24"/>
        </w:rPr>
        <w:t xml:space="preserve">is to enable an application for inclusion of a Class 3 IVD medical device </w:t>
      </w:r>
      <w:r w:rsidR="00311E8B">
        <w:rPr>
          <w:rFonts w:ascii="Times New Roman" w:hAnsi="Times New Roman"/>
          <w:bCs/>
          <w:szCs w:val="24"/>
        </w:rPr>
        <w:t xml:space="preserve">submitted before 26 May 2022 </w:t>
      </w:r>
      <w:r w:rsidR="00800182">
        <w:rPr>
          <w:rFonts w:ascii="Times New Roman" w:hAnsi="Times New Roman"/>
          <w:bCs/>
          <w:szCs w:val="24"/>
        </w:rPr>
        <w:t xml:space="preserve">to be accompanied by </w:t>
      </w:r>
      <w:r w:rsidR="00DA3D87">
        <w:rPr>
          <w:rFonts w:ascii="Times New Roman" w:hAnsi="Times New Roman"/>
          <w:bCs/>
          <w:szCs w:val="24"/>
        </w:rPr>
        <w:t xml:space="preserve">the additional </w:t>
      </w:r>
      <w:r w:rsidR="00800182">
        <w:rPr>
          <w:rFonts w:ascii="Times New Roman" w:hAnsi="Times New Roman"/>
          <w:bCs/>
          <w:szCs w:val="24"/>
        </w:rPr>
        <w:t>document</w:t>
      </w:r>
      <w:r w:rsidR="00DA3D87">
        <w:rPr>
          <w:rFonts w:ascii="Times New Roman" w:hAnsi="Times New Roman"/>
          <w:bCs/>
          <w:szCs w:val="24"/>
        </w:rPr>
        <w:t xml:space="preserve"> so determined</w:t>
      </w:r>
      <w:r w:rsidR="00800182">
        <w:rPr>
          <w:rFonts w:ascii="Times New Roman" w:hAnsi="Times New Roman"/>
          <w:bCs/>
          <w:szCs w:val="24"/>
        </w:rPr>
        <w:t>.</w:t>
      </w:r>
    </w:p>
    <w:p w:rsidR="00855B3C" w:rsidRDefault="00855B3C">
      <w:pPr>
        <w:spacing w:after="200" w:line="276" w:lineRule="auto"/>
        <w:rPr>
          <w:rFonts w:ascii="Times New Roman" w:hAnsi="Times New Roman"/>
          <w:b/>
          <w:bCs/>
          <w:szCs w:val="24"/>
        </w:rPr>
      </w:pPr>
      <w:r>
        <w:rPr>
          <w:rFonts w:ascii="Times New Roman" w:hAnsi="Times New Roman"/>
          <w:b/>
          <w:bCs/>
          <w:szCs w:val="24"/>
        </w:rPr>
        <w:br w:type="page"/>
      </w:r>
    </w:p>
    <w:p w:rsidR="00454659" w:rsidRDefault="00294A49" w:rsidP="000B4894">
      <w:pPr>
        <w:ind w:right="-568"/>
        <w:jc w:val="right"/>
        <w:rPr>
          <w:rFonts w:ascii="Times New Roman" w:hAnsi="Times New Roman"/>
          <w:bCs/>
          <w:szCs w:val="24"/>
        </w:rPr>
      </w:pPr>
      <w:r w:rsidRPr="005327F5">
        <w:rPr>
          <w:rFonts w:ascii="Times New Roman" w:hAnsi="Times New Roman"/>
          <w:b/>
          <w:bCs/>
          <w:szCs w:val="24"/>
        </w:rPr>
        <w:lastRenderedPageBreak/>
        <w:t xml:space="preserve">Attachment </w:t>
      </w:r>
      <w:r w:rsidR="00292591">
        <w:rPr>
          <w:rFonts w:ascii="Times New Roman" w:hAnsi="Times New Roman"/>
          <w:b/>
          <w:bCs/>
          <w:szCs w:val="24"/>
        </w:rPr>
        <w:t>B</w:t>
      </w:r>
    </w:p>
    <w:p w:rsidR="00294A49" w:rsidRPr="005327F5" w:rsidRDefault="00294A49" w:rsidP="000B4894">
      <w:pPr>
        <w:rPr>
          <w:rFonts w:ascii="Times New Roman" w:hAnsi="Times New Roman"/>
          <w:b/>
          <w:bCs/>
          <w:szCs w:val="24"/>
        </w:rPr>
      </w:pPr>
    </w:p>
    <w:p w:rsidR="00454659" w:rsidRDefault="004864D2" w:rsidP="000B4894">
      <w:pPr>
        <w:ind w:right="-568"/>
        <w:jc w:val="center"/>
        <w:rPr>
          <w:rFonts w:ascii="Times New Roman" w:hAnsi="Times New Roman"/>
          <w:bCs/>
          <w:szCs w:val="24"/>
        </w:rPr>
      </w:pPr>
      <w:r w:rsidRPr="000B4894">
        <w:rPr>
          <w:rFonts w:ascii="Times New Roman" w:hAnsi="Times New Roman"/>
          <w:b/>
          <w:bCs/>
          <w:szCs w:val="24"/>
        </w:rPr>
        <w:t>Statement of Compatibility with Human Rights</w:t>
      </w:r>
    </w:p>
    <w:p w:rsidR="00454659" w:rsidRDefault="00454659" w:rsidP="000B4894">
      <w:pPr>
        <w:ind w:right="-568"/>
        <w:jc w:val="center"/>
        <w:rPr>
          <w:rFonts w:ascii="Times New Roman" w:hAnsi="Times New Roman"/>
          <w:b/>
          <w:bCs/>
          <w:caps/>
          <w:sz w:val="22"/>
          <w:szCs w:val="22"/>
        </w:rPr>
      </w:pPr>
    </w:p>
    <w:p w:rsidR="00454659" w:rsidRDefault="00E96E22" w:rsidP="000B4894">
      <w:pPr>
        <w:ind w:right="-568"/>
        <w:jc w:val="center"/>
        <w:rPr>
          <w:rFonts w:ascii="Times New Roman" w:hAnsi="Times New Roman"/>
          <w:i/>
          <w:szCs w:val="24"/>
        </w:rPr>
      </w:pPr>
      <w:proofErr w:type="gramStart"/>
      <w:r w:rsidRPr="000B4894">
        <w:rPr>
          <w:rFonts w:ascii="Times New Roman" w:hAnsi="Times New Roman"/>
          <w:i/>
          <w:szCs w:val="24"/>
        </w:rPr>
        <w:t>Prepared in accordance with Part 3 of the Human Rights (Parliamentary Scrutiny) Act 2011</w:t>
      </w:r>
      <w:r w:rsidR="004864D2">
        <w:rPr>
          <w:rFonts w:ascii="Times New Roman" w:hAnsi="Times New Roman"/>
          <w:i/>
          <w:szCs w:val="24"/>
        </w:rPr>
        <w:t>.</w:t>
      </w:r>
      <w:proofErr w:type="gramEnd"/>
    </w:p>
    <w:p w:rsidR="00454659" w:rsidRDefault="00454659" w:rsidP="000B4894">
      <w:pPr>
        <w:ind w:right="-568"/>
        <w:jc w:val="center"/>
        <w:rPr>
          <w:rFonts w:ascii="Times New Roman" w:hAnsi="Times New Roman"/>
          <w:bCs/>
          <w:szCs w:val="24"/>
        </w:rPr>
      </w:pPr>
    </w:p>
    <w:p w:rsidR="00454659" w:rsidRDefault="0060165C" w:rsidP="000B4894">
      <w:pPr>
        <w:ind w:right="-568"/>
        <w:jc w:val="center"/>
        <w:rPr>
          <w:rFonts w:ascii="Times New Roman" w:hAnsi="Times New Roman"/>
          <w:bCs/>
          <w:szCs w:val="24"/>
        </w:rPr>
      </w:pPr>
      <w:r w:rsidRPr="005327F5">
        <w:rPr>
          <w:rFonts w:ascii="Times New Roman" w:hAnsi="Times New Roman"/>
          <w:b/>
          <w:i/>
          <w:szCs w:val="24"/>
        </w:rPr>
        <w:t xml:space="preserve">Therapeutic Goods </w:t>
      </w:r>
      <w:r w:rsidR="00797824">
        <w:rPr>
          <w:rFonts w:ascii="Times New Roman" w:hAnsi="Times New Roman"/>
          <w:b/>
          <w:i/>
          <w:szCs w:val="24"/>
        </w:rPr>
        <w:t xml:space="preserve">Amendment </w:t>
      </w:r>
      <w:r w:rsidRPr="005327F5">
        <w:rPr>
          <w:rFonts w:ascii="Times New Roman" w:hAnsi="Times New Roman"/>
          <w:b/>
          <w:i/>
          <w:szCs w:val="24"/>
        </w:rPr>
        <w:t>(</w:t>
      </w:r>
      <w:r w:rsidR="006D1F21" w:rsidRPr="000B4894">
        <w:rPr>
          <w:rFonts w:ascii="Times New Roman" w:hAnsi="Times New Roman"/>
          <w:b/>
          <w:i/>
          <w:szCs w:val="24"/>
        </w:rPr>
        <w:t>Medical Devices—Information that Must Accompany Application for Inclusion</w:t>
      </w:r>
      <w:r w:rsidRPr="005327F5">
        <w:rPr>
          <w:rFonts w:ascii="Times New Roman" w:hAnsi="Times New Roman"/>
          <w:b/>
          <w:i/>
          <w:szCs w:val="24"/>
        </w:rPr>
        <w:t>) Determination 201</w:t>
      </w:r>
      <w:r w:rsidR="00DB2A95">
        <w:rPr>
          <w:rFonts w:ascii="Times New Roman" w:hAnsi="Times New Roman"/>
          <w:b/>
          <w:i/>
          <w:szCs w:val="24"/>
        </w:rPr>
        <w:t>9</w:t>
      </w:r>
    </w:p>
    <w:p w:rsidR="00454659" w:rsidRDefault="00454659" w:rsidP="000B4894">
      <w:pPr>
        <w:ind w:right="-568"/>
        <w:jc w:val="center"/>
        <w:rPr>
          <w:rFonts w:ascii="Times New Roman" w:hAnsi="Times New Roman"/>
          <w:bCs/>
          <w:szCs w:val="24"/>
        </w:rPr>
      </w:pPr>
    </w:p>
    <w:p w:rsidR="00454659" w:rsidRDefault="00E96E22" w:rsidP="00454659">
      <w:pPr>
        <w:ind w:right="-568"/>
        <w:rPr>
          <w:rFonts w:ascii="Times New Roman" w:hAnsi="Times New Roman"/>
          <w:bCs/>
          <w:szCs w:val="24"/>
        </w:rPr>
      </w:pPr>
      <w:r>
        <w:rPr>
          <w:rFonts w:ascii="Times New Roman" w:hAnsi="Times New Roman"/>
          <w:szCs w:val="24"/>
        </w:rPr>
        <w:t xml:space="preserve">This </w:t>
      </w:r>
      <w:r w:rsidR="004864D2">
        <w:rPr>
          <w:rFonts w:ascii="Times New Roman" w:hAnsi="Times New Roman"/>
          <w:szCs w:val="24"/>
        </w:rPr>
        <w:t xml:space="preserve">disallowable </w:t>
      </w:r>
      <w:r>
        <w:rPr>
          <w:rFonts w:ascii="Times New Roman" w:hAnsi="Times New Roman"/>
          <w:szCs w:val="24"/>
        </w:rPr>
        <w:t>legislative instrument</w:t>
      </w:r>
      <w:r w:rsidR="00820BA2" w:rsidRPr="002B6B77">
        <w:rPr>
          <w:rFonts w:ascii="Times New Roman" w:hAnsi="Times New Roman"/>
          <w:szCs w:val="24"/>
        </w:rPr>
        <w:t xml:space="preserve"> </w:t>
      </w:r>
      <w:r w:rsidR="00462DFB" w:rsidRPr="005327F5">
        <w:rPr>
          <w:rFonts w:ascii="Times New Roman" w:hAnsi="Times New Roman"/>
          <w:szCs w:val="24"/>
        </w:rPr>
        <w:t xml:space="preserve">is </w:t>
      </w:r>
      <w:r w:rsidR="007231B2" w:rsidRPr="005327F5">
        <w:rPr>
          <w:rFonts w:ascii="Times New Roman" w:hAnsi="Times New Roman"/>
          <w:szCs w:val="24"/>
        </w:rPr>
        <w:t xml:space="preserve">compatible with the human rights and freedoms recognised or declared in the international instruments listed in section 3 of the </w:t>
      </w:r>
      <w:r w:rsidR="007231B2" w:rsidRPr="009A4CD8">
        <w:rPr>
          <w:rFonts w:ascii="Times New Roman" w:hAnsi="Times New Roman"/>
          <w:i/>
          <w:szCs w:val="24"/>
        </w:rPr>
        <w:t>Human Rights (Parliamentary Scrutiny) Act 2011</w:t>
      </w:r>
      <w:r w:rsidR="007231B2" w:rsidRPr="005327F5">
        <w:rPr>
          <w:rFonts w:ascii="Times New Roman" w:hAnsi="Times New Roman"/>
          <w:szCs w:val="24"/>
        </w:rPr>
        <w:t>.</w:t>
      </w:r>
      <w:r w:rsidR="00670972" w:rsidRPr="00670972">
        <w:rPr>
          <w:rFonts w:ascii="Times New Roman" w:hAnsi="Times New Roman"/>
          <w:bCs/>
          <w:szCs w:val="24"/>
        </w:rPr>
        <w:t xml:space="preserve"> </w:t>
      </w:r>
    </w:p>
    <w:p w:rsidR="00454659" w:rsidRDefault="00454659" w:rsidP="00454659">
      <w:pPr>
        <w:ind w:right="-568"/>
        <w:rPr>
          <w:rFonts w:ascii="Times New Roman" w:hAnsi="Times New Roman"/>
          <w:bCs/>
          <w:szCs w:val="24"/>
        </w:rPr>
      </w:pPr>
    </w:p>
    <w:p w:rsidR="00454659" w:rsidRDefault="00862B50" w:rsidP="00454659">
      <w:pPr>
        <w:ind w:right="-568"/>
        <w:rPr>
          <w:rFonts w:ascii="Times New Roman" w:hAnsi="Times New Roman"/>
          <w:b/>
          <w:bCs/>
          <w:szCs w:val="24"/>
        </w:rPr>
      </w:pPr>
      <w:r w:rsidRPr="009A4CD8">
        <w:rPr>
          <w:rFonts w:ascii="Times New Roman" w:hAnsi="Times New Roman"/>
          <w:b/>
          <w:bCs/>
          <w:szCs w:val="24"/>
        </w:rPr>
        <w:t>Overview of legislative instrument</w:t>
      </w:r>
    </w:p>
    <w:p w:rsidR="00454659" w:rsidRDefault="00454659" w:rsidP="00454659">
      <w:pPr>
        <w:ind w:right="-568"/>
        <w:rPr>
          <w:rFonts w:ascii="Times New Roman" w:hAnsi="Times New Roman"/>
          <w:bCs/>
          <w:szCs w:val="24"/>
        </w:rPr>
      </w:pPr>
    </w:p>
    <w:p w:rsidR="00670972" w:rsidRDefault="00F7190F" w:rsidP="00454659">
      <w:pPr>
        <w:ind w:right="-568"/>
        <w:rPr>
          <w:rFonts w:ascii="Times New Roman" w:hAnsi="Times New Roman"/>
          <w:bCs/>
          <w:szCs w:val="24"/>
        </w:rPr>
      </w:pPr>
      <w:r>
        <w:rPr>
          <w:rFonts w:ascii="Times New Roman" w:hAnsi="Times New Roman"/>
          <w:szCs w:val="24"/>
        </w:rPr>
        <w:t xml:space="preserve">The </w:t>
      </w:r>
      <w:r w:rsidRPr="009838D9">
        <w:rPr>
          <w:rFonts w:ascii="Times New Roman" w:hAnsi="Times New Roman"/>
          <w:i/>
          <w:szCs w:val="24"/>
        </w:rPr>
        <w:t xml:space="preserve">Therapeutic Goods </w:t>
      </w:r>
      <w:r w:rsidR="00BD7F06">
        <w:rPr>
          <w:rFonts w:ascii="Times New Roman" w:hAnsi="Times New Roman"/>
          <w:i/>
          <w:szCs w:val="24"/>
        </w:rPr>
        <w:t xml:space="preserve">Amendment </w:t>
      </w:r>
      <w:r w:rsidRPr="009838D9">
        <w:rPr>
          <w:rFonts w:ascii="Times New Roman" w:hAnsi="Times New Roman"/>
          <w:i/>
          <w:szCs w:val="24"/>
        </w:rPr>
        <w:t>(Medical Devices—Information that Must Accompany Application for Inclusion) Determination 201</w:t>
      </w:r>
      <w:r w:rsidR="005015B4">
        <w:rPr>
          <w:rFonts w:ascii="Times New Roman" w:hAnsi="Times New Roman"/>
          <w:i/>
          <w:szCs w:val="24"/>
        </w:rPr>
        <w:t>9</w:t>
      </w:r>
      <w:r>
        <w:rPr>
          <w:rFonts w:ascii="Times New Roman" w:hAnsi="Times New Roman"/>
          <w:szCs w:val="24"/>
        </w:rPr>
        <w:t xml:space="preserve"> </w:t>
      </w:r>
      <w:r w:rsidR="007231B2" w:rsidRPr="005327F5">
        <w:rPr>
          <w:rFonts w:ascii="Times New Roman" w:hAnsi="Times New Roman"/>
          <w:szCs w:val="24"/>
        </w:rPr>
        <w:t xml:space="preserve">is made under subsection </w:t>
      </w:r>
      <w:proofErr w:type="gramStart"/>
      <w:r w:rsidR="00F41D1A" w:rsidRPr="00E44F50">
        <w:rPr>
          <w:rFonts w:ascii="Times New Roman" w:hAnsi="Times New Roman"/>
          <w:szCs w:val="24"/>
        </w:rPr>
        <w:t>41FDB(</w:t>
      </w:r>
      <w:proofErr w:type="gramEnd"/>
      <w:r w:rsidR="00F41D1A" w:rsidRPr="00E44F50">
        <w:rPr>
          <w:rFonts w:ascii="Times New Roman" w:hAnsi="Times New Roman"/>
          <w:szCs w:val="24"/>
        </w:rPr>
        <w:t>7)</w:t>
      </w:r>
      <w:r w:rsidR="0060165C" w:rsidRPr="005327F5">
        <w:rPr>
          <w:rFonts w:ascii="Times New Roman" w:hAnsi="Times New Roman"/>
          <w:szCs w:val="24"/>
        </w:rPr>
        <w:t xml:space="preserve"> </w:t>
      </w:r>
      <w:r w:rsidR="007231B2" w:rsidRPr="005327F5">
        <w:rPr>
          <w:rFonts w:ascii="Times New Roman" w:hAnsi="Times New Roman"/>
          <w:szCs w:val="24"/>
        </w:rPr>
        <w:t xml:space="preserve">of the </w:t>
      </w:r>
      <w:r w:rsidR="007231B2" w:rsidRPr="005327F5">
        <w:rPr>
          <w:rFonts w:ascii="Times New Roman" w:hAnsi="Times New Roman"/>
          <w:i/>
          <w:szCs w:val="24"/>
        </w:rPr>
        <w:t xml:space="preserve">Therapeutic Goods Act 1989 </w:t>
      </w:r>
      <w:r w:rsidR="000A5AE3" w:rsidRPr="005327F5">
        <w:rPr>
          <w:rFonts w:ascii="Times New Roman" w:hAnsi="Times New Roman"/>
          <w:szCs w:val="24"/>
        </w:rPr>
        <w:t>(</w:t>
      </w:r>
      <w:r w:rsidR="008A154E">
        <w:rPr>
          <w:rFonts w:ascii="Times New Roman" w:hAnsi="Times New Roman"/>
          <w:szCs w:val="24"/>
        </w:rPr>
        <w:t>“</w:t>
      </w:r>
      <w:r w:rsidR="005015B4">
        <w:rPr>
          <w:rFonts w:ascii="Times New Roman" w:hAnsi="Times New Roman"/>
          <w:szCs w:val="24"/>
        </w:rPr>
        <w:t xml:space="preserve">the </w:t>
      </w:r>
      <w:r w:rsidR="007231B2" w:rsidRPr="005327F5">
        <w:rPr>
          <w:rFonts w:ascii="Times New Roman" w:hAnsi="Times New Roman"/>
          <w:szCs w:val="24"/>
        </w:rPr>
        <w:t>Act</w:t>
      </w:r>
      <w:r w:rsidR="008A154E">
        <w:rPr>
          <w:rFonts w:ascii="Times New Roman" w:hAnsi="Times New Roman"/>
          <w:szCs w:val="24"/>
        </w:rPr>
        <w:t>”</w:t>
      </w:r>
      <w:r w:rsidR="007231B2" w:rsidRPr="005327F5">
        <w:rPr>
          <w:rFonts w:ascii="Times New Roman" w:hAnsi="Times New Roman"/>
          <w:szCs w:val="24"/>
        </w:rPr>
        <w:t xml:space="preserve">) </w:t>
      </w:r>
      <w:r w:rsidR="00DA231C" w:rsidRPr="005327F5">
        <w:rPr>
          <w:rFonts w:ascii="Times New Roman" w:hAnsi="Times New Roman"/>
          <w:szCs w:val="24"/>
        </w:rPr>
        <w:t>by </w:t>
      </w:r>
      <w:r w:rsidR="007231B2" w:rsidRPr="005327F5">
        <w:rPr>
          <w:rFonts w:ascii="Times New Roman" w:hAnsi="Times New Roman"/>
          <w:szCs w:val="24"/>
        </w:rPr>
        <w:t>a</w:t>
      </w:r>
      <w:r w:rsidR="008A154E">
        <w:rPr>
          <w:rFonts w:ascii="Times New Roman" w:hAnsi="Times New Roman"/>
          <w:szCs w:val="24"/>
        </w:rPr>
        <w:t> </w:t>
      </w:r>
      <w:r w:rsidR="007231B2" w:rsidRPr="005327F5">
        <w:rPr>
          <w:rFonts w:ascii="Times New Roman" w:hAnsi="Times New Roman"/>
          <w:szCs w:val="24"/>
        </w:rPr>
        <w:t xml:space="preserve">delegate of the </w:t>
      </w:r>
      <w:r w:rsidR="00B13D82">
        <w:rPr>
          <w:rFonts w:ascii="Times New Roman" w:hAnsi="Times New Roman"/>
          <w:szCs w:val="24"/>
        </w:rPr>
        <w:t>Secretary</w:t>
      </w:r>
      <w:r w:rsidR="00B13D82" w:rsidRPr="005327F5">
        <w:rPr>
          <w:rFonts w:ascii="Times New Roman" w:hAnsi="Times New Roman"/>
          <w:szCs w:val="24"/>
        </w:rPr>
        <w:t xml:space="preserve"> </w:t>
      </w:r>
      <w:r w:rsidR="00B13D82">
        <w:rPr>
          <w:rFonts w:ascii="Times New Roman" w:hAnsi="Times New Roman"/>
          <w:szCs w:val="24"/>
        </w:rPr>
        <w:t>of the Department of</w:t>
      </w:r>
      <w:r w:rsidR="00B13D82" w:rsidRPr="005327F5">
        <w:rPr>
          <w:rFonts w:ascii="Times New Roman" w:hAnsi="Times New Roman"/>
          <w:szCs w:val="24"/>
        </w:rPr>
        <w:t xml:space="preserve"> </w:t>
      </w:r>
      <w:r w:rsidR="007231B2" w:rsidRPr="005327F5">
        <w:rPr>
          <w:rFonts w:ascii="Times New Roman" w:hAnsi="Times New Roman"/>
          <w:szCs w:val="24"/>
        </w:rPr>
        <w:t>Health</w:t>
      </w:r>
      <w:r w:rsidR="00462DFB" w:rsidRPr="005327F5">
        <w:rPr>
          <w:rFonts w:ascii="Times New Roman" w:hAnsi="Times New Roman"/>
          <w:szCs w:val="24"/>
        </w:rPr>
        <w:t>.</w:t>
      </w:r>
      <w:r w:rsidR="00EF1A58" w:rsidRPr="005327F5">
        <w:rPr>
          <w:rFonts w:ascii="Times New Roman" w:hAnsi="Times New Roman"/>
          <w:szCs w:val="24"/>
        </w:rPr>
        <w:t xml:space="preserve"> The </w:t>
      </w:r>
      <w:r w:rsidR="001A2243">
        <w:rPr>
          <w:rFonts w:ascii="Times New Roman" w:hAnsi="Times New Roman"/>
          <w:szCs w:val="24"/>
        </w:rPr>
        <w:t xml:space="preserve">primary </w:t>
      </w:r>
      <w:r w:rsidR="00EF1A58" w:rsidRPr="005327F5">
        <w:rPr>
          <w:rFonts w:ascii="Times New Roman" w:hAnsi="Times New Roman"/>
          <w:szCs w:val="24"/>
        </w:rPr>
        <w:t xml:space="preserve">purpose of the </w:t>
      </w:r>
      <w:r w:rsidR="008A154E">
        <w:rPr>
          <w:rFonts w:ascii="Times New Roman" w:hAnsi="Times New Roman"/>
          <w:szCs w:val="24"/>
        </w:rPr>
        <w:t xml:space="preserve">instrument </w:t>
      </w:r>
      <w:r w:rsidR="00EF1A58" w:rsidRPr="005327F5">
        <w:rPr>
          <w:rFonts w:ascii="Times New Roman" w:hAnsi="Times New Roman"/>
          <w:szCs w:val="24"/>
        </w:rPr>
        <w:t xml:space="preserve">is to </w:t>
      </w:r>
      <w:r w:rsidR="00BD7F06">
        <w:rPr>
          <w:rFonts w:ascii="Times New Roman" w:hAnsi="Times New Roman"/>
          <w:szCs w:val="24"/>
        </w:rPr>
        <w:t xml:space="preserve">amend the </w:t>
      </w:r>
      <w:r w:rsidR="00BD7F06" w:rsidRPr="009838D9">
        <w:rPr>
          <w:rFonts w:ascii="Times New Roman" w:hAnsi="Times New Roman"/>
          <w:i/>
          <w:szCs w:val="24"/>
        </w:rPr>
        <w:t>Therapeutic Goods (Medical Devices—Information that Must Accompany Application for Inclusion) Determination 2018</w:t>
      </w:r>
      <w:r w:rsidR="00D833FE">
        <w:rPr>
          <w:rFonts w:ascii="Times New Roman" w:hAnsi="Times New Roman"/>
          <w:i/>
          <w:szCs w:val="24"/>
        </w:rPr>
        <w:t xml:space="preserve"> </w:t>
      </w:r>
      <w:r w:rsidR="00D833FE">
        <w:rPr>
          <w:rFonts w:ascii="Times New Roman" w:hAnsi="Times New Roman"/>
          <w:szCs w:val="24"/>
        </w:rPr>
        <w:t>(“</w:t>
      </w:r>
      <w:r w:rsidR="009A4CD8">
        <w:rPr>
          <w:rFonts w:ascii="Times New Roman" w:hAnsi="Times New Roman"/>
          <w:szCs w:val="24"/>
        </w:rPr>
        <w:t>the p</w:t>
      </w:r>
      <w:r w:rsidR="00D833FE">
        <w:rPr>
          <w:rFonts w:ascii="Times New Roman" w:hAnsi="Times New Roman"/>
          <w:szCs w:val="24"/>
        </w:rPr>
        <w:t xml:space="preserve">rincipal </w:t>
      </w:r>
      <w:r w:rsidR="009A4CD8">
        <w:rPr>
          <w:rFonts w:ascii="Times New Roman" w:hAnsi="Times New Roman"/>
          <w:szCs w:val="24"/>
        </w:rPr>
        <w:t>instrument</w:t>
      </w:r>
      <w:r w:rsidR="00D833FE">
        <w:rPr>
          <w:rFonts w:ascii="Times New Roman" w:hAnsi="Times New Roman"/>
          <w:szCs w:val="24"/>
        </w:rPr>
        <w:t>”)</w:t>
      </w:r>
      <w:r w:rsidR="00BD7F06">
        <w:rPr>
          <w:rFonts w:ascii="Times New Roman" w:hAnsi="Times New Roman"/>
          <w:szCs w:val="24"/>
        </w:rPr>
        <w:t xml:space="preserve"> to </w:t>
      </w:r>
      <w:r w:rsidR="008A154E">
        <w:rPr>
          <w:rFonts w:ascii="Times New Roman" w:hAnsi="Times New Roman"/>
          <w:szCs w:val="24"/>
        </w:rPr>
        <w:t xml:space="preserve">specify </w:t>
      </w:r>
      <w:r w:rsidR="00BD7F06">
        <w:rPr>
          <w:rFonts w:ascii="Times New Roman" w:hAnsi="Times New Roman"/>
          <w:szCs w:val="24"/>
        </w:rPr>
        <w:t xml:space="preserve">an additional </w:t>
      </w:r>
      <w:r w:rsidR="00E0552A" w:rsidRPr="005327F5">
        <w:rPr>
          <w:rFonts w:ascii="Times New Roman" w:hAnsi="Times New Roman"/>
          <w:szCs w:val="24"/>
        </w:rPr>
        <w:t xml:space="preserve">kind of information that </w:t>
      </w:r>
      <w:r w:rsidR="00BD7F06">
        <w:rPr>
          <w:rFonts w:ascii="Times New Roman" w:hAnsi="Times New Roman"/>
          <w:szCs w:val="24"/>
        </w:rPr>
        <w:t>may</w:t>
      </w:r>
      <w:r w:rsidR="00E0552A" w:rsidRPr="005327F5">
        <w:rPr>
          <w:rFonts w:ascii="Times New Roman" w:hAnsi="Times New Roman"/>
          <w:szCs w:val="24"/>
        </w:rPr>
        <w:t xml:space="preserve"> accompany an application for the </w:t>
      </w:r>
      <w:r w:rsidR="00767590">
        <w:rPr>
          <w:rFonts w:ascii="Times New Roman" w:hAnsi="Times New Roman"/>
          <w:szCs w:val="24"/>
        </w:rPr>
        <w:t>inclusion of</w:t>
      </w:r>
      <w:r w:rsidR="00D52CB8">
        <w:rPr>
          <w:rFonts w:ascii="Times New Roman" w:hAnsi="Times New Roman"/>
          <w:szCs w:val="24"/>
        </w:rPr>
        <w:t> </w:t>
      </w:r>
      <w:r w:rsidR="00767590">
        <w:rPr>
          <w:rFonts w:ascii="Times New Roman" w:hAnsi="Times New Roman"/>
          <w:szCs w:val="24"/>
        </w:rPr>
        <w:t xml:space="preserve">a </w:t>
      </w:r>
      <w:r w:rsidR="00D833FE">
        <w:rPr>
          <w:rFonts w:ascii="Times New Roman" w:hAnsi="Times New Roman"/>
          <w:szCs w:val="24"/>
        </w:rPr>
        <w:t>C</w:t>
      </w:r>
      <w:r w:rsidR="00BD7F06">
        <w:rPr>
          <w:rFonts w:ascii="Times New Roman" w:hAnsi="Times New Roman"/>
          <w:szCs w:val="24"/>
        </w:rPr>
        <w:t xml:space="preserve">lass 2 or </w:t>
      </w:r>
      <w:r w:rsidR="00D833FE">
        <w:rPr>
          <w:rFonts w:ascii="Times New Roman" w:hAnsi="Times New Roman"/>
          <w:szCs w:val="24"/>
        </w:rPr>
        <w:t>C</w:t>
      </w:r>
      <w:r w:rsidR="00BD7F06">
        <w:rPr>
          <w:rFonts w:ascii="Times New Roman" w:hAnsi="Times New Roman"/>
          <w:szCs w:val="24"/>
        </w:rPr>
        <w:t xml:space="preserve">lass 3 IVD </w:t>
      </w:r>
      <w:r w:rsidR="00F41D1A">
        <w:rPr>
          <w:rFonts w:ascii="Times New Roman" w:hAnsi="Times New Roman"/>
          <w:szCs w:val="24"/>
        </w:rPr>
        <w:t>medical device</w:t>
      </w:r>
      <w:r w:rsidR="00767590">
        <w:rPr>
          <w:rFonts w:ascii="Times New Roman" w:hAnsi="Times New Roman"/>
          <w:szCs w:val="24"/>
        </w:rPr>
        <w:t xml:space="preserve"> in the </w:t>
      </w:r>
      <w:r w:rsidR="00D22658">
        <w:rPr>
          <w:rFonts w:ascii="Times New Roman" w:hAnsi="Times New Roman"/>
          <w:szCs w:val="24"/>
        </w:rPr>
        <w:t>Australian Register of</w:t>
      </w:r>
      <w:r w:rsidR="008A154E">
        <w:rPr>
          <w:rFonts w:ascii="Times New Roman" w:hAnsi="Times New Roman"/>
          <w:szCs w:val="24"/>
        </w:rPr>
        <w:t> </w:t>
      </w:r>
      <w:r w:rsidR="00D22658">
        <w:rPr>
          <w:rFonts w:ascii="Times New Roman" w:hAnsi="Times New Roman"/>
          <w:szCs w:val="24"/>
        </w:rPr>
        <w:t>Therapeutic Goods (</w:t>
      </w:r>
      <w:r w:rsidR="00800182">
        <w:rPr>
          <w:rFonts w:ascii="Times New Roman" w:hAnsi="Times New Roman"/>
          <w:szCs w:val="24"/>
        </w:rPr>
        <w:t>“</w:t>
      </w:r>
      <w:r w:rsidR="001A2243">
        <w:rPr>
          <w:rFonts w:ascii="Times New Roman" w:hAnsi="Times New Roman"/>
          <w:szCs w:val="24"/>
        </w:rPr>
        <w:t xml:space="preserve">the </w:t>
      </w:r>
      <w:r w:rsidR="00767590">
        <w:rPr>
          <w:rFonts w:ascii="Times New Roman" w:hAnsi="Times New Roman"/>
          <w:szCs w:val="24"/>
        </w:rPr>
        <w:t>Register</w:t>
      </w:r>
      <w:r w:rsidR="00800182">
        <w:rPr>
          <w:rFonts w:ascii="Times New Roman" w:hAnsi="Times New Roman"/>
          <w:szCs w:val="24"/>
        </w:rPr>
        <w:t>”</w:t>
      </w:r>
      <w:r w:rsidR="00D22658">
        <w:rPr>
          <w:rFonts w:ascii="Times New Roman" w:hAnsi="Times New Roman"/>
          <w:szCs w:val="24"/>
        </w:rPr>
        <w:t>)</w:t>
      </w:r>
      <w:r w:rsidR="00AF6EC7">
        <w:rPr>
          <w:rFonts w:ascii="Times New Roman" w:hAnsi="Times New Roman"/>
          <w:szCs w:val="24"/>
        </w:rPr>
        <w:t>.</w:t>
      </w:r>
    </w:p>
    <w:p w:rsidR="009E50E5" w:rsidRDefault="009E50E5" w:rsidP="00454659">
      <w:pPr>
        <w:ind w:right="-568"/>
        <w:rPr>
          <w:rFonts w:ascii="Times New Roman" w:hAnsi="Times New Roman"/>
          <w:szCs w:val="24"/>
        </w:rPr>
      </w:pPr>
    </w:p>
    <w:p w:rsidR="00670972" w:rsidRDefault="00D833FE" w:rsidP="00454659">
      <w:pPr>
        <w:ind w:right="-568"/>
        <w:rPr>
          <w:rFonts w:ascii="Times New Roman" w:hAnsi="Times New Roman"/>
          <w:bCs/>
          <w:szCs w:val="24"/>
        </w:rPr>
      </w:pPr>
      <w:r>
        <w:rPr>
          <w:rFonts w:ascii="Times New Roman" w:hAnsi="Times New Roman"/>
          <w:szCs w:val="24"/>
        </w:rPr>
        <w:t>The</w:t>
      </w:r>
      <w:r w:rsidR="00BD7F06">
        <w:rPr>
          <w:rFonts w:ascii="Times New Roman" w:hAnsi="Times New Roman"/>
          <w:szCs w:val="24"/>
        </w:rPr>
        <w:t xml:space="preserve"> additional </w:t>
      </w:r>
      <w:r>
        <w:rPr>
          <w:rFonts w:ascii="Times New Roman" w:hAnsi="Times New Roman"/>
          <w:szCs w:val="24"/>
        </w:rPr>
        <w:t xml:space="preserve">kind of </w:t>
      </w:r>
      <w:r w:rsidR="00BD7F06">
        <w:rPr>
          <w:rFonts w:ascii="Times New Roman" w:hAnsi="Times New Roman"/>
          <w:szCs w:val="24"/>
        </w:rPr>
        <w:t>information</w:t>
      </w:r>
      <w:r>
        <w:rPr>
          <w:rFonts w:ascii="Times New Roman" w:hAnsi="Times New Roman"/>
          <w:szCs w:val="24"/>
        </w:rPr>
        <w:t xml:space="preserve"> determined </w:t>
      </w:r>
      <w:r w:rsidR="00DA3D87">
        <w:rPr>
          <w:rFonts w:ascii="Times New Roman" w:hAnsi="Times New Roman"/>
          <w:szCs w:val="24"/>
        </w:rPr>
        <w:t xml:space="preserve">in this instrument </w:t>
      </w:r>
      <w:r w:rsidR="00BD7F06">
        <w:rPr>
          <w:rFonts w:ascii="Times New Roman" w:hAnsi="Times New Roman"/>
          <w:szCs w:val="24"/>
        </w:rPr>
        <w:t xml:space="preserve">is </w:t>
      </w:r>
      <w:r w:rsidR="00BD7F06">
        <w:rPr>
          <w:rFonts w:ascii="Times New Roman" w:hAnsi="Times New Roman"/>
          <w:bCs/>
          <w:szCs w:val="24"/>
        </w:rPr>
        <w:t xml:space="preserve">a document certifying compliance with </w:t>
      </w:r>
      <w:r w:rsidRPr="0014529C">
        <w:rPr>
          <w:rFonts w:ascii="Times New Roman" w:hAnsi="Times New Roman"/>
          <w:bCs/>
          <w:szCs w:val="24"/>
        </w:rPr>
        <w:t xml:space="preserve">International Standard </w:t>
      </w:r>
      <w:r w:rsidR="00AF6EC7">
        <w:rPr>
          <w:rFonts w:ascii="Times New Roman" w:hAnsi="Times New Roman"/>
          <w:bCs/>
          <w:szCs w:val="24"/>
        </w:rPr>
        <w:t xml:space="preserve">ISO </w:t>
      </w:r>
      <w:r w:rsidRPr="0014529C">
        <w:rPr>
          <w:rFonts w:ascii="Times New Roman" w:hAnsi="Times New Roman"/>
          <w:bCs/>
          <w:szCs w:val="24"/>
        </w:rPr>
        <w:t xml:space="preserve">13485:2016 </w:t>
      </w:r>
      <w:r w:rsidRPr="0014529C">
        <w:rPr>
          <w:rFonts w:ascii="Times New Roman" w:hAnsi="Times New Roman"/>
          <w:bCs/>
          <w:i/>
          <w:szCs w:val="24"/>
        </w:rPr>
        <w:t>Medical devices</w:t>
      </w:r>
      <w:r w:rsidRPr="0014529C">
        <w:rPr>
          <w:rFonts w:ascii="Times New Roman" w:hAnsi="Times New Roman"/>
          <w:bCs/>
          <w:i/>
          <w:szCs w:val="24"/>
        </w:rPr>
        <w:sym w:font="Symbol" w:char="F0BE"/>
      </w:r>
      <w:r w:rsidRPr="0014529C">
        <w:rPr>
          <w:rFonts w:ascii="Times New Roman" w:hAnsi="Times New Roman"/>
          <w:bCs/>
          <w:i/>
          <w:szCs w:val="24"/>
        </w:rPr>
        <w:t>Quality management systems</w:t>
      </w:r>
      <w:r w:rsidRPr="0014529C">
        <w:rPr>
          <w:rFonts w:ascii="Times New Roman" w:hAnsi="Times New Roman"/>
          <w:bCs/>
          <w:i/>
          <w:szCs w:val="24"/>
        </w:rPr>
        <w:sym w:font="Symbol" w:char="F0BE"/>
      </w:r>
      <w:r w:rsidRPr="0014529C">
        <w:rPr>
          <w:rFonts w:ascii="Times New Roman" w:hAnsi="Times New Roman"/>
          <w:bCs/>
          <w:i/>
          <w:szCs w:val="24"/>
        </w:rPr>
        <w:t>Requirements for regulatory purposes</w:t>
      </w:r>
      <w:r w:rsidR="00D52CB8">
        <w:rPr>
          <w:rFonts w:ascii="Times New Roman" w:hAnsi="Times New Roman"/>
          <w:bCs/>
          <w:i/>
          <w:szCs w:val="24"/>
        </w:rPr>
        <w:t xml:space="preserve"> </w:t>
      </w:r>
      <w:r w:rsidR="00D52CB8">
        <w:rPr>
          <w:rFonts w:ascii="Times New Roman" w:hAnsi="Times New Roman"/>
          <w:bCs/>
          <w:szCs w:val="24"/>
        </w:rPr>
        <w:t>(“ISO</w:t>
      </w:r>
      <w:r w:rsidR="00CE65F0">
        <w:rPr>
          <w:rFonts w:ascii="Times New Roman" w:hAnsi="Times New Roman"/>
          <w:bCs/>
          <w:szCs w:val="24"/>
        </w:rPr>
        <w:t> </w:t>
      </w:r>
      <w:r w:rsidR="00D52CB8">
        <w:rPr>
          <w:rFonts w:ascii="Times New Roman" w:hAnsi="Times New Roman"/>
          <w:bCs/>
          <w:szCs w:val="24"/>
        </w:rPr>
        <w:t>13485”)</w:t>
      </w:r>
      <w:r w:rsidRPr="0014529C">
        <w:rPr>
          <w:rFonts w:ascii="Times New Roman" w:hAnsi="Times New Roman"/>
          <w:bCs/>
          <w:szCs w:val="24"/>
        </w:rPr>
        <w:t xml:space="preserve">, </w:t>
      </w:r>
      <w:r w:rsidR="00BD7F06">
        <w:rPr>
          <w:rFonts w:ascii="Times New Roman" w:hAnsi="Times New Roman"/>
          <w:bCs/>
          <w:szCs w:val="24"/>
        </w:rPr>
        <w:t>issued by a</w:t>
      </w:r>
      <w:r w:rsidR="001A2243">
        <w:rPr>
          <w:rFonts w:ascii="Times New Roman" w:hAnsi="Times New Roman"/>
          <w:bCs/>
          <w:szCs w:val="24"/>
        </w:rPr>
        <w:t xml:space="preserve">n </w:t>
      </w:r>
      <w:r w:rsidR="001A2243" w:rsidRPr="00DF0291">
        <w:t>IAF accredited conformity assessment body</w:t>
      </w:r>
      <w:r>
        <w:rPr>
          <w:rFonts w:ascii="Times New Roman" w:hAnsi="Times New Roman"/>
          <w:bCs/>
          <w:szCs w:val="24"/>
        </w:rPr>
        <w:t xml:space="preserve">. </w:t>
      </w:r>
      <w:r w:rsidR="00F241AB">
        <w:rPr>
          <w:rFonts w:ascii="Times New Roman" w:hAnsi="Times New Roman"/>
          <w:szCs w:val="24"/>
        </w:rPr>
        <w:t xml:space="preserve">ISO 13485 </w:t>
      </w:r>
      <w:r w:rsidR="00D47897">
        <w:rPr>
          <w:rFonts w:ascii="Times New Roman" w:hAnsi="Times New Roman"/>
          <w:szCs w:val="24"/>
        </w:rPr>
        <w:t>demonstrate</w:t>
      </w:r>
      <w:r>
        <w:rPr>
          <w:rFonts w:ascii="Times New Roman" w:hAnsi="Times New Roman"/>
          <w:szCs w:val="24"/>
        </w:rPr>
        <w:t>s</w:t>
      </w:r>
      <w:r w:rsidR="00D47897">
        <w:rPr>
          <w:rFonts w:ascii="Times New Roman" w:hAnsi="Times New Roman"/>
          <w:szCs w:val="24"/>
        </w:rPr>
        <w:t xml:space="preserve"> </w:t>
      </w:r>
      <w:r w:rsidR="00AF6EC7">
        <w:rPr>
          <w:rFonts w:ascii="Times New Roman" w:hAnsi="Times New Roman"/>
          <w:szCs w:val="24"/>
        </w:rPr>
        <w:t xml:space="preserve">that </w:t>
      </w:r>
      <w:r w:rsidR="00D47897">
        <w:rPr>
          <w:rFonts w:ascii="Times New Roman" w:hAnsi="Times New Roman"/>
          <w:szCs w:val="24"/>
        </w:rPr>
        <w:t xml:space="preserve">appropriate conformity assessment procedures have been applied by the manufacturer </w:t>
      </w:r>
      <w:r w:rsidR="008A154E">
        <w:rPr>
          <w:rFonts w:ascii="Times New Roman" w:hAnsi="Times New Roman"/>
          <w:szCs w:val="24"/>
        </w:rPr>
        <w:t>to its quality management system</w:t>
      </w:r>
      <w:r w:rsidR="00D47897">
        <w:rPr>
          <w:rFonts w:ascii="Times New Roman" w:hAnsi="Times New Roman"/>
          <w:szCs w:val="24"/>
        </w:rPr>
        <w:t>.</w:t>
      </w:r>
      <w:r w:rsidR="00F241AB" w:rsidRPr="00F241AB">
        <w:rPr>
          <w:rFonts w:ascii="Times New Roman" w:hAnsi="Times New Roman"/>
          <w:szCs w:val="24"/>
        </w:rPr>
        <w:t xml:space="preserve"> </w:t>
      </w:r>
      <w:r w:rsidR="00F241AB">
        <w:rPr>
          <w:rFonts w:ascii="Times New Roman" w:hAnsi="Times New Roman"/>
          <w:szCs w:val="24"/>
        </w:rPr>
        <w:t xml:space="preserve">The instrument is necessary </w:t>
      </w:r>
      <w:r w:rsidR="00F241AB" w:rsidRPr="005327F5">
        <w:rPr>
          <w:rFonts w:ascii="Times New Roman" w:hAnsi="Times New Roman"/>
          <w:szCs w:val="24"/>
        </w:rPr>
        <w:t xml:space="preserve">to ensure that </w:t>
      </w:r>
      <w:r w:rsidR="00F241AB">
        <w:rPr>
          <w:rFonts w:ascii="Times New Roman" w:hAnsi="Times New Roman"/>
          <w:szCs w:val="24"/>
        </w:rPr>
        <w:t xml:space="preserve">applications for inclusion in the Register of Class 2 and Class 3 IVD medical devices </w:t>
      </w:r>
      <w:r w:rsidR="00745D17">
        <w:rPr>
          <w:rFonts w:ascii="Times New Roman" w:hAnsi="Times New Roman"/>
          <w:szCs w:val="24"/>
        </w:rPr>
        <w:t xml:space="preserve">submitted before 26 May 2022 </w:t>
      </w:r>
      <w:r w:rsidR="00F241AB">
        <w:rPr>
          <w:rFonts w:ascii="Times New Roman" w:hAnsi="Times New Roman"/>
          <w:szCs w:val="24"/>
        </w:rPr>
        <w:t>may be accompanied by this document.</w:t>
      </w:r>
    </w:p>
    <w:p w:rsidR="009E50E5" w:rsidRDefault="009E50E5" w:rsidP="00454659">
      <w:pPr>
        <w:ind w:right="-568"/>
        <w:rPr>
          <w:rFonts w:ascii="Times New Roman" w:hAnsi="Times New Roman"/>
          <w:szCs w:val="24"/>
        </w:rPr>
      </w:pPr>
    </w:p>
    <w:p w:rsidR="00670972" w:rsidRDefault="00AF6EC7" w:rsidP="00454659">
      <w:pPr>
        <w:ind w:right="-568"/>
        <w:rPr>
          <w:rFonts w:ascii="Times New Roman" w:hAnsi="Times New Roman"/>
          <w:bCs/>
          <w:szCs w:val="24"/>
        </w:rPr>
      </w:pPr>
      <w:r>
        <w:rPr>
          <w:rFonts w:ascii="Times New Roman" w:hAnsi="Times New Roman"/>
          <w:szCs w:val="24"/>
        </w:rPr>
        <w:t>Th</w:t>
      </w:r>
      <w:r w:rsidR="00F241AB">
        <w:rPr>
          <w:rFonts w:ascii="Times New Roman" w:hAnsi="Times New Roman"/>
          <w:szCs w:val="24"/>
        </w:rPr>
        <w:t xml:space="preserve">e practical effect is to enable </w:t>
      </w:r>
      <w:r>
        <w:t xml:space="preserve">manufacturers with current ISO 13485 certification from an IAF accredited conformity assessment body sufficient time to obtain certification under </w:t>
      </w:r>
      <w:r w:rsidR="009F4718">
        <w:t xml:space="preserve">the new </w:t>
      </w:r>
      <w:r w:rsidRPr="00A832B6">
        <w:rPr>
          <w:rFonts w:ascii="Times New Roman" w:hAnsi="Times New Roman"/>
          <w:i/>
          <w:szCs w:val="24"/>
        </w:rPr>
        <w:t xml:space="preserve">Regulation (EU) 2017/746 of the European Parliament and of the Council of 5 April 2017 on </w:t>
      </w:r>
      <w:r>
        <w:rPr>
          <w:rFonts w:ascii="Times New Roman" w:hAnsi="Times New Roman"/>
          <w:i/>
          <w:szCs w:val="24"/>
        </w:rPr>
        <w:t xml:space="preserve">in vitro diagnostic medical devices </w:t>
      </w:r>
      <w:r>
        <w:rPr>
          <w:rFonts w:ascii="Times New Roman" w:hAnsi="Times New Roman"/>
          <w:szCs w:val="24"/>
        </w:rPr>
        <w:t>(“EU IVD Regulation”)</w:t>
      </w:r>
      <w:r w:rsidR="009F4718">
        <w:rPr>
          <w:rFonts w:ascii="Times New Roman" w:hAnsi="Times New Roman"/>
          <w:szCs w:val="24"/>
        </w:rPr>
        <w:t xml:space="preserve"> or </w:t>
      </w:r>
      <w:r w:rsidR="009F4718">
        <w:t>a certificate issued by a recognised auditing organisation</w:t>
      </w:r>
      <w:r w:rsidR="009F4718" w:rsidRPr="009F4718">
        <w:rPr>
          <w:rFonts w:ascii="Times New Roman" w:hAnsi="Times New Roman"/>
          <w:szCs w:val="24"/>
        </w:rPr>
        <w:t xml:space="preserve"> </w:t>
      </w:r>
      <w:r w:rsidR="009F4718">
        <w:rPr>
          <w:rFonts w:ascii="Times New Roman" w:hAnsi="Times New Roman"/>
          <w:szCs w:val="24"/>
        </w:rPr>
        <w:t>under the Medical Devices Single Audit Program</w:t>
      </w:r>
      <w:r w:rsidR="00670972">
        <w:rPr>
          <w:rFonts w:ascii="Times New Roman" w:hAnsi="Times New Roman"/>
          <w:szCs w:val="24"/>
        </w:rPr>
        <w:t xml:space="preserve"> (“MDSAP certificat</w:t>
      </w:r>
      <w:r w:rsidR="000B4894">
        <w:rPr>
          <w:rFonts w:ascii="Times New Roman" w:hAnsi="Times New Roman"/>
          <w:szCs w:val="24"/>
        </w:rPr>
        <w:t>ion</w:t>
      </w:r>
      <w:r w:rsidR="00670972">
        <w:rPr>
          <w:rFonts w:ascii="Times New Roman" w:hAnsi="Times New Roman"/>
          <w:szCs w:val="24"/>
        </w:rPr>
        <w:t>”)</w:t>
      </w:r>
      <w:r w:rsidR="009F4718">
        <w:rPr>
          <w:rFonts w:ascii="Times New Roman" w:hAnsi="Times New Roman"/>
          <w:szCs w:val="24"/>
        </w:rPr>
        <w:t>.</w:t>
      </w:r>
    </w:p>
    <w:p w:rsidR="009E50E5" w:rsidRDefault="009E50E5" w:rsidP="00454659">
      <w:pPr>
        <w:ind w:right="-568"/>
        <w:rPr>
          <w:rFonts w:ascii="Times New Roman" w:hAnsi="Times New Roman"/>
          <w:szCs w:val="24"/>
        </w:rPr>
      </w:pPr>
    </w:p>
    <w:p w:rsidR="00670972" w:rsidRDefault="00032F05" w:rsidP="00454659">
      <w:pPr>
        <w:ind w:right="-568"/>
        <w:rPr>
          <w:rFonts w:ascii="Times New Roman" w:hAnsi="Times New Roman"/>
          <w:bCs/>
          <w:szCs w:val="24"/>
        </w:rPr>
      </w:pPr>
      <w:r w:rsidRPr="00032F05">
        <w:rPr>
          <w:rFonts w:ascii="Times New Roman" w:hAnsi="Times New Roman"/>
          <w:szCs w:val="24"/>
        </w:rPr>
        <w:t xml:space="preserve">The instrument also amends the principal instrument to consistently apply this transition period in relation to ISO 13485 certification issued by a notified body within the meaning of </w:t>
      </w:r>
      <w:r w:rsidRPr="00032F05">
        <w:rPr>
          <w:rFonts w:ascii="Times New Roman" w:hAnsi="Times New Roman"/>
          <w:i/>
          <w:szCs w:val="24"/>
        </w:rPr>
        <w:t>Directive 98/79/EC of the European Parliament and of the Council of 27 October 1998 on in vitro diagnostic medical devices</w:t>
      </w:r>
      <w:r w:rsidRPr="00032F05">
        <w:rPr>
          <w:rFonts w:ascii="Times New Roman" w:hAnsi="Times New Roman"/>
          <w:szCs w:val="24"/>
        </w:rPr>
        <w:t>.</w:t>
      </w:r>
    </w:p>
    <w:p w:rsidR="00454659" w:rsidRDefault="00454659" w:rsidP="00454659">
      <w:pPr>
        <w:ind w:right="-568"/>
        <w:rPr>
          <w:rFonts w:ascii="Times New Roman" w:hAnsi="Times New Roman"/>
          <w:bCs/>
          <w:szCs w:val="24"/>
        </w:rPr>
      </w:pPr>
    </w:p>
    <w:p w:rsidR="00670972" w:rsidRDefault="009F4718" w:rsidP="00454659">
      <w:pPr>
        <w:ind w:right="-568"/>
        <w:rPr>
          <w:rFonts w:ascii="Times New Roman" w:hAnsi="Times New Roman"/>
          <w:bCs/>
          <w:szCs w:val="24"/>
        </w:rPr>
      </w:pPr>
      <w:r>
        <w:rPr>
          <w:rFonts w:ascii="Times New Roman" w:hAnsi="Times New Roman"/>
          <w:szCs w:val="24"/>
        </w:rPr>
        <w:t>In addition, t</w:t>
      </w:r>
      <w:r w:rsidR="001A2243">
        <w:rPr>
          <w:rFonts w:ascii="Times New Roman" w:hAnsi="Times New Roman"/>
          <w:szCs w:val="24"/>
        </w:rPr>
        <w:t xml:space="preserve">he </w:t>
      </w:r>
      <w:r w:rsidR="00670972">
        <w:rPr>
          <w:rFonts w:ascii="Times New Roman" w:hAnsi="Times New Roman"/>
          <w:szCs w:val="24"/>
        </w:rPr>
        <w:t>instrument</w:t>
      </w:r>
      <w:r w:rsidR="001A2243">
        <w:rPr>
          <w:rFonts w:ascii="Times New Roman" w:hAnsi="Times New Roman"/>
          <w:szCs w:val="24"/>
        </w:rPr>
        <w:t xml:space="preserve"> makes further amendments</w:t>
      </w:r>
      <w:r w:rsidR="0050219F">
        <w:rPr>
          <w:rFonts w:ascii="Times New Roman" w:hAnsi="Times New Roman"/>
          <w:szCs w:val="24"/>
        </w:rPr>
        <w:t xml:space="preserve"> </w:t>
      </w:r>
      <w:r w:rsidR="00BB7941">
        <w:rPr>
          <w:rFonts w:ascii="Times New Roman" w:hAnsi="Times New Roman"/>
          <w:szCs w:val="24"/>
        </w:rPr>
        <w:t xml:space="preserve">in relation </w:t>
      </w:r>
      <w:r w:rsidR="0050219F">
        <w:rPr>
          <w:rFonts w:ascii="Times New Roman" w:hAnsi="Times New Roman"/>
          <w:szCs w:val="24"/>
        </w:rPr>
        <w:t xml:space="preserve">to information </w:t>
      </w:r>
      <w:r w:rsidR="00BB7941">
        <w:rPr>
          <w:rFonts w:ascii="Times New Roman" w:hAnsi="Times New Roman"/>
          <w:szCs w:val="24"/>
        </w:rPr>
        <w:t>recognised by</w:t>
      </w:r>
      <w:r w:rsidR="00BB7941" w:rsidRPr="00670972">
        <w:rPr>
          <w:rFonts w:ascii="Times New Roman" w:hAnsi="Times New Roman"/>
          <w:szCs w:val="24"/>
        </w:rPr>
        <w:t xml:space="preserve"> Health Canada </w:t>
      </w:r>
      <w:r w:rsidR="0050219F" w:rsidRPr="009A4CD8">
        <w:rPr>
          <w:rFonts w:ascii="Times New Roman" w:hAnsi="Times New Roman"/>
          <w:szCs w:val="24"/>
        </w:rPr>
        <w:t>that</w:t>
      </w:r>
      <w:r w:rsidR="0050219F" w:rsidRPr="00670972">
        <w:rPr>
          <w:rFonts w:ascii="Times New Roman" w:hAnsi="Times New Roman"/>
          <w:szCs w:val="24"/>
        </w:rPr>
        <w:t xml:space="preserve"> is currently specified in the </w:t>
      </w:r>
      <w:r w:rsidR="00670972">
        <w:rPr>
          <w:rFonts w:ascii="Times New Roman" w:hAnsi="Times New Roman"/>
          <w:szCs w:val="24"/>
        </w:rPr>
        <w:t>p</w:t>
      </w:r>
      <w:r w:rsidR="0050219F" w:rsidRPr="00670972">
        <w:rPr>
          <w:rFonts w:ascii="Times New Roman" w:hAnsi="Times New Roman"/>
          <w:szCs w:val="24"/>
        </w:rPr>
        <w:t xml:space="preserve">rincipal </w:t>
      </w:r>
      <w:r w:rsidR="00670972">
        <w:rPr>
          <w:rFonts w:ascii="Times New Roman" w:hAnsi="Times New Roman"/>
          <w:szCs w:val="24"/>
        </w:rPr>
        <w:t>instrument</w:t>
      </w:r>
      <w:r w:rsidRPr="00670972">
        <w:rPr>
          <w:rFonts w:ascii="Times New Roman" w:hAnsi="Times New Roman"/>
          <w:szCs w:val="24"/>
        </w:rPr>
        <w:t xml:space="preserve">, and which will also allow time for relevant manufacturers to transition to </w:t>
      </w:r>
      <w:r w:rsidR="0041644F">
        <w:rPr>
          <w:rFonts w:ascii="Times New Roman" w:hAnsi="Times New Roman"/>
          <w:szCs w:val="24"/>
        </w:rPr>
        <w:t xml:space="preserve">alternative </w:t>
      </w:r>
      <w:r w:rsidR="004A593D">
        <w:rPr>
          <w:rFonts w:ascii="Times New Roman" w:hAnsi="Times New Roman"/>
          <w:szCs w:val="24"/>
        </w:rPr>
        <w:t>arrangements</w:t>
      </w:r>
      <w:r w:rsidR="000B4894">
        <w:rPr>
          <w:rFonts w:ascii="Times New Roman" w:hAnsi="Times New Roman"/>
          <w:bCs/>
          <w:szCs w:val="24"/>
        </w:rPr>
        <w:t>.</w:t>
      </w:r>
    </w:p>
    <w:p w:rsidR="009E50E5" w:rsidRDefault="009E50E5" w:rsidP="000B4894">
      <w:pPr>
        <w:ind w:right="-568"/>
        <w:rPr>
          <w:rFonts w:ascii="Times New Roman" w:hAnsi="Times New Roman"/>
          <w:szCs w:val="24"/>
        </w:rPr>
      </w:pPr>
    </w:p>
    <w:p w:rsidR="007231B2" w:rsidRDefault="007231B2" w:rsidP="000B4894">
      <w:pPr>
        <w:keepNext/>
        <w:ind w:right="-567"/>
        <w:rPr>
          <w:rFonts w:ascii="Times New Roman" w:hAnsi="Times New Roman"/>
          <w:b/>
          <w:bCs/>
        </w:rPr>
      </w:pPr>
      <w:r w:rsidRPr="009A4CD8">
        <w:rPr>
          <w:rFonts w:ascii="Times New Roman" w:hAnsi="Times New Roman"/>
          <w:b/>
          <w:bCs/>
        </w:rPr>
        <w:lastRenderedPageBreak/>
        <w:t>Human rights implications</w:t>
      </w:r>
    </w:p>
    <w:p w:rsidR="009E50E5" w:rsidRPr="009A4CD8" w:rsidRDefault="009E50E5" w:rsidP="00353387">
      <w:pPr>
        <w:keepNext/>
        <w:ind w:right="-567"/>
        <w:rPr>
          <w:rFonts w:ascii="Times New Roman" w:hAnsi="Times New Roman"/>
          <w:b/>
          <w:bCs/>
        </w:rPr>
      </w:pPr>
    </w:p>
    <w:p w:rsidR="009E50E5" w:rsidRDefault="00115003" w:rsidP="00454659">
      <w:pPr>
        <w:ind w:right="-568"/>
        <w:rPr>
          <w:rFonts w:ascii="Times New Roman" w:hAnsi="Times New Roman"/>
          <w:bCs/>
          <w:szCs w:val="24"/>
        </w:rPr>
      </w:pPr>
      <w:r>
        <w:rPr>
          <w:rFonts w:ascii="Times New Roman" w:hAnsi="Times New Roman"/>
          <w:szCs w:val="24"/>
        </w:rPr>
        <w:t>Th</w:t>
      </w:r>
      <w:r w:rsidR="00F7190F">
        <w:rPr>
          <w:rFonts w:ascii="Times New Roman" w:hAnsi="Times New Roman"/>
          <w:szCs w:val="24"/>
        </w:rPr>
        <w:t>e</w:t>
      </w:r>
      <w:r>
        <w:rPr>
          <w:rFonts w:ascii="Times New Roman" w:hAnsi="Times New Roman"/>
          <w:szCs w:val="24"/>
        </w:rPr>
        <w:t xml:space="preserve"> </w:t>
      </w:r>
      <w:r w:rsidR="008A154E">
        <w:rPr>
          <w:rFonts w:ascii="Times New Roman" w:hAnsi="Times New Roman"/>
          <w:szCs w:val="24"/>
        </w:rPr>
        <w:t xml:space="preserve">instrument </w:t>
      </w:r>
      <w:r>
        <w:rPr>
          <w:rFonts w:ascii="Times New Roman" w:hAnsi="Times New Roman"/>
          <w:szCs w:val="24"/>
        </w:rPr>
        <w:t xml:space="preserve">engages the right to health in </w:t>
      </w:r>
      <w:r w:rsidR="008A154E">
        <w:rPr>
          <w:rFonts w:ascii="Times New Roman" w:hAnsi="Times New Roman"/>
          <w:szCs w:val="24"/>
        </w:rPr>
        <w:t>A</w:t>
      </w:r>
      <w:r>
        <w:rPr>
          <w:rFonts w:ascii="Times New Roman" w:hAnsi="Times New Roman"/>
          <w:szCs w:val="24"/>
        </w:rPr>
        <w:t xml:space="preserve">rticle 12(1) of the </w:t>
      </w:r>
      <w:r w:rsidRPr="00C571E4">
        <w:rPr>
          <w:rFonts w:ascii="Times New Roman" w:hAnsi="Times New Roman"/>
          <w:i/>
          <w:szCs w:val="24"/>
        </w:rPr>
        <w:t>International Covenant on Economic, Social and Cultural Rights</w:t>
      </w:r>
      <w:r w:rsidR="00D940AB">
        <w:rPr>
          <w:rFonts w:ascii="Times New Roman" w:hAnsi="Times New Roman"/>
          <w:i/>
          <w:szCs w:val="24"/>
        </w:rPr>
        <w:t xml:space="preserve"> </w:t>
      </w:r>
      <w:r w:rsidR="00D940AB" w:rsidRPr="00F7190F">
        <w:rPr>
          <w:rFonts w:ascii="Times New Roman" w:hAnsi="Times New Roman"/>
          <w:szCs w:val="24"/>
        </w:rPr>
        <w:t>(</w:t>
      </w:r>
      <w:r w:rsidR="00F7190F">
        <w:rPr>
          <w:rFonts w:ascii="Times New Roman" w:hAnsi="Times New Roman"/>
          <w:szCs w:val="24"/>
        </w:rPr>
        <w:t>“</w:t>
      </w:r>
      <w:r w:rsidR="00D940AB" w:rsidRPr="00F7190F">
        <w:rPr>
          <w:rFonts w:ascii="Times New Roman" w:hAnsi="Times New Roman"/>
          <w:szCs w:val="24"/>
        </w:rPr>
        <w:t>ICESCR</w:t>
      </w:r>
      <w:r w:rsidR="00F7190F">
        <w:rPr>
          <w:rFonts w:ascii="Times New Roman" w:hAnsi="Times New Roman"/>
          <w:szCs w:val="24"/>
        </w:rPr>
        <w:t>”</w:t>
      </w:r>
      <w:r w:rsidR="00D940AB" w:rsidRPr="00F7190F">
        <w:rPr>
          <w:rFonts w:ascii="Times New Roman" w:hAnsi="Times New Roman"/>
          <w:szCs w:val="24"/>
        </w:rPr>
        <w:t>)</w:t>
      </w:r>
      <w:r w:rsidRPr="00F7190F">
        <w:rPr>
          <w:rFonts w:ascii="Times New Roman" w:hAnsi="Times New Roman"/>
          <w:szCs w:val="24"/>
        </w:rPr>
        <w:t xml:space="preserve">. </w:t>
      </w:r>
      <w:r w:rsidRPr="00FD0AA0">
        <w:rPr>
          <w:rFonts w:ascii="Times New Roman" w:hAnsi="Times New Roman"/>
          <w:szCs w:val="24"/>
        </w:rPr>
        <w:t>Article 12 of the ICESCR promotes the right of all individuals to enjoy the highest attainable standards of physical and mental health.</w:t>
      </w:r>
      <w:r w:rsidR="00C571E4" w:rsidRPr="00FD0AA0">
        <w:rPr>
          <w:rFonts w:ascii="Times New Roman" w:hAnsi="Times New Roman"/>
          <w:szCs w:val="24"/>
        </w:rPr>
        <w:t xml:space="preserve"> In </w:t>
      </w:r>
      <w:r w:rsidR="00C571E4" w:rsidRPr="00FD0AA0">
        <w:rPr>
          <w:rFonts w:ascii="Times New Roman" w:hAnsi="Times New Roman"/>
          <w:i/>
          <w:iCs/>
          <w:szCs w:val="24"/>
        </w:rPr>
        <w:t>General Comment No. 14: The</w:t>
      </w:r>
      <w:r w:rsidR="00CE65F0">
        <w:rPr>
          <w:rFonts w:ascii="Times New Roman" w:hAnsi="Times New Roman"/>
          <w:i/>
          <w:iCs/>
          <w:szCs w:val="24"/>
        </w:rPr>
        <w:t> </w:t>
      </w:r>
      <w:r w:rsidR="00C571E4" w:rsidRPr="00FD0AA0">
        <w:rPr>
          <w:rFonts w:ascii="Times New Roman" w:hAnsi="Times New Roman"/>
          <w:i/>
          <w:iCs/>
          <w:szCs w:val="24"/>
        </w:rPr>
        <w:t xml:space="preserve">Right to the Highest Attainable Standard of Health (Art. 12) </w:t>
      </w:r>
      <w:r w:rsidR="00C571E4" w:rsidRPr="00FD0AA0">
        <w:rPr>
          <w:rFonts w:ascii="Times New Roman" w:hAnsi="Times New Roman"/>
          <w:szCs w:val="24"/>
        </w:rPr>
        <w:t xml:space="preserve">(2000), the United Nations Committee on Economic, Social and Cultural Rights stated that health is a ‘fundamental human right indispensable for the exercise of other human rights’, and that the right to health is not </w:t>
      </w:r>
      <w:r w:rsidR="00F7190F" w:rsidRPr="00FD0AA0">
        <w:rPr>
          <w:rFonts w:ascii="Times New Roman" w:hAnsi="Times New Roman"/>
          <w:szCs w:val="24"/>
        </w:rPr>
        <w:t xml:space="preserve">to be understood as </w:t>
      </w:r>
      <w:r w:rsidR="00C571E4" w:rsidRPr="00FD0AA0">
        <w:rPr>
          <w:rFonts w:ascii="Times New Roman" w:hAnsi="Times New Roman"/>
          <w:szCs w:val="24"/>
        </w:rPr>
        <w:t xml:space="preserve">the right to be healthy, but </w:t>
      </w:r>
      <w:r w:rsidR="00F7190F" w:rsidRPr="00FD0AA0">
        <w:rPr>
          <w:rFonts w:ascii="Times New Roman" w:hAnsi="Times New Roman"/>
          <w:szCs w:val="24"/>
        </w:rPr>
        <w:t>includes the</w:t>
      </w:r>
      <w:r w:rsidR="00C571E4" w:rsidRPr="00FD0AA0">
        <w:rPr>
          <w:rFonts w:ascii="Times New Roman" w:hAnsi="Times New Roman"/>
          <w:szCs w:val="24"/>
        </w:rPr>
        <w:t xml:space="preserve"> right to a system of health protection that provides equal opportunity for people to enjoy the highest attainable level of health.</w:t>
      </w:r>
    </w:p>
    <w:p w:rsidR="00670972" w:rsidRDefault="00670972" w:rsidP="00454659">
      <w:pPr>
        <w:ind w:right="-568"/>
        <w:rPr>
          <w:rFonts w:ascii="Times New Roman" w:hAnsi="Times New Roman"/>
          <w:bCs/>
          <w:szCs w:val="24"/>
        </w:rPr>
      </w:pPr>
    </w:p>
    <w:p w:rsidR="009E50E5" w:rsidRDefault="00D22658" w:rsidP="00454659">
      <w:pPr>
        <w:ind w:right="-568"/>
        <w:rPr>
          <w:rFonts w:ascii="Times New Roman" w:hAnsi="Times New Roman"/>
          <w:bCs/>
          <w:szCs w:val="24"/>
        </w:rPr>
      </w:pPr>
      <w:r w:rsidRPr="00FD0AA0">
        <w:rPr>
          <w:rFonts w:ascii="Times New Roman" w:hAnsi="Times New Roman"/>
          <w:szCs w:val="24"/>
        </w:rPr>
        <w:t xml:space="preserve">The </w:t>
      </w:r>
      <w:r w:rsidR="008A154E" w:rsidRPr="00FD0AA0">
        <w:rPr>
          <w:rFonts w:ascii="Times New Roman" w:hAnsi="Times New Roman"/>
          <w:szCs w:val="24"/>
        </w:rPr>
        <w:t xml:space="preserve">instrument </w:t>
      </w:r>
      <w:r w:rsidRPr="00FD0AA0">
        <w:rPr>
          <w:rFonts w:ascii="Times New Roman" w:hAnsi="Times New Roman"/>
          <w:szCs w:val="24"/>
        </w:rPr>
        <w:t>takes positive steps to promote the right to health by ensuring that there is sufficient documentary evidence accompanying an application for inclusion of a</w:t>
      </w:r>
      <w:r w:rsidR="009A54A2" w:rsidRPr="00FD0AA0">
        <w:rPr>
          <w:rFonts w:ascii="Times New Roman" w:hAnsi="Times New Roman"/>
          <w:szCs w:val="24"/>
        </w:rPr>
        <w:t xml:space="preserve"> Class 2 and Class 3 IVD</w:t>
      </w:r>
      <w:r w:rsidRPr="00FD0AA0">
        <w:rPr>
          <w:rFonts w:ascii="Times New Roman" w:hAnsi="Times New Roman"/>
          <w:szCs w:val="24"/>
        </w:rPr>
        <w:t xml:space="preserve"> medical device in the Register</w:t>
      </w:r>
      <w:r w:rsidR="006009EA" w:rsidRPr="00FD0AA0">
        <w:rPr>
          <w:rFonts w:ascii="Times New Roman" w:hAnsi="Times New Roman"/>
          <w:szCs w:val="24"/>
        </w:rPr>
        <w:t xml:space="preserve"> to</w:t>
      </w:r>
      <w:r w:rsidRPr="00FD0AA0">
        <w:rPr>
          <w:rFonts w:ascii="Times New Roman" w:hAnsi="Times New Roman"/>
          <w:szCs w:val="24"/>
        </w:rPr>
        <w:t xml:space="preserve"> enable the application </w:t>
      </w:r>
      <w:r w:rsidR="006009EA" w:rsidRPr="00FD0AA0">
        <w:rPr>
          <w:rFonts w:ascii="Times New Roman" w:hAnsi="Times New Roman"/>
          <w:szCs w:val="24"/>
        </w:rPr>
        <w:t xml:space="preserve">to be </w:t>
      </w:r>
      <w:r w:rsidR="008A154E" w:rsidRPr="00FD0AA0">
        <w:rPr>
          <w:rFonts w:ascii="Times New Roman" w:hAnsi="Times New Roman"/>
          <w:szCs w:val="24"/>
        </w:rPr>
        <w:t xml:space="preserve">processed by the Secretary of the Department of Health </w:t>
      </w:r>
      <w:r w:rsidRPr="00FD0AA0">
        <w:rPr>
          <w:rFonts w:ascii="Times New Roman" w:hAnsi="Times New Roman"/>
          <w:szCs w:val="24"/>
        </w:rPr>
        <w:t>in an effective and timely manner. Th</w:t>
      </w:r>
      <w:r w:rsidR="008A154E" w:rsidRPr="00FD0AA0">
        <w:rPr>
          <w:rFonts w:ascii="Times New Roman" w:hAnsi="Times New Roman"/>
          <w:szCs w:val="24"/>
        </w:rPr>
        <w:t xml:space="preserve">e information that must accompany an application for inclusion in the Register </w:t>
      </w:r>
      <w:r w:rsidRPr="00FD0AA0">
        <w:rPr>
          <w:rFonts w:ascii="Times New Roman" w:hAnsi="Times New Roman"/>
          <w:szCs w:val="24"/>
        </w:rPr>
        <w:t xml:space="preserve">will assist </w:t>
      </w:r>
      <w:r w:rsidR="006009EA" w:rsidRPr="00FD0AA0">
        <w:rPr>
          <w:rFonts w:ascii="Times New Roman" w:hAnsi="Times New Roman"/>
          <w:szCs w:val="24"/>
        </w:rPr>
        <w:t>in ensuring</w:t>
      </w:r>
      <w:r w:rsidRPr="00FD0AA0">
        <w:rPr>
          <w:rFonts w:ascii="Times New Roman" w:hAnsi="Times New Roman"/>
          <w:szCs w:val="24"/>
        </w:rPr>
        <w:t xml:space="preserve"> </w:t>
      </w:r>
      <w:r w:rsidR="007B784B" w:rsidRPr="00FD0AA0">
        <w:rPr>
          <w:rFonts w:ascii="Times New Roman" w:hAnsi="Times New Roman"/>
          <w:szCs w:val="24"/>
        </w:rPr>
        <w:t xml:space="preserve">the safety and satisfactory performance of </w:t>
      </w:r>
      <w:r w:rsidRPr="00FD0AA0">
        <w:rPr>
          <w:rFonts w:ascii="Times New Roman" w:hAnsi="Times New Roman"/>
          <w:szCs w:val="24"/>
        </w:rPr>
        <w:t>medical devices</w:t>
      </w:r>
      <w:r w:rsidR="006009EA" w:rsidRPr="00FD0AA0">
        <w:rPr>
          <w:rFonts w:ascii="Times New Roman" w:hAnsi="Times New Roman"/>
          <w:szCs w:val="24"/>
        </w:rPr>
        <w:t>, as well as</w:t>
      </w:r>
      <w:r w:rsidR="007B784B" w:rsidRPr="00FD0AA0">
        <w:rPr>
          <w:rFonts w:ascii="Times New Roman" w:hAnsi="Times New Roman"/>
          <w:szCs w:val="24"/>
        </w:rPr>
        <w:t xml:space="preserve"> their timely availability</w:t>
      </w:r>
      <w:r w:rsidR="006009EA" w:rsidRPr="00FD0AA0">
        <w:rPr>
          <w:rFonts w:ascii="Times New Roman" w:hAnsi="Times New Roman"/>
          <w:szCs w:val="24"/>
        </w:rPr>
        <w:t>, in Australia</w:t>
      </w:r>
      <w:r w:rsidR="007B784B" w:rsidRPr="00FD0AA0">
        <w:rPr>
          <w:rFonts w:ascii="Times New Roman" w:hAnsi="Times New Roman"/>
          <w:szCs w:val="24"/>
        </w:rPr>
        <w:t>.</w:t>
      </w:r>
    </w:p>
    <w:p w:rsidR="00670972" w:rsidRDefault="00670972" w:rsidP="00454659">
      <w:pPr>
        <w:ind w:right="-568"/>
        <w:rPr>
          <w:rFonts w:ascii="Times New Roman" w:hAnsi="Times New Roman"/>
          <w:bCs/>
          <w:szCs w:val="24"/>
        </w:rPr>
      </w:pPr>
    </w:p>
    <w:p w:rsidR="009E50E5" w:rsidRDefault="0030123E" w:rsidP="00454659">
      <w:pPr>
        <w:ind w:right="-568"/>
        <w:rPr>
          <w:rFonts w:ascii="Times New Roman" w:hAnsi="Times New Roman"/>
          <w:bCs/>
          <w:szCs w:val="24"/>
        </w:rPr>
      </w:pPr>
      <w:r w:rsidRPr="009A4CD8">
        <w:rPr>
          <w:rFonts w:ascii="Times New Roman" w:hAnsi="Times New Roman"/>
          <w:b/>
          <w:bCs/>
        </w:rPr>
        <w:t>Conclusion</w:t>
      </w:r>
    </w:p>
    <w:p w:rsidR="00670972" w:rsidRDefault="00670972" w:rsidP="00454659">
      <w:pPr>
        <w:ind w:right="-568"/>
        <w:rPr>
          <w:rFonts w:ascii="Times New Roman" w:hAnsi="Times New Roman"/>
          <w:bCs/>
          <w:szCs w:val="24"/>
        </w:rPr>
      </w:pPr>
    </w:p>
    <w:p w:rsidR="00670972" w:rsidRDefault="0030123E" w:rsidP="00454659">
      <w:pPr>
        <w:ind w:right="-568"/>
        <w:rPr>
          <w:rFonts w:ascii="Times New Roman" w:hAnsi="Times New Roman"/>
          <w:bCs/>
          <w:szCs w:val="24"/>
        </w:rPr>
      </w:pPr>
      <w:r w:rsidRPr="005327F5">
        <w:rPr>
          <w:rFonts w:ascii="Times New Roman" w:hAnsi="Times New Roman"/>
          <w:szCs w:val="24"/>
        </w:rPr>
        <w:t xml:space="preserve">This instrument is compatible with human rights </w:t>
      </w:r>
      <w:r w:rsidR="00115003">
        <w:rPr>
          <w:rFonts w:ascii="Times New Roman" w:hAnsi="Times New Roman"/>
          <w:szCs w:val="24"/>
        </w:rPr>
        <w:t xml:space="preserve">because it promotes the right to health </w:t>
      </w:r>
      <w:r w:rsidR="002C0B26">
        <w:rPr>
          <w:rFonts w:ascii="Times New Roman" w:hAnsi="Times New Roman"/>
          <w:szCs w:val="24"/>
        </w:rPr>
        <w:t xml:space="preserve">in Article 12 of the ICESCR </w:t>
      </w:r>
      <w:r w:rsidR="00115003">
        <w:rPr>
          <w:rFonts w:ascii="Times New Roman" w:hAnsi="Times New Roman"/>
          <w:szCs w:val="24"/>
        </w:rPr>
        <w:t>and does not raise any</w:t>
      </w:r>
      <w:r w:rsidR="002C0B26">
        <w:rPr>
          <w:rFonts w:ascii="Times New Roman" w:hAnsi="Times New Roman"/>
          <w:szCs w:val="24"/>
        </w:rPr>
        <w:t xml:space="preserve"> other</w:t>
      </w:r>
      <w:r w:rsidR="00115003">
        <w:rPr>
          <w:rFonts w:ascii="Times New Roman" w:hAnsi="Times New Roman"/>
          <w:szCs w:val="24"/>
        </w:rPr>
        <w:t xml:space="preserve"> human rights issues</w:t>
      </w:r>
      <w:r w:rsidR="000A5AE3" w:rsidRPr="005327F5">
        <w:rPr>
          <w:rFonts w:ascii="Times New Roman" w:hAnsi="Times New Roman"/>
          <w:szCs w:val="24"/>
        </w:rPr>
        <w:t>.</w:t>
      </w:r>
      <w:r w:rsidR="001624C5" w:rsidRPr="001624C5">
        <w:t xml:space="preserve"> </w:t>
      </w:r>
    </w:p>
    <w:p w:rsidR="007231B2" w:rsidRPr="009A4CD8" w:rsidRDefault="00594153" w:rsidP="000B4894">
      <w:pPr>
        <w:shd w:val="clear" w:color="auto" w:fill="FFFFFF"/>
        <w:spacing w:before="100" w:beforeAutospacing="1" w:after="120"/>
        <w:ind w:right="-568"/>
        <w:rPr>
          <w:rFonts w:ascii="Times New Roman" w:hAnsi="Times New Roman"/>
          <w:b/>
          <w:bCs/>
          <w:szCs w:val="24"/>
        </w:rPr>
      </w:pPr>
      <w:r w:rsidRPr="009A4CD8">
        <w:rPr>
          <w:rFonts w:ascii="Times New Roman" w:hAnsi="Times New Roman"/>
          <w:b/>
          <w:bCs/>
          <w:szCs w:val="24"/>
        </w:rPr>
        <w:t>Miranda Lauman</w:t>
      </w:r>
      <w:r w:rsidR="007231B2" w:rsidRPr="009A4CD8">
        <w:rPr>
          <w:rFonts w:ascii="Times New Roman" w:hAnsi="Times New Roman"/>
          <w:b/>
          <w:bCs/>
          <w:szCs w:val="24"/>
        </w:rPr>
        <w:t xml:space="preserve">, delegate of the </w:t>
      </w:r>
      <w:r w:rsidR="009F1A03" w:rsidRPr="009A4CD8">
        <w:rPr>
          <w:rFonts w:ascii="Times New Roman" w:hAnsi="Times New Roman"/>
          <w:b/>
          <w:bCs/>
          <w:szCs w:val="24"/>
        </w:rPr>
        <w:t>Secretary of the Department of</w:t>
      </w:r>
      <w:r w:rsidR="002757A6" w:rsidRPr="009A4CD8">
        <w:rPr>
          <w:rFonts w:ascii="Times New Roman" w:hAnsi="Times New Roman"/>
          <w:b/>
          <w:bCs/>
          <w:szCs w:val="24"/>
        </w:rPr>
        <w:t xml:space="preserve"> </w:t>
      </w:r>
      <w:r w:rsidR="007231B2" w:rsidRPr="009A4CD8">
        <w:rPr>
          <w:rFonts w:ascii="Times New Roman" w:hAnsi="Times New Roman"/>
          <w:b/>
          <w:bCs/>
          <w:szCs w:val="24"/>
        </w:rPr>
        <w:t>Health</w:t>
      </w:r>
    </w:p>
    <w:sectPr w:rsidR="007231B2" w:rsidRPr="009A4CD8" w:rsidSect="009838D9">
      <w:headerReference w:type="even" r:id="rId13"/>
      <w:footerReference w:type="default" r:id="rId14"/>
      <w:footerReference w:type="first" r:id="rId15"/>
      <w:pgSz w:w="11907" w:h="16840" w:code="9"/>
      <w:pgMar w:top="1134" w:right="2126"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EA3" w:rsidRDefault="00EF3EA3">
      <w:r>
        <w:separator/>
      </w:r>
    </w:p>
  </w:endnote>
  <w:endnote w:type="continuationSeparator" w:id="0">
    <w:p w:rsidR="00EF3EA3" w:rsidRDefault="00EF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A51246" w:rsidRDefault="00A51246">
        <w:pPr>
          <w:pStyle w:val="Footer"/>
          <w:jc w:val="right"/>
        </w:pPr>
        <w:r>
          <w:fldChar w:fldCharType="begin"/>
        </w:r>
        <w:r>
          <w:instrText xml:space="preserve"> PAGE   \* MERGEFORMAT </w:instrText>
        </w:r>
        <w:r>
          <w:fldChar w:fldCharType="separate"/>
        </w:r>
        <w:r w:rsidR="000F71A1">
          <w:rPr>
            <w:noProof/>
          </w:rPr>
          <w:t>8</w:t>
        </w:r>
        <w:r>
          <w:rPr>
            <w:noProof/>
          </w:rPr>
          <w:fldChar w:fldCharType="end"/>
        </w:r>
      </w:p>
    </w:sdtContent>
  </w:sdt>
  <w:p w:rsidR="00A51246" w:rsidRPr="00877529" w:rsidRDefault="00A512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EA3" w:rsidRDefault="00EF3EA3">
      <w:r>
        <w:separator/>
      </w:r>
    </w:p>
  </w:footnote>
  <w:footnote w:type="continuationSeparator" w:id="0">
    <w:p w:rsidR="00EF3EA3" w:rsidRDefault="00EF3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246" w:rsidRDefault="00A51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F22E24"/>
    <w:lvl w:ilvl="0">
      <w:start w:val="1"/>
      <w:numFmt w:val="bullet"/>
      <w:lvlText w:val=""/>
      <w:lvlJc w:val="left"/>
      <w:pPr>
        <w:tabs>
          <w:tab w:val="num" w:pos="360"/>
        </w:tabs>
        <w:ind w:left="360" w:hanging="360"/>
      </w:pPr>
      <w:rPr>
        <w:rFonts w:ascii="Symbol" w:hAnsi="Symbol" w:hint="default"/>
      </w:rPr>
    </w:lvl>
  </w:abstractNum>
  <w:abstractNum w:abstractNumId="1">
    <w:nsid w:val="103744E0"/>
    <w:multiLevelType w:val="hybridMultilevel"/>
    <w:tmpl w:val="F4B437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E04406B"/>
    <w:multiLevelType w:val="hybridMultilevel"/>
    <w:tmpl w:val="5136DC2A"/>
    <w:lvl w:ilvl="0" w:tplc="69984C6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65D973F6"/>
    <w:multiLevelType w:val="hybridMultilevel"/>
    <w:tmpl w:val="14D0AEE2"/>
    <w:lvl w:ilvl="0" w:tplc="9A483B10">
      <w:start w:val="1"/>
      <w:numFmt w:val="lowerLetter"/>
      <w:lvlText w:val="(%1)"/>
      <w:lvlJc w:val="left"/>
      <w:pPr>
        <w:ind w:left="1815" w:hanging="375"/>
      </w:pPr>
      <w:rPr>
        <w:rFonts w:hint="default"/>
      </w:rPr>
    </w:lvl>
    <w:lvl w:ilvl="1" w:tplc="031CA5C6">
      <w:start w:val="1"/>
      <w:numFmt w:val="lowerRoman"/>
      <w:lvlText w:val="(%2)"/>
      <w:lvlJc w:val="left"/>
      <w:pPr>
        <w:ind w:left="2520" w:hanging="360"/>
      </w:pPr>
      <w:rPr>
        <w:rFonts w:ascii="Times New Roman" w:eastAsia="Times New Roman" w:hAnsi="Times New Roman" w:cs="Times New Roman"/>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67E916C4"/>
    <w:multiLevelType w:val="hybridMultilevel"/>
    <w:tmpl w:val="8A20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2A47BA2-7C5D-4DA4-A0B6-BEA28BE4D75E}"/>
    <w:docVar w:name="dgnword-eventsink" w:val="197710720"/>
  </w:docVars>
  <w:rsids>
    <w:rsidRoot w:val="007231B2"/>
    <w:rsid w:val="00012656"/>
    <w:rsid w:val="00013323"/>
    <w:rsid w:val="00024307"/>
    <w:rsid w:val="000257B7"/>
    <w:rsid w:val="0002592B"/>
    <w:rsid w:val="00026418"/>
    <w:rsid w:val="00032F05"/>
    <w:rsid w:val="000372AF"/>
    <w:rsid w:val="0003734E"/>
    <w:rsid w:val="00037CA7"/>
    <w:rsid w:val="000411C4"/>
    <w:rsid w:val="00042068"/>
    <w:rsid w:val="00045BDF"/>
    <w:rsid w:val="00057106"/>
    <w:rsid w:val="00064E93"/>
    <w:rsid w:val="0006546D"/>
    <w:rsid w:val="000664F1"/>
    <w:rsid w:val="00066CAF"/>
    <w:rsid w:val="000675AB"/>
    <w:rsid w:val="00071126"/>
    <w:rsid w:val="00072CA3"/>
    <w:rsid w:val="00083AA7"/>
    <w:rsid w:val="00085CCF"/>
    <w:rsid w:val="000879D5"/>
    <w:rsid w:val="000917B7"/>
    <w:rsid w:val="00092F0C"/>
    <w:rsid w:val="00093573"/>
    <w:rsid w:val="00093E11"/>
    <w:rsid w:val="00094B6D"/>
    <w:rsid w:val="00096083"/>
    <w:rsid w:val="000A1279"/>
    <w:rsid w:val="000A1F6B"/>
    <w:rsid w:val="000A44DC"/>
    <w:rsid w:val="000A5AE3"/>
    <w:rsid w:val="000A6B75"/>
    <w:rsid w:val="000B005F"/>
    <w:rsid w:val="000B4894"/>
    <w:rsid w:val="000B58FD"/>
    <w:rsid w:val="000B7645"/>
    <w:rsid w:val="000C367F"/>
    <w:rsid w:val="000D196F"/>
    <w:rsid w:val="000D45CA"/>
    <w:rsid w:val="000D45DC"/>
    <w:rsid w:val="000E4089"/>
    <w:rsid w:val="000E514C"/>
    <w:rsid w:val="000F09CD"/>
    <w:rsid w:val="000F414D"/>
    <w:rsid w:val="000F71A1"/>
    <w:rsid w:val="00105BC4"/>
    <w:rsid w:val="0011067B"/>
    <w:rsid w:val="001140DB"/>
    <w:rsid w:val="00115003"/>
    <w:rsid w:val="00115FCF"/>
    <w:rsid w:val="00116077"/>
    <w:rsid w:val="0011678C"/>
    <w:rsid w:val="00123878"/>
    <w:rsid w:val="001262A6"/>
    <w:rsid w:val="00126B69"/>
    <w:rsid w:val="00130E9B"/>
    <w:rsid w:val="00132FF7"/>
    <w:rsid w:val="00133752"/>
    <w:rsid w:val="0013396D"/>
    <w:rsid w:val="00136286"/>
    <w:rsid w:val="001366B4"/>
    <w:rsid w:val="00141D8C"/>
    <w:rsid w:val="0014529C"/>
    <w:rsid w:val="00146B03"/>
    <w:rsid w:val="00147EBC"/>
    <w:rsid w:val="00155B04"/>
    <w:rsid w:val="00157380"/>
    <w:rsid w:val="001609F4"/>
    <w:rsid w:val="001624C5"/>
    <w:rsid w:val="00165214"/>
    <w:rsid w:val="00170363"/>
    <w:rsid w:val="00175C4D"/>
    <w:rsid w:val="00176B55"/>
    <w:rsid w:val="00176F07"/>
    <w:rsid w:val="001811A6"/>
    <w:rsid w:val="00184B26"/>
    <w:rsid w:val="00190FC6"/>
    <w:rsid w:val="00195047"/>
    <w:rsid w:val="00197BB2"/>
    <w:rsid w:val="001A2243"/>
    <w:rsid w:val="001A4C5C"/>
    <w:rsid w:val="001A65DD"/>
    <w:rsid w:val="001B1946"/>
    <w:rsid w:val="001C30A4"/>
    <w:rsid w:val="001D19ED"/>
    <w:rsid w:val="001D3026"/>
    <w:rsid w:val="001D5008"/>
    <w:rsid w:val="001E6D11"/>
    <w:rsid w:val="001F1380"/>
    <w:rsid w:val="001F73A0"/>
    <w:rsid w:val="00201305"/>
    <w:rsid w:val="00204B5E"/>
    <w:rsid w:val="00211732"/>
    <w:rsid w:val="00213441"/>
    <w:rsid w:val="002308E0"/>
    <w:rsid w:val="00234F18"/>
    <w:rsid w:val="0023790D"/>
    <w:rsid w:val="00241B2D"/>
    <w:rsid w:val="00241F6A"/>
    <w:rsid w:val="00242711"/>
    <w:rsid w:val="00246353"/>
    <w:rsid w:val="002464E1"/>
    <w:rsid w:val="00246ECE"/>
    <w:rsid w:val="00247855"/>
    <w:rsid w:val="002700C9"/>
    <w:rsid w:val="00270664"/>
    <w:rsid w:val="002707DC"/>
    <w:rsid w:val="00272120"/>
    <w:rsid w:val="002745A7"/>
    <w:rsid w:val="002757A6"/>
    <w:rsid w:val="00287FCA"/>
    <w:rsid w:val="00292591"/>
    <w:rsid w:val="00292B07"/>
    <w:rsid w:val="00294A49"/>
    <w:rsid w:val="00294DFA"/>
    <w:rsid w:val="002A431C"/>
    <w:rsid w:val="002A7E5C"/>
    <w:rsid w:val="002B1D7C"/>
    <w:rsid w:val="002B294C"/>
    <w:rsid w:val="002B6B77"/>
    <w:rsid w:val="002C0B26"/>
    <w:rsid w:val="002C1BFA"/>
    <w:rsid w:val="002D37B0"/>
    <w:rsid w:val="002D6924"/>
    <w:rsid w:val="002E05C2"/>
    <w:rsid w:val="002E0A39"/>
    <w:rsid w:val="002E2C4A"/>
    <w:rsid w:val="002E3566"/>
    <w:rsid w:val="002F2C22"/>
    <w:rsid w:val="002F52F2"/>
    <w:rsid w:val="0030123E"/>
    <w:rsid w:val="00305D1F"/>
    <w:rsid w:val="00311E8B"/>
    <w:rsid w:val="0031255D"/>
    <w:rsid w:val="00314200"/>
    <w:rsid w:val="00324D6B"/>
    <w:rsid w:val="0032675B"/>
    <w:rsid w:val="00337507"/>
    <w:rsid w:val="0034158F"/>
    <w:rsid w:val="00344295"/>
    <w:rsid w:val="00346B44"/>
    <w:rsid w:val="003473D3"/>
    <w:rsid w:val="0034742D"/>
    <w:rsid w:val="00350252"/>
    <w:rsid w:val="00353387"/>
    <w:rsid w:val="003533D3"/>
    <w:rsid w:val="003629D6"/>
    <w:rsid w:val="00362E3E"/>
    <w:rsid w:val="00366DB2"/>
    <w:rsid w:val="00375F98"/>
    <w:rsid w:val="00387260"/>
    <w:rsid w:val="00395762"/>
    <w:rsid w:val="00395FAE"/>
    <w:rsid w:val="003A4E75"/>
    <w:rsid w:val="003B2462"/>
    <w:rsid w:val="003B739C"/>
    <w:rsid w:val="003C04A2"/>
    <w:rsid w:val="003C16E5"/>
    <w:rsid w:val="003C17BC"/>
    <w:rsid w:val="003C191C"/>
    <w:rsid w:val="003C1C62"/>
    <w:rsid w:val="003C223D"/>
    <w:rsid w:val="003C2A3E"/>
    <w:rsid w:val="003C52E5"/>
    <w:rsid w:val="003C60B8"/>
    <w:rsid w:val="003C635E"/>
    <w:rsid w:val="003D187B"/>
    <w:rsid w:val="003D2252"/>
    <w:rsid w:val="003D2315"/>
    <w:rsid w:val="003D2BBD"/>
    <w:rsid w:val="003E0599"/>
    <w:rsid w:val="003E0781"/>
    <w:rsid w:val="003E0824"/>
    <w:rsid w:val="003E14EF"/>
    <w:rsid w:val="003E45D2"/>
    <w:rsid w:val="003F64DA"/>
    <w:rsid w:val="003F7A28"/>
    <w:rsid w:val="00404820"/>
    <w:rsid w:val="00407A46"/>
    <w:rsid w:val="00407BD8"/>
    <w:rsid w:val="00412141"/>
    <w:rsid w:val="00413B76"/>
    <w:rsid w:val="0041644F"/>
    <w:rsid w:val="00420786"/>
    <w:rsid w:val="004243D7"/>
    <w:rsid w:val="0043154E"/>
    <w:rsid w:val="004324BB"/>
    <w:rsid w:val="004366EB"/>
    <w:rsid w:val="00437041"/>
    <w:rsid w:val="00437FB7"/>
    <w:rsid w:val="0044018D"/>
    <w:rsid w:val="00442059"/>
    <w:rsid w:val="00444AC0"/>
    <w:rsid w:val="00451CCD"/>
    <w:rsid w:val="00453338"/>
    <w:rsid w:val="00454659"/>
    <w:rsid w:val="0046020B"/>
    <w:rsid w:val="00462DFB"/>
    <w:rsid w:val="0046493F"/>
    <w:rsid w:val="0046497F"/>
    <w:rsid w:val="00464E36"/>
    <w:rsid w:val="00465C51"/>
    <w:rsid w:val="004661F7"/>
    <w:rsid w:val="00473CD2"/>
    <w:rsid w:val="00477D73"/>
    <w:rsid w:val="00480D1D"/>
    <w:rsid w:val="00481C2F"/>
    <w:rsid w:val="0048208F"/>
    <w:rsid w:val="004833CC"/>
    <w:rsid w:val="00483AEE"/>
    <w:rsid w:val="004864D2"/>
    <w:rsid w:val="00486AE4"/>
    <w:rsid w:val="00487413"/>
    <w:rsid w:val="00490CE7"/>
    <w:rsid w:val="0049262B"/>
    <w:rsid w:val="004966C9"/>
    <w:rsid w:val="00497396"/>
    <w:rsid w:val="004A1A83"/>
    <w:rsid w:val="004A593D"/>
    <w:rsid w:val="004B0670"/>
    <w:rsid w:val="004B2AAC"/>
    <w:rsid w:val="004B7DFF"/>
    <w:rsid w:val="004E1773"/>
    <w:rsid w:val="004E32CA"/>
    <w:rsid w:val="004E668D"/>
    <w:rsid w:val="004E6B0E"/>
    <w:rsid w:val="004F2CA3"/>
    <w:rsid w:val="004F7E84"/>
    <w:rsid w:val="005000FF"/>
    <w:rsid w:val="005015B4"/>
    <w:rsid w:val="0050219F"/>
    <w:rsid w:val="00503F73"/>
    <w:rsid w:val="00504A03"/>
    <w:rsid w:val="0050773F"/>
    <w:rsid w:val="00514995"/>
    <w:rsid w:val="005327F5"/>
    <w:rsid w:val="0053308F"/>
    <w:rsid w:val="00533BA9"/>
    <w:rsid w:val="005340C6"/>
    <w:rsid w:val="00534E61"/>
    <w:rsid w:val="0053604F"/>
    <w:rsid w:val="0053672C"/>
    <w:rsid w:val="00544675"/>
    <w:rsid w:val="005447E6"/>
    <w:rsid w:val="0054626F"/>
    <w:rsid w:val="005539E1"/>
    <w:rsid w:val="00561F82"/>
    <w:rsid w:val="005623D6"/>
    <w:rsid w:val="00563520"/>
    <w:rsid w:val="0056717E"/>
    <w:rsid w:val="0057215F"/>
    <w:rsid w:val="00574869"/>
    <w:rsid w:val="00580AF5"/>
    <w:rsid w:val="00592942"/>
    <w:rsid w:val="00593609"/>
    <w:rsid w:val="00594153"/>
    <w:rsid w:val="005961E5"/>
    <w:rsid w:val="0059755B"/>
    <w:rsid w:val="005B0C1A"/>
    <w:rsid w:val="005C02D8"/>
    <w:rsid w:val="005C1891"/>
    <w:rsid w:val="005C235E"/>
    <w:rsid w:val="005C312F"/>
    <w:rsid w:val="005C4345"/>
    <w:rsid w:val="005D2FC2"/>
    <w:rsid w:val="005D5FE8"/>
    <w:rsid w:val="005E15CB"/>
    <w:rsid w:val="005E1BCC"/>
    <w:rsid w:val="005E26CD"/>
    <w:rsid w:val="005E5712"/>
    <w:rsid w:val="005E7ABA"/>
    <w:rsid w:val="005F1E2F"/>
    <w:rsid w:val="006009EA"/>
    <w:rsid w:val="0060165C"/>
    <w:rsid w:val="00605E56"/>
    <w:rsid w:val="006069D6"/>
    <w:rsid w:val="00607490"/>
    <w:rsid w:val="00607585"/>
    <w:rsid w:val="00607FA9"/>
    <w:rsid w:val="00610142"/>
    <w:rsid w:val="00611E64"/>
    <w:rsid w:val="00616634"/>
    <w:rsid w:val="00621156"/>
    <w:rsid w:val="006217AB"/>
    <w:rsid w:val="00622597"/>
    <w:rsid w:val="0062448C"/>
    <w:rsid w:val="006264E3"/>
    <w:rsid w:val="00634C8C"/>
    <w:rsid w:val="006351A7"/>
    <w:rsid w:val="00635C35"/>
    <w:rsid w:val="006360A1"/>
    <w:rsid w:val="00636FD2"/>
    <w:rsid w:val="006404CF"/>
    <w:rsid w:val="00650907"/>
    <w:rsid w:val="0065156C"/>
    <w:rsid w:val="00654509"/>
    <w:rsid w:val="00656611"/>
    <w:rsid w:val="006667BD"/>
    <w:rsid w:val="00670972"/>
    <w:rsid w:val="006709C9"/>
    <w:rsid w:val="006833B2"/>
    <w:rsid w:val="00693517"/>
    <w:rsid w:val="00695811"/>
    <w:rsid w:val="006A2255"/>
    <w:rsid w:val="006B0291"/>
    <w:rsid w:val="006B6868"/>
    <w:rsid w:val="006B76D0"/>
    <w:rsid w:val="006C1570"/>
    <w:rsid w:val="006C5802"/>
    <w:rsid w:val="006C6E34"/>
    <w:rsid w:val="006D1F21"/>
    <w:rsid w:val="006D3BC0"/>
    <w:rsid w:val="006D6C7D"/>
    <w:rsid w:val="006E3506"/>
    <w:rsid w:val="006E47AA"/>
    <w:rsid w:val="006E6DD5"/>
    <w:rsid w:val="006E768D"/>
    <w:rsid w:val="006F15D6"/>
    <w:rsid w:val="006F22BA"/>
    <w:rsid w:val="006F372C"/>
    <w:rsid w:val="006F7A45"/>
    <w:rsid w:val="00700F37"/>
    <w:rsid w:val="00700FE9"/>
    <w:rsid w:val="007018B7"/>
    <w:rsid w:val="00701C2A"/>
    <w:rsid w:val="00712B05"/>
    <w:rsid w:val="0071662D"/>
    <w:rsid w:val="007231B2"/>
    <w:rsid w:val="00723277"/>
    <w:rsid w:val="00723D4C"/>
    <w:rsid w:val="00730B87"/>
    <w:rsid w:val="00733C83"/>
    <w:rsid w:val="00735A9C"/>
    <w:rsid w:val="00743163"/>
    <w:rsid w:val="007444E7"/>
    <w:rsid w:val="00745D17"/>
    <w:rsid w:val="00746EC6"/>
    <w:rsid w:val="007529F8"/>
    <w:rsid w:val="00755E06"/>
    <w:rsid w:val="00764766"/>
    <w:rsid w:val="00767590"/>
    <w:rsid w:val="00772365"/>
    <w:rsid w:val="00773472"/>
    <w:rsid w:val="0078179C"/>
    <w:rsid w:val="00782045"/>
    <w:rsid w:val="00797824"/>
    <w:rsid w:val="007A0A2B"/>
    <w:rsid w:val="007A2E78"/>
    <w:rsid w:val="007B18F6"/>
    <w:rsid w:val="007B784B"/>
    <w:rsid w:val="007C2577"/>
    <w:rsid w:val="007C320B"/>
    <w:rsid w:val="007C3652"/>
    <w:rsid w:val="007C3C7B"/>
    <w:rsid w:val="007C560B"/>
    <w:rsid w:val="007C64DB"/>
    <w:rsid w:val="007D11EE"/>
    <w:rsid w:val="007D3909"/>
    <w:rsid w:val="007D454B"/>
    <w:rsid w:val="007E4CD6"/>
    <w:rsid w:val="007F5E46"/>
    <w:rsid w:val="00800182"/>
    <w:rsid w:val="00802ED9"/>
    <w:rsid w:val="008040F8"/>
    <w:rsid w:val="00805C6E"/>
    <w:rsid w:val="00813F58"/>
    <w:rsid w:val="00820BA2"/>
    <w:rsid w:val="00821FF9"/>
    <w:rsid w:val="00824C87"/>
    <w:rsid w:val="00826B69"/>
    <w:rsid w:val="00831398"/>
    <w:rsid w:val="00836EEB"/>
    <w:rsid w:val="00840E1F"/>
    <w:rsid w:val="00846A95"/>
    <w:rsid w:val="00853F80"/>
    <w:rsid w:val="008553EC"/>
    <w:rsid w:val="00855B3C"/>
    <w:rsid w:val="008566DA"/>
    <w:rsid w:val="00862B50"/>
    <w:rsid w:val="00863009"/>
    <w:rsid w:val="00865357"/>
    <w:rsid w:val="008708A6"/>
    <w:rsid w:val="00872025"/>
    <w:rsid w:val="00877529"/>
    <w:rsid w:val="0088053C"/>
    <w:rsid w:val="00883647"/>
    <w:rsid w:val="0088383B"/>
    <w:rsid w:val="008842A4"/>
    <w:rsid w:val="008859F3"/>
    <w:rsid w:val="00891CD0"/>
    <w:rsid w:val="0089273D"/>
    <w:rsid w:val="008A076D"/>
    <w:rsid w:val="008A154E"/>
    <w:rsid w:val="008A4504"/>
    <w:rsid w:val="008A73E8"/>
    <w:rsid w:val="008B1FDF"/>
    <w:rsid w:val="008B43E0"/>
    <w:rsid w:val="008B6B9F"/>
    <w:rsid w:val="008C2089"/>
    <w:rsid w:val="008C2DFA"/>
    <w:rsid w:val="008C628A"/>
    <w:rsid w:val="008D0491"/>
    <w:rsid w:val="008D1520"/>
    <w:rsid w:val="008E4262"/>
    <w:rsid w:val="008E7A36"/>
    <w:rsid w:val="008E7CA0"/>
    <w:rsid w:val="008F0DE7"/>
    <w:rsid w:val="008F7C91"/>
    <w:rsid w:val="00902FD5"/>
    <w:rsid w:val="00903974"/>
    <w:rsid w:val="00906F35"/>
    <w:rsid w:val="00924BE6"/>
    <w:rsid w:val="00927386"/>
    <w:rsid w:val="009300E0"/>
    <w:rsid w:val="009364C3"/>
    <w:rsid w:val="009377D2"/>
    <w:rsid w:val="0094112E"/>
    <w:rsid w:val="009455F9"/>
    <w:rsid w:val="00946A18"/>
    <w:rsid w:val="00946D6F"/>
    <w:rsid w:val="00947515"/>
    <w:rsid w:val="00950602"/>
    <w:rsid w:val="0095160E"/>
    <w:rsid w:val="009519A2"/>
    <w:rsid w:val="00954C8A"/>
    <w:rsid w:val="00957D1D"/>
    <w:rsid w:val="00964F22"/>
    <w:rsid w:val="00967299"/>
    <w:rsid w:val="00970B28"/>
    <w:rsid w:val="009755D1"/>
    <w:rsid w:val="00977A26"/>
    <w:rsid w:val="00977C7A"/>
    <w:rsid w:val="0098260D"/>
    <w:rsid w:val="009838D9"/>
    <w:rsid w:val="00986758"/>
    <w:rsid w:val="00992FE7"/>
    <w:rsid w:val="009973AF"/>
    <w:rsid w:val="009A4CD8"/>
    <w:rsid w:val="009A54A2"/>
    <w:rsid w:val="009B084B"/>
    <w:rsid w:val="009B2729"/>
    <w:rsid w:val="009B69DB"/>
    <w:rsid w:val="009C0C82"/>
    <w:rsid w:val="009D12CE"/>
    <w:rsid w:val="009D24B6"/>
    <w:rsid w:val="009E15E9"/>
    <w:rsid w:val="009E4235"/>
    <w:rsid w:val="009E50E5"/>
    <w:rsid w:val="009F042D"/>
    <w:rsid w:val="009F079E"/>
    <w:rsid w:val="009F1A03"/>
    <w:rsid w:val="009F4718"/>
    <w:rsid w:val="009F7C21"/>
    <w:rsid w:val="00A01398"/>
    <w:rsid w:val="00A05F22"/>
    <w:rsid w:val="00A0659F"/>
    <w:rsid w:val="00A1397B"/>
    <w:rsid w:val="00A22190"/>
    <w:rsid w:val="00A2329B"/>
    <w:rsid w:val="00A23F76"/>
    <w:rsid w:val="00A27874"/>
    <w:rsid w:val="00A27C61"/>
    <w:rsid w:val="00A309AD"/>
    <w:rsid w:val="00A33510"/>
    <w:rsid w:val="00A35475"/>
    <w:rsid w:val="00A35596"/>
    <w:rsid w:val="00A423DC"/>
    <w:rsid w:val="00A42AB8"/>
    <w:rsid w:val="00A4520E"/>
    <w:rsid w:val="00A46299"/>
    <w:rsid w:val="00A51246"/>
    <w:rsid w:val="00A6223E"/>
    <w:rsid w:val="00A74B02"/>
    <w:rsid w:val="00A81139"/>
    <w:rsid w:val="00A832B6"/>
    <w:rsid w:val="00A90C85"/>
    <w:rsid w:val="00A941AB"/>
    <w:rsid w:val="00AA58C7"/>
    <w:rsid w:val="00AA6C67"/>
    <w:rsid w:val="00AB49B2"/>
    <w:rsid w:val="00AC0B76"/>
    <w:rsid w:val="00AC0C99"/>
    <w:rsid w:val="00AC59C2"/>
    <w:rsid w:val="00AD1943"/>
    <w:rsid w:val="00AE04AB"/>
    <w:rsid w:val="00AE0CE6"/>
    <w:rsid w:val="00AE16B6"/>
    <w:rsid w:val="00AF22E7"/>
    <w:rsid w:val="00AF3566"/>
    <w:rsid w:val="00AF3811"/>
    <w:rsid w:val="00AF61D6"/>
    <w:rsid w:val="00AF6EC7"/>
    <w:rsid w:val="00B01348"/>
    <w:rsid w:val="00B04E0B"/>
    <w:rsid w:val="00B07040"/>
    <w:rsid w:val="00B071F4"/>
    <w:rsid w:val="00B10B79"/>
    <w:rsid w:val="00B12013"/>
    <w:rsid w:val="00B13D82"/>
    <w:rsid w:val="00B279BF"/>
    <w:rsid w:val="00B32379"/>
    <w:rsid w:val="00B339C2"/>
    <w:rsid w:val="00B40D58"/>
    <w:rsid w:val="00B40F32"/>
    <w:rsid w:val="00B4475C"/>
    <w:rsid w:val="00B474BB"/>
    <w:rsid w:val="00B60387"/>
    <w:rsid w:val="00B666FE"/>
    <w:rsid w:val="00B67F5D"/>
    <w:rsid w:val="00B719D6"/>
    <w:rsid w:val="00B72D34"/>
    <w:rsid w:val="00B761CB"/>
    <w:rsid w:val="00B818BD"/>
    <w:rsid w:val="00B8360C"/>
    <w:rsid w:val="00B8475F"/>
    <w:rsid w:val="00B8739B"/>
    <w:rsid w:val="00B87942"/>
    <w:rsid w:val="00B87D77"/>
    <w:rsid w:val="00BA30C2"/>
    <w:rsid w:val="00BA366D"/>
    <w:rsid w:val="00BA4252"/>
    <w:rsid w:val="00BB1578"/>
    <w:rsid w:val="00BB708E"/>
    <w:rsid w:val="00BB7941"/>
    <w:rsid w:val="00BB7F14"/>
    <w:rsid w:val="00BC4C90"/>
    <w:rsid w:val="00BC4CB0"/>
    <w:rsid w:val="00BC551A"/>
    <w:rsid w:val="00BD342D"/>
    <w:rsid w:val="00BD7BB5"/>
    <w:rsid w:val="00BD7F06"/>
    <w:rsid w:val="00BE1B91"/>
    <w:rsid w:val="00BE215A"/>
    <w:rsid w:val="00BF3CEB"/>
    <w:rsid w:val="00BF4682"/>
    <w:rsid w:val="00BF49E9"/>
    <w:rsid w:val="00C013A3"/>
    <w:rsid w:val="00C0721E"/>
    <w:rsid w:val="00C109D1"/>
    <w:rsid w:val="00C17AEF"/>
    <w:rsid w:val="00C21B58"/>
    <w:rsid w:val="00C2687F"/>
    <w:rsid w:val="00C27768"/>
    <w:rsid w:val="00C318E5"/>
    <w:rsid w:val="00C34E8E"/>
    <w:rsid w:val="00C36254"/>
    <w:rsid w:val="00C377F0"/>
    <w:rsid w:val="00C44132"/>
    <w:rsid w:val="00C45F4D"/>
    <w:rsid w:val="00C50898"/>
    <w:rsid w:val="00C50FA4"/>
    <w:rsid w:val="00C50FF5"/>
    <w:rsid w:val="00C51AC0"/>
    <w:rsid w:val="00C53E11"/>
    <w:rsid w:val="00C54F44"/>
    <w:rsid w:val="00C571E4"/>
    <w:rsid w:val="00C6165A"/>
    <w:rsid w:val="00C62ABA"/>
    <w:rsid w:val="00C62CD2"/>
    <w:rsid w:val="00C63502"/>
    <w:rsid w:val="00C650E1"/>
    <w:rsid w:val="00C65D06"/>
    <w:rsid w:val="00C66DC2"/>
    <w:rsid w:val="00C73A4A"/>
    <w:rsid w:val="00C74E09"/>
    <w:rsid w:val="00C81627"/>
    <w:rsid w:val="00C86442"/>
    <w:rsid w:val="00C86C60"/>
    <w:rsid w:val="00C90A25"/>
    <w:rsid w:val="00C92549"/>
    <w:rsid w:val="00C92BBD"/>
    <w:rsid w:val="00C933AA"/>
    <w:rsid w:val="00C958EE"/>
    <w:rsid w:val="00CA5153"/>
    <w:rsid w:val="00CA64BA"/>
    <w:rsid w:val="00CA7D22"/>
    <w:rsid w:val="00CB3006"/>
    <w:rsid w:val="00CB565E"/>
    <w:rsid w:val="00CB6DE2"/>
    <w:rsid w:val="00CC233B"/>
    <w:rsid w:val="00CC588D"/>
    <w:rsid w:val="00CC7CE5"/>
    <w:rsid w:val="00CD25AD"/>
    <w:rsid w:val="00CD28CD"/>
    <w:rsid w:val="00CD46EE"/>
    <w:rsid w:val="00CD5934"/>
    <w:rsid w:val="00CD6487"/>
    <w:rsid w:val="00CD72ED"/>
    <w:rsid w:val="00CE65F0"/>
    <w:rsid w:val="00CF1662"/>
    <w:rsid w:val="00D00488"/>
    <w:rsid w:val="00D05B9F"/>
    <w:rsid w:val="00D1427F"/>
    <w:rsid w:val="00D14548"/>
    <w:rsid w:val="00D1691B"/>
    <w:rsid w:val="00D16A53"/>
    <w:rsid w:val="00D22658"/>
    <w:rsid w:val="00D229EC"/>
    <w:rsid w:val="00D327BE"/>
    <w:rsid w:val="00D347E6"/>
    <w:rsid w:val="00D37233"/>
    <w:rsid w:val="00D3730E"/>
    <w:rsid w:val="00D41D94"/>
    <w:rsid w:val="00D42CDB"/>
    <w:rsid w:val="00D46CF2"/>
    <w:rsid w:val="00D47897"/>
    <w:rsid w:val="00D516B7"/>
    <w:rsid w:val="00D52CB8"/>
    <w:rsid w:val="00D53112"/>
    <w:rsid w:val="00D53194"/>
    <w:rsid w:val="00D5737B"/>
    <w:rsid w:val="00D5795A"/>
    <w:rsid w:val="00D74AC5"/>
    <w:rsid w:val="00D833FE"/>
    <w:rsid w:val="00D86CD2"/>
    <w:rsid w:val="00D936F7"/>
    <w:rsid w:val="00D938ED"/>
    <w:rsid w:val="00D940AB"/>
    <w:rsid w:val="00DA231C"/>
    <w:rsid w:val="00DA355A"/>
    <w:rsid w:val="00DA3D87"/>
    <w:rsid w:val="00DA4585"/>
    <w:rsid w:val="00DA65A7"/>
    <w:rsid w:val="00DA6D2C"/>
    <w:rsid w:val="00DA735D"/>
    <w:rsid w:val="00DA7C4C"/>
    <w:rsid w:val="00DB12D6"/>
    <w:rsid w:val="00DB2A95"/>
    <w:rsid w:val="00DB3E33"/>
    <w:rsid w:val="00DB4E3C"/>
    <w:rsid w:val="00DB5E73"/>
    <w:rsid w:val="00DB766E"/>
    <w:rsid w:val="00DC0B9E"/>
    <w:rsid w:val="00DC2341"/>
    <w:rsid w:val="00DC5BDE"/>
    <w:rsid w:val="00DC7829"/>
    <w:rsid w:val="00DD3DA5"/>
    <w:rsid w:val="00DD3DBC"/>
    <w:rsid w:val="00DD6ABA"/>
    <w:rsid w:val="00DE1A9E"/>
    <w:rsid w:val="00DE2998"/>
    <w:rsid w:val="00DE2B9A"/>
    <w:rsid w:val="00DF0128"/>
    <w:rsid w:val="00DF0B72"/>
    <w:rsid w:val="00DF7F7E"/>
    <w:rsid w:val="00E003FC"/>
    <w:rsid w:val="00E0126C"/>
    <w:rsid w:val="00E01D06"/>
    <w:rsid w:val="00E0415F"/>
    <w:rsid w:val="00E046D0"/>
    <w:rsid w:val="00E0552A"/>
    <w:rsid w:val="00E06A99"/>
    <w:rsid w:val="00E144DA"/>
    <w:rsid w:val="00E17817"/>
    <w:rsid w:val="00E218BF"/>
    <w:rsid w:val="00E32FD9"/>
    <w:rsid w:val="00E3593E"/>
    <w:rsid w:val="00E43D84"/>
    <w:rsid w:val="00E44DB1"/>
    <w:rsid w:val="00E44F50"/>
    <w:rsid w:val="00E528A6"/>
    <w:rsid w:val="00E54613"/>
    <w:rsid w:val="00E54856"/>
    <w:rsid w:val="00E566BD"/>
    <w:rsid w:val="00E62E77"/>
    <w:rsid w:val="00E654E8"/>
    <w:rsid w:val="00E7639C"/>
    <w:rsid w:val="00E764CB"/>
    <w:rsid w:val="00E84FA8"/>
    <w:rsid w:val="00E8647D"/>
    <w:rsid w:val="00E90759"/>
    <w:rsid w:val="00E92B82"/>
    <w:rsid w:val="00E92FFE"/>
    <w:rsid w:val="00E9656D"/>
    <w:rsid w:val="00E96E22"/>
    <w:rsid w:val="00E97364"/>
    <w:rsid w:val="00EA233A"/>
    <w:rsid w:val="00EA295B"/>
    <w:rsid w:val="00EA4EA8"/>
    <w:rsid w:val="00EB0061"/>
    <w:rsid w:val="00EB1729"/>
    <w:rsid w:val="00EB4DA4"/>
    <w:rsid w:val="00EB4FA6"/>
    <w:rsid w:val="00EB7EA7"/>
    <w:rsid w:val="00EC079E"/>
    <w:rsid w:val="00ED1D1B"/>
    <w:rsid w:val="00ED3829"/>
    <w:rsid w:val="00EE2D71"/>
    <w:rsid w:val="00EE5FED"/>
    <w:rsid w:val="00EF1A58"/>
    <w:rsid w:val="00EF3EA3"/>
    <w:rsid w:val="00EF5682"/>
    <w:rsid w:val="00EF72B2"/>
    <w:rsid w:val="00EF7649"/>
    <w:rsid w:val="00EF7880"/>
    <w:rsid w:val="00F013C1"/>
    <w:rsid w:val="00F071D4"/>
    <w:rsid w:val="00F13638"/>
    <w:rsid w:val="00F241AB"/>
    <w:rsid w:val="00F26F50"/>
    <w:rsid w:val="00F31646"/>
    <w:rsid w:val="00F343F7"/>
    <w:rsid w:val="00F348DA"/>
    <w:rsid w:val="00F41CB2"/>
    <w:rsid w:val="00F41D1A"/>
    <w:rsid w:val="00F42641"/>
    <w:rsid w:val="00F42F1B"/>
    <w:rsid w:val="00F51BF2"/>
    <w:rsid w:val="00F63AF4"/>
    <w:rsid w:val="00F66145"/>
    <w:rsid w:val="00F7190F"/>
    <w:rsid w:val="00F7228D"/>
    <w:rsid w:val="00F80CDC"/>
    <w:rsid w:val="00F84730"/>
    <w:rsid w:val="00F86F17"/>
    <w:rsid w:val="00F94FB3"/>
    <w:rsid w:val="00F9540D"/>
    <w:rsid w:val="00FA47BE"/>
    <w:rsid w:val="00FA7E1B"/>
    <w:rsid w:val="00FB0404"/>
    <w:rsid w:val="00FB08B7"/>
    <w:rsid w:val="00FB0C1D"/>
    <w:rsid w:val="00FB2407"/>
    <w:rsid w:val="00FB6877"/>
    <w:rsid w:val="00FB7BDE"/>
    <w:rsid w:val="00FC0F7B"/>
    <w:rsid w:val="00FC14E0"/>
    <w:rsid w:val="00FC3E91"/>
    <w:rsid w:val="00FD0AA0"/>
    <w:rsid w:val="00FD112C"/>
    <w:rsid w:val="00FD215A"/>
    <w:rsid w:val="00FD41F1"/>
    <w:rsid w:val="00FD5623"/>
    <w:rsid w:val="00FE7AF2"/>
    <w:rsid w:val="00FE7C01"/>
    <w:rsid w:val="00FF0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table" w:styleId="TableGrid">
    <w:name w:val="Table Grid"/>
    <w:basedOn w:val="TableNormal"/>
    <w:uiPriority w:val="59"/>
    <w:rsid w:val="00D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C82"/>
    <w:rPr>
      <w:color w:val="800080" w:themeColor="followedHyperlink"/>
      <w:u w:val="single"/>
    </w:rPr>
  </w:style>
  <w:style w:type="paragraph" w:customStyle="1" w:styleId="paragraph">
    <w:name w:val="paragraph"/>
    <w:aliases w:val="a"/>
    <w:basedOn w:val="Normal"/>
    <w:rsid w:val="00465C51"/>
    <w:pPr>
      <w:tabs>
        <w:tab w:val="right" w:pos="1531"/>
      </w:tabs>
      <w:spacing w:before="40"/>
      <w:ind w:left="1644" w:hanging="1644"/>
    </w:pPr>
    <w:rPr>
      <w:rFonts w:ascii="Times New Roman" w:hAnsi="Times New Roman"/>
      <w:sz w:val="22"/>
    </w:rPr>
  </w:style>
  <w:style w:type="paragraph" w:customStyle="1" w:styleId="Default">
    <w:name w:val="Default"/>
    <w:rsid w:val="00E9656D"/>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2"/>
    <w:qFormat/>
    <w:rsid w:val="001624C5"/>
    <w:pPr>
      <w:tabs>
        <w:tab w:val="left" w:pos="397"/>
      </w:tabs>
      <w:spacing w:after="120"/>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table" w:styleId="TableGrid">
    <w:name w:val="Table Grid"/>
    <w:basedOn w:val="TableNormal"/>
    <w:uiPriority w:val="59"/>
    <w:rsid w:val="00D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C82"/>
    <w:rPr>
      <w:color w:val="800080" w:themeColor="followedHyperlink"/>
      <w:u w:val="single"/>
    </w:rPr>
  </w:style>
  <w:style w:type="paragraph" w:customStyle="1" w:styleId="paragraph">
    <w:name w:val="paragraph"/>
    <w:aliases w:val="a"/>
    <w:basedOn w:val="Normal"/>
    <w:rsid w:val="00465C51"/>
    <w:pPr>
      <w:tabs>
        <w:tab w:val="right" w:pos="1531"/>
      </w:tabs>
      <w:spacing w:before="40"/>
      <w:ind w:left="1644" w:hanging="1644"/>
    </w:pPr>
    <w:rPr>
      <w:rFonts w:ascii="Times New Roman" w:hAnsi="Times New Roman"/>
      <w:sz w:val="22"/>
    </w:rPr>
  </w:style>
  <w:style w:type="paragraph" w:customStyle="1" w:styleId="Default">
    <w:name w:val="Default"/>
    <w:rsid w:val="00E9656D"/>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2"/>
    <w:qFormat/>
    <w:rsid w:val="001624C5"/>
    <w:pPr>
      <w:tabs>
        <w:tab w:val="left" w:pos="397"/>
      </w:tabs>
      <w:spacing w:after="120"/>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599532767">
      <w:bodyDiv w:val="1"/>
      <w:marLeft w:val="0"/>
      <w:marRight w:val="0"/>
      <w:marTop w:val="0"/>
      <w:marBottom w:val="0"/>
      <w:divBdr>
        <w:top w:val="none" w:sz="0" w:space="0" w:color="auto"/>
        <w:left w:val="none" w:sz="0" w:space="0" w:color="auto"/>
        <w:bottom w:val="none" w:sz="0" w:space="0" w:color="auto"/>
        <w:right w:val="none" w:sz="0" w:space="0" w:color="auto"/>
      </w:divBdr>
    </w:div>
    <w:div w:id="20191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af.nu/articles/IAF_MEMBERS_SIGNATORIES/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af.nu/upFiles/IAF_PR_MLA_Structure_Normative_Documents_23102015_Publication_Version.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af.nu" TargetMode="External"/><Relationship Id="rId4" Type="http://schemas.microsoft.com/office/2007/relationships/stylesWithEffects" Target="stylesWithEffects.xml"/><Relationship Id="rId9" Type="http://schemas.openxmlformats.org/officeDocument/2006/relationships/hyperlink" Target="http://www.iso.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6ABA-AD0D-42FF-9C9B-2F66F4B5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2019-04-02T03:51:00Z</cp:lastPrinted>
  <dcterms:created xsi:type="dcterms:W3CDTF">2019-04-08T07:14:00Z</dcterms:created>
  <dcterms:modified xsi:type="dcterms:W3CDTF">2019-04-08T07:14:00Z</dcterms:modified>
</cp:coreProperties>
</file>