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A8BACF" w14:textId="77777777" w:rsidR="00A669D7" w:rsidRPr="00407E9C" w:rsidRDefault="00A669D7" w:rsidP="00A669D7">
      <w:pPr>
        <w:keepNext/>
        <w:keepLines/>
        <w:spacing w:before="0"/>
        <w:ind w:right="91"/>
        <w:jc w:val="center"/>
      </w:pPr>
      <w:r w:rsidRPr="00407E9C">
        <w:rPr>
          <w:b/>
          <w:u w:val="single"/>
        </w:rPr>
        <w:t xml:space="preserve">EXPLANATORY </w:t>
      </w:r>
      <w:r w:rsidR="00DA3BFD">
        <w:rPr>
          <w:b/>
          <w:u w:val="single"/>
        </w:rPr>
        <w:t>STATEMENT</w:t>
      </w:r>
    </w:p>
    <w:p w14:paraId="5B13820C" w14:textId="77777777" w:rsidR="00A669D7" w:rsidRPr="00407E9C" w:rsidRDefault="00A669D7" w:rsidP="00A669D7">
      <w:pPr>
        <w:pStyle w:val="Heading6"/>
        <w:keepLines/>
        <w:spacing w:before="0"/>
        <w:jc w:val="center"/>
        <w:rPr>
          <w:u w:val="none"/>
        </w:rPr>
      </w:pPr>
    </w:p>
    <w:p w14:paraId="1670E0F3" w14:textId="77777777" w:rsidR="00DA3BFD" w:rsidRPr="00F61976" w:rsidRDefault="00DA3BFD" w:rsidP="00DA3BFD">
      <w:pPr>
        <w:spacing w:before="0"/>
        <w:ind w:right="40"/>
        <w:jc w:val="center"/>
        <w:rPr>
          <w:szCs w:val="24"/>
        </w:rPr>
      </w:pPr>
      <w:r w:rsidRPr="00F61976">
        <w:rPr>
          <w:szCs w:val="24"/>
        </w:rPr>
        <w:t>Issued by the Minister for</w:t>
      </w:r>
      <w:r>
        <w:rPr>
          <w:szCs w:val="24"/>
        </w:rPr>
        <w:t xml:space="preserve"> Immigration, </w:t>
      </w:r>
      <w:r w:rsidRPr="00F61976">
        <w:rPr>
          <w:szCs w:val="24"/>
        </w:rPr>
        <w:t>Citizenship</w:t>
      </w:r>
      <w:r>
        <w:rPr>
          <w:szCs w:val="24"/>
        </w:rPr>
        <w:t xml:space="preserve"> and Multicultural Affairs</w:t>
      </w:r>
    </w:p>
    <w:p w14:paraId="037294E9" w14:textId="77777777" w:rsidR="00A669D7" w:rsidRPr="0035527E" w:rsidRDefault="00A669D7" w:rsidP="00A669D7">
      <w:pPr>
        <w:spacing w:before="0"/>
        <w:ind w:right="91"/>
      </w:pPr>
    </w:p>
    <w:p w14:paraId="5DC75ED2" w14:textId="77777777" w:rsidR="00A669D7" w:rsidRPr="00B65BF6" w:rsidRDefault="00A669D7" w:rsidP="00DA3BFD">
      <w:pPr>
        <w:spacing w:before="0"/>
        <w:ind w:right="91"/>
        <w:jc w:val="center"/>
        <w:rPr>
          <w:i/>
        </w:rPr>
      </w:pPr>
      <w:r w:rsidRPr="00B65BF6">
        <w:rPr>
          <w:i/>
        </w:rPr>
        <w:t>Migration Act 1958</w:t>
      </w:r>
    </w:p>
    <w:p w14:paraId="448D96A0" w14:textId="77777777" w:rsidR="00B206BB" w:rsidRDefault="00B206BB" w:rsidP="000E51C3">
      <w:pPr>
        <w:spacing w:before="0"/>
        <w:ind w:right="91"/>
        <w:rPr>
          <w:i/>
        </w:rPr>
      </w:pPr>
    </w:p>
    <w:p w14:paraId="06D84707" w14:textId="77777777" w:rsidR="00A669D7" w:rsidRPr="00B65BF6" w:rsidRDefault="002E4BA5" w:rsidP="00DA3BFD">
      <w:pPr>
        <w:spacing w:before="0"/>
        <w:ind w:right="91"/>
        <w:jc w:val="center"/>
        <w:rPr>
          <w:i/>
        </w:rPr>
      </w:pPr>
      <w:r>
        <w:rPr>
          <w:i/>
        </w:rPr>
        <w:t xml:space="preserve">Migration Agents Amendment (CPD Requirements) </w:t>
      </w:r>
      <w:r w:rsidR="00F822E2">
        <w:rPr>
          <w:i/>
        </w:rPr>
        <w:t>Regulations 2019</w:t>
      </w:r>
    </w:p>
    <w:p w14:paraId="32299549" w14:textId="77777777" w:rsidR="00A669D7" w:rsidRPr="00B65BF6" w:rsidRDefault="00A669D7" w:rsidP="00A669D7">
      <w:pPr>
        <w:keepNext/>
        <w:keepLines/>
        <w:spacing w:before="0"/>
        <w:ind w:right="91"/>
      </w:pPr>
    </w:p>
    <w:p w14:paraId="0050DEC6" w14:textId="77777777" w:rsidR="006C1271" w:rsidRPr="006C1271" w:rsidRDefault="006C1271" w:rsidP="006C1271">
      <w:pPr>
        <w:keepNext/>
        <w:keepLines/>
        <w:spacing w:before="0"/>
        <w:ind w:right="91"/>
      </w:pPr>
      <w:r w:rsidRPr="006C1271">
        <w:t xml:space="preserve">The </w:t>
      </w:r>
      <w:r w:rsidRPr="006C1271">
        <w:rPr>
          <w:i/>
        </w:rPr>
        <w:t>Migration Act 1958</w:t>
      </w:r>
      <w:r w:rsidRPr="006C1271">
        <w:t xml:space="preserve"> (the Migration Act) is an Act relating to the entry into, and presence in, Australia of aliens, and the departure or deportation from Australia of aliens and certain other persons.</w:t>
      </w:r>
    </w:p>
    <w:p w14:paraId="397F0FD2" w14:textId="77777777" w:rsidR="006C1271" w:rsidRPr="006C1271" w:rsidRDefault="006C1271" w:rsidP="006C1271">
      <w:pPr>
        <w:keepNext/>
        <w:keepLines/>
        <w:spacing w:before="0"/>
        <w:ind w:right="91"/>
      </w:pPr>
    </w:p>
    <w:p w14:paraId="5A8EC67A" w14:textId="77777777" w:rsidR="006C1271" w:rsidRPr="006C1271" w:rsidRDefault="006C1271" w:rsidP="006C1271">
      <w:pPr>
        <w:keepNext/>
        <w:keepLines/>
        <w:spacing w:before="0"/>
        <w:ind w:right="91"/>
      </w:pPr>
      <w:r w:rsidRPr="006C1271">
        <w:t xml:space="preserve">Subsection 504(1) of </w:t>
      </w:r>
      <w:r w:rsidRPr="006C1271">
        <w:rPr>
          <w:iCs/>
        </w:rPr>
        <w:t xml:space="preserve">the </w:t>
      </w:r>
      <w:r w:rsidRPr="006C1271">
        <w:t>Migration Act</w:t>
      </w:r>
      <w:r w:rsidRPr="006C1271">
        <w:rPr>
          <w:i/>
        </w:rPr>
        <w:t xml:space="preserve"> </w:t>
      </w:r>
      <w:r w:rsidRPr="006C1271">
        <w:t>provides that the Governor-General may make regulations, not inconsistent with the Migration Act, prescribing matters required or permitted to be prescribed, or necessary or convenient to be prescribed, for carrying out or giving effect to the Migration Act.</w:t>
      </w:r>
    </w:p>
    <w:p w14:paraId="326120B8" w14:textId="77777777" w:rsidR="006C1271" w:rsidRPr="006C1271" w:rsidRDefault="006C1271" w:rsidP="006C1271">
      <w:pPr>
        <w:keepNext/>
        <w:keepLines/>
        <w:spacing w:before="0"/>
        <w:ind w:right="91"/>
      </w:pPr>
    </w:p>
    <w:p w14:paraId="533109FC" w14:textId="77777777" w:rsidR="00DA3BFD" w:rsidRDefault="00DA3BFD" w:rsidP="00DA3BFD">
      <w:pPr>
        <w:keepNext/>
        <w:keepLines/>
        <w:spacing w:before="0"/>
        <w:ind w:right="91"/>
        <w:rPr>
          <w:szCs w:val="24"/>
        </w:rPr>
      </w:pPr>
      <w:r>
        <w:rPr>
          <w:szCs w:val="24"/>
        </w:rPr>
        <w:t xml:space="preserve">In addition, regulations may be made pursuant to </w:t>
      </w:r>
      <w:r w:rsidR="00C82C75">
        <w:rPr>
          <w:szCs w:val="24"/>
        </w:rPr>
        <w:t>section 290A of the Act.  Section 290A provides that if an applicant for registration as a migration agent has been registered at some time in the 12 months before making the application, the applicant must not be registered if the Migration Agents Registration Authority is satisfied that the applicant has not met, within the prescribed period, the requirements prescribed by the regulations for continuing professional development of registered migration agents</w:t>
      </w:r>
      <w:r w:rsidR="00C917C0">
        <w:rPr>
          <w:szCs w:val="24"/>
        </w:rPr>
        <w:t>.</w:t>
      </w:r>
    </w:p>
    <w:p w14:paraId="1B58EBE8" w14:textId="77777777" w:rsidR="00DA3BFD" w:rsidRDefault="00DA3BFD" w:rsidP="00BE7CEF">
      <w:pPr>
        <w:spacing w:before="0"/>
        <w:ind w:right="91"/>
        <w:rPr>
          <w:lang w:val="en"/>
        </w:rPr>
      </w:pPr>
    </w:p>
    <w:p w14:paraId="3D5ED136" w14:textId="77777777" w:rsidR="002E4BA5" w:rsidRDefault="00F611EB" w:rsidP="002E4BA5">
      <w:pPr>
        <w:spacing w:before="0"/>
        <w:ind w:right="91"/>
      </w:pPr>
      <w:r>
        <w:rPr>
          <w:lang w:val="en"/>
        </w:rPr>
        <w:t>T</w:t>
      </w:r>
      <w:r w:rsidR="002E4BA5">
        <w:rPr>
          <w:lang w:val="en"/>
        </w:rPr>
        <w:t xml:space="preserve">he </w:t>
      </w:r>
      <w:r w:rsidR="002E4BA5">
        <w:rPr>
          <w:i/>
        </w:rPr>
        <w:t>Migration Agents Amendment (CPD Requirements) Regulations 2019</w:t>
      </w:r>
      <w:r>
        <w:t xml:space="preserve"> (the Regulations) </w:t>
      </w:r>
      <w:r w:rsidR="002E4BA5">
        <w:rPr>
          <w:szCs w:val="24"/>
        </w:rPr>
        <w:t xml:space="preserve">amend the </w:t>
      </w:r>
      <w:r w:rsidR="002E4BA5">
        <w:rPr>
          <w:i/>
          <w:szCs w:val="24"/>
        </w:rPr>
        <w:t>Migration Agents Regulations 1998</w:t>
      </w:r>
      <w:r w:rsidR="002E4BA5">
        <w:rPr>
          <w:szCs w:val="24"/>
        </w:rPr>
        <w:t xml:space="preserve"> (the </w:t>
      </w:r>
      <w:r w:rsidR="003876B4">
        <w:rPr>
          <w:szCs w:val="24"/>
        </w:rPr>
        <w:t xml:space="preserve">Migration Agents </w:t>
      </w:r>
      <w:r w:rsidR="002E4BA5">
        <w:rPr>
          <w:szCs w:val="24"/>
        </w:rPr>
        <w:t xml:space="preserve">Regulations) </w:t>
      </w:r>
      <w:r w:rsidR="002E4BA5">
        <w:t>to exempt lawyers who hold practising certificates from continuing professional development (CPD) requirements for migration agents when applying for repeat registration as a migration agent.</w:t>
      </w:r>
    </w:p>
    <w:p w14:paraId="798CEBB7" w14:textId="77777777" w:rsidR="002E4BA5" w:rsidRDefault="002E4BA5" w:rsidP="002E4BA5">
      <w:pPr>
        <w:spacing w:before="0"/>
        <w:ind w:right="91"/>
      </w:pPr>
    </w:p>
    <w:p w14:paraId="2E3BC949" w14:textId="3EFD4826" w:rsidR="00400E48" w:rsidRDefault="002E4BA5" w:rsidP="002E4BA5">
      <w:pPr>
        <w:spacing w:before="0"/>
        <w:ind w:right="91"/>
      </w:pPr>
      <w:r>
        <w:t>In particular,</w:t>
      </w:r>
      <w:r w:rsidR="003876B4">
        <w:t xml:space="preserve"> the </w:t>
      </w:r>
      <w:r>
        <w:t xml:space="preserve">Regulations amend the </w:t>
      </w:r>
      <w:r w:rsidR="003876B4">
        <w:t xml:space="preserve">Migration Agents </w:t>
      </w:r>
      <w:r>
        <w:t>Regulations to insert new regulation 6A</w:t>
      </w:r>
      <w:r w:rsidR="00722A17">
        <w:t xml:space="preserve">.  This new regulation ensures that </w:t>
      </w:r>
      <w:r>
        <w:t xml:space="preserve">registered migration agents who are also lawyers with legal practising certificates are not required to complete </w:t>
      </w:r>
      <w:r w:rsidR="0051491C">
        <w:t xml:space="preserve">migration agent as </w:t>
      </w:r>
      <w:proofErr w:type="gramStart"/>
      <w:r w:rsidR="0051491C">
        <w:t>well</w:t>
      </w:r>
      <w:proofErr w:type="gramEnd"/>
      <w:r w:rsidR="0051491C">
        <w:t xml:space="preserve"> as legal </w:t>
      </w:r>
      <w:r>
        <w:t>CPD requirements</w:t>
      </w:r>
      <w:r w:rsidR="006362B0">
        <w:t>.</w:t>
      </w:r>
    </w:p>
    <w:p w14:paraId="46A5CE76" w14:textId="77777777" w:rsidR="00525697" w:rsidRDefault="00525697" w:rsidP="002E4BA5">
      <w:pPr>
        <w:spacing w:before="0"/>
        <w:ind w:right="91"/>
      </w:pPr>
    </w:p>
    <w:p w14:paraId="61EE4FA5" w14:textId="2F4C58A3" w:rsidR="00525697" w:rsidRDefault="00525697" w:rsidP="002E4BA5">
      <w:pPr>
        <w:spacing w:before="0"/>
        <w:ind w:right="91"/>
      </w:pPr>
      <w:r>
        <w:t xml:space="preserve">No consultation was considered </w:t>
      </w:r>
      <w:r w:rsidR="006B0E83">
        <w:t xml:space="preserve">necessary </w:t>
      </w:r>
      <w:r>
        <w:t xml:space="preserve">as the Regulations are considered to be machinery in nature.  This accords with subsection 17(1) of the </w:t>
      </w:r>
      <w:r w:rsidRPr="007E27A0">
        <w:rPr>
          <w:i/>
        </w:rPr>
        <w:t>Legislation Act 2003</w:t>
      </w:r>
      <w:r w:rsidR="0064531A">
        <w:t xml:space="preserve"> (the Legislation Act)</w:t>
      </w:r>
      <w:r>
        <w:t xml:space="preserve"> which envisages consultations where </w:t>
      </w:r>
      <w:r w:rsidR="006B0E83">
        <w:t>necess</w:t>
      </w:r>
      <w:r w:rsidR="0051491C">
        <w:t>ary</w:t>
      </w:r>
      <w:r w:rsidR="006B0E83">
        <w:t xml:space="preserve"> </w:t>
      </w:r>
      <w:r>
        <w:t>and reasonably practicable.</w:t>
      </w:r>
    </w:p>
    <w:p w14:paraId="0E72516C" w14:textId="77777777" w:rsidR="00377B1E" w:rsidRPr="00EA34FB" w:rsidRDefault="00377B1E" w:rsidP="00EA34FB">
      <w:pPr>
        <w:spacing w:before="0"/>
        <w:ind w:right="91"/>
      </w:pPr>
    </w:p>
    <w:p w14:paraId="52AA65F7" w14:textId="77777777" w:rsidR="00DA3BFD" w:rsidRPr="00DA3BFD" w:rsidRDefault="00DA3BFD" w:rsidP="00DA3BFD">
      <w:pPr>
        <w:spacing w:before="0"/>
        <w:ind w:right="91"/>
        <w:rPr>
          <w:szCs w:val="24"/>
        </w:rPr>
      </w:pPr>
      <w:r w:rsidRPr="00F61976">
        <w:rPr>
          <w:szCs w:val="24"/>
        </w:rPr>
        <w:t xml:space="preserve">A Statement of Compatibility with Human Rights (the Statement) has been completed in accordance with the </w:t>
      </w:r>
      <w:r w:rsidRPr="00F61976">
        <w:rPr>
          <w:i/>
          <w:iCs/>
          <w:szCs w:val="24"/>
        </w:rPr>
        <w:t>Human Rights (Parliamentary Scrutiny) Act 2011</w:t>
      </w:r>
      <w:r w:rsidRPr="00F61976">
        <w:rPr>
          <w:szCs w:val="24"/>
        </w:rPr>
        <w:t xml:space="preserve">. </w:t>
      </w:r>
      <w:r w:rsidR="006362B0">
        <w:rPr>
          <w:szCs w:val="24"/>
        </w:rPr>
        <w:t xml:space="preserve"> </w:t>
      </w:r>
      <w:r w:rsidRPr="00F61976">
        <w:rPr>
          <w:szCs w:val="24"/>
        </w:rPr>
        <w:t xml:space="preserve">The overall assessment is that the Regulations are compatible with human rights. </w:t>
      </w:r>
      <w:r w:rsidR="006362B0">
        <w:rPr>
          <w:szCs w:val="24"/>
        </w:rPr>
        <w:t xml:space="preserve"> </w:t>
      </w:r>
      <w:r w:rsidRPr="00F61976">
        <w:rPr>
          <w:szCs w:val="24"/>
        </w:rPr>
        <w:t xml:space="preserve">A copy of the Statement is at </w:t>
      </w:r>
      <w:r w:rsidRPr="00F61976">
        <w:rPr>
          <w:szCs w:val="24"/>
          <w:u w:val="single"/>
        </w:rPr>
        <w:t xml:space="preserve">Attachment </w:t>
      </w:r>
      <w:r w:rsidR="00722A17">
        <w:rPr>
          <w:szCs w:val="24"/>
          <w:u w:val="single"/>
        </w:rPr>
        <w:t>A</w:t>
      </w:r>
      <w:r w:rsidRPr="00F61976">
        <w:rPr>
          <w:szCs w:val="24"/>
        </w:rPr>
        <w:t>.</w:t>
      </w:r>
    </w:p>
    <w:p w14:paraId="6E168460" w14:textId="38DCC9B7" w:rsidR="00DA3BFD" w:rsidRPr="00DA3BFD" w:rsidRDefault="00DA3BFD" w:rsidP="00DA3BFD">
      <w:pPr>
        <w:ind w:right="91"/>
      </w:pPr>
      <w:r>
        <w:t xml:space="preserve">The Office of Best Practice Regulation (the OBPR) has been consulted in relation to the amendments made to the Regulations, and has advised that a </w:t>
      </w:r>
      <w:r w:rsidR="00E91FDC">
        <w:t>r</w:t>
      </w:r>
      <w:r w:rsidR="00D62727">
        <w:t xml:space="preserve">egulatory </w:t>
      </w:r>
      <w:r w:rsidR="00E91FDC">
        <w:t>i</w:t>
      </w:r>
      <w:r w:rsidR="00D62727">
        <w:t xml:space="preserve">mpact </w:t>
      </w:r>
      <w:r w:rsidR="00E91FDC">
        <w:t>s</w:t>
      </w:r>
      <w:r w:rsidR="00D62727">
        <w:t xml:space="preserve">tatement </w:t>
      </w:r>
      <w:r>
        <w:t>is not required</w:t>
      </w:r>
      <w:r w:rsidR="00525697">
        <w:t xml:space="preserve">. </w:t>
      </w:r>
      <w:r w:rsidRPr="00DA3BFD">
        <w:t xml:space="preserve"> The OBPR referen</w:t>
      </w:r>
      <w:r w:rsidR="006362B0">
        <w:t xml:space="preserve">ce is </w:t>
      </w:r>
      <w:r w:rsidR="005B0964">
        <w:t>25087</w:t>
      </w:r>
      <w:r w:rsidR="003E2378">
        <w:t>.</w:t>
      </w:r>
    </w:p>
    <w:p w14:paraId="70E15A4C" w14:textId="77777777" w:rsidR="00DA3BFD" w:rsidRDefault="00DA3BFD" w:rsidP="00DA3BFD">
      <w:pPr>
        <w:pStyle w:val="TableTextform"/>
        <w:spacing w:before="0" w:after="0"/>
        <w:rPr>
          <w:rFonts w:ascii="Times New Roman" w:hAnsi="Times New Roman" w:cs="Times New Roman"/>
          <w:sz w:val="24"/>
          <w:szCs w:val="24"/>
          <w:lang w:eastAsia="en-AU"/>
        </w:rPr>
      </w:pPr>
    </w:p>
    <w:p w14:paraId="10520688" w14:textId="77777777" w:rsidR="00DA3BFD" w:rsidRDefault="00DA3BFD" w:rsidP="00DA3BFD">
      <w:pPr>
        <w:spacing w:before="0"/>
        <w:ind w:right="91"/>
      </w:pPr>
      <w:r w:rsidRPr="00F61976">
        <w:t xml:space="preserve">Details of the Regulations are set out in </w:t>
      </w:r>
      <w:r w:rsidRPr="00F61976">
        <w:rPr>
          <w:u w:val="single"/>
        </w:rPr>
        <w:t xml:space="preserve">Attachment </w:t>
      </w:r>
      <w:r w:rsidR="00525697">
        <w:rPr>
          <w:u w:val="single"/>
        </w:rPr>
        <w:t>B</w:t>
      </w:r>
      <w:r w:rsidRPr="00F61976">
        <w:t>.</w:t>
      </w:r>
    </w:p>
    <w:p w14:paraId="35D138B1" w14:textId="77777777" w:rsidR="00DA3BFD" w:rsidRDefault="00DA3BFD" w:rsidP="009E66DF">
      <w:pPr>
        <w:tabs>
          <w:tab w:val="left" w:pos="6521"/>
        </w:tabs>
        <w:spacing w:before="0"/>
        <w:ind w:right="91"/>
      </w:pPr>
    </w:p>
    <w:p w14:paraId="3678BB5D" w14:textId="77777777" w:rsidR="00A669D7" w:rsidRPr="00B65BF6" w:rsidRDefault="00A669D7" w:rsidP="009E66DF">
      <w:pPr>
        <w:tabs>
          <w:tab w:val="left" w:pos="6521"/>
        </w:tabs>
        <w:spacing w:before="0"/>
        <w:ind w:right="91"/>
      </w:pPr>
      <w:r w:rsidRPr="00B65BF6">
        <w:lastRenderedPageBreak/>
        <w:t xml:space="preserve">The </w:t>
      </w:r>
      <w:r w:rsidR="00DA3BFD">
        <w:t xml:space="preserve">Migration </w:t>
      </w:r>
      <w:r w:rsidRPr="00B65BF6">
        <w:t>Act specifies no conditions that need to be satisfied before the power to make the Regulation</w:t>
      </w:r>
      <w:r w:rsidR="00A7789C">
        <w:t>s</w:t>
      </w:r>
      <w:r w:rsidRPr="00B65BF6">
        <w:t xml:space="preserve"> may be exercised.</w:t>
      </w:r>
    </w:p>
    <w:p w14:paraId="50B8A930" w14:textId="77777777" w:rsidR="009E66DF" w:rsidRDefault="009E66DF" w:rsidP="00194BDF">
      <w:pPr>
        <w:tabs>
          <w:tab w:val="left" w:pos="6521"/>
        </w:tabs>
        <w:spacing w:before="0"/>
        <w:ind w:right="521"/>
        <w:rPr>
          <w:szCs w:val="24"/>
        </w:rPr>
      </w:pPr>
    </w:p>
    <w:p w14:paraId="573F7E70" w14:textId="77777777" w:rsidR="00A669D7" w:rsidRPr="00B65BF6" w:rsidRDefault="00A669D7" w:rsidP="00A669D7">
      <w:pPr>
        <w:tabs>
          <w:tab w:val="left" w:pos="6521"/>
        </w:tabs>
        <w:spacing w:before="0"/>
        <w:ind w:right="521"/>
        <w:rPr>
          <w:szCs w:val="24"/>
        </w:rPr>
      </w:pPr>
      <w:r w:rsidRPr="00B65BF6">
        <w:rPr>
          <w:szCs w:val="24"/>
        </w:rPr>
        <w:t>The Regulation</w:t>
      </w:r>
      <w:r w:rsidR="00A7789C">
        <w:rPr>
          <w:szCs w:val="24"/>
        </w:rPr>
        <w:t>s</w:t>
      </w:r>
      <w:r w:rsidRPr="00B65BF6">
        <w:rPr>
          <w:szCs w:val="24"/>
        </w:rPr>
        <w:t xml:space="preserve"> </w:t>
      </w:r>
      <w:r w:rsidR="00DA3BFD">
        <w:rPr>
          <w:szCs w:val="24"/>
        </w:rPr>
        <w:t>are</w:t>
      </w:r>
      <w:r w:rsidRPr="00B65BF6">
        <w:rPr>
          <w:szCs w:val="24"/>
        </w:rPr>
        <w:t xml:space="preserve"> a legislative instrument for the purposes of the </w:t>
      </w:r>
      <w:r w:rsidR="00A7789C" w:rsidRPr="006F367D">
        <w:t>Legislation Act</w:t>
      </w:r>
      <w:r w:rsidRPr="006F367D">
        <w:rPr>
          <w:szCs w:val="24"/>
        </w:rPr>
        <w:t>.</w:t>
      </w:r>
    </w:p>
    <w:p w14:paraId="39E26D06" w14:textId="77777777" w:rsidR="00400E48" w:rsidRDefault="00400E48" w:rsidP="00BC6848">
      <w:pPr>
        <w:tabs>
          <w:tab w:val="left" w:pos="6521"/>
        </w:tabs>
        <w:spacing w:before="0"/>
        <w:ind w:right="521"/>
        <w:rPr>
          <w:szCs w:val="24"/>
        </w:rPr>
      </w:pPr>
    </w:p>
    <w:p w14:paraId="3E7D4CF5" w14:textId="77777777" w:rsidR="00571131" w:rsidRDefault="00571131" w:rsidP="00BC6848">
      <w:pPr>
        <w:tabs>
          <w:tab w:val="left" w:pos="6521"/>
        </w:tabs>
        <w:spacing w:before="0"/>
        <w:ind w:right="521"/>
        <w:rPr>
          <w:szCs w:val="24"/>
        </w:rPr>
      </w:pPr>
    </w:p>
    <w:p w14:paraId="67FE1B4F" w14:textId="44B49597" w:rsidR="00A669D7" w:rsidRPr="00B65BF6" w:rsidRDefault="001A528B" w:rsidP="00571131">
      <w:pPr>
        <w:tabs>
          <w:tab w:val="left" w:pos="6521"/>
        </w:tabs>
        <w:spacing w:before="0"/>
        <w:ind w:right="521"/>
        <w:rPr>
          <w:szCs w:val="24"/>
        </w:rPr>
      </w:pPr>
      <w:r>
        <w:rPr>
          <w:szCs w:val="24"/>
        </w:rPr>
        <w:t>T</w:t>
      </w:r>
      <w:r w:rsidR="00A31E8F" w:rsidRPr="00A31E8F">
        <w:rPr>
          <w:szCs w:val="24"/>
        </w:rPr>
        <w:t xml:space="preserve">he Regulations </w:t>
      </w:r>
      <w:r w:rsidR="005B7FBB">
        <w:rPr>
          <w:szCs w:val="24"/>
        </w:rPr>
        <w:t>commence</w:t>
      </w:r>
      <w:r w:rsidR="00426991">
        <w:rPr>
          <w:szCs w:val="24"/>
        </w:rPr>
        <w:t xml:space="preserve"> the day after registration</w:t>
      </w:r>
      <w:r>
        <w:rPr>
          <w:szCs w:val="24"/>
        </w:rPr>
        <w:t>.</w:t>
      </w:r>
    </w:p>
    <w:p w14:paraId="1A6A8A68" w14:textId="77777777" w:rsidR="00A669D7" w:rsidRDefault="00A669D7" w:rsidP="00A669D7">
      <w:pPr>
        <w:spacing w:before="0"/>
        <w:ind w:right="42"/>
        <w:rPr>
          <w:szCs w:val="24"/>
        </w:rPr>
      </w:pPr>
    </w:p>
    <w:p w14:paraId="044C700E" w14:textId="77777777" w:rsidR="00571131" w:rsidRDefault="00571131" w:rsidP="00A669D7">
      <w:pPr>
        <w:spacing w:before="0"/>
        <w:ind w:right="42"/>
        <w:rPr>
          <w:szCs w:val="24"/>
        </w:rPr>
      </w:pPr>
    </w:p>
    <w:p w14:paraId="03738C60" w14:textId="77777777" w:rsidR="00571131" w:rsidRDefault="00571131" w:rsidP="00A669D7">
      <w:pPr>
        <w:spacing w:before="0"/>
        <w:ind w:right="42"/>
        <w:rPr>
          <w:szCs w:val="24"/>
        </w:rPr>
      </w:pPr>
    </w:p>
    <w:p w14:paraId="02DCF6B3" w14:textId="77777777" w:rsidR="00571131" w:rsidRDefault="00571131" w:rsidP="00A669D7">
      <w:pPr>
        <w:spacing w:before="0"/>
        <w:ind w:right="42"/>
        <w:rPr>
          <w:szCs w:val="24"/>
        </w:rPr>
      </w:pPr>
    </w:p>
    <w:p w14:paraId="71F0F0DD" w14:textId="77777777" w:rsidR="00571131" w:rsidRDefault="00571131" w:rsidP="00A669D7">
      <w:pPr>
        <w:spacing w:before="0"/>
        <w:ind w:right="42"/>
        <w:rPr>
          <w:szCs w:val="24"/>
        </w:rPr>
      </w:pPr>
    </w:p>
    <w:p w14:paraId="43554533" w14:textId="77777777" w:rsidR="00571131" w:rsidRPr="00B65BF6" w:rsidRDefault="00571131" w:rsidP="00A669D7">
      <w:pPr>
        <w:spacing w:before="0"/>
        <w:ind w:right="42"/>
        <w:rPr>
          <w:szCs w:val="24"/>
        </w:rPr>
      </w:pPr>
    </w:p>
    <w:p w14:paraId="394C8A1F" w14:textId="77777777" w:rsidR="004B67FC" w:rsidRPr="00571131" w:rsidRDefault="00A669D7" w:rsidP="00571131">
      <w:pPr>
        <w:keepNext/>
        <w:keepLines/>
        <w:spacing w:before="0"/>
        <w:ind w:left="6480" w:right="40" w:hanging="1440"/>
        <w:rPr>
          <w:i/>
          <w:szCs w:val="24"/>
        </w:rPr>
      </w:pPr>
      <w:r w:rsidRPr="00B65BF6">
        <w:rPr>
          <w:szCs w:val="24"/>
          <w:u w:val="single"/>
        </w:rPr>
        <w:t>Authority:</w:t>
      </w:r>
      <w:r w:rsidRPr="00B65BF6">
        <w:rPr>
          <w:szCs w:val="24"/>
        </w:rPr>
        <w:tab/>
        <w:t>Section 504(1) of the</w:t>
      </w:r>
      <w:r w:rsidRPr="00B65BF6">
        <w:rPr>
          <w:i/>
          <w:szCs w:val="24"/>
        </w:rPr>
        <w:t xml:space="preserve"> Migration Act 1958</w:t>
      </w:r>
    </w:p>
    <w:p w14:paraId="485BA3DF" w14:textId="77777777" w:rsidR="00DA3BFD" w:rsidRDefault="00DA3BFD" w:rsidP="00C82C75">
      <w:pPr>
        <w:spacing w:before="0"/>
        <w:ind w:right="42"/>
        <w:jc w:val="right"/>
        <w:rPr>
          <w:b/>
          <w:szCs w:val="24"/>
          <w:u w:val="single"/>
        </w:rPr>
      </w:pPr>
      <w:r>
        <w:rPr>
          <w:b/>
          <w:szCs w:val="24"/>
          <w:u w:val="single"/>
        </w:rPr>
        <w:br w:type="page"/>
      </w:r>
    </w:p>
    <w:p w14:paraId="7EAA8F54" w14:textId="77777777" w:rsidR="00B20CF6" w:rsidRDefault="00B20CF6" w:rsidP="00B20CF6">
      <w:pPr>
        <w:spacing w:before="0" w:after="200" w:line="276" w:lineRule="auto"/>
        <w:jc w:val="right"/>
        <w:rPr>
          <w:b/>
          <w:szCs w:val="24"/>
          <w:u w:val="single"/>
        </w:rPr>
      </w:pPr>
      <w:r>
        <w:rPr>
          <w:b/>
          <w:szCs w:val="24"/>
          <w:u w:val="single"/>
        </w:rPr>
        <w:lastRenderedPageBreak/>
        <w:t xml:space="preserve">ATTACHMENT </w:t>
      </w:r>
      <w:r w:rsidR="00C82C75">
        <w:rPr>
          <w:b/>
          <w:szCs w:val="24"/>
          <w:u w:val="single"/>
        </w:rPr>
        <w:t>A</w:t>
      </w:r>
    </w:p>
    <w:p w14:paraId="70498A3D" w14:textId="77777777" w:rsidR="001F384D" w:rsidRPr="001F384D" w:rsidRDefault="00B20CF6" w:rsidP="001F384D">
      <w:pPr>
        <w:pStyle w:val="Heading2"/>
        <w:keepNext w:val="0"/>
        <w:keepLines w:val="0"/>
        <w:spacing w:before="360" w:after="120"/>
        <w:jc w:val="center"/>
        <w:rPr>
          <w:rFonts w:ascii="Times New Roman" w:eastAsiaTheme="minorHAnsi" w:hAnsi="Times New Roman" w:cstheme="minorBidi"/>
          <w:b/>
          <w:color w:val="auto"/>
          <w:sz w:val="28"/>
          <w:szCs w:val="28"/>
          <w:lang w:eastAsia="en-US"/>
        </w:rPr>
      </w:pPr>
      <w:r w:rsidRPr="00B20CF6">
        <w:rPr>
          <w:rFonts w:ascii="Times New Roman" w:eastAsiaTheme="minorHAnsi" w:hAnsi="Times New Roman" w:cstheme="minorBidi"/>
          <w:b/>
          <w:color w:val="auto"/>
          <w:sz w:val="28"/>
          <w:szCs w:val="28"/>
          <w:lang w:eastAsia="en-US"/>
        </w:rPr>
        <w:t>Statement of Compatibility with Human Rights</w:t>
      </w:r>
    </w:p>
    <w:p w14:paraId="504948C2" w14:textId="77777777" w:rsidR="00B20CF6" w:rsidRDefault="00B20CF6" w:rsidP="00B20CF6">
      <w:pPr>
        <w:spacing w:before="120" w:after="120"/>
        <w:jc w:val="center"/>
        <w:rPr>
          <w:rFonts w:eastAsiaTheme="minorHAnsi"/>
          <w:szCs w:val="24"/>
        </w:rPr>
      </w:pPr>
      <w:r>
        <w:rPr>
          <w:i/>
          <w:szCs w:val="24"/>
        </w:rPr>
        <w:t>Prepared in accordance with Part 3 of the Human Rights (Parliamentary Scrutiny) Act 2011</w:t>
      </w:r>
    </w:p>
    <w:p w14:paraId="26792B65" w14:textId="77777777" w:rsidR="00B20CF6" w:rsidRDefault="00B20CF6" w:rsidP="00B20CF6">
      <w:pPr>
        <w:spacing w:before="120" w:after="120"/>
        <w:jc w:val="center"/>
        <w:rPr>
          <w:szCs w:val="24"/>
        </w:rPr>
      </w:pPr>
    </w:p>
    <w:p w14:paraId="11829145" w14:textId="77777777" w:rsidR="00B20CF6" w:rsidRDefault="00F8620B" w:rsidP="00B20CF6">
      <w:pPr>
        <w:spacing w:before="120" w:after="120"/>
        <w:jc w:val="center"/>
        <w:rPr>
          <w:b/>
          <w:szCs w:val="24"/>
        </w:rPr>
      </w:pPr>
      <w:r>
        <w:rPr>
          <w:b/>
          <w:szCs w:val="24"/>
        </w:rPr>
        <w:t>Migration Agents Amendment (CPD</w:t>
      </w:r>
      <w:r w:rsidR="001F384D">
        <w:rPr>
          <w:b/>
          <w:szCs w:val="24"/>
        </w:rPr>
        <w:t xml:space="preserve"> Requirements) Regulations 2019</w:t>
      </w:r>
    </w:p>
    <w:p w14:paraId="590BB3CB" w14:textId="77777777" w:rsidR="00B20CF6" w:rsidRDefault="00B20CF6" w:rsidP="00B20CF6">
      <w:pPr>
        <w:spacing w:before="120" w:after="120"/>
        <w:jc w:val="center"/>
        <w:rPr>
          <w:szCs w:val="24"/>
        </w:rPr>
      </w:pPr>
    </w:p>
    <w:p w14:paraId="30FD67A3" w14:textId="77777777" w:rsidR="00B20CF6" w:rsidRDefault="00B20CF6" w:rsidP="00B20CF6">
      <w:pPr>
        <w:spacing w:before="120" w:after="120"/>
        <w:rPr>
          <w:szCs w:val="24"/>
        </w:rPr>
      </w:pPr>
      <w:r>
        <w:rPr>
          <w:szCs w:val="24"/>
        </w:rPr>
        <w:t xml:space="preserve">This Disallowable Legislative Instrument is compatible with the human rights and freedoms recognised or declared in the international instruments listed in section 3 of the </w:t>
      </w:r>
      <w:r>
        <w:rPr>
          <w:i/>
          <w:szCs w:val="24"/>
        </w:rPr>
        <w:t>Human Rights (Parliamentary Scrutiny) Act 2011</w:t>
      </w:r>
      <w:r>
        <w:rPr>
          <w:szCs w:val="24"/>
        </w:rPr>
        <w:t>.</w:t>
      </w:r>
    </w:p>
    <w:p w14:paraId="047D997B" w14:textId="77777777" w:rsidR="00B20CF6" w:rsidRDefault="00B20CF6" w:rsidP="00B20CF6">
      <w:pPr>
        <w:spacing w:before="120" w:after="120"/>
        <w:rPr>
          <w:szCs w:val="24"/>
        </w:rPr>
      </w:pPr>
    </w:p>
    <w:p w14:paraId="6175BF2D" w14:textId="77777777" w:rsidR="00B20CF6" w:rsidRPr="00B20CF6" w:rsidRDefault="00B20CF6" w:rsidP="00B20CF6">
      <w:pPr>
        <w:pStyle w:val="Heading3"/>
        <w:keepNext w:val="0"/>
        <w:keepLines w:val="0"/>
        <w:spacing w:before="120" w:after="120"/>
        <w:jc w:val="both"/>
        <w:rPr>
          <w:rFonts w:ascii="Times New Roman" w:eastAsiaTheme="minorHAnsi" w:hAnsi="Times New Roman" w:cstheme="minorBidi"/>
          <w:b/>
          <w:color w:val="auto"/>
          <w:lang w:eastAsia="en-US"/>
        </w:rPr>
      </w:pPr>
      <w:r w:rsidRPr="00B20CF6">
        <w:rPr>
          <w:rFonts w:ascii="Times New Roman" w:eastAsiaTheme="minorHAnsi" w:hAnsi="Times New Roman" w:cstheme="minorBidi"/>
          <w:b/>
          <w:color w:val="auto"/>
          <w:lang w:eastAsia="en-US"/>
        </w:rPr>
        <w:t>Overview of the Disallowable Legislative Instrument</w:t>
      </w:r>
    </w:p>
    <w:p w14:paraId="19850279" w14:textId="30A53A98" w:rsidR="005B0964" w:rsidRDefault="005B0964" w:rsidP="005B0964">
      <w:pPr>
        <w:spacing w:beforeLines="120" w:before="288" w:afterLines="120" w:after="288"/>
        <w:ind w:right="91"/>
      </w:pPr>
      <w:r w:rsidRPr="007D666A">
        <w:rPr>
          <w:lang w:val="en"/>
        </w:rPr>
        <w:t xml:space="preserve">The purpose of the </w:t>
      </w:r>
      <w:r w:rsidRPr="007D666A">
        <w:rPr>
          <w:i/>
        </w:rPr>
        <w:t>Migration Agents Amendment (CPD Requirements) Regulations 2019</w:t>
      </w:r>
      <w:r w:rsidRPr="007D666A">
        <w:t xml:space="preserve"> (the </w:t>
      </w:r>
      <w:r>
        <w:t>amendments</w:t>
      </w:r>
      <w:r w:rsidRPr="007D666A">
        <w:t xml:space="preserve">) is to </w:t>
      </w:r>
      <w:r w:rsidRPr="007D666A">
        <w:rPr>
          <w:szCs w:val="24"/>
        </w:rPr>
        <w:t xml:space="preserve">amend the </w:t>
      </w:r>
      <w:r w:rsidRPr="007D666A">
        <w:rPr>
          <w:i/>
          <w:szCs w:val="24"/>
        </w:rPr>
        <w:t>Migration Agents Regulations 1998</w:t>
      </w:r>
      <w:r w:rsidRPr="007D666A">
        <w:rPr>
          <w:szCs w:val="24"/>
        </w:rPr>
        <w:t xml:space="preserve"> (the Regulations) </w:t>
      </w:r>
      <w:r w:rsidRPr="007D666A">
        <w:t>to exempt lawyers who hold practising certificates from continuing professional development (CPD) requirements for migration agents when applying for repeat registration as a migration agent.</w:t>
      </w:r>
      <w:r>
        <w:t xml:space="preserve">  </w:t>
      </w:r>
      <w:r w:rsidR="009B657D">
        <w:t>Prior to these amendments</w:t>
      </w:r>
      <w:r>
        <w:t>, the CPD req</w:t>
      </w:r>
      <w:r w:rsidR="009B657D">
        <w:t>uirements for migration agents we</w:t>
      </w:r>
      <w:r>
        <w:t xml:space="preserve">re </w:t>
      </w:r>
      <w:r w:rsidR="009B657D">
        <w:t>in addition to those lawyers were</w:t>
      </w:r>
      <w:bookmarkStart w:id="0" w:name="_GoBack"/>
      <w:bookmarkEnd w:id="0"/>
      <w:r>
        <w:t xml:space="preserve"> required to undertake for the purposes of holding a practising certificate.</w:t>
      </w:r>
    </w:p>
    <w:p w14:paraId="1EBC9AC0" w14:textId="3CCAC33B" w:rsidR="005B0964" w:rsidRPr="0049264D" w:rsidRDefault="005B0964" w:rsidP="005B0964">
      <w:pPr>
        <w:spacing w:beforeLines="120" w:before="288" w:afterLines="120" w:after="288"/>
      </w:pPr>
      <w:r w:rsidRPr="00251D62">
        <w:t xml:space="preserve">The </w:t>
      </w:r>
      <w:r w:rsidRPr="00251D62">
        <w:rPr>
          <w:i/>
        </w:rPr>
        <w:t>Migration Act 1958</w:t>
      </w:r>
      <w:r>
        <w:rPr>
          <w:i/>
        </w:rPr>
        <w:t xml:space="preserve"> </w:t>
      </w:r>
      <w:r w:rsidRPr="00251D62">
        <w:t>requires that</w:t>
      </w:r>
      <w:r w:rsidRPr="00251D62">
        <w:rPr>
          <w:i/>
        </w:rPr>
        <w:t xml:space="preserve"> </w:t>
      </w:r>
      <w:r w:rsidRPr="00251D62">
        <w:t xml:space="preserve">an individual must be registered with the Migration Agents Registration Authority to provide immigration assistance. When re-registering every 12 months, migration agents are required to satisfy </w:t>
      </w:r>
      <w:r>
        <w:t xml:space="preserve">the </w:t>
      </w:r>
      <w:r w:rsidRPr="00251D62">
        <w:t xml:space="preserve">CPD requirements, made under the </w:t>
      </w:r>
      <w:r w:rsidR="00576634">
        <w:t>Regulations.</w:t>
      </w:r>
    </w:p>
    <w:p w14:paraId="44897378" w14:textId="45459F52" w:rsidR="005B0964" w:rsidRPr="007D666A" w:rsidRDefault="005B0964" w:rsidP="005B0964">
      <w:pPr>
        <w:spacing w:beforeLines="120" w:before="288" w:afterLines="120" w:after="288"/>
        <w:ind w:right="91"/>
      </w:pPr>
      <w:r>
        <w:t>T</w:t>
      </w:r>
      <w:r w:rsidRPr="007D666A">
        <w:t xml:space="preserve">he </w:t>
      </w:r>
      <w:r>
        <w:t>amendments</w:t>
      </w:r>
      <w:r w:rsidRPr="007D666A">
        <w:t xml:space="preserve"> insert new regulation 6A, which </w:t>
      </w:r>
      <w:r>
        <w:t>has</w:t>
      </w:r>
      <w:r w:rsidRPr="007D666A">
        <w:t xml:space="preserve"> the effect of ensuring that registered migration agents who are also lawyers with legal practising certificates </w:t>
      </w:r>
      <w:r>
        <w:t>are</w:t>
      </w:r>
      <w:r w:rsidRPr="007D666A">
        <w:t xml:space="preserve"> not</w:t>
      </w:r>
      <w:r>
        <w:t xml:space="preserve"> </w:t>
      </w:r>
      <w:r w:rsidRPr="007D666A">
        <w:t>required to complete both legal and migration agent CPD requirements.  The note at the end of regulation 6A make</w:t>
      </w:r>
      <w:r>
        <w:t>s</w:t>
      </w:r>
      <w:r w:rsidRPr="007D666A">
        <w:t xml:space="preserve"> it clear that to hold a legal practising certificate, a lawyer must already satisfy CPD requirements of the relevant legal professional association in that </w:t>
      </w:r>
      <w:r w:rsidR="008A3557">
        <w:t xml:space="preserve">Australian </w:t>
      </w:r>
      <w:r w:rsidRPr="007D666A">
        <w:t>State or Territory.</w:t>
      </w:r>
    </w:p>
    <w:p w14:paraId="681F9384" w14:textId="1E39576D" w:rsidR="005B0964" w:rsidRPr="007D666A" w:rsidRDefault="005B0964" w:rsidP="005B0964">
      <w:pPr>
        <w:spacing w:beforeLines="120" w:before="288" w:afterLines="120" w:after="288"/>
        <w:ind w:right="91"/>
      </w:pPr>
      <w:r w:rsidRPr="007D666A">
        <w:t xml:space="preserve">The amendments apply not only from commencement, but also in respect of applications for repeat registration made prior to the commencement of the </w:t>
      </w:r>
      <w:r>
        <w:t>amendments</w:t>
      </w:r>
      <w:r w:rsidRPr="007D666A">
        <w:t>, if no decision on the repeat registration application had been made immediately before the commencement of the prop</w:t>
      </w:r>
      <w:r w:rsidR="00576634">
        <w:t>osed Regulations.</w:t>
      </w:r>
    </w:p>
    <w:p w14:paraId="4F7FE35E" w14:textId="3A0D9BA5" w:rsidR="00B20CF6" w:rsidRPr="00B20CF6" w:rsidRDefault="00B20CF6" w:rsidP="00B20CF6">
      <w:pPr>
        <w:pStyle w:val="Heading3"/>
        <w:keepNext w:val="0"/>
        <w:keepLines w:val="0"/>
        <w:spacing w:before="120" w:after="120"/>
        <w:jc w:val="both"/>
        <w:rPr>
          <w:rFonts w:ascii="Times New Roman" w:eastAsiaTheme="minorHAnsi" w:hAnsi="Times New Roman" w:cstheme="minorBidi"/>
          <w:b/>
          <w:color w:val="auto"/>
          <w:lang w:eastAsia="en-US"/>
        </w:rPr>
      </w:pPr>
      <w:r w:rsidRPr="00B20CF6">
        <w:rPr>
          <w:rFonts w:ascii="Times New Roman" w:eastAsiaTheme="minorHAnsi" w:hAnsi="Times New Roman" w:cstheme="minorBidi"/>
          <w:b/>
          <w:color w:val="auto"/>
          <w:lang w:eastAsia="en-US"/>
        </w:rPr>
        <w:t>Human rights implications</w:t>
      </w:r>
    </w:p>
    <w:p w14:paraId="0C3A1A0A" w14:textId="77777777" w:rsidR="005B0964" w:rsidRDefault="005B0964" w:rsidP="005B0964">
      <w:pPr>
        <w:spacing w:before="120" w:after="120"/>
        <w:rPr>
          <w:szCs w:val="24"/>
        </w:rPr>
      </w:pPr>
      <w:r>
        <w:rPr>
          <w:szCs w:val="24"/>
        </w:rPr>
        <w:t>This Disallowable Legislative Instrument provides for technical amendments and does not engage any of the applicable rights or freedoms.</w:t>
      </w:r>
    </w:p>
    <w:p w14:paraId="78425D18" w14:textId="77777777" w:rsidR="00B20CF6" w:rsidRDefault="00B20CF6" w:rsidP="00B20CF6">
      <w:pPr>
        <w:spacing w:before="120" w:after="120"/>
        <w:rPr>
          <w:szCs w:val="24"/>
        </w:rPr>
      </w:pPr>
    </w:p>
    <w:p w14:paraId="60EFD259" w14:textId="77777777" w:rsidR="005B0964" w:rsidRDefault="005B0964">
      <w:pPr>
        <w:spacing w:before="0" w:after="200" w:line="276" w:lineRule="auto"/>
        <w:rPr>
          <w:rFonts w:eastAsiaTheme="minorHAnsi" w:cstheme="minorBidi"/>
          <w:b/>
          <w:szCs w:val="24"/>
          <w:lang w:eastAsia="en-US"/>
        </w:rPr>
      </w:pPr>
      <w:r>
        <w:rPr>
          <w:rFonts w:eastAsiaTheme="minorHAnsi" w:cstheme="minorBidi"/>
          <w:b/>
          <w:lang w:eastAsia="en-US"/>
        </w:rPr>
        <w:br w:type="page"/>
      </w:r>
    </w:p>
    <w:p w14:paraId="24FA5AA8" w14:textId="78F8194F" w:rsidR="00B20CF6" w:rsidRPr="00B20CF6" w:rsidRDefault="00B20CF6" w:rsidP="00B20CF6">
      <w:pPr>
        <w:pStyle w:val="Heading3"/>
        <w:keepNext w:val="0"/>
        <w:keepLines w:val="0"/>
        <w:spacing w:before="120" w:after="120"/>
        <w:jc w:val="both"/>
        <w:rPr>
          <w:rFonts w:ascii="Times New Roman" w:eastAsiaTheme="minorHAnsi" w:hAnsi="Times New Roman" w:cstheme="minorBidi"/>
          <w:b/>
          <w:color w:val="auto"/>
          <w:lang w:eastAsia="en-US"/>
        </w:rPr>
      </w:pPr>
      <w:r w:rsidRPr="00B20CF6">
        <w:rPr>
          <w:rFonts w:ascii="Times New Roman" w:eastAsiaTheme="minorHAnsi" w:hAnsi="Times New Roman" w:cstheme="minorBidi"/>
          <w:b/>
          <w:color w:val="auto"/>
          <w:lang w:eastAsia="en-US"/>
        </w:rPr>
        <w:lastRenderedPageBreak/>
        <w:t>Conclusion</w:t>
      </w:r>
    </w:p>
    <w:p w14:paraId="4007C188" w14:textId="77777777" w:rsidR="005B0964" w:rsidRDefault="005B0964" w:rsidP="005B0964">
      <w:pPr>
        <w:spacing w:before="120" w:after="120"/>
        <w:rPr>
          <w:szCs w:val="24"/>
        </w:rPr>
      </w:pPr>
      <w:r>
        <w:rPr>
          <w:szCs w:val="24"/>
        </w:rPr>
        <w:t>This Disallowable Legislative Instrument is compatible with human rights as it does not raise any human rights issues.</w:t>
      </w:r>
    </w:p>
    <w:p w14:paraId="1B224B85" w14:textId="77777777" w:rsidR="00B20CF6" w:rsidRDefault="00B20CF6" w:rsidP="00B20CF6">
      <w:pPr>
        <w:spacing w:before="120" w:after="120"/>
        <w:rPr>
          <w:szCs w:val="24"/>
        </w:rPr>
      </w:pPr>
    </w:p>
    <w:p w14:paraId="0DB7F553" w14:textId="77777777" w:rsidR="00B20CF6" w:rsidRDefault="00B20CF6" w:rsidP="00B20CF6">
      <w:pPr>
        <w:jc w:val="center"/>
        <w:rPr>
          <w:b/>
          <w:bCs/>
          <w:szCs w:val="24"/>
        </w:rPr>
      </w:pPr>
      <w:r>
        <w:rPr>
          <w:b/>
          <w:bCs/>
          <w:szCs w:val="24"/>
        </w:rPr>
        <w:t>The Hon David Coleman MP</w:t>
      </w:r>
    </w:p>
    <w:p w14:paraId="654B39FB" w14:textId="77777777" w:rsidR="00B20CF6" w:rsidRDefault="00B20CF6" w:rsidP="00B20CF6">
      <w:pPr>
        <w:spacing w:before="120" w:after="120"/>
        <w:jc w:val="center"/>
        <w:rPr>
          <w:rFonts w:eastAsiaTheme="minorHAnsi" w:cstheme="minorBidi"/>
          <w:szCs w:val="24"/>
          <w:lang w:eastAsia="en-US"/>
        </w:rPr>
      </w:pPr>
      <w:r>
        <w:rPr>
          <w:b/>
          <w:bCs/>
          <w:szCs w:val="24"/>
        </w:rPr>
        <w:t>Minister for Immigration, Citizenship and Multicultural Affairs</w:t>
      </w:r>
    </w:p>
    <w:p w14:paraId="11FC414E" w14:textId="77777777" w:rsidR="00B20CF6" w:rsidRDefault="00B20CF6">
      <w:pPr>
        <w:spacing w:before="0" w:after="200" w:line="276" w:lineRule="auto"/>
        <w:rPr>
          <w:b/>
          <w:szCs w:val="24"/>
          <w:u w:val="single"/>
        </w:rPr>
      </w:pPr>
    </w:p>
    <w:p w14:paraId="15620F20" w14:textId="77777777" w:rsidR="00B20CF6" w:rsidRDefault="00B20CF6">
      <w:pPr>
        <w:spacing w:before="0" w:after="200" w:line="276" w:lineRule="auto"/>
        <w:rPr>
          <w:b/>
          <w:szCs w:val="24"/>
          <w:u w:val="single"/>
        </w:rPr>
      </w:pPr>
      <w:r>
        <w:rPr>
          <w:b/>
          <w:szCs w:val="24"/>
          <w:u w:val="single"/>
        </w:rPr>
        <w:br w:type="page"/>
      </w:r>
    </w:p>
    <w:p w14:paraId="6DEB0488" w14:textId="77777777" w:rsidR="004B67FC" w:rsidRPr="00F61976" w:rsidRDefault="004B67FC" w:rsidP="004B67FC">
      <w:pPr>
        <w:tabs>
          <w:tab w:val="left" w:pos="345"/>
        </w:tabs>
        <w:spacing w:before="100" w:beforeAutospacing="1"/>
        <w:ind w:right="43"/>
        <w:contextualSpacing/>
        <w:jc w:val="right"/>
        <w:rPr>
          <w:b/>
          <w:szCs w:val="24"/>
          <w:u w:val="single"/>
        </w:rPr>
      </w:pPr>
      <w:r w:rsidRPr="00F61976">
        <w:rPr>
          <w:b/>
          <w:szCs w:val="24"/>
          <w:u w:val="single"/>
        </w:rPr>
        <w:lastRenderedPageBreak/>
        <w:t>ATTACHMENT</w:t>
      </w:r>
      <w:r w:rsidR="00DA3BFD">
        <w:rPr>
          <w:b/>
          <w:szCs w:val="24"/>
          <w:u w:val="single"/>
        </w:rPr>
        <w:t xml:space="preserve"> </w:t>
      </w:r>
      <w:r w:rsidR="00C82C75">
        <w:rPr>
          <w:b/>
          <w:szCs w:val="24"/>
          <w:u w:val="single"/>
        </w:rPr>
        <w:t>B</w:t>
      </w:r>
    </w:p>
    <w:p w14:paraId="6C19C14D" w14:textId="77777777" w:rsidR="004B67FC" w:rsidRPr="00F61976" w:rsidRDefault="004B67FC" w:rsidP="004B67FC">
      <w:pPr>
        <w:tabs>
          <w:tab w:val="left" w:pos="345"/>
        </w:tabs>
        <w:spacing w:before="100" w:beforeAutospacing="1"/>
        <w:ind w:right="43"/>
        <w:contextualSpacing/>
        <w:jc w:val="right"/>
        <w:rPr>
          <w:b/>
          <w:szCs w:val="24"/>
          <w:u w:val="single"/>
        </w:rPr>
      </w:pPr>
    </w:p>
    <w:p w14:paraId="33199664" w14:textId="77777777" w:rsidR="004B67FC" w:rsidRPr="00F61976" w:rsidRDefault="004B67FC" w:rsidP="004B67FC">
      <w:pPr>
        <w:spacing w:before="0"/>
        <w:ind w:right="91"/>
        <w:rPr>
          <w:b/>
          <w:i/>
          <w:u w:val="single"/>
        </w:rPr>
      </w:pPr>
      <w:r w:rsidRPr="00F61976">
        <w:rPr>
          <w:b/>
          <w:u w:val="single"/>
        </w:rPr>
        <w:t xml:space="preserve">Details of the </w:t>
      </w:r>
      <w:r w:rsidR="00DA10E7">
        <w:rPr>
          <w:b/>
          <w:i/>
          <w:u w:val="single"/>
        </w:rPr>
        <w:t>Migration Agents Amendment (CPD Requirements)</w:t>
      </w:r>
      <w:r>
        <w:rPr>
          <w:b/>
          <w:i/>
          <w:u w:val="single"/>
        </w:rPr>
        <w:t xml:space="preserve"> Regulations 2019</w:t>
      </w:r>
    </w:p>
    <w:p w14:paraId="77AB580F" w14:textId="77777777" w:rsidR="004B67FC" w:rsidRPr="00F61976" w:rsidRDefault="004B67FC" w:rsidP="004B67FC">
      <w:pPr>
        <w:pStyle w:val="ItemHead"/>
        <w:keepNext w:val="0"/>
        <w:keepLines w:val="0"/>
        <w:widowControl w:val="0"/>
        <w:rPr>
          <w:rFonts w:ascii="Times New Roman" w:hAnsi="Times New Roman"/>
          <w:b w:val="0"/>
          <w:szCs w:val="24"/>
          <w:u w:val="single"/>
        </w:rPr>
      </w:pPr>
      <w:bookmarkStart w:id="1" w:name="_Toc505262124"/>
      <w:bookmarkStart w:id="2" w:name="opcAmSched"/>
      <w:bookmarkStart w:id="3" w:name="opcCurrentFind"/>
      <w:r>
        <w:rPr>
          <w:rFonts w:ascii="Times New Roman" w:hAnsi="Times New Roman"/>
          <w:b w:val="0"/>
          <w:szCs w:val="24"/>
          <w:u w:val="single"/>
        </w:rPr>
        <w:t>Section</w:t>
      </w:r>
      <w:r w:rsidRPr="00F61976">
        <w:rPr>
          <w:rFonts w:ascii="Times New Roman" w:hAnsi="Times New Roman"/>
          <w:b w:val="0"/>
          <w:szCs w:val="24"/>
          <w:u w:val="single"/>
        </w:rPr>
        <w:t xml:space="preserve"> 1 – Name</w:t>
      </w:r>
    </w:p>
    <w:p w14:paraId="035E4092" w14:textId="77777777" w:rsidR="004B67FC" w:rsidRPr="00F61976" w:rsidRDefault="004B67FC" w:rsidP="004B67FC">
      <w:pPr>
        <w:spacing w:before="0"/>
        <w:ind w:right="91"/>
      </w:pPr>
    </w:p>
    <w:p w14:paraId="51DFE419" w14:textId="77777777" w:rsidR="004B67FC" w:rsidRDefault="004B67FC" w:rsidP="004B67FC">
      <w:pPr>
        <w:spacing w:before="0"/>
        <w:ind w:right="91"/>
      </w:pPr>
      <w:r w:rsidRPr="00F61976">
        <w:t xml:space="preserve">This </w:t>
      </w:r>
      <w:r>
        <w:t>section</w:t>
      </w:r>
      <w:r w:rsidRPr="00F61976">
        <w:t xml:space="preserve"> provides that the </w:t>
      </w:r>
      <w:r>
        <w:t xml:space="preserve">title of the Regulations is the </w:t>
      </w:r>
      <w:r w:rsidRPr="00204D02">
        <w:rPr>
          <w:i/>
        </w:rPr>
        <w:t xml:space="preserve">Migration </w:t>
      </w:r>
      <w:r w:rsidR="004D0B12">
        <w:rPr>
          <w:i/>
        </w:rPr>
        <w:t xml:space="preserve">Agents </w:t>
      </w:r>
      <w:r w:rsidRPr="00204D02">
        <w:rPr>
          <w:i/>
        </w:rPr>
        <w:t xml:space="preserve">Amendment </w:t>
      </w:r>
      <w:r w:rsidR="004D0B12">
        <w:rPr>
          <w:i/>
        </w:rPr>
        <w:t xml:space="preserve">(CPD Requirements) </w:t>
      </w:r>
      <w:r w:rsidRPr="00204D02">
        <w:rPr>
          <w:i/>
        </w:rPr>
        <w:t>Regulations 2019</w:t>
      </w:r>
      <w:r w:rsidR="004D0B12">
        <w:t xml:space="preserve"> (the Regulations).</w:t>
      </w:r>
    </w:p>
    <w:p w14:paraId="153E82BA" w14:textId="77777777" w:rsidR="004B67FC" w:rsidRPr="00F61976" w:rsidRDefault="004B67FC" w:rsidP="004B67FC">
      <w:pPr>
        <w:rPr>
          <w:b/>
          <w:szCs w:val="24"/>
          <w:u w:val="single"/>
        </w:rPr>
      </w:pPr>
      <w:r>
        <w:rPr>
          <w:szCs w:val="24"/>
          <w:u w:val="single"/>
        </w:rPr>
        <w:t>Section</w:t>
      </w:r>
      <w:r w:rsidRPr="00F61976">
        <w:rPr>
          <w:szCs w:val="24"/>
          <w:u w:val="single"/>
        </w:rPr>
        <w:t xml:space="preserve"> 2 – Commencement</w:t>
      </w:r>
    </w:p>
    <w:p w14:paraId="1A29E5C6" w14:textId="77777777" w:rsidR="00BC01DD" w:rsidRDefault="00BC01DD" w:rsidP="00BC01DD">
      <w:pPr>
        <w:pStyle w:val="Default"/>
      </w:pPr>
    </w:p>
    <w:p w14:paraId="5460AC5A" w14:textId="77777777" w:rsidR="00BC01DD" w:rsidRDefault="00BC01DD" w:rsidP="00BC01DD">
      <w:pPr>
        <w:pStyle w:val="Default"/>
      </w:pPr>
      <w:r w:rsidRPr="00562124">
        <w:t>Subsection 2(1) provides that each provision of the Regulation</w:t>
      </w:r>
      <w:r>
        <w:t>s</w:t>
      </w:r>
      <w:r w:rsidRPr="00562124">
        <w:t xml:space="preserve"> specified in column 1 of the table commences, or is taken to have commenced, in accordance with column 2 of the table. </w:t>
      </w:r>
      <w:r w:rsidR="004D0B12">
        <w:t xml:space="preserve"> </w:t>
      </w:r>
      <w:r w:rsidRPr="00562124">
        <w:t>Any other statement in column 2 has</w:t>
      </w:r>
      <w:r w:rsidR="004D0B12">
        <w:t xml:space="preserve"> effect according to its terms.</w:t>
      </w:r>
    </w:p>
    <w:p w14:paraId="1BC0E738" w14:textId="77777777" w:rsidR="00BC01DD" w:rsidRDefault="00BC01DD" w:rsidP="00BC01DD">
      <w:pPr>
        <w:pStyle w:val="Default"/>
      </w:pPr>
    </w:p>
    <w:p w14:paraId="5272FFBF" w14:textId="77777777" w:rsidR="00426991" w:rsidRDefault="00BC01DD" w:rsidP="00426991">
      <w:pPr>
        <w:tabs>
          <w:tab w:val="left" w:pos="6521"/>
        </w:tabs>
        <w:spacing w:before="0"/>
        <w:ind w:right="521"/>
        <w:rPr>
          <w:szCs w:val="24"/>
        </w:rPr>
      </w:pPr>
      <w:r w:rsidRPr="00562124">
        <w:t xml:space="preserve">The table states that </w:t>
      </w:r>
      <w:r>
        <w:t>the whole of the instrument</w:t>
      </w:r>
      <w:r w:rsidRPr="00562124">
        <w:t xml:space="preserve"> commences on </w:t>
      </w:r>
      <w:r w:rsidR="00426991">
        <w:rPr>
          <w:szCs w:val="24"/>
        </w:rPr>
        <w:t>the day after the instrument is registered.</w:t>
      </w:r>
    </w:p>
    <w:p w14:paraId="20CA2944" w14:textId="77777777" w:rsidR="00BC01DD" w:rsidRDefault="00BC01DD" w:rsidP="00BC01DD">
      <w:pPr>
        <w:pStyle w:val="Default"/>
      </w:pPr>
    </w:p>
    <w:p w14:paraId="069DD83E" w14:textId="77777777" w:rsidR="00BC01DD" w:rsidRDefault="00BC01DD" w:rsidP="00BC01DD">
      <w:pPr>
        <w:pStyle w:val="Default"/>
      </w:pPr>
      <w:r w:rsidRPr="00562124">
        <w:t xml:space="preserve">A note clarifies that this table relates only to the provisions of this instrument as originally made. </w:t>
      </w:r>
      <w:r w:rsidR="004D0B12">
        <w:t xml:space="preserve"> </w:t>
      </w:r>
      <w:r w:rsidRPr="00562124">
        <w:t>It will not be amended</w:t>
      </w:r>
      <w:r>
        <w:t xml:space="preserve"> to deal with any later amendments of this instrument.</w:t>
      </w:r>
    </w:p>
    <w:p w14:paraId="707D8163" w14:textId="77777777" w:rsidR="00BC01DD" w:rsidRDefault="00BC01DD" w:rsidP="00BC01DD">
      <w:pPr>
        <w:pStyle w:val="Default"/>
      </w:pPr>
    </w:p>
    <w:p w14:paraId="19D99C04" w14:textId="77777777" w:rsidR="00BC01DD" w:rsidRDefault="00BC01DD" w:rsidP="00BC01DD">
      <w:pPr>
        <w:pStyle w:val="Default"/>
      </w:pPr>
      <w:r>
        <w:t xml:space="preserve">Subsection 2(2) provides that any information in column 3 of the table is not part of the Regulations. </w:t>
      </w:r>
      <w:r w:rsidR="004D0B12">
        <w:t xml:space="preserve"> </w:t>
      </w:r>
      <w:r>
        <w:t xml:space="preserve">Information may be inserted in this column, or information in it may be edited, in any published version of this instrument. </w:t>
      </w:r>
      <w:r w:rsidR="004D0B12">
        <w:t xml:space="preserve"> </w:t>
      </w:r>
      <w:r>
        <w:t>Column 3 of the table provides the date/details of the commencement date.</w:t>
      </w:r>
    </w:p>
    <w:p w14:paraId="4C431267" w14:textId="77777777" w:rsidR="00BC01DD" w:rsidRDefault="00BC01DD" w:rsidP="00BC01DD">
      <w:pPr>
        <w:pStyle w:val="Default"/>
      </w:pPr>
    </w:p>
    <w:p w14:paraId="4425E829" w14:textId="77777777" w:rsidR="00BC01DD" w:rsidRPr="00B87B61" w:rsidRDefault="00BC01DD" w:rsidP="00BC01DD">
      <w:pPr>
        <w:tabs>
          <w:tab w:val="left" w:pos="8364"/>
        </w:tabs>
        <w:spacing w:before="0"/>
        <w:ind w:right="84"/>
        <w:rPr>
          <w:szCs w:val="24"/>
        </w:rPr>
      </w:pPr>
      <w:r w:rsidRPr="00D005F0">
        <w:rPr>
          <w:szCs w:val="24"/>
        </w:rPr>
        <w:t>The purpose of this section is to provide for when the amendments made by the Regulation</w:t>
      </w:r>
      <w:r>
        <w:rPr>
          <w:szCs w:val="24"/>
        </w:rPr>
        <w:t>s </w:t>
      </w:r>
      <w:r w:rsidRPr="00D005F0">
        <w:rPr>
          <w:szCs w:val="24"/>
        </w:rPr>
        <w:t>commence</w:t>
      </w:r>
      <w:r w:rsidRPr="00B87B61">
        <w:rPr>
          <w:szCs w:val="24"/>
        </w:rPr>
        <w:t>.</w:t>
      </w:r>
    </w:p>
    <w:p w14:paraId="7D485890" w14:textId="77777777" w:rsidR="004B67FC" w:rsidRPr="00F61976" w:rsidRDefault="004B67FC" w:rsidP="004B67FC">
      <w:pPr>
        <w:rPr>
          <w:b/>
          <w:szCs w:val="24"/>
          <w:u w:val="single"/>
        </w:rPr>
      </w:pPr>
      <w:r>
        <w:rPr>
          <w:szCs w:val="24"/>
          <w:u w:val="single"/>
        </w:rPr>
        <w:t>Section</w:t>
      </w:r>
      <w:r w:rsidRPr="00F61976">
        <w:rPr>
          <w:szCs w:val="24"/>
          <w:u w:val="single"/>
        </w:rPr>
        <w:t xml:space="preserve"> 3 – Authority</w:t>
      </w:r>
    </w:p>
    <w:p w14:paraId="5B7A8D30" w14:textId="77777777" w:rsidR="004B67FC" w:rsidRPr="003458C5" w:rsidRDefault="004B67FC" w:rsidP="004B67FC">
      <w:pPr>
        <w:rPr>
          <w:rFonts w:eastAsia="SimSun"/>
          <w:szCs w:val="24"/>
        </w:rPr>
      </w:pPr>
      <w:r w:rsidRPr="003458C5">
        <w:rPr>
          <w:rFonts w:eastAsia="SimSun"/>
          <w:szCs w:val="24"/>
        </w:rPr>
        <w:t xml:space="preserve">This section provides that the </w:t>
      </w:r>
      <w:r>
        <w:rPr>
          <w:rFonts w:eastAsia="SimSun"/>
          <w:szCs w:val="24"/>
        </w:rPr>
        <w:t>Regulations are</w:t>
      </w:r>
      <w:r w:rsidRPr="003458C5">
        <w:rPr>
          <w:rFonts w:eastAsia="SimSun"/>
          <w:szCs w:val="24"/>
        </w:rPr>
        <w:t xml:space="preserve"> made under the </w:t>
      </w:r>
      <w:r w:rsidRPr="009B61FF">
        <w:rPr>
          <w:rFonts w:eastAsia="SimSun"/>
          <w:i/>
          <w:szCs w:val="24"/>
        </w:rPr>
        <w:t>Migration Act 1958</w:t>
      </w:r>
      <w:r>
        <w:rPr>
          <w:rFonts w:eastAsia="SimSun"/>
          <w:i/>
          <w:szCs w:val="24"/>
        </w:rPr>
        <w:t xml:space="preserve"> </w:t>
      </w:r>
      <w:r>
        <w:rPr>
          <w:rFonts w:eastAsia="SimSun"/>
          <w:szCs w:val="24"/>
        </w:rPr>
        <w:t>(the Migration Act)</w:t>
      </w:r>
      <w:r w:rsidRPr="009B61FF">
        <w:rPr>
          <w:rFonts w:eastAsia="SimSun"/>
          <w:i/>
          <w:szCs w:val="24"/>
        </w:rPr>
        <w:t>.</w:t>
      </w:r>
    </w:p>
    <w:p w14:paraId="07875477" w14:textId="77777777" w:rsidR="004B67FC" w:rsidRPr="00580EBA" w:rsidRDefault="004B67FC" w:rsidP="004B67FC">
      <w:pPr>
        <w:rPr>
          <w:rFonts w:eastAsia="SimSun"/>
          <w:szCs w:val="24"/>
          <w:u w:val="single"/>
        </w:rPr>
      </w:pPr>
      <w:r>
        <w:rPr>
          <w:rFonts w:eastAsia="SimSun"/>
          <w:szCs w:val="24"/>
          <w:u w:val="single"/>
        </w:rPr>
        <w:t>Section 4 – Schedules</w:t>
      </w:r>
    </w:p>
    <w:p w14:paraId="6DC00D87" w14:textId="77777777" w:rsidR="004B67FC" w:rsidRPr="009B61FF" w:rsidRDefault="004B67FC" w:rsidP="004B67FC">
      <w:pPr>
        <w:rPr>
          <w:szCs w:val="24"/>
        </w:rPr>
      </w:pPr>
      <w:r w:rsidRPr="009B61FF">
        <w:rPr>
          <w:szCs w:val="24"/>
        </w:rPr>
        <w:t>The purpose of this section is to provide for how the amendments in these Regulations operate.</w:t>
      </w:r>
    </w:p>
    <w:p w14:paraId="7BD3EC00" w14:textId="77777777" w:rsidR="00BC01DD" w:rsidRDefault="00BC01DD">
      <w:pPr>
        <w:spacing w:before="0" w:after="200" w:line="276" w:lineRule="auto"/>
        <w:rPr>
          <w:b/>
          <w:szCs w:val="24"/>
          <w:u w:val="single"/>
        </w:rPr>
      </w:pPr>
      <w:bookmarkStart w:id="4" w:name="_Toc505262125"/>
      <w:bookmarkEnd w:id="1"/>
      <w:bookmarkEnd w:id="2"/>
      <w:bookmarkEnd w:id="3"/>
      <w:r>
        <w:rPr>
          <w:b/>
          <w:szCs w:val="24"/>
          <w:u w:val="single"/>
        </w:rPr>
        <w:br w:type="page"/>
      </w:r>
    </w:p>
    <w:p w14:paraId="0C11B4DD" w14:textId="77777777" w:rsidR="004B67FC" w:rsidRPr="003458C5" w:rsidRDefault="004B67FC" w:rsidP="00FE4918">
      <w:pPr>
        <w:rPr>
          <w:b/>
          <w:szCs w:val="24"/>
          <w:u w:val="single"/>
        </w:rPr>
      </w:pPr>
      <w:r w:rsidRPr="009B61FF">
        <w:rPr>
          <w:b/>
          <w:szCs w:val="24"/>
          <w:u w:val="single"/>
        </w:rPr>
        <w:lastRenderedPageBreak/>
        <w:t xml:space="preserve">Schedule </w:t>
      </w:r>
      <w:r>
        <w:rPr>
          <w:b/>
          <w:szCs w:val="24"/>
          <w:u w:val="single"/>
        </w:rPr>
        <w:t>1 – Amendments</w:t>
      </w:r>
      <w:bookmarkEnd w:id="4"/>
    </w:p>
    <w:p w14:paraId="1E543550" w14:textId="77777777" w:rsidR="004B67FC" w:rsidRPr="0064110F" w:rsidRDefault="004B67FC" w:rsidP="00FE4918">
      <w:pPr>
        <w:rPr>
          <w:b/>
          <w:i/>
          <w:szCs w:val="24"/>
        </w:rPr>
      </w:pPr>
      <w:bookmarkStart w:id="5" w:name="_Toc505262126"/>
      <w:r w:rsidRPr="0064110F">
        <w:rPr>
          <w:b/>
          <w:i/>
          <w:szCs w:val="24"/>
        </w:rPr>
        <w:t xml:space="preserve">Migration </w:t>
      </w:r>
      <w:r w:rsidR="004D0B12">
        <w:rPr>
          <w:b/>
          <w:i/>
          <w:szCs w:val="24"/>
        </w:rPr>
        <w:t xml:space="preserve">Agents </w:t>
      </w:r>
      <w:r w:rsidRPr="0064110F">
        <w:rPr>
          <w:b/>
          <w:i/>
          <w:szCs w:val="24"/>
        </w:rPr>
        <w:t>Regulations 199</w:t>
      </w:r>
      <w:bookmarkEnd w:id="5"/>
      <w:r w:rsidR="004D0B12">
        <w:rPr>
          <w:b/>
          <w:i/>
          <w:szCs w:val="24"/>
        </w:rPr>
        <w:t>8</w:t>
      </w:r>
    </w:p>
    <w:p w14:paraId="1F8E0C4A" w14:textId="77777777" w:rsidR="004B67FC" w:rsidRPr="006817B4" w:rsidRDefault="004B67FC" w:rsidP="00FE4918">
      <w:r>
        <w:rPr>
          <w:u w:val="single"/>
        </w:rPr>
        <w:t xml:space="preserve">Item </w:t>
      </w:r>
      <w:r w:rsidR="004D0B12">
        <w:rPr>
          <w:u w:val="single"/>
        </w:rPr>
        <w:t>1 – After regulation 6</w:t>
      </w:r>
    </w:p>
    <w:p w14:paraId="277A3EA3" w14:textId="77777777" w:rsidR="008367C9" w:rsidRDefault="008367C9" w:rsidP="008367C9">
      <w:pPr>
        <w:keepNext/>
        <w:keepLines/>
        <w:spacing w:before="0"/>
        <w:ind w:right="91"/>
        <w:rPr>
          <w:lang w:val="en"/>
        </w:rPr>
      </w:pPr>
    </w:p>
    <w:p w14:paraId="17C1BF32" w14:textId="01BA5C46" w:rsidR="00D504EE" w:rsidRDefault="00D504EE" w:rsidP="00D504EE">
      <w:pPr>
        <w:keepNext/>
        <w:keepLines/>
        <w:spacing w:before="0"/>
        <w:ind w:right="91"/>
      </w:pPr>
      <w:r>
        <w:rPr>
          <w:lang w:val="en"/>
        </w:rPr>
        <w:t xml:space="preserve">This </w:t>
      </w:r>
      <w:r>
        <w:t xml:space="preserve">item amends the </w:t>
      </w:r>
      <w:r>
        <w:rPr>
          <w:i/>
        </w:rPr>
        <w:t xml:space="preserve">Migration Agents Regulations 1998 </w:t>
      </w:r>
      <w:r>
        <w:t>(the M</w:t>
      </w:r>
      <w:r w:rsidR="00B62009">
        <w:t xml:space="preserve">igration Agents Regulations) by </w:t>
      </w:r>
      <w:r>
        <w:t>insert</w:t>
      </w:r>
      <w:r w:rsidR="00B62009">
        <w:t>ing</w:t>
      </w:r>
      <w:r>
        <w:t xml:space="preserve"> new regulation 6A</w:t>
      </w:r>
      <w:r w:rsidR="003F7553">
        <w:t xml:space="preserve"> to </w:t>
      </w:r>
      <w:r>
        <w:t xml:space="preserve">provide that regulation 6, </w:t>
      </w:r>
      <w:r w:rsidR="003F7553">
        <w:t xml:space="preserve">which outlines </w:t>
      </w:r>
      <w:r>
        <w:t>continuing professional development (CPD) requirements of a registered migration agent who makes an application for repeat registration, does not apply in relation to an application for repeat registration by a registered migration agent if, at the time of making the application, the applicant is a lawyer who holds a current practising certificate</w:t>
      </w:r>
      <w:r w:rsidR="006F367D">
        <w:t xml:space="preserve"> </w:t>
      </w:r>
      <w:r w:rsidR="006F367D" w:rsidRPr="006F367D">
        <w:t>granted under a law of a</w:t>
      </w:r>
      <w:r w:rsidR="008A3557">
        <w:t>n Australian</w:t>
      </w:r>
      <w:r w:rsidR="006F367D" w:rsidRPr="006F367D">
        <w:t xml:space="preserve"> State or Territory</w:t>
      </w:r>
      <w:r>
        <w:t>.</w:t>
      </w:r>
    </w:p>
    <w:p w14:paraId="7ED09BAE" w14:textId="77777777" w:rsidR="00D504EE" w:rsidRDefault="00D504EE" w:rsidP="00D504EE">
      <w:pPr>
        <w:keepNext/>
        <w:keepLines/>
        <w:spacing w:before="0"/>
        <w:ind w:right="91"/>
      </w:pPr>
    </w:p>
    <w:p w14:paraId="23F15D18" w14:textId="202BA59C" w:rsidR="003F7553" w:rsidRDefault="00D504EE" w:rsidP="003F7553">
      <w:pPr>
        <w:keepNext/>
        <w:keepLines/>
        <w:spacing w:before="0"/>
        <w:ind w:right="91"/>
      </w:pPr>
      <w:r>
        <w:t xml:space="preserve">New regulation 6A has the effect of ensuring that registered migration agents who are also lawyers with legal practising certificates are not required to complete both legal and migration agent CPD requirements.  The note at the end of new regulation 6A makes it clear that to hold a legal practising certificate, a lawyer must satisfy </w:t>
      </w:r>
      <w:r w:rsidR="006F367D">
        <w:t xml:space="preserve">the </w:t>
      </w:r>
      <w:r>
        <w:t xml:space="preserve">CPD requirements of the relevant legal professional association in </w:t>
      </w:r>
      <w:r w:rsidR="006F367D">
        <w:t>the relevant</w:t>
      </w:r>
      <w:r>
        <w:t xml:space="preserve"> State or Territory.</w:t>
      </w:r>
    </w:p>
    <w:p w14:paraId="7D8D375C" w14:textId="77777777" w:rsidR="003F7553" w:rsidRDefault="003F7553" w:rsidP="003F7553">
      <w:pPr>
        <w:keepNext/>
        <w:keepLines/>
        <w:spacing w:before="0"/>
        <w:ind w:right="91"/>
      </w:pPr>
    </w:p>
    <w:p w14:paraId="2D91B5DD" w14:textId="46A577FC" w:rsidR="004B67FC" w:rsidRDefault="004D0B12" w:rsidP="003F7553">
      <w:pPr>
        <w:keepNext/>
        <w:keepLines/>
        <w:spacing w:before="0"/>
        <w:ind w:right="91"/>
        <w:rPr>
          <w:szCs w:val="24"/>
          <w:u w:val="single"/>
        </w:rPr>
      </w:pPr>
      <w:r>
        <w:rPr>
          <w:szCs w:val="24"/>
          <w:u w:val="single"/>
        </w:rPr>
        <w:t xml:space="preserve">Item 2 </w:t>
      </w:r>
      <w:r w:rsidR="004B67FC" w:rsidRPr="00F61976">
        <w:rPr>
          <w:szCs w:val="24"/>
          <w:u w:val="single"/>
        </w:rPr>
        <w:t xml:space="preserve">– </w:t>
      </w:r>
      <w:r w:rsidR="009E7D9B">
        <w:rPr>
          <w:szCs w:val="24"/>
          <w:u w:val="single"/>
        </w:rPr>
        <w:t xml:space="preserve">In the appropriate position in </w:t>
      </w:r>
      <w:r>
        <w:rPr>
          <w:szCs w:val="24"/>
          <w:u w:val="single"/>
        </w:rPr>
        <w:t>Part 5</w:t>
      </w:r>
    </w:p>
    <w:p w14:paraId="49FAB96C" w14:textId="77777777" w:rsidR="00DF558B" w:rsidRPr="00DF558B" w:rsidRDefault="00DF558B" w:rsidP="003F7553">
      <w:pPr>
        <w:keepNext/>
        <w:keepLines/>
        <w:spacing w:before="0"/>
        <w:ind w:right="91"/>
      </w:pPr>
    </w:p>
    <w:p w14:paraId="32A851C8" w14:textId="77777777" w:rsidR="00BE0E3F" w:rsidRDefault="003F7553" w:rsidP="008C335A">
      <w:pPr>
        <w:spacing w:before="0"/>
      </w:pPr>
      <w:r>
        <w:t>This item inserts new regulation 23</w:t>
      </w:r>
      <w:r w:rsidR="00232F20">
        <w:t xml:space="preserve"> in new Division 5 of </w:t>
      </w:r>
      <w:r>
        <w:t>Part 5 (Transitional Provisions) to the Migration Agents</w:t>
      </w:r>
      <w:r w:rsidR="003C3327">
        <w:t xml:space="preserve"> </w:t>
      </w:r>
      <w:r w:rsidR="00232F20">
        <w:t xml:space="preserve">Regulations, and makes transitional </w:t>
      </w:r>
      <w:r w:rsidR="004B67FC">
        <w:t>provisions in respect of the amendments made by these Regulations.</w:t>
      </w:r>
    </w:p>
    <w:p w14:paraId="7E562E8F" w14:textId="77777777" w:rsidR="008C335A" w:rsidRDefault="008C335A" w:rsidP="008C335A">
      <w:pPr>
        <w:spacing w:before="0"/>
      </w:pPr>
    </w:p>
    <w:p w14:paraId="4B451A09" w14:textId="2FEA9DED" w:rsidR="00A669D7" w:rsidRPr="004D0B12" w:rsidRDefault="00232F20" w:rsidP="008C335A">
      <w:pPr>
        <w:spacing w:before="0"/>
      </w:pPr>
      <w:r>
        <w:t>New regulation 23 provides</w:t>
      </w:r>
      <w:r w:rsidR="00DF558B">
        <w:t xml:space="preserve"> for the amendments </w:t>
      </w:r>
      <w:r>
        <w:t>to apply not only from commencement, but also in respect of applications for repeat registration made prior to the commencement of the Regulations, if no decision on the repeat registration application had been made immediately before the commencement of the Regulations.  This will benefit those lawyers with practising certificates who have already lodged an application for repeat registration as a migration agent</w:t>
      </w:r>
      <w:r w:rsidR="00576634">
        <w:t>.</w:t>
      </w:r>
    </w:p>
    <w:sectPr w:rsidR="00A669D7" w:rsidRPr="004D0B1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D44A02"/>
    <w:multiLevelType w:val="hybridMultilevel"/>
    <w:tmpl w:val="EB304626"/>
    <w:lvl w:ilvl="0" w:tplc="B492EDD6">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 w15:restartNumberingAfterBreak="0">
    <w:nsid w:val="129A4670"/>
    <w:multiLevelType w:val="hybridMultilevel"/>
    <w:tmpl w:val="E44014DE"/>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 w15:restartNumberingAfterBreak="0">
    <w:nsid w:val="15B44FDE"/>
    <w:multiLevelType w:val="singleLevel"/>
    <w:tmpl w:val="4350A1D6"/>
    <w:lvl w:ilvl="0">
      <w:start w:val="2"/>
      <w:numFmt w:val="decimal"/>
      <w:pStyle w:val="DINumberedParagraph"/>
      <w:lvlText w:val="%1."/>
      <w:lvlJc w:val="left"/>
      <w:pPr>
        <w:tabs>
          <w:tab w:val="num" w:pos="360"/>
        </w:tabs>
        <w:ind w:left="0" w:firstLine="0"/>
      </w:pPr>
    </w:lvl>
  </w:abstractNum>
  <w:abstractNum w:abstractNumId="3" w15:restartNumberingAfterBreak="0">
    <w:nsid w:val="1F907E0E"/>
    <w:multiLevelType w:val="hybridMultilevel"/>
    <w:tmpl w:val="2C867DD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15:restartNumberingAfterBreak="0">
    <w:nsid w:val="27300669"/>
    <w:multiLevelType w:val="hybridMultilevel"/>
    <w:tmpl w:val="6C24168C"/>
    <w:lvl w:ilvl="0" w:tplc="0C090001">
      <w:start w:val="1"/>
      <w:numFmt w:val="bullet"/>
      <w:lvlText w:val=""/>
      <w:lvlJc w:val="left"/>
      <w:pPr>
        <w:ind w:left="780" w:hanging="360"/>
      </w:pPr>
      <w:rPr>
        <w:rFonts w:ascii="Symbol" w:hAnsi="Symbol" w:hint="default"/>
      </w:rPr>
    </w:lvl>
    <w:lvl w:ilvl="1" w:tplc="0C090003">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5" w15:restartNumberingAfterBreak="0">
    <w:nsid w:val="2DBC47DF"/>
    <w:multiLevelType w:val="hybridMultilevel"/>
    <w:tmpl w:val="4B02F23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 w15:restartNumberingAfterBreak="0">
    <w:nsid w:val="457A26E1"/>
    <w:multiLevelType w:val="hybridMultilevel"/>
    <w:tmpl w:val="8B70BAE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7" w15:restartNumberingAfterBreak="0">
    <w:nsid w:val="4C397B36"/>
    <w:multiLevelType w:val="hybridMultilevel"/>
    <w:tmpl w:val="433EF7F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 w15:restartNumberingAfterBreak="0">
    <w:nsid w:val="4D421F31"/>
    <w:multiLevelType w:val="hybridMultilevel"/>
    <w:tmpl w:val="A686E42C"/>
    <w:lvl w:ilvl="0" w:tplc="F8CAFDDC">
      <w:start w:val="1"/>
      <w:numFmt w:val="decimal"/>
      <w:lvlText w:val="%1."/>
      <w:lvlJc w:val="left"/>
      <w:pPr>
        <w:ind w:left="1080" w:hanging="360"/>
      </w:p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start w:val="1"/>
      <w:numFmt w:val="lowerLetter"/>
      <w:lvlText w:val="%5."/>
      <w:lvlJc w:val="left"/>
      <w:pPr>
        <w:ind w:left="3960" w:hanging="360"/>
      </w:pPr>
    </w:lvl>
    <w:lvl w:ilvl="5" w:tplc="0C09001B">
      <w:start w:val="1"/>
      <w:numFmt w:val="lowerRoman"/>
      <w:lvlText w:val="%6."/>
      <w:lvlJc w:val="right"/>
      <w:pPr>
        <w:ind w:left="4680" w:hanging="180"/>
      </w:pPr>
    </w:lvl>
    <w:lvl w:ilvl="6" w:tplc="0C09000F">
      <w:start w:val="1"/>
      <w:numFmt w:val="decimal"/>
      <w:lvlText w:val="%7."/>
      <w:lvlJc w:val="left"/>
      <w:pPr>
        <w:ind w:left="5400" w:hanging="360"/>
      </w:pPr>
    </w:lvl>
    <w:lvl w:ilvl="7" w:tplc="0C090019">
      <w:start w:val="1"/>
      <w:numFmt w:val="lowerLetter"/>
      <w:lvlText w:val="%8."/>
      <w:lvlJc w:val="left"/>
      <w:pPr>
        <w:ind w:left="6120" w:hanging="360"/>
      </w:pPr>
    </w:lvl>
    <w:lvl w:ilvl="8" w:tplc="0C09001B">
      <w:start w:val="1"/>
      <w:numFmt w:val="lowerRoman"/>
      <w:lvlText w:val="%9."/>
      <w:lvlJc w:val="right"/>
      <w:pPr>
        <w:ind w:left="6840" w:hanging="180"/>
      </w:pPr>
    </w:lvl>
  </w:abstractNum>
  <w:abstractNum w:abstractNumId="9" w15:restartNumberingAfterBreak="0">
    <w:nsid w:val="5172431B"/>
    <w:multiLevelType w:val="hybridMultilevel"/>
    <w:tmpl w:val="DE9ECC68"/>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A5527E6"/>
    <w:multiLevelType w:val="hybridMultilevel"/>
    <w:tmpl w:val="DC52E6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607E09AF"/>
    <w:multiLevelType w:val="hybridMultilevel"/>
    <w:tmpl w:val="ABBAA97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1345028"/>
    <w:multiLevelType w:val="hybridMultilevel"/>
    <w:tmpl w:val="B0789224"/>
    <w:lvl w:ilvl="0" w:tplc="0D48F45A">
      <w:start w:val="1"/>
      <w:numFmt w:val="decimal"/>
      <w:lvlText w:val="%1."/>
      <w:lvlJc w:val="left"/>
      <w:pPr>
        <w:ind w:left="720" w:hanging="360"/>
      </w:pPr>
      <w:rPr>
        <w:i w:val="0"/>
      </w:rPr>
    </w:lvl>
    <w:lvl w:ilvl="1" w:tplc="0C090001">
      <w:start w:val="1"/>
      <w:numFmt w:val="bullet"/>
      <w:lvlText w:val=""/>
      <w:lvlJc w:val="left"/>
      <w:pPr>
        <w:ind w:left="1440" w:hanging="360"/>
      </w:pPr>
      <w:rPr>
        <w:rFonts w:ascii="Symbol" w:hAnsi="Symbol" w:hint="default"/>
      </w:rPr>
    </w:lvl>
    <w:lvl w:ilvl="2" w:tplc="40346E42" w:tentative="1">
      <w:start w:val="1"/>
      <w:numFmt w:val="lowerRoman"/>
      <w:lvlText w:val="%3."/>
      <w:lvlJc w:val="right"/>
      <w:pPr>
        <w:ind w:left="2160" w:hanging="180"/>
      </w:pPr>
    </w:lvl>
    <w:lvl w:ilvl="3" w:tplc="457035D0" w:tentative="1">
      <w:start w:val="1"/>
      <w:numFmt w:val="decimal"/>
      <w:lvlText w:val="%4."/>
      <w:lvlJc w:val="left"/>
      <w:pPr>
        <w:ind w:left="2880" w:hanging="360"/>
      </w:pPr>
    </w:lvl>
    <w:lvl w:ilvl="4" w:tplc="BC520E5C" w:tentative="1">
      <w:start w:val="1"/>
      <w:numFmt w:val="lowerLetter"/>
      <w:lvlText w:val="%5."/>
      <w:lvlJc w:val="left"/>
      <w:pPr>
        <w:ind w:left="3600" w:hanging="360"/>
      </w:pPr>
    </w:lvl>
    <w:lvl w:ilvl="5" w:tplc="54BC06D4" w:tentative="1">
      <w:start w:val="1"/>
      <w:numFmt w:val="lowerRoman"/>
      <w:lvlText w:val="%6."/>
      <w:lvlJc w:val="right"/>
      <w:pPr>
        <w:ind w:left="4320" w:hanging="180"/>
      </w:pPr>
    </w:lvl>
    <w:lvl w:ilvl="6" w:tplc="4DF406E8" w:tentative="1">
      <w:start w:val="1"/>
      <w:numFmt w:val="decimal"/>
      <w:lvlText w:val="%7."/>
      <w:lvlJc w:val="left"/>
      <w:pPr>
        <w:ind w:left="5040" w:hanging="360"/>
      </w:pPr>
    </w:lvl>
    <w:lvl w:ilvl="7" w:tplc="40DC9224" w:tentative="1">
      <w:start w:val="1"/>
      <w:numFmt w:val="lowerLetter"/>
      <w:lvlText w:val="%8."/>
      <w:lvlJc w:val="left"/>
      <w:pPr>
        <w:ind w:left="5760" w:hanging="360"/>
      </w:pPr>
    </w:lvl>
    <w:lvl w:ilvl="8" w:tplc="0F348372" w:tentative="1">
      <w:start w:val="1"/>
      <w:numFmt w:val="lowerRoman"/>
      <w:lvlText w:val="%9."/>
      <w:lvlJc w:val="right"/>
      <w:pPr>
        <w:ind w:left="6480" w:hanging="180"/>
      </w:pPr>
    </w:lvl>
  </w:abstractNum>
  <w:abstractNum w:abstractNumId="13" w15:restartNumberingAfterBreak="0">
    <w:nsid w:val="6B0F6477"/>
    <w:multiLevelType w:val="hybridMultilevel"/>
    <w:tmpl w:val="DC4E32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0"/>
  </w:num>
  <w:num w:numId="3">
    <w:abstractNumId w:val="2"/>
    <w:lvlOverride w:ilvl="0">
      <w:startOverride w:val="2"/>
    </w:lvlOverride>
  </w:num>
  <w:num w:numId="4">
    <w:abstractNumId w:val="5"/>
  </w:num>
  <w:num w:numId="5">
    <w:abstractNumId w:val="1"/>
  </w:num>
  <w:num w:numId="6">
    <w:abstractNumId w:val="4"/>
  </w:num>
  <w:num w:numId="7">
    <w:abstractNumId w:val="2"/>
  </w:num>
  <w:num w:numId="8">
    <w:abstractNumId w:val="12"/>
  </w:num>
  <w:num w:numId="9">
    <w:abstractNumId w:val="11"/>
  </w:num>
  <w:num w:numId="10">
    <w:abstractNumId w:val="13"/>
  </w:num>
  <w:num w:numId="11">
    <w:abstractNumId w:val="2"/>
    <w:lvlOverride w:ilvl="0">
      <w:startOverride w:val="2"/>
    </w:lvlOverride>
  </w:num>
  <w:num w:numId="12">
    <w:abstractNumId w:val="10"/>
  </w:num>
  <w:num w:numId="13">
    <w:abstractNumId w:val="7"/>
  </w:num>
  <w:num w:numId="14">
    <w:abstractNumId w:val="6"/>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69D7"/>
    <w:rsid w:val="0001074D"/>
    <w:rsid w:val="00017A03"/>
    <w:rsid w:val="00024491"/>
    <w:rsid w:val="0003306F"/>
    <w:rsid w:val="00034B24"/>
    <w:rsid w:val="000422CE"/>
    <w:rsid w:val="0004530D"/>
    <w:rsid w:val="00050EAD"/>
    <w:rsid w:val="000631B4"/>
    <w:rsid w:val="000767F4"/>
    <w:rsid w:val="00086B7A"/>
    <w:rsid w:val="000A10F1"/>
    <w:rsid w:val="000B2D6A"/>
    <w:rsid w:val="000B6780"/>
    <w:rsid w:val="000C0781"/>
    <w:rsid w:val="000C3F8D"/>
    <w:rsid w:val="000E4C6B"/>
    <w:rsid w:val="000E51C3"/>
    <w:rsid w:val="000F16CA"/>
    <w:rsid w:val="00151BE6"/>
    <w:rsid w:val="00160248"/>
    <w:rsid w:val="001817DF"/>
    <w:rsid w:val="00194BDF"/>
    <w:rsid w:val="00196AAF"/>
    <w:rsid w:val="001A528B"/>
    <w:rsid w:val="001A7DFF"/>
    <w:rsid w:val="001C2D3A"/>
    <w:rsid w:val="001D7372"/>
    <w:rsid w:val="001E312E"/>
    <w:rsid w:val="001F384D"/>
    <w:rsid w:val="00204976"/>
    <w:rsid w:val="00204FAC"/>
    <w:rsid w:val="00210EAE"/>
    <w:rsid w:val="002207A9"/>
    <w:rsid w:val="00232F20"/>
    <w:rsid w:val="00243955"/>
    <w:rsid w:val="00245B50"/>
    <w:rsid w:val="00261B55"/>
    <w:rsid w:val="0027631E"/>
    <w:rsid w:val="0028702D"/>
    <w:rsid w:val="002A33CD"/>
    <w:rsid w:val="002A62D9"/>
    <w:rsid w:val="002D7A6F"/>
    <w:rsid w:val="002E1F0E"/>
    <w:rsid w:val="002E4BA5"/>
    <w:rsid w:val="00306F15"/>
    <w:rsid w:val="0031060D"/>
    <w:rsid w:val="00316AEA"/>
    <w:rsid w:val="00341C0A"/>
    <w:rsid w:val="0035599E"/>
    <w:rsid w:val="00362BBB"/>
    <w:rsid w:val="00377B1E"/>
    <w:rsid w:val="003876B4"/>
    <w:rsid w:val="00391744"/>
    <w:rsid w:val="00391F5C"/>
    <w:rsid w:val="003A2393"/>
    <w:rsid w:val="003A37A3"/>
    <w:rsid w:val="003A415F"/>
    <w:rsid w:val="003B7F14"/>
    <w:rsid w:val="003C3327"/>
    <w:rsid w:val="003C38EF"/>
    <w:rsid w:val="003C5527"/>
    <w:rsid w:val="003C60DF"/>
    <w:rsid w:val="003D00B1"/>
    <w:rsid w:val="003D1117"/>
    <w:rsid w:val="003D48A7"/>
    <w:rsid w:val="003E2378"/>
    <w:rsid w:val="003E301F"/>
    <w:rsid w:val="003F7553"/>
    <w:rsid w:val="00400E48"/>
    <w:rsid w:val="004163BB"/>
    <w:rsid w:val="00426991"/>
    <w:rsid w:val="00463863"/>
    <w:rsid w:val="0047497F"/>
    <w:rsid w:val="0049520A"/>
    <w:rsid w:val="004B67FC"/>
    <w:rsid w:val="004C16F3"/>
    <w:rsid w:val="004D0B12"/>
    <w:rsid w:val="0050082B"/>
    <w:rsid w:val="0051491C"/>
    <w:rsid w:val="00525697"/>
    <w:rsid w:val="005458E5"/>
    <w:rsid w:val="00571131"/>
    <w:rsid w:val="00574047"/>
    <w:rsid w:val="00576634"/>
    <w:rsid w:val="00583898"/>
    <w:rsid w:val="005B0132"/>
    <w:rsid w:val="005B0964"/>
    <w:rsid w:val="005B7FBB"/>
    <w:rsid w:val="005C138D"/>
    <w:rsid w:val="0060518B"/>
    <w:rsid w:val="006362B0"/>
    <w:rsid w:val="0064531A"/>
    <w:rsid w:val="00651F1A"/>
    <w:rsid w:val="006538BC"/>
    <w:rsid w:val="006B0E83"/>
    <w:rsid w:val="006B5E22"/>
    <w:rsid w:val="006B73BC"/>
    <w:rsid w:val="006C1271"/>
    <w:rsid w:val="006C343E"/>
    <w:rsid w:val="006D3099"/>
    <w:rsid w:val="006E7102"/>
    <w:rsid w:val="006F367D"/>
    <w:rsid w:val="0071182A"/>
    <w:rsid w:val="00717489"/>
    <w:rsid w:val="00722A17"/>
    <w:rsid w:val="007412A8"/>
    <w:rsid w:val="00745767"/>
    <w:rsid w:val="00754845"/>
    <w:rsid w:val="00763955"/>
    <w:rsid w:val="00787A4F"/>
    <w:rsid w:val="007A0E1F"/>
    <w:rsid w:val="007B1939"/>
    <w:rsid w:val="007D479C"/>
    <w:rsid w:val="007E27A0"/>
    <w:rsid w:val="008143AC"/>
    <w:rsid w:val="008146D8"/>
    <w:rsid w:val="00823A27"/>
    <w:rsid w:val="00830DAC"/>
    <w:rsid w:val="00836034"/>
    <w:rsid w:val="008367C9"/>
    <w:rsid w:val="00836E83"/>
    <w:rsid w:val="0084040E"/>
    <w:rsid w:val="008405F1"/>
    <w:rsid w:val="008426AA"/>
    <w:rsid w:val="008557DC"/>
    <w:rsid w:val="0085716B"/>
    <w:rsid w:val="00857FCC"/>
    <w:rsid w:val="008649C8"/>
    <w:rsid w:val="00880E70"/>
    <w:rsid w:val="008A1A06"/>
    <w:rsid w:val="008A3557"/>
    <w:rsid w:val="008B72CB"/>
    <w:rsid w:val="008C335A"/>
    <w:rsid w:val="008E454F"/>
    <w:rsid w:val="008F0202"/>
    <w:rsid w:val="008F0393"/>
    <w:rsid w:val="008F7593"/>
    <w:rsid w:val="00900D30"/>
    <w:rsid w:val="00900E9C"/>
    <w:rsid w:val="00905674"/>
    <w:rsid w:val="00906AC2"/>
    <w:rsid w:val="00926883"/>
    <w:rsid w:val="009268C8"/>
    <w:rsid w:val="009347A8"/>
    <w:rsid w:val="00965E77"/>
    <w:rsid w:val="0097300E"/>
    <w:rsid w:val="00973825"/>
    <w:rsid w:val="009963A5"/>
    <w:rsid w:val="009B1133"/>
    <w:rsid w:val="009B18CC"/>
    <w:rsid w:val="009B24B0"/>
    <w:rsid w:val="009B657D"/>
    <w:rsid w:val="009D06FA"/>
    <w:rsid w:val="009D32A0"/>
    <w:rsid w:val="009E66DF"/>
    <w:rsid w:val="009E7D9B"/>
    <w:rsid w:val="00A015E3"/>
    <w:rsid w:val="00A209B9"/>
    <w:rsid w:val="00A25CBB"/>
    <w:rsid w:val="00A31E8F"/>
    <w:rsid w:val="00A503D9"/>
    <w:rsid w:val="00A6048B"/>
    <w:rsid w:val="00A669D7"/>
    <w:rsid w:val="00A6767F"/>
    <w:rsid w:val="00A7789C"/>
    <w:rsid w:val="00A77E47"/>
    <w:rsid w:val="00AA5ADF"/>
    <w:rsid w:val="00AA5F19"/>
    <w:rsid w:val="00AC0600"/>
    <w:rsid w:val="00AF35EA"/>
    <w:rsid w:val="00B06737"/>
    <w:rsid w:val="00B206BB"/>
    <w:rsid w:val="00B20CF6"/>
    <w:rsid w:val="00B25873"/>
    <w:rsid w:val="00B62009"/>
    <w:rsid w:val="00B65BF6"/>
    <w:rsid w:val="00B66D6B"/>
    <w:rsid w:val="00B83925"/>
    <w:rsid w:val="00BC01DD"/>
    <w:rsid w:val="00BC6848"/>
    <w:rsid w:val="00BE0E3F"/>
    <w:rsid w:val="00BE7CEF"/>
    <w:rsid w:val="00C06304"/>
    <w:rsid w:val="00C25E32"/>
    <w:rsid w:val="00C33F3A"/>
    <w:rsid w:val="00C36011"/>
    <w:rsid w:val="00C501C4"/>
    <w:rsid w:val="00C6608E"/>
    <w:rsid w:val="00C80736"/>
    <w:rsid w:val="00C82C75"/>
    <w:rsid w:val="00C83C2F"/>
    <w:rsid w:val="00C917C0"/>
    <w:rsid w:val="00CA0571"/>
    <w:rsid w:val="00CA233C"/>
    <w:rsid w:val="00CA473D"/>
    <w:rsid w:val="00CB02F8"/>
    <w:rsid w:val="00CB23DB"/>
    <w:rsid w:val="00CB5FB2"/>
    <w:rsid w:val="00CD3875"/>
    <w:rsid w:val="00CD5716"/>
    <w:rsid w:val="00CF689C"/>
    <w:rsid w:val="00D01F77"/>
    <w:rsid w:val="00D14C8D"/>
    <w:rsid w:val="00D2043F"/>
    <w:rsid w:val="00D3394A"/>
    <w:rsid w:val="00D504EE"/>
    <w:rsid w:val="00D62727"/>
    <w:rsid w:val="00D83B0E"/>
    <w:rsid w:val="00DA10E7"/>
    <w:rsid w:val="00DA332B"/>
    <w:rsid w:val="00DA3BFD"/>
    <w:rsid w:val="00DC05EB"/>
    <w:rsid w:val="00DD2102"/>
    <w:rsid w:val="00DD4B6A"/>
    <w:rsid w:val="00DD52A9"/>
    <w:rsid w:val="00DD5C1E"/>
    <w:rsid w:val="00DF558B"/>
    <w:rsid w:val="00E11631"/>
    <w:rsid w:val="00E15504"/>
    <w:rsid w:val="00E15F3A"/>
    <w:rsid w:val="00E2107F"/>
    <w:rsid w:val="00E539A2"/>
    <w:rsid w:val="00E738D8"/>
    <w:rsid w:val="00E91FDC"/>
    <w:rsid w:val="00EA34FB"/>
    <w:rsid w:val="00EC7046"/>
    <w:rsid w:val="00EE03F8"/>
    <w:rsid w:val="00EF59BD"/>
    <w:rsid w:val="00EF7D79"/>
    <w:rsid w:val="00F02F27"/>
    <w:rsid w:val="00F36C2B"/>
    <w:rsid w:val="00F40AE7"/>
    <w:rsid w:val="00F5661E"/>
    <w:rsid w:val="00F611EB"/>
    <w:rsid w:val="00F822E2"/>
    <w:rsid w:val="00F8620B"/>
    <w:rsid w:val="00FA1188"/>
    <w:rsid w:val="00FA1750"/>
    <w:rsid w:val="00FB6791"/>
    <w:rsid w:val="00FC2C4A"/>
    <w:rsid w:val="00FE491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E0F0BA"/>
  <w15:docId w15:val="{88BD9773-9196-48EC-ABA0-BDAAE99E5E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69D7"/>
    <w:pPr>
      <w:spacing w:before="240" w:after="0" w:line="240" w:lineRule="auto"/>
    </w:pPr>
    <w:rPr>
      <w:rFonts w:ascii="Times New Roman" w:eastAsia="Times New Roman" w:hAnsi="Times New Roman" w:cs="Times New Roman"/>
      <w:sz w:val="24"/>
      <w:szCs w:val="20"/>
      <w:lang w:eastAsia="en-AU"/>
    </w:rPr>
  </w:style>
  <w:style w:type="paragraph" w:styleId="Heading2">
    <w:name w:val="heading 2"/>
    <w:basedOn w:val="Normal"/>
    <w:next w:val="Normal"/>
    <w:link w:val="Heading2Char"/>
    <w:uiPriority w:val="9"/>
    <w:unhideWhenUsed/>
    <w:qFormat/>
    <w:rsid w:val="00B20CF6"/>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B20CF6"/>
    <w:pPr>
      <w:keepNext/>
      <w:keepLines/>
      <w:spacing w:before="40"/>
      <w:outlineLvl w:val="2"/>
    </w:pPr>
    <w:rPr>
      <w:rFonts w:asciiTheme="majorHAnsi" w:eastAsiaTheme="majorEastAsia" w:hAnsiTheme="majorHAnsi" w:cstheme="majorBidi"/>
      <w:color w:val="243F60" w:themeColor="accent1" w:themeShade="7F"/>
      <w:szCs w:val="24"/>
    </w:rPr>
  </w:style>
  <w:style w:type="paragraph" w:styleId="Heading6">
    <w:name w:val="heading 6"/>
    <w:basedOn w:val="Normal"/>
    <w:next w:val="Normal"/>
    <w:link w:val="Heading6Char"/>
    <w:qFormat/>
    <w:rsid w:val="00A669D7"/>
    <w:pPr>
      <w:keepNext/>
      <w:ind w:right="91"/>
      <w:outlineLvl w:val="5"/>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A669D7"/>
    <w:rPr>
      <w:rFonts w:ascii="Times New Roman" w:eastAsia="Times New Roman" w:hAnsi="Times New Roman" w:cs="Times New Roman"/>
      <w:sz w:val="24"/>
      <w:szCs w:val="20"/>
      <w:u w:val="single"/>
      <w:lang w:eastAsia="en-AU"/>
    </w:rPr>
  </w:style>
  <w:style w:type="paragraph" w:styleId="ListParagraph">
    <w:name w:val="List Paragraph"/>
    <w:aliases w:val="List Paragraph1,Recommendation,List Paragraph11,Bullets,TOC style,lp1,Bullet OSM,Proposal Bullet List,List Paragraph111,L,F5 List Paragraph,Dot pt,CV text,Table text,Medium Grid 1 - Accent 21,Numbered Paragraph,List Paragraph2,FooterText"/>
    <w:basedOn w:val="Normal"/>
    <w:link w:val="ListParagraphChar"/>
    <w:uiPriority w:val="34"/>
    <w:qFormat/>
    <w:rsid w:val="00A669D7"/>
    <w:pPr>
      <w:ind w:left="720"/>
      <w:contextualSpacing/>
    </w:pPr>
  </w:style>
  <w:style w:type="character" w:customStyle="1" w:styleId="ListParagraphChar">
    <w:name w:val="List Paragraph Char"/>
    <w:aliases w:val="List Paragraph1 Char,Recommendation Char,List Paragraph11 Char,Bullets Char,TOC style Char,lp1 Char,Bullet OSM Char,Proposal Bullet List Char,List Paragraph111 Char,L Char,F5 List Paragraph Char,Dot pt Char,CV text Char"/>
    <w:basedOn w:val="DefaultParagraphFont"/>
    <w:link w:val="ListParagraph"/>
    <w:uiPriority w:val="34"/>
    <w:qFormat/>
    <w:locked/>
    <w:rsid w:val="00A669D7"/>
    <w:rPr>
      <w:rFonts w:ascii="Times New Roman" w:eastAsia="Times New Roman" w:hAnsi="Times New Roman" w:cs="Times New Roman"/>
      <w:sz w:val="24"/>
      <w:szCs w:val="20"/>
      <w:lang w:eastAsia="en-AU"/>
    </w:rPr>
  </w:style>
  <w:style w:type="character" w:customStyle="1" w:styleId="DINumberedParagraphChar">
    <w:name w:val="DI Numbered Paragraph Char"/>
    <w:link w:val="DINumberedParagraph"/>
    <w:locked/>
    <w:rsid w:val="00A669D7"/>
    <w:rPr>
      <w:sz w:val="24"/>
    </w:rPr>
  </w:style>
  <w:style w:type="paragraph" w:customStyle="1" w:styleId="DINumberedParagraph">
    <w:name w:val="DI Numbered Paragraph"/>
    <w:basedOn w:val="Normal"/>
    <w:link w:val="DINumberedParagraphChar"/>
    <w:rsid w:val="00FA1188"/>
    <w:pPr>
      <w:numPr>
        <w:numId w:val="3"/>
      </w:numPr>
      <w:tabs>
        <w:tab w:val="left" w:pos="567"/>
      </w:tabs>
      <w:spacing w:before="0" w:after="240"/>
    </w:pPr>
    <w:rPr>
      <w:rFonts w:asciiTheme="minorHAnsi" w:eastAsiaTheme="minorHAnsi" w:hAnsiTheme="minorHAnsi" w:cstheme="minorBidi"/>
      <w:szCs w:val="22"/>
      <w:lang w:eastAsia="en-US"/>
    </w:rPr>
  </w:style>
  <w:style w:type="paragraph" w:styleId="BalloonText">
    <w:name w:val="Balloon Text"/>
    <w:basedOn w:val="Normal"/>
    <w:link w:val="BalloonTextChar"/>
    <w:uiPriority w:val="99"/>
    <w:semiHidden/>
    <w:unhideWhenUsed/>
    <w:rsid w:val="003D00B1"/>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00B1"/>
    <w:rPr>
      <w:rFonts w:ascii="Tahoma" w:eastAsia="Times New Roman" w:hAnsi="Tahoma" w:cs="Tahoma"/>
      <w:sz w:val="16"/>
      <w:szCs w:val="16"/>
      <w:lang w:eastAsia="en-AU"/>
    </w:rPr>
  </w:style>
  <w:style w:type="paragraph" w:customStyle="1" w:styleId="BodyText10">
    <w:name w:val="Body Text1_0"/>
    <w:basedOn w:val="Normal"/>
    <w:rsid w:val="009E66DF"/>
    <w:rPr>
      <w:rFonts w:ascii="Arial" w:hAnsi="Arial" w:cs="Arial"/>
      <w:szCs w:val="24"/>
    </w:rPr>
  </w:style>
  <w:style w:type="character" w:styleId="CommentReference">
    <w:name w:val="annotation reference"/>
    <w:basedOn w:val="DefaultParagraphFont"/>
    <w:uiPriority w:val="99"/>
    <w:semiHidden/>
    <w:unhideWhenUsed/>
    <w:rsid w:val="002E1F0E"/>
    <w:rPr>
      <w:sz w:val="16"/>
      <w:szCs w:val="16"/>
    </w:rPr>
  </w:style>
  <w:style w:type="paragraph" w:styleId="CommentText">
    <w:name w:val="annotation text"/>
    <w:basedOn w:val="Normal"/>
    <w:link w:val="CommentTextChar"/>
    <w:uiPriority w:val="99"/>
    <w:unhideWhenUsed/>
    <w:rsid w:val="002E1F0E"/>
    <w:rPr>
      <w:sz w:val="20"/>
    </w:rPr>
  </w:style>
  <w:style w:type="character" w:customStyle="1" w:styleId="CommentTextChar">
    <w:name w:val="Comment Text Char"/>
    <w:basedOn w:val="DefaultParagraphFont"/>
    <w:link w:val="CommentText"/>
    <w:uiPriority w:val="99"/>
    <w:rsid w:val="002E1F0E"/>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2E1F0E"/>
    <w:rPr>
      <w:b/>
      <w:bCs/>
    </w:rPr>
  </w:style>
  <w:style w:type="character" w:customStyle="1" w:styleId="CommentSubjectChar">
    <w:name w:val="Comment Subject Char"/>
    <w:basedOn w:val="CommentTextChar"/>
    <w:link w:val="CommentSubject"/>
    <w:uiPriority w:val="99"/>
    <w:semiHidden/>
    <w:rsid w:val="002E1F0E"/>
    <w:rPr>
      <w:rFonts w:ascii="Times New Roman" w:eastAsia="Times New Roman" w:hAnsi="Times New Roman" w:cs="Times New Roman"/>
      <w:b/>
      <w:bCs/>
      <w:sz w:val="20"/>
      <w:szCs w:val="20"/>
      <w:lang w:eastAsia="en-AU"/>
    </w:rPr>
  </w:style>
  <w:style w:type="paragraph" w:customStyle="1" w:styleId="ActHead6">
    <w:name w:val="ActHead 6"/>
    <w:aliases w:val="as"/>
    <w:basedOn w:val="Normal"/>
    <w:next w:val="Normal"/>
    <w:qFormat/>
    <w:rsid w:val="004B67FC"/>
    <w:pPr>
      <w:keepNext/>
      <w:keepLines/>
      <w:spacing w:before="0"/>
      <w:ind w:left="1134" w:hanging="1134"/>
      <w:outlineLvl w:val="5"/>
    </w:pPr>
    <w:rPr>
      <w:rFonts w:ascii="Arial" w:hAnsi="Arial"/>
      <w:b/>
      <w:kern w:val="28"/>
      <w:sz w:val="32"/>
    </w:rPr>
  </w:style>
  <w:style w:type="character" w:customStyle="1" w:styleId="CharAmSchNo">
    <w:name w:val="CharAmSchNo"/>
    <w:basedOn w:val="DefaultParagraphFont"/>
    <w:qFormat/>
    <w:rsid w:val="004B67FC"/>
  </w:style>
  <w:style w:type="paragraph" w:customStyle="1" w:styleId="ItemHead">
    <w:name w:val="ItemHead"/>
    <w:aliases w:val="ih"/>
    <w:basedOn w:val="Normal"/>
    <w:next w:val="Normal"/>
    <w:rsid w:val="004B67FC"/>
    <w:pPr>
      <w:keepNext/>
      <w:keepLines/>
      <w:spacing w:before="220"/>
      <w:ind w:left="709" w:hanging="709"/>
    </w:pPr>
    <w:rPr>
      <w:rFonts w:ascii="Arial" w:hAnsi="Arial"/>
      <w:b/>
      <w:kern w:val="28"/>
    </w:rPr>
  </w:style>
  <w:style w:type="paragraph" w:styleId="BodyText">
    <w:name w:val="Body Text"/>
    <w:link w:val="BodyTextChar"/>
    <w:uiPriority w:val="1"/>
    <w:qFormat/>
    <w:rsid w:val="004B67FC"/>
    <w:pPr>
      <w:spacing w:before="120" w:after="120" w:line="264" w:lineRule="auto"/>
    </w:pPr>
    <w:rPr>
      <w:color w:val="000000" w:themeColor="text1"/>
      <w:sz w:val="20"/>
      <w:szCs w:val="20"/>
    </w:rPr>
  </w:style>
  <w:style w:type="character" w:customStyle="1" w:styleId="BodyTextChar">
    <w:name w:val="Body Text Char"/>
    <w:basedOn w:val="DefaultParagraphFont"/>
    <w:link w:val="BodyText"/>
    <w:uiPriority w:val="1"/>
    <w:rsid w:val="004B67FC"/>
    <w:rPr>
      <w:color w:val="000000" w:themeColor="text1"/>
      <w:sz w:val="20"/>
      <w:szCs w:val="20"/>
    </w:rPr>
  </w:style>
  <w:style w:type="paragraph" w:customStyle="1" w:styleId="Default">
    <w:name w:val="Default"/>
    <w:rsid w:val="00BC01DD"/>
    <w:pPr>
      <w:autoSpaceDE w:val="0"/>
      <w:autoSpaceDN w:val="0"/>
      <w:adjustRightInd w:val="0"/>
      <w:spacing w:after="0" w:line="240" w:lineRule="auto"/>
    </w:pPr>
    <w:rPr>
      <w:rFonts w:ascii="Times New Roman" w:eastAsia="Times New Roman" w:hAnsi="Times New Roman" w:cs="Times New Roman"/>
      <w:color w:val="000000"/>
      <w:sz w:val="24"/>
      <w:szCs w:val="24"/>
      <w:lang w:eastAsia="en-AU"/>
    </w:rPr>
  </w:style>
  <w:style w:type="paragraph" w:customStyle="1" w:styleId="TableTextform">
    <w:name w:val="TableText form"/>
    <w:basedOn w:val="Normal"/>
    <w:uiPriority w:val="99"/>
    <w:rsid w:val="00DA3BFD"/>
    <w:pPr>
      <w:spacing w:before="40" w:after="240"/>
    </w:pPr>
    <w:rPr>
      <w:rFonts w:ascii="Arial" w:eastAsiaTheme="minorHAnsi" w:hAnsi="Arial" w:cs="Arial"/>
      <w:sz w:val="20"/>
      <w:lang w:eastAsia="en-US"/>
    </w:rPr>
  </w:style>
  <w:style w:type="character" w:customStyle="1" w:styleId="Heading2Char">
    <w:name w:val="Heading 2 Char"/>
    <w:basedOn w:val="DefaultParagraphFont"/>
    <w:link w:val="Heading2"/>
    <w:uiPriority w:val="9"/>
    <w:rsid w:val="00B20CF6"/>
    <w:rPr>
      <w:rFonts w:asciiTheme="majorHAnsi" w:eastAsiaTheme="majorEastAsia" w:hAnsiTheme="majorHAnsi" w:cstheme="majorBidi"/>
      <w:color w:val="365F91" w:themeColor="accent1" w:themeShade="BF"/>
      <w:sz w:val="26"/>
      <w:szCs w:val="26"/>
      <w:lang w:eastAsia="en-AU"/>
    </w:rPr>
  </w:style>
  <w:style w:type="character" w:customStyle="1" w:styleId="Heading3Char">
    <w:name w:val="Heading 3 Char"/>
    <w:basedOn w:val="DefaultParagraphFont"/>
    <w:link w:val="Heading3"/>
    <w:uiPriority w:val="9"/>
    <w:rsid w:val="00B20CF6"/>
    <w:rPr>
      <w:rFonts w:asciiTheme="majorHAnsi" w:eastAsiaTheme="majorEastAsia" w:hAnsiTheme="majorHAnsi" w:cstheme="majorBidi"/>
      <w:color w:val="243F60" w:themeColor="accent1" w:themeShade="7F"/>
      <w:sz w:val="24"/>
      <w:szCs w:val="24"/>
      <w:lang w:eastAsia="en-AU"/>
    </w:rPr>
  </w:style>
  <w:style w:type="paragraph" w:customStyle="1" w:styleId="subsection">
    <w:name w:val="subsection"/>
    <w:aliases w:val="ss"/>
    <w:basedOn w:val="Normal"/>
    <w:link w:val="subsectionChar"/>
    <w:rsid w:val="006F367D"/>
    <w:pPr>
      <w:tabs>
        <w:tab w:val="right" w:pos="1021"/>
      </w:tabs>
      <w:spacing w:before="180"/>
      <w:ind w:left="1134" w:hanging="1134"/>
    </w:pPr>
    <w:rPr>
      <w:sz w:val="22"/>
    </w:rPr>
  </w:style>
  <w:style w:type="character" w:customStyle="1" w:styleId="subsectionChar">
    <w:name w:val="subsection Char"/>
    <w:aliases w:val="ss Char"/>
    <w:basedOn w:val="DefaultParagraphFont"/>
    <w:link w:val="subsection"/>
    <w:locked/>
    <w:rsid w:val="006F367D"/>
    <w:rPr>
      <w:rFonts w:ascii="Times New Roman" w:eastAsia="Times New Roman" w:hAnsi="Times New Roman" w:cs="Times New Roman"/>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065700">
      <w:bodyDiv w:val="1"/>
      <w:marLeft w:val="0"/>
      <w:marRight w:val="0"/>
      <w:marTop w:val="0"/>
      <w:marBottom w:val="0"/>
      <w:divBdr>
        <w:top w:val="none" w:sz="0" w:space="0" w:color="auto"/>
        <w:left w:val="none" w:sz="0" w:space="0" w:color="auto"/>
        <w:bottom w:val="none" w:sz="0" w:space="0" w:color="auto"/>
        <w:right w:val="none" w:sz="0" w:space="0" w:color="auto"/>
      </w:divBdr>
    </w:div>
    <w:div w:id="140270879">
      <w:bodyDiv w:val="1"/>
      <w:marLeft w:val="0"/>
      <w:marRight w:val="0"/>
      <w:marTop w:val="0"/>
      <w:marBottom w:val="0"/>
      <w:divBdr>
        <w:top w:val="none" w:sz="0" w:space="0" w:color="auto"/>
        <w:left w:val="none" w:sz="0" w:space="0" w:color="auto"/>
        <w:bottom w:val="none" w:sz="0" w:space="0" w:color="auto"/>
        <w:right w:val="none" w:sz="0" w:space="0" w:color="auto"/>
      </w:divBdr>
    </w:div>
    <w:div w:id="353263143">
      <w:bodyDiv w:val="1"/>
      <w:marLeft w:val="0"/>
      <w:marRight w:val="0"/>
      <w:marTop w:val="0"/>
      <w:marBottom w:val="0"/>
      <w:divBdr>
        <w:top w:val="none" w:sz="0" w:space="0" w:color="auto"/>
        <w:left w:val="none" w:sz="0" w:space="0" w:color="auto"/>
        <w:bottom w:val="none" w:sz="0" w:space="0" w:color="auto"/>
        <w:right w:val="none" w:sz="0" w:space="0" w:color="auto"/>
      </w:divBdr>
    </w:div>
    <w:div w:id="392122093">
      <w:bodyDiv w:val="1"/>
      <w:marLeft w:val="0"/>
      <w:marRight w:val="0"/>
      <w:marTop w:val="0"/>
      <w:marBottom w:val="0"/>
      <w:divBdr>
        <w:top w:val="none" w:sz="0" w:space="0" w:color="auto"/>
        <w:left w:val="none" w:sz="0" w:space="0" w:color="auto"/>
        <w:bottom w:val="none" w:sz="0" w:space="0" w:color="auto"/>
        <w:right w:val="none" w:sz="0" w:space="0" w:color="auto"/>
      </w:divBdr>
    </w:div>
    <w:div w:id="677922430">
      <w:bodyDiv w:val="1"/>
      <w:marLeft w:val="0"/>
      <w:marRight w:val="0"/>
      <w:marTop w:val="0"/>
      <w:marBottom w:val="0"/>
      <w:divBdr>
        <w:top w:val="none" w:sz="0" w:space="0" w:color="auto"/>
        <w:left w:val="none" w:sz="0" w:space="0" w:color="auto"/>
        <w:bottom w:val="none" w:sz="0" w:space="0" w:color="auto"/>
        <w:right w:val="none" w:sz="0" w:space="0" w:color="auto"/>
      </w:divBdr>
    </w:div>
    <w:div w:id="819466907">
      <w:bodyDiv w:val="1"/>
      <w:marLeft w:val="0"/>
      <w:marRight w:val="0"/>
      <w:marTop w:val="0"/>
      <w:marBottom w:val="0"/>
      <w:divBdr>
        <w:top w:val="none" w:sz="0" w:space="0" w:color="auto"/>
        <w:left w:val="none" w:sz="0" w:space="0" w:color="auto"/>
        <w:bottom w:val="none" w:sz="0" w:space="0" w:color="auto"/>
        <w:right w:val="none" w:sz="0" w:space="0" w:color="auto"/>
      </w:divBdr>
    </w:div>
    <w:div w:id="887760136">
      <w:bodyDiv w:val="1"/>
      <w:marLeft w:val="0"/>
      <w:marRight w:val="0"/>
      <w:marTop w:val="0"/>
      <w:marBottom w:val="0"/>
      <w:divBdr>
        <w:top w:val="none" w:sz="0" w:space="0" w:color="auto"/>
        <w:left w:val="none" w:sz="0" w:space="0" w:color="auto"/>
        <w:bottom w:val="none" w:sz="0" w:space="0" w:color="auto"/>
        <w:right w:val="none" w:sz="0" w:space="0" w:color="auto"/>
      </w:divBdr>
    </w:div>
    <w:div w:id="996883271">
      <w:bodyDiv w:val="1"/>
      <w:marLeft w:val="0"/>
      <w:marRight w:val="0"/>
      <w:marTop w:val="0"/>
      <w:marBottom w:val="0"/>
      <w:divBdr>
        <w:top w:val="none" w:sz="0" w:space="0" w:color="auto"/>
        <w:left w:val="none" w:sz="0" w:space="0" w:color="auto"/>
        <w:bottom w:val="none" w:sz="0" w:space="0" w:color="auto"/>
        <w:right w:val="none" w:sz="0" w:space="0" w:color="auto"/>
      </w:divBdr>
    </w:div>
    <w:div w:id="1309746109">
      <w:bodyDiv w:val="1"/>
      <w:marLeft w:val="0"/>
      <w:marRight w:val="0"/>
      <w:marTop w:val="0"/>
      <w:marBottom w:val="0"/>
      <w:divBdr>
        <w:top w:val="none" w:sz="0" w:space="0" w:color="auto"/>
        <w:left w:val="none" w:sz="0" w:space="0" w:color="auto"/>
        <w:bottom w:val="none" w:sz="0" w:space="0" w:color="auto"/>
        <w:right w:val="none" w:sz="0" w:space="0" w:color="auto"/>
      </w:divBdr>
    </w:div>
    <w:div w:id="1362974411">
      <w:bodyDiv w:val="1"/>
      <w:marLeft w:val="0"/>
      <w:marRight w:val="0"/>
      <w:marTop w:val="0"/>
      <w:marBottom w:val="0"/>
      <w:divBdr>
        <w:top w:val="none" w:sz="0" w:space="0" w:color="auto"/>
        <w:left w:val="none" w:sz="0" w:space="0" w:color="auto"/>
        <w:bottom w:val="none" w:sz="0" w:space="0" w:color="auto"/>
        <w:right w:val="none" w:sz="0" w:space="0" w:color="auto"/>
      </w:divBdr>
    </w:div>
    <w:div w:id="1515728572">
      <w:bodyDiv w:val="1"/>
      <w:marLeft w:val="0"/>
      <w:marRight w:val="0"/>
      <w:marTop w:val="0"/>
      <w:marBottom w:val="0"/>
      <w:divBdr>
        <w:top w:val="none" w:sz="0" w:space="0" w:color="auto"/>
        <w:left w:val="none" w:sz="0" w:space="0" w:color="auto"/>
        <w:bottom w:val="none" w:sz="0" w:space="0" w:color="auto"/>
        <w:right w:val="none" w:sz="0" w:space="0" w:color="auto"/>
      </w:divBdr>
    </w:div>
    <w:div w:id="1596018182">
      <w:bodyDiv w:val="1"/>
      <w:marLeft w:val="0"/>
      <w:marRight w:val="0"/>
      <w:marTop w:val="0"/>
      <w:marBottom w:val="0"/>
      <w:divBdr>
        <w:top w:val="none" w:sz="0" w:space="0" w:color="auto"/>
        <w:left w:val="none" w:sz="0" w:space="0" w:color="auto"/>
        <w:bottom w:val="none" w:sz="0" w:space="0" w:color="auto"/>
        <w:right w:val="none" w:sz="0" w:space="0" w:color="auto"/>
      </w:divBdr>
    </w:div>
    <w:div w:id="1635217266">
      <w:bodyDiv w:val="1"/>
      <w:marLeft w:val="0"/>
      <w:marRight w:val="0"/>
      <w:marTop w:val="0"/>
      <w:marBottom w:val="0"/>
      <w:divBdr>
        <w:top w:val="none" w:sz="0" w:space="0" w:color="auto"/>
        <w:left w:val="none" w:sz="0" w:space="0" w:color="auto"/>
        <w:bottom w:val="none" w:sz="0" w:space="0" w:color="auto"/>
        <w:right w:val="none" w:sz="0" w:space="0" w:color="auto"/>
      </w:divBdr>
    </w:div>
    <w:div w:id="1701737551">
      <w:bodyDiv w:val="1"/>
      <w:marLeft w:val="0"/>
      <w:marRight w:val="0"/>
      <w:marTop w:val="0"/>
      <w:marBottom w:val="0"/>
      <w:divBdr>
        <w:top w:val="none" w:sz="0" w:space="0" w:color="auto"/>
        <w:left w:val="none" w:sz="0" w:space="0" w:color="auto"/>
        <w:bottom w:val="none" w:sz="0" w:space="0" w:color="auto"/>
        <w:right w:val="none" w:sz="0" w:space="0" w:color="auto"/>
      </w:divBdr>
    </w:div>
    <w:div w:id="1708724489">
      <w:bodyDiv w:val="1"/>
      <w:marLeft w:val="0"/>
      <w:marRight w:val="0"/>
      <w:marTop w:val="0"/>
      <w:marBottom w:val="0"/>
      <w:divBdr>
        <w:top w:val="none" w:sz="0" w:space="0" w:color="auto"/>
        <w:left w:val="none" w:sz="0" w:space="0" w:color="auto"/>
        <w:bottom w:val="none" w:sz="0" w:space="0" w:color="auto"/>
        <w:right w:val="none" w:sz="0" w:space="0" w:color="auto"/>
      </w:divBdr>
    </w:div>
    <w:div w:id="1810437291">
      <w:bodyDiv w:val="1"/>
      <w:marLeft w:val="0"/>
      <w:marRight w:val="0"/>
      <w:marTop w:val="0"/>
      <w:marBottom w:val="0"/>
      <w:divBdr>
        <w:top w:val="none" w:sz="0" w:space="0" w:color="auto"/>
        <w:left w:val="none" w:sz="0" w:space="0" w:color="auto"/>
        <w:bottom w:val="none" w:sz="0" w:space="0" w:color="auto"/>
        <w:right w:val="none" w:sz="0" w:space="0" w:color="auto"/>
      </w:divBdr>
    </w:div>
    <w:div w:id="1942184322">
      <w:bodyDiv w:val="1"/>
      <w:marLeft w:val="0"/>
      <w:marRight w:val="0"/>
      <w:marTop w:val="0"/>
      <w:marBottom w:val="0"/>
      <w:divBdr>
        <w:top w:val="none" w:sz="0" w:space="0" w:color="auto"/>
        <w:left w:val="none" w:sz="0" w:space="0" w:color="auto"/>
        <w:bottom w:val="none" w:sz="0" w:space="0" w:color="auto"/>
        <w:right w:val="none" w:sz="0" w:space="0" w:color="auto"/>
      </w:divBdr>
    </w:div>
    <w:div w:id="2005358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B8FC3618B2A174088C54572B0B37E41" ma:contentTypeVersion="0" ma:contentTypeDescription="Create a new document." ma:contentTypeScope="" ma:versionID="7cea238e8af1a87a85ede7a11b916493">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249441-542A-4F8E-A863-C03283786EBD}">
  <ds:schemaRefs>
    <ds:schemaRef ds:uri="http://schemas.microsoft.com/sharepoint/v3/contenttype/forms"/>
  </ds:schemaRefs>
</ds:datastoreItem>
</file>

<file path=customXml/itemProps2.xml><?xml version="1.0" encoding="utf-8"?>
<ds:datastoreItem xmlns:ds="http://schemas.openxmlformats.org/officeDocument/2006/customXml" ds:itemID="{4A532879-5B4A-4A9A-9B61-518FBC9664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ABABB555-F49E-4E6A-9DC0-C77FA5B836E2}">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357BBABA-64DB-4FF9-A799-71D131F8E2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1310</Words>
  <Characters>7472</Characters>
  <Application>Microsoft Office Word</Application>
  <DocSecurity>4</DocSecurity>
  <Lines>62</Lines>
  <Paragraphs>17</Paragraphs>
  <ScaleCrop>false</ScaleCrop>
  <HeadingPairs>
    <vt:vector size="2" baseType="variant">
      <vt:variant>
        <vt:lpstr>Title</vt:lpstr>
      </vt:variant>
      <vt:variant>
        <vt:i4>1</vt:i4>
      </vt:variant>
    </vt:vector>
  </HeadingPairs>
  <TitlesOfParts>
    <vt:vector size="1" baseType="lpstr">
      <vt:lpstr>Item 2107 EM final to policy_DOCA comments.docx</vt:lpstr>
    </vt:vector>
  </TitlesOfParts>
  <Company>Dept. of Immigration and Citizenship</Company>
  <LinksUpToDate>false</LinksUpToDate>
  <CharactersWithSpaces>8765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Item 2107 EM final to policy_DOCA comments.docx</dc:title>
  <dc:creator>Louise STAKER</dc:creator>
  <cp:lastModifiedBy>Louise STAKER</cp:lastModifiedBy>
  <cp:revision>2</cp:revision>
  <cp:lastPrinted>2019-03-08T03:29:00Z</cp:lastPrinted>
  <dcterms:created xsi:type="dcterms:W3CDTF">2019-04-02T07:06:00Z</dcterms:created>
  <dcterms:modified xsi:type="dcterms:W3CDTF">2019-04-02T07:06:00Z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0x0101002B8FC3618B2A174088C54572B0B37E41</vt:lpwstr>
  </property>
  <property fmtid="{D5CDD505-2E9C-101B-9397-08002B2CF9AE}" pid="3" name="TrimRevisionNumber">
    <vt:i4>8</vt:i4>
  </property>
</Properties>
</file>