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FF33D" w14:textId="3902C0B6" w:rsidR="00012AD6" w:rsidRPr="0095666C" w:rsidRDefault="002B361E" w:rsidP="009A581D">
      <w:pPr>
        <w:pStyle w:val="Heading1"/>
        <w:spacing w:before="0" w:after="0" w:line="240" w:lineRule="auto"/>
        <w:jc w:val="center"/>
        <w:rPr>
          <w:rFonts w:ascii="Times New Roman" w:hAnsi="Times New Roman"/>
          <w:caps w:val="0"/>
          <w:color w:val="FF0000"/>
          <w:sz w:val="24"/>
          <w:szCs w:val="24"/>
        </w:rPr>
      </w:pPr>
      <w:bookmarkStart w:id="0" w:name="_GoBack"/>
      <w:bookmarkEnd w:id="0"/>
      <w:r w:rsidRPr="0095666C">
        <w:rPr>
          <w:rFonts w:ascii="Times New Roman" w:hAnsi="Times New Roman"/>
          <w:b/>
          <w:sz w:val="24"/>
          <w:szCs w:val="24"/>
          <w:u w:val="single"/>
        </w:rPr>
        <w:t>EXPLANATORY STATEMENT</w:t>
      </w:r>
      <w:r w:rsidR="00670C8D" w:rsidRPr="0095666C">
        <w:rPr>
          <w:rFonts w:ascii="Times New Roman" w:hAnsi="Times New Roman"/>
          <w:b/>
          <w:sz w:val="24"/>
          <w:szCs w:val="24"/>
          <w:u w:val="single"/>
        </w:rPr>
        <w:t xml:space="preserve"> </w:t>
      </w:r>
      <w:r w:rsidR="00012AD6" w:rsidRPr="0095666C">
        <w:rPr>
          <w:rFonts w:ascii="Times New Roman" w:hAnsi="Times New Roman"/>
          <w:b/>
          <w:sz w:val="24"/>
          <w:szCs w:val="24"/>
          <w:u w:val="single"/>
        </w:rPr>
        <w:br/>
      </w:r>
    </w:p>
    <w:p w14:paraId="489E7296" w14:textId="4364ECAF" w:rsidR="009A581D" w:rsidRPr="0095666C" w:rsidRDefault="009A581D" w:rsidP="009A581D">
      <w:pPr>
        <w:jc w:val="center"/>
        <w:rPr>
          <w:rFonts w:ascii="Times New Roman" w:hAnsi="Times New Roman" w:cs="Times New Roman"/>
          <w:b/>
          <w:sz w:val="24"/>
          <w:szCs w:val="24"/>
          <w:u w:val="single"/>
        </w:rPr>
      </w:pPr>
      <w:r w:rsidRPr="0095666C">
        <w:rPr>
          <w:rFonts w:ascii="Times New Roman" w:hAnsi="Times New Roman" w:cs="Times New Roman"/>
          <w:b/>
          <w:sz w:val="24"/>
          <w:szCs w:val="24"/>
          <w:u w:val="single"/>
        </w:rPr>
        <w:t>Select Legislative Instrument No.   , 2019</w:t>
      </w:r>
    </w:p>
    <w:p w14:paraId="445FB8E0" w14:textId="42EF191E" w:rsidR="009A581D" w:rsidRPr="0095666C" w:rsidRDefault="009A581D" w:rsidP="009A581D">
      <w:pPr>
        <w:jc w:val="center"/>
        <w:rPr>
          <w:rFonts w:ascii="Times New Roman" w:hAnsi="Times New Roman" w:cs="Times New Roman"/>
          <w:sz w:val="24"/>
          <w:szCs w:val="24"/>
          <w:u w:val="single"/>
        </w:rPr>
      </w:pPr>
      <w:r w:rsidRPr="0095666C">
        <w:rPr>
          <w:rFonts w:ascii="Times New Roman" w:hAnsi="Times New Roman" w:cs="Times New Roman"/>
          <w:sz w:val="24"/>
          <w:szCs w:val="24"/>
          <w:u w:val="single"/>
        </w:rPr>
        <w:t>Issued by the authority of the Attorney-General</w:t>
      </w:r>
    </w:p>
    <w:p w14:paraId="27444338" w14:textId="77777777" w:rsidR="009A581D" w:rsidRPr="0095666C" w:rsidRDefault="009A581D" w:rsidP="009A581D">
      <w:pPr>
        <w:ind w:right="91"/>
        <w:jc w:val="center"/>
        <w:rPr>
          <w:rFonts w:ascii="Times New Roman" w:hAnsi="Times New Roman" w:cs="Times New Roman"/>
          <w:i/>
          <w:sz w:val="24"/>
          <w:szCs w:val="24"/>
        </w:rPr>
      </w:pPr>
      <w:r w:rsidRPr="0095666C">
        <w:rPr>
          <w:rFonts w:ascii="Times New Roman" w:hAnsi="Times New Roman" w:cs="Times New Roman"/>
          <w:i/>
          <w:sz w:val="24"/>
          <w:szCs w:val="24"/>
        </w:rPr>
        <w:t>Privacy Act 1988</w:t>
      </w:r>
    </w:p>
    <w:p w14:paraId="572C4273" w14:textId="52137C44" w:rsidR="009A581D" w:rsidRPr="0095666C" w:rsidRDefault="009A581D" w:rsidP="00670C8D">
      <w:pPr>
        <w:pStyle w:val="Heading1"/>
        <w:spacing w:before="0" w:after="0" w:line="240" w:lineRule="auto"/>
        <w:jc w:val="center"/>
        <w:rPr>
          <w:rFonts w:ascii="Times New Roman" w:eastAsiaTheme="minorHAnsi" w:hAnsi="Times New Roman"/>
          <w:bCs w:val="0"/>
          <w:i/>
          <w:caps w:val="0"/>
          <w:kern w:val="0"/>
          <w:sz w:val="24"/>
          <w:szCs w:val="24"/>
        </w:rPr>
      </w:pPr>
      <w:r w:rsidRPr="0095666C">
        <w:rPr>
          <w:rFonts w:ascii="Times New Roman" w:eastAsiaTheme="minorHAnsi" w:hAnsi="Times New Roman"/>
          <w:bCs w:val="0"/>
          <w:i/>
          <w:caps w:val="0"/>
          <w:kern w:val="0"/>
          <w:sz w:val="24"/>
          <w:szCs w:val="24"/>
        </w:rPr>
        <w:t>Privacy Amendment (External Dispute Resolution Scheme) Regulations 2019</w:t>
      </w:r>
    </w:p>
    <w:p w14:paraId="3F1342C1" w14:textId="77777777" w:rsidR="009A581D" w:rsidRPr="0095666C" w:rsidRDefault="009A581D" w:rsidP="009A581D">
      <w:pPr>
        <w:rPr>
          <w:sz w:val="24"/>
          <w:szCs w:val="24"/>
        </w:rPr>
      </w:pPr>
    </w:p>
    <w:p w14:paraId="7DC5AE7D" w14:textId="0B1FA597" w:rsidR="009A581D" w:rsidRPr="0095666C" w:rsidRDefault="009A581D" w:rsidP="009A581D">
      <w:pPr>
        <w:ind w:right="91"/>
        <w:rPr>
          <w:rFonts w:ascii="Times New Roman" w:hAnsi="Times New Roman" w:cs="Times New Roman"/>
          <w:sz w:val="24"/>
          <w:szCs w:val="24"/>
        </w:rPr>
      </w:pPr>
      <w:r w:rsidRPr="0095666C">
        <w:rPr>
          <w:rFonts w:ascii="Times New Roman" w:hAnsi="Times New Roman" w:cs="Times New Roman"/>
          <w:sz w:val="24"/>
          <w:szCs w:val="24"/>
        </w:rPr>
        <w:t xml:space="preserve">The </w:t>
      </w:r>
      <w:r w:rsidRPr="0095666C">
        <w:rPr>
          <w:rFonts w:ascii="Times New Roman" w:hAnsi="Times New Roman" w:cs="Times New Roman"/>
          <w:i/>
          <w:sz w:val="24"/>
          <w:szCs w:val="24"/>
        </w:rPr>
        <w:t>Privacy Act 1988</w:t>
      </w:r>
      <w:r w:rsidRPr="0095666C">
        <w:rPr>
          <w:rFonts w:ascii="Times New Roman" w:hAnsi="Times New Roman" w:cs="Times New Roman"/>
          <w:sz w:val="24"/>
          <w:szCs w:val="24"/>
        </w:rPr>
        <w:t xml:space="preserve"> (Cth) (the Privacy Act) contains 13 Australian Privacy Principles (APPs), which regulate the collection, use, disclosure and storage of individuals’ personal information. The APPs apply to </w:t>
      </w:r>
      <w:r w:rsidR="009D205A" w:rsidRPr="0095666C">
        <w:rPr>
          <w:rFonts w:ascii="Times New Roman" w:hAnsi="Times New Roman" w:cs="Times New Roman"/>
          <w:sz w:val="24"/>
          <w:szCs w:val="24"/>
        </w:rPr>
        <w:t xml:space="preserve">government agencies and </w:t>
      </w:r>
      <w:r w:rsidR="00165635" w:rsidRPr="0095666C">
        <w:rPr>
          <w:rFonts w:ascii="Times New Roman" w:hAnsi="Times New Roman" w:cs="Times New Roman"/>
          <w:sz w:val="24"/>
          <w:szCs w:val="24"/>
        </w:rPr>
        <w:t>certain private sector organisations with an annual turnover of $3 million or more, as well as certain smaller organisations (APP entities)</w:t>
      </w:r>
      <w:r w:rsidR="009D205A" w:rsidRPr="0095666C">
        <w:rPr>
          <w:rFonts w:ascii="Times New Roman" w:hAnsi="Times New Roman" w:cs="Times New Roman"/>
          <w:sz w:val="24"/>
          <w:szCs w:val="24"/>
        </w:rPr>
        <w:t>.</w:t>
      </w:r>
    </w:p>
    <w:p w14:paraId="20CA41D6" w14:textId="24D16335" w:rsidR="00165635" w:rsidRPr="0095666C" w:rsidRDefault="00D108C7" w:rsidP="00165635">
      <w:pPr>
        <w:spacing w:line="240" w:lineRule="auto"/>
        <w:ind w:right="91"/>
        <w:rPr>
          <w:rFonts w:ascii="Times New Roman" w:hAnsi="Times New Roman" w:cs="Times New Roman"/>
          <w:sz w:val="24"/>
          <w:szCs w:val="24"/>
        </w:rPr>
      </w:pPr>
      <w:r w:rsidRPr="0095666C">
        <w:rPr>
          <w:rFonts w:ascii="Times New Roman" w:hAnsi="Times New Roman" w:cs="Times New Roman"/>
          <w:sz w:val="24"/>
          <w:szCs w:val="24"/>
        </w:rPr>
        <w:t>Subsection</w:t>
      </w:r>
      <w:r w:rsidR="00165635" w:rsidRPr="0095666C">
        <w:rPr>
          <w:rFonts w:ascii="Times New Roman" w:hAnsi="Times New Roman" w:cs="Times New Roman"/>
          <w:sz w:val="24"/>
          <w:szCs w:val="24"/>
        </w:rPr>
        <w:t xml:space="preserve"> 100(1) of the </w:t>
      </w:r>
      <w:r w:rsidRPr="0095666C">
        <w:rPr>
          <w:rFonts w:ascii="Times New Roman" w:hAnsi="Times New Roman" w:cs="Times New Roman"/>
          <w:sz w:val="24"/>
          <w:szCs w:val="24"/>
        </w:rPr>
        <w:t xml:space="preserve">Privacy </w:t>
      </w:r>
      <w:r w:rsidR="00165635" w:rsidRPr="0095666C">
        <w:rPr>
          <w:rFonts w:ascii="Times New Roman" w:hAnsi="Times New Roman" w:cs="Times New Roman"/>
          <w:sz w:val="24"/>
          <w:szCs w:val="24"/>
        </w:rPr>
        <w:t>Act provides that the Governor-General may make regulations, not inconsistent with the Act, prescribing matters required or permitted to be prescribed, or necessary or convenient to be prescribed, for carrying out or giving effect to the Act.</w:t>
      </w:r>
    </w:p>
    <w:p w14:paraId="4E399EED" w14:textId="7188D3E2" w:rsidR="009D205A" w:rsidRPr="0095666C" w:rsidRDefault="009D205A" w:rsidP="009D205A">
      <w:pPr>
        <w:spacing w:before="240" w:after="0" w:line="240" w:lineRule="auto"/>
        <w:rPr>
          <w:rFonts w:ascii="Times New Roman" w:hAnsi="Times New Roman"/>
          <w:sz w:val="24"/>
          <w:szCs w:val="24"/>
        </w:rPr>
      </w:pPr>
      <w:r w:rsidRPr="0095666C">
        <w:rPr>
          <w:rFonts w:ascii="Times New Roman" w:hAnsi="Times New Roman"/>
          <w:sz w:val="24"/>
          <w:szCs w:val="24"/>
        </w:rPr>
        <w:t>Part IIIA of the Privacy Act sets out the regulatory scheme for credit reporting in Australia. Under sub</w:t>
      </w:r>
      <w:r w:rsidR="00D921AE">
        <w:rPr>
          <w:rFonts w:ascii="Times New Roman" w:hAnsi="Times New Roman"/>
          <w:sz w:val="24"/>
          <w:szCs w:val="24"/>
        </w:rPr>
        <w:t xml:space="preserve">paragraph </w:t>
      </w:r>
      <w:r w:rsidRPr="0095666C">
        <w:rPr>
          <w:rFonts w:ascii="Times New Roman" w:hAnsi="Times New Roman"/>
          <w:sz w:val="24"/>
          <w:szCs w:val="24"/>
        </w:rPr>
        <w:t xml:space="preserve"> 21D(2)(a)(i), credit providers, including energy or water utilities companies, must be a member of an external dispute resolution (EDR) scheme recognised by the Australian Information Commissioner (the Commissioner) in order to participate in the  credit reporting system. The Commissioner’s power to recognise EDR schemes to handle particular privacy-related complaints is set out at section 35A of the Privacy Act. </w:t>
      </w:r>
    </w:p>
    <w:p w14:paraId="49C8B6FD" w14:textId="03004D44" w:rsidR="009D205A" w:rsidRPr="0095666C" w:rsidRDefault="009D205A" w:rsidP="009D205A">
      <w:pPr>
        <w:spacing w:before="240" w:after="0" w:line="240" w:lineRule="auto"/>
        <w:rPr>
          <w:rFonts w:ascii="Times New Roman" w:hAnsi="Times New Roman"/>
          <w:sz w:val="24"/>
          <w:szCs w:val="24"/>
        </w:rPr>
      </w:pPr>
      <w:r w:rsidRPr="0095666C">
        <w:rPr>
          <w:rFonts w:ascii="Times New Roman" w:hAnsi="Times New Roman"/>
          <w:sz w:val="24"/>
          <w:szCs w:val="24"/>
        </w:rPr>
        <w:t xml:space="preserve">The policy intention of the credit reporting EDR requirement and the Commissioner EDR recognition process was to allow any EDR schemes already in place to be recognised for the purposes of the credit reporting provisions. In the Australian energy and </w:t>
      </w:r>
      <w:r w:rsidR="00CC5318" w:rsidRPr="0095666C">
        <w:rPr>
          <w:rFonts w:ascii="Times New Roman" w:hAnsi="Times New Roman"/>
          <w:sz w:val="24"/>
          <w:szCs w:val="24"/>
        </w:rPr>
        <w:t xml:space="preserve">water </w:t>
      </w:r>
      <w:r w:rsidRPr="0095666C">
        <w:rPr>
          <w:rFonts w:ascii="Times New Roman" w:hAnsi="Times New Roman"/>
          <w:sz w:val="24"/>
          <w:szCs w:val="24"/>
        </w:rPr>
        <w:t>utility sector, states and territories either ha</w:t>
      </w:r>
      <w:r w:rsidR="00D921AE">
        <w:rPr>
          <w:rFonts w:ascii="Times New Roman" w:hAnsi="Times New Roman"/>
          <w:sz w:val="24"/>
          <w:szCs w:val="24"/>
        </w:rPr>
        <w:t>d</w:t>
      </w:r>
      <w:r w:rsidRPr="0095666C">
        <w:rPr>
          <w:rFonts w:ascii="Times New Roman" w:hAnsi="Times New Roman"/>
          <w:sz w:val="24"/>
          <w:szCs w:val="24"/>
        </w:rPr>
        <w:t xml:space="preserve"> existing EDR schemes that were recognised by the Commissioner for the purposes of the credit reporting provisions, or the e</w:t>
      </w:r>
      <w:r w:rsidR="00CC5318" w:rsidRPr="0095666C">
        <w:rPr>
          <w:rFonts w:ascii="Times New Roman" w:hAnsi="Times New Roman"/>
          <w:sz w:val="24"/>
          <w:szCs w:val="24"/>
        </w:rPr>
        <w:t>nergy</w:t>
      </w:r>
      <w:r w:rsidRPr="0095666C">
        <w:rPr>
          <w:rFonts w:ascii="Times New Roman" w:hAnsi="Times New Roman"/>
          <w:sz w:val="24"/>
          <w:szCs w:val="24"/>
        </w:rPr>
        <w:t xml:space="preserve"> and </w:t>
      </w:r>
      <w:r w:rsidR="00CC5318" w:rsidRPr="0095666C">
        <w:rPr>
          <w:rFonts w:ascii="Times New Roman" w:hAnsi="Times New Roman"/>
          <w:sz w:val="24"/>
          <w:szCs w:val="24"/>
        </w:rPr>
        <w:t xml:space="preserve">water </w:t>
      </w:r>
      <w:r w:rsidR="00B54181" w:rsidRPr="0095666C">
        <w:rPr>
          <w:rFonts w:ascii="Times New Roman" w:hAnsi="Times New Roman"/>
          <w:sz w:val="24"/>
          <w:szCs w:val="24"/>
        </w:rPr>
        <w:t xml:space="preserve">utilities </w:t>
      </w:r>
      <w:r w:rsidRPr="0095666C">
        <w:rPr>
          <w:rFonts w:ascii="Times New Roman" w:hAnsi="Times New Roman"/>
          <w:sz w:val="24"/>
          <w:szCs w:val="24"/>
        </w:rPr>
        <w:t xml:space="preserve">in a jurisdiction have joined other EDR schemes that had been recognised by the Commissioner. </w:t>
      </w:r>
    </w:p>
    <w:p w14:paraId="3420EA97" w14:textId="6C8377CD" w:rsidR="009D205A" w:rsidRPr="0095666C" w:rsidRDefault="009D205A" w:rsidP="009D205A">
      <w:pPr>
        <w:spacing w:before="240" w:after="0" w:line="240" w:lineRule="auto"/>
        <w:rPr>
          <w:rFonts w:ascii="Times New Roman" w:hAnsi="Times New Roman"/>
          <w:sz w:val="24"/>
          <w:szCs w:val="24"/>
        </w:rPr>
      </w:pPr>
      <w:r w:rsidRPr="0095666C">
        <w:rPr>
          <w:rFonts w:ascii="Times New Roman" w:hAnsi="Times New Roman"/>
          <w:sz w:val="24"/>
          <w:szCs w:val="24"/>
        </w:rPr>
        <w:t xml:space="preserve">EDR in relation to ACT </w:t>
      </w:r>
      <w:r w:rsidR="00CC5318" w:rsidRPr="0095666C">
        <w:rPr>
          <w:rFonts w:ascii="Times New Roman" w:hAnsi="Times New Roman"/>
          <w:sz w:val="24"/>
          <w:szCs w:val="24"/>
        </w:rPr>
        <w:t>energy and water</w:t>
      </w:r>
      <w:r w:rsidRPr="0095666C">
        <w:rPr>
          <w:rFonts w:ascii="Times New Roman" w:hAnsi="Times New Roman"/>
          <w:sz w:val="24"/>
          <w:szCs w:val="24"/>
        </w:rPr>
        <w:t xml:space="preserve"> u</w:t>
      </w:r>
      <w:r w:rsidR="00B54181" w:rsidRPr="0095666C">
        <w:rPr>
          <w:rFonts w:ascii="Times New Roman" w:hAnsi="Times New Roman"/>
          <w:sz w:val="24"/>
          <w:szCs w:val="24"/>
        </w:rPr>
        <w:t>tilities</w:t>
      </w:r>
      <w:r w:rsidRPr="0095666C">
        <w:rPr>
          <w:rFonts w:ascii="Times New Roman" w:hAnsi="Times New Roman"/>
          <w:sz w:val="24"/>
          <w:szCs w:val="24"/>
        </w:rPr>
        <w:t>, however, is provided through the ACT Civil and Administrative Tribunal (the ACAT). The ACAT is not an organisation of which credit providers can become ‘members’. As such, it is not possible for the Commissioner to recognise the ACAT as an EDR scheme under section 35A of the Privacy Act, since sub</w:t>
      </w:r>
      <w:r w:rsidR="00D921AE">
        <w:rPr>
          <w:rFonts w:ascii="Times New Roman" w:hAnsi="Times New Roman"/>
          <w:sz w:val="24"/>
          <w:szCs w:val="24"/>
        </w:rPr>
        <w:t xml:space="preserve">paragraph </w:t>
      </w:r>
      <w:r w:rsidRPr="0095666C">
        <w:rPr>
          <w:rFonts w:ascii="Times New Roman" w:hAnsi="Times New Roman"/>
          <w:sz w:val="24"/>
          <w:szCs w:val="24"/>
        </w:rPr>
        <w:t xml:space="preserve"> 21D(2)(a)(i) requires that a credit provider be a ‘member’ of the EDR scheme.</w:t>
      </w:r>
    </w:p>
    <w:p w14:paraId="0CC25848" w14:textId="755F08C2" w:rsidR="001B64F7" w:rsidRPr="0095666C" w:rsidRDefault="009D205A" w:rsidP="00996E9B">
      <w:pPr>
        <w:spacing w:before="240" w:after="0" w:line="240" w:lineRule="auto"/>
        <w:rPr>
          <w:rFonts w:ascii="Times New Roman" w:hAnsi="Times New Roman"/>
          <w:sz w:val="24"/>
          <w:szCs w:val="24"/>
        </w:rPr>
      </w:pPr>
      <w:r w:rsidRPr="0095666C">
        <w:rPr>
          <w:rFonts w:ascii="Times New Roman" w:hAnsi="Times New Roman"/>
          <w:sz w:val="24"/>
          <w:szCs w:val="24"/>
        </w:rPr>
        <w:t>Sub</w:t>
      </w:r>
      <w:r w:rsidR="00D921AE">
        <w:rPr>
          <w:rFonts w:ascii="Times New Roman" w:hAnsi="Times New Roman"/>
          <w:sz w:val="24"/>
          <w:szCs w:val="24"/>
        </w:rPr>
        <w:t xml:space="preserve">paragraph </w:t>
      </w:r>
      <w:r w:rsidRPr="0095666C">
        <w:rPr>
          <w:rFonts w:ascii="Times New Roman" w:hAnsi="Times New Roman"/>
          <w:sz w:val="24"/>
          <w:szCs w:val="24"/>
        </w:rPr>
        <w:t>21D(2)(a)(i) of the Privacy Act provides, as an alternative to being a member of an EDR scheme, that a credit provider can be prescribed by regulations (</w:t>
      </w:r>
      <w:r w:rsidR="00CC5318" w:rsidRPr="0095666C">
        <w:rPr>
          <w:rFonts w:ascii="Times New Roman" w:hAnsi="Times New Roman"/>
          <w:sz w:val="24"/>
          <w:szCs w:val="24"/>
        </w:rPr>
        <w:t>the exemption</w:t>
      </w:r>
      <w:r w:rsidRPr="0095666C">
        <w:rPr>
          <w:rFonts w:ascii="Times New Roman" w:hAnsi="Times New Roman"/>
          <w:sz w:val="24"/>
          <w:szCs w:val="24"/>
        </w:rPr>
        <w:t xml:space="preserve">). To clarify that ACT </w:t>
      </w:r>
      <w:r w:rsidR="00CC5318" w:rsidRPr="0095666C">
        <w:rPr>
          <w:rFonts w:ascii="Times New Roman" w:hAnsi="Times New Roman"/>
          <w:sz w:val="24"/>
          <w:szCs w:val="24"/>
        </w:rPr>
        <w:t>energy and water</w:t>
      </w:r>
      <w:r w:rsidR="00B54181" w:rsidRPr="0095666C">
        <w:rPr>
          <w:rFonts w:ascii="Times New Roman" w:hAnsi="Times New Roman"/>
          <w:sz w:val="24"/>
          <w:szCs w:val="24"/>
        </w:rPr>
        <w:t xml:space="preserve"> utilities </w:t>
      </w:r>
      <w:r w:rsidRPr="0095666C">
        <w:rPr>
          <w:rFonts w:ascii="Times New Roman" w:hAnsi="Times New Roman"/>
          <w:sz w:val="24"/>
          <w:szCs w:val="24"/>
        </w:rPr>
        <w:t xml:space="preserve">can continue to </w:t>
      </w:r>
      <w:r w:rsidR="00D921AE">
        <w:rPr>
          <w:rFonts w:ascii="Times New Roman" w:hAnsi="Times New Roman"/>
          <w:sz w:val="24"/>
          <w:szCs w:val="24"/>
        </w:rPr>
        <w:t>participate in the</w:t>
      </w:r>
      <w:r w:rsidRPr="0095666C">
        <w:rPr>
          <w:rFonts w:ascii="Times New Roman" w:hAnsi="Times New Roman"/>
          <w:sz w:val="24"/>
          <w:szCs w:val="24"/>
        </w:rPr>
        <w:t xml:space="preserve"> credit reporting system, </w:t>
      </w:r>
      <w:r w:rsidR="00D921AE">
        <w:rPr>
          <w:rFonts w:ascii="Times New Roman" w:hAnsi="Times New Roman"/>
          <w:sz w:val="24"/>
          <w:szCs w:val="24"/>
        </w:rPr>
        <w:t xml:space="preserve">such </w:t>
      </w:r>
      <w:r w:rsidRPr="0095666C">
        <w:rPr>
          <w:rFonts w:ascii="Times New Roman" w:hAnsi="Times New Roman"/>
          <w:sz w:val="24"/>
          <w:szCs w:val="24"/>
        </w:rPr>
        <w:t xml:space="preserve">regulations have been made. Regulation 14A of the </w:t>
      </w:r>
      <w:r w:rsidRPr="0095666C">
        <w:rPr>
          <w:rFonts w:ascii="Times New Roman" w:hAnsi="Times New Roman"/>
          <w:i/>
          <w:sz w:val="24"/>
          <w:szCs w:val="24"/>
        </w:rPr>
        <w:t>Privacy Regulation 2013</w:t>
      </w:r>
      <w:r w:rsidR="00D108C7" w:rsidRPr="0095666C">
        <w:rPr>
          <w:rFonts w:ascii="Times New Roman" w:hAnsi="Times New Roman"/>
          <w:sz w:val="24"/>
          <w:szCs w:val="24"/>
        </w:rPr>
        <w:t xml:space="preserve"> (the Principal Regulation)</w:t>
      </w:r>
      <w:r w:rsidRPr="0095666C">
        <w:rPr>
          <w:rFonts w:ascii="Times New Roman" w:hAnsi="Times New Roman"/>
          <w:i/>
          <w:sz w:val="24"/>
          <w:szCs w:val="24"/>
        </w:rPr>
        <w:t xml:space="preserve"> </w:t>
      </w:r>
      <w:r w:rsidR="00CC5318" w:rsidRPr="0095666C">
        <w:rPr>
          <w:rFonts w:ascii="Times New Roman" w:hAnsi="Times New Roman"/>
          <w:sz w:val="24"/>
          <w:szCs w:val="24"/>
        </w:rPr>
        <w:t xml:space="preserve">provided </w:t>
      </w:r>
      <w:r w:rsidR="00B54181" w:rsidRPr="0095666C">
        <w:rPr>
          <w:rFonts w:ascii="Times New Roman" w:hAnsi="Times New Roman"/>
          <w:sz w:val="24"/>
          <w:szCs w:val="24"/>
        </w:rPr>
        <w:t>utilities</w:t>
      </w:r>
      <w:r w:rsidR="001E5C30" w:rsidRPr="0095666C">
        <w:rPr>
          <w:rFonts w:ascii="Times New Roman" w:hAnsi="Times New Roman"/>
          <w:sz w:val="24"/>
          <w:szCs w:val="24"/>
        </w:rPr>
        <w:t xml:space="preserve"> in the Australian Capital Territory</w:t>
      </w:r>
      <w:r w:rsidRPr="0095666C">
        <w:rPr>
          <w:rFonts w:ascii="Times New Roman" w:hAnsi="Times New Roman"/>
          <w:sz w:val="24"/>
          <w:szCs w:val="24"/>
        </w:rPr>
        <w:t xml:space="preserve"> and the Northern Territory with an exemption to the EDR membership requirement until 1 January 2018. </w:t>
      </w:r>
      <w:r w:rsidR="00D921AE">
        <w:rPr>
          <w:rFonts w:ascii="Times New Roman" w:hAnsi="Times New Roman"/>
          <w:sz w:val="24"/>
          <w:szCs w:val="24"/>
        </w:rPr>
        <w:t xml:space="preserve">Previous </w:t>
      </w:r>
      <w:r w:rsidR="00BF670F">
        <w:rPr>
          <w:rFonts w:ascii="Times New Roman" w:hAnsi="Times New Roman"/>
          <w:sz w:val="24"/>
          <w:szCs w:val="24"/>
        </w:rPr>
        <w:t>r</w:t>
      </w:r>
      <w:r w:rsidRPr="0095666C">
        <w:rPr>
          <w:rFonts w:ascii="Times New Roman" w:hAnsi="Times New Roman"/>
          <w:sz w:val="24"/>
          <w:szCs w:val="24"/>
        </w:rPr>
        <w:t xml:space="preserve">egulation 14B extended the exemption for </w:t>
      </w:r>
      <w:r w:rsidR="00CC5318" w:rsidRPr="0095666C">
        <w:rPr>
          <w:rFonts w:ascii="Times New Roman" w:hAnsi="Times New Roman"/>
          <w:sz w:val="24"/>
          <w:szCs w:val="24"/>
        </w:rPr>
        <w:t>ACT utilit</w:t>
      </w:r>
      <w:r w:rsidR="00B54181" w:rsidRPr="0095666C">
        <w:rPr>
          <w:rFonts w:ascii="Times New Roman" w:hAnsi="Times New Roman"/>
          <w:sz w:val="24"/>
          <w:szCs w:val="24"/>
        </w:rPr>
        <w:t xml:space="preserve">ies </w:t>
      </w:r>
      <w:r w:rsidRPr="0095666C">
        <w:rPr>
          <w:rFonts w:ascii="Times New Roman" w:hAnsi="Times New Roman"/>
          <w:sz w:val="24"/>
          <w:szCs w:val="24"/>
        </w:rPr>
        <w:t xml:space="preserve">to 1 January 2019, to allow time </w:t>
      </w:r>
      <w:r w:rsidR="00996E9B" w:rsidRPr="0095666C">
        <w:rPr>
          <w:rFonts w:ascii="Times New Roman" w:hAnsi="Times New Roman"/>
          <w:sz w:val="24"/>
          <w:szCs w:val="24"/>
        </w:rPr>
        <w:t xml:space="preserve">to </w:t>
      </w:r>
      <w:r w:rsidRPr="0095666C">
        <w:rPr>
          <w:rFonts w:ascii="Times New Roman" w:hAnsi="Times New Roman"/>
          <w:sz w:val="24"/>
          <w:szCs w:val="24"/>
        </w:rPr>
        <w:t>progress</w:t>
      </w:r>
      <w:r w:rsidR="00996E9B" w:rsidRPr="0095666C">
        <w:rPr>
          <w:rFonts w:ascii="Times New Roman" w:hAnsi="Times New Roman"/>
          <w:sz w:val="24"/>
          <w:szCs w:val="24"/>
        </w:rPr>
        <w:t xml:space="preserve"> </w:t>
      </w:r>
      <w:r w:rsidRPr="0095666C">
        <w:rPr>
          <w:rFonts w:ascii="Times New Roman" w:hAnsi="Times New Roman"/>
          <w:sz w:val="24"/>
          <w:szCs w:val="24"/>
        </w:rPr>
        <w:t>necessary amendment</w:t>
      </w:r>
      <w:r w:rsidR="00996E9B" w:rsidRPr="0095666C">
        <w:rPr>
          <w:rFonts w:ascii="Times New Roman" w:hAnsi="Times New Roman"/>
          <w:sz w:val="24"/>
          <w:szCs w:val="24"/>
        </w:rPr>
        <w:t>s</w:t>
      </w:r>
      <w:r w:rsidRPr="0095666C">
        <w:rPr>
          <w:rFonts w:ascii="Times New Roman" w:hAnsi="Times New Roman"/>
          <w:sz w:val="24"/>
          <w:szCs w:val="24"/>
        </w:rPr>
        <w:t xml:space="preserve"> to the Privacy Act such that </w:t>
      </w:r>
      <w:r w:rsidRPr="0095666C">
        <w:rPr>
          <w:rFonts w:ascii="Times New Roman" w:hAnsi="Times New Roman"/>
          <w:sz w:val="24"/>
          <w:szCs w:val="24"/>
        </w:rPr>
        <w:lastRenderedPageBreak/>
        <w:t>there is no longer a requirement for providers to be a ‘member’ of an EDR scheme</w:t>
      </w:r>
      <w:r w:rsidR="00D921AE">
        <w:rPr>
          <w:rFonts w:ascii="Times New Roman" w:hAnsi="Times New Roman"/>
          <w:sz w:val="24"/>
          <w:szCs w:val="24"/>
        </w:rPr>
        <w:t xml:space="preserve"> in order for the Commissioner to recognise such a scheme</w:t>
      </w:r>
      <w:r w:rsidRPr="0095666C">
        <w:rPr>
          <w:rFonts w:ascii="Times New Roman" w:hAnsi="Times New Roman"/>
          <w:sz w:val="24"/>
          <w:szCs w:val="24"/>
        </w:rPr>
        <w:t xml:space="preserve">. It was unnecessary to include the Northern Territory in that extension as </w:t>
      </w:r>
      <w:r w:rsidR="00996E9B" w:rsidRPr="0095666C">
        <w:rPr>
          <w:rFonts w:ascii="Times New Roman" w:hAnsi="Times New Roman"/>
          <w:sz w:val="24"/>
          <w:szCs w:val="24"/>
        </w:rPr>
        <w:t>energy and water</w:t>
      </w:r>
      <w:r w:rsidR="00B54181" w:rsidRPr="0095666C">
        <w:rPr>
          <w:rFonts w:ascii="Times New Roman" w:hAnsi="Times New Roman"/>
          <w:sz w:val="24"/>
          <w:szCs w:val="24"/>
        </w:rPr>
        <w:t xml:space="preserve"> utilities</w:t>
      </w:r>
      <w:r w:rsidRPr="0095666C">
        <w:rPr>
          <w:rFonts w:ascii="Times New Roman" w:hAnsi="Times New Roman"/>
          <w:sz w:val="24"/>
          <w:szCs w:val="24"/>
        </w:rPr>
        <w:t xml:space="preserve"> in that jurisdiction had since joined a recognised EDR scheme.</w:t>
      </w:r>
    </w:p>
    <w:p w14:paraId="52CF48EE" w14:textId="77777777" w:rsidR="00857AD9" w:rsidRDefault="00857AD9" w:rsidP="00165635">
      <w:pPr>
        <w:spacing w:line="240" w:lineRule="auto"/>
        <w:ind w:right="91"/>
        <w:rPr>
          <w:rFonts w:ascii="Times New Roman" w:hAnsi="Times New Roman" w:cs="Times New Roman"/>
          <w:sz w:val="24"/>
          <w:szCs w:val="24"/>
          <w:u w:val="single"/>
        </w:rPr>
      </w:pPr>
    </w:p>
    <w:p w14:paraId="72650755" w14:textId="28D74277" w:rsidR="009D205A" w:rsidRPr="0095666C" w:rsidRDefault="009D205A" w:rsidP="00165635">
      <w:pPr>
        <w:spacing w:line="240" w:lineRule="auto"/>
        <w:ind w:right="91"/>
        <w:rPr>
          <w:rFonts w:ascii="Times New Roman" w:hAnsi="Times New Roman" w:cs="Times New Roman"/>
          <w:sz w:val="24"/>
          <w:szCs w:val="24"/>
          <w:u w:val="single"/>
        </w:rPr>
      </w:pPr>
      <w:r w:rsidRPr="0095666C">
        <w:rPr>
          <w:rFonts w:ascii="Times New Roman" w:hAnsi="Times New Roman" w:cs="Times New Roman"/>
          <w:sz w:val="24"/>
          <w:szCs w:val="24"/>
          <w:u w:val="single"/>
        </w:rPr>
        <w:t>Purpose and Operation of the Instrument</w:t>
      </w:r>
    </w:p>
    <w:p w14:paraId="6ACBC9D0" w14:textId="600D774D" w:rsidR="00D108C7" w:rsidRPr="0095666C" w:rsidRDefault="009D205A" w:rsidP="00D108C7">
      <w:pPr>
        <w:spacing w:before="240" w:after="0" w:line="240" w:lineRule="auto"/>
        <w:rPr>
          <w:rFonts w:ascii="Times New Roman" w:hAnsi="Times New Roman"/>
          <w:sz w:val="24"/>
          <w:szCs w:val="24"/>
        </w:rPr>
      </w:pPr>
      <w:r w:rsidRPr="0095666C">
        <w:rPr>
          <w:rFonts w:ascii="Times New Roman" w:hAnsi="Times New Roman" w:cs="Times New Roman"/>
          <w:sz w:val="24"/>
          <w:szCs w:val="24"/>
        </w:rPr>
        <w:t xml:space="preserve">The purpose of the </w:t>
      </w:r>
      <w:r w:rsidRPr="0095666C">
        <w:rPr>
          <w:rFonts w:ascii="Times New Roman" w:hAnsi="Times New Roman" w:cs="Times New Roman"/>
          <w:i/>
          <w:sz w:val="24"/>
          <w:szCs w:val="24"/>
        </w:rPr>
        <w:t>Privacy Amendment (External Dispute Resolution Scheme) Regulations 2019</w:t>
      </w:r>
      <w:r w:rsidR="00D108C7" w:rsidRPr="0095666C">
        <w:rPr>
          <w:rFonts w:ascii="Times New Roman" w:hAnsi="Times New Roman" w:cs="Times New Roman"/>
          <w:i/>
          <w:sz w:val="24"/>
          <w:szCs w:val="24"/>
        </w:rPr>
        <w:t xml:space="preserve"> </w:t>
      </w:r>
      <w:r w:rsidR="00D108C7" w:rsidRPr="0095666C">
        <w:rPr>
          <w:rFonts w:ascii="Times New Roman" w:hAnsi="Times New Roman" w:cs="Times New Roman"/>
          <w:sz w:val="24"/>
          <w:szCs w:val="24"/>
        </w:rPr>
        <w:t xml:space="preserve">(the </w:t>
      </w:r>
      <w:r w:rsidR="00D921AE">
        <w:rPr>
          <w:rFonts w:ascii="Times New Roman" w:hAnsi="Times New Roman" w:cs="Times New Roman"/>
          <w:sz w:val="24"/>
          <w:szCs w:val="24"/>
        </w:rPr>
        <w:t xml:space="preserve">new </w:t>
      </w:r>
      <w:r w:rsidR="00D108C7" w:rsidRPr="0095666C">
        <w:rPr>
          <w:rFonts w:ascii="Times New Roman" w:hAnsi="Times New Roman" w:cs="Times New Roman"/>
          <w:sz w:val="24"/>
          <w:szCs w:val="24"/>
        </w:rPr>
        <w:t xml:space="preserve">Regulations) is to amend the Principal Regulation </w:t>
      </w:r>
      <w:r w:rsidR="00D108C7" w:rsidRPr="0095666C">
        <w:rPr>
          <w:rFonts w:ascii="Times New Roman" w:hAnsi="Times New Roman"/>
          <w:sz w:val="24"/>
          <w:szCs w:val="24"/>
        </w:rPr>
        <w:t>to extend the prescript</w:t>
      </w:r>
      <w:r w:rsidR="00996E9B" w:rsidRPr="0095666C">
        <w:rPr>
          <w:rFonts w:ascii="Times New Roman" w:hAnsi="Times New Roman"/>
          <w:sz w:val="24"/>
          <w:szCs w:val="24"/>
        </w:rPr>
        <w:t xml:space="preserve">ion of energy or water </w:t>
      </w:r>
      <w:r w:rsidR="00B54181" w:rsidRPr="0095666C">
        <w:rPr>
          <w:rFonts w:ascii="Times New Roman" w:hAnsi="Times New Roman"/>
          <w:sz w:val="24"/>
          <w:szCs w:val="24"/>
        </w:rPr>
        <w:t xml:space="preserve">utilities in the ACT, </w:t>
      </w:r>
      <w:r w:rsidR="00D108C7" w:rsidRPr="0095666C">
        <w:rPr>
          <w:rFonts w:ascii="Times New Roman" w:hAnsi="Times New Roman"/>
          <w:sz w:val="24"/>
          <w:szCs w:val="24"/>
        </w:rPr>
        <w:t>for the purposes of sub</w:t>
      </w:r>
      <w:r w:rsidR="00D921AE">
        <w:rPr>
          <w:rFonts w:ascii="Times New Roman" w:hAnsi="Times New Roman"/>
          <w:sz w:val="24"/>
          <w:szCs w:val="24"/>
        </w:rPr>
        <w:t xml:space="preserve">paragraph </w:t>
      </w:r>
      <w:r w:rsidR="00B54181" w:rsidRPr="0095666C">
        <w:rPr>
          <w:rFonts w:ascii="Times New Roman" w:hAnsi="Times New Roman"/>
          <w:sz w:val="24"/>
          <w:szCs w:val="24"/>
        </w:rPr>
        <w:t xml:space="preserve">21D(2)(a)(i) of the Privacy Act, </w:t>
      </w:r>
      <w:r w:rsidR="00D108C7" w:rsidRPr="0095666C">
        <w:rPr>
          <w:rFonts w:ascii="Times New Roman" w:hAnsi="Times New Roman"/>
          <w:sz w:val="24"/>
          <w:szCs w:val="24"/>
        </w:rPr>
        <w:t>until 1 January 2020. This 12-month extension of the exempti</w:t>
      </w:r>
      <w:r w:rsidR="00996E9B" w:rsidRPr="0095666C">
        <w:rPr>
          <w:rFonts w:ascii="Times New Roman" w:hAnsi="Times New Roman"/>
          <w:sz w:val="24"/>
          <w:szCs w:val="24"/>
        </w:rPr>
        <w:t>on for ACT utili</w:t>
      </w:r>
      <w:r w:rsidR="00B54181" w:rsidRPr="0095666C">
        <w:rPr>
          <w:rFonts w:ascii="Times New Roman" w:hAnsi="Times New Roman"/>
          <w:sz w:val="24"/>
          <w:szCs w:val="24"/>
        </w:rPr>
        <w:t xml:space="preserve">ties </w:t>
      </w:r>
      <w:r w:rsidR="00D108C7" w:rsidRPr="0095666C">
        <w:rPr>
          <w:rFonts w:ascii="Times New Roman" w:hAnsi="Times New Roman"/>
          <w:sz w:val="24"/>
          <w:szCs w:val="24"/>
        </w:rPr>
        <w:t>is required to allow additional time to progress the passage of a minor amendment to the m</w:t>
      </w:r>
      <w:r w:rsidR="00996E9B" w:rsidRPr="0095666C">
        <w:rPr>
          <w:rFonts w:ascii="Times New Roman" w:hAnsi="Times New Roman"/>
          <w:sz w:val="24"/>
          <w:szCs w:val="24"/>
        </w:rPr>
        <w:t>embership requirement under sub</w:t>
      </w:r>
      <w:r w:rsidR="00D921AE">
        <w:rPr>
          <w:rFonts w:ascii="Times New Roman" w:hAnsi="Times New Roman"/>
          <w:sz w:val="24"/>
          <w:szCs w:val="24"/>
        </w:rPr>
        <w:t>paragraph</w:t>
      </w:r>
      <w:r w:rsidR="00996E9B" w:rsidRPr="0095666C">
        <w:rPr>
          <w:rFonts w:ascii="Times New Roman" w:hAnsi="Times New Roman"/>
          <w:sz w:val="24"/>
          <w:szCs w:val="24"/>
        </w:rPr>
        <w:t xml:space="preserve"> </w:t>
      </w:r>
      <w:r w:rsidR="00D108C7" w:rsidRPr="0095666C">
        <w:rPr>
          <w:rFonts w:ascii="Times New Roman" w:hAnsi="Times New Roman"/>
          <w:sz w:val="24"/>
          <w:szCs w:val="24"/>
        </w:rPr>
        <w:t xml:space="preserve">21D(2)(a)(i) of the Privacy Act. </w:t>
      </w:r>
    </w:p>
    <w:p w14:paraId="0D77B2A6" w14:textId="7E6D504D" w:rsidR="00DA10CA" w:rsidRPr="0095666C" w:rsidRDefault="001B64F7" w:rsidP="00D108C7">
      <w:pPr>
        <w:spacing w:before="240" w:after="0" w:line="240" w:lineRule="auto"/>
        <w:rPr>
          <w:rFonts w:ascii="Times New Roman" w:hAnsi="Times New Roman"/>
          <w:color w:val="000000" w:themeColor="text1"/>
          <w:sz w:val="24"/>
          <w:szCs w:val="24"/>
        </w:rPr>
      </w:pPr>
      <w:r w:rsidRPr="0095666C">
        <w:rPr>
          <w:rFonts w:ascii="Times New Roman" w:hAnsi="Times New Roman"/>
          <w:sz w:val="24"/>
          <w:szCs w:val="24"/>
        </w:rPr>
        <w:t xml:space="preserve">The </w:t>
      </w:r>
      <w:r w:rsidR="00D921AE">
        <w:rPr>
          <w:rFonts w:ascii="Times New Roman" w:hAnsi="Times New Roman"/>
          <w:sz w:val="24"/>
          <w:szCs w:val="24"/>
        </w:rPr>
        <w:t xml:space="preserve">new </w:t>
      </w:r>
      <w:r w:rsidRPr="0095666C">
        <w:rPr>
          <w:rFonts w:ascii="Times New Roman" w:hAnsi="Times New Roman"/>
          <w:sz w:val="24"/>
          <w:szCs w:val="24"/>
        </w:rPr>
        <w:t xml:space="preserve">Regulations commence retrospectively </w:t>
      </w:r>
      <w:r w:rsidR="00D921AE">
        <w:rPr>
          <w:rFonts w:ascii="Times New Roman" w:hAnsi="Times New Roman"/>
          <w:sz w:val="24"/>
          <w:szCs w:val="24"/>
        </w:rPr>
        <w:t>from</w:t>
      </w:r>
      <w:r w:rsidRPr="0095666C">
        <w:rPr>
          <w:rFonts w:ascii="Times New Roman" w:hAnsi="Times New Roman"/>
          <w:sz w:val="24"/>
          <w:szCs w:val="24"/>
        </w:rPr>
        <w:t xml:space="preserve"> 2 January 2019</w:t>
      </w:r>
      <w:r w:rsidR="00DA10CA" w:rsidRPr="0095666C">
        <w:rPr>
          <w:rFonts w:ascii="Times New Roman" w:hAnsi="Times New Roman"/>
          <w:sz w:val="24"/>
          <w:szCs w:val="24"/>
        </w:rPr>
        <w:t xml:space="preserve">. </w:t>
      </w:r>
      <w:r w:rsidR="00D921AE">
        <w:rPr>
          <w:rFonts w:ascii="Times New Roman" w:hAnsi="Times New Roman"/>
          <w:sz w:val="24"/>
          <w:szCs w:val="24"/>
        </w:rPr>
        <w:t>T</w:t>
      </w:r>
      <w:r w:rsidRPr="0095666C">
        <w:rPr>
          <w:rFonts w:ascii="Times New Roman" w:hAnsi="Times New Roman"/>
          <w:sz w:val="24"/>
          <w:szCs w:val="24"/>
        </w:rPr>
        <w:t xml:space="preserve">he </w:t>
      </w:r>
      <w:r w:rsidRPr="0095666C">
        <w:rPr>
          <w:rFonts w:ascii="Times New Roman" w:hAnsi="Times New Roman"/>
          <w:color w:val="000000" w:themeColor="text1"/>
          <w:sz w:val="24"/>
          <w:szCs w:val="24"/>
        </w:rPr>
        <w:t xml:space="preserve">exemption under </w:t>
      </w:r>
      <w:r w:rsidR="00DF2E0B">
        <w:rPr>
          <w:rFonts w:ascii="Times New Roman" w:hAnsi="Times New Roman"/>
          <w:color w:val="000000" w:themeColor="text1"/>
          <w:sz w:val="24"/>
          <w:szCs w:val="24"/>
        </w:rPr>
        <w:t xml:space="preserve">previous </w:t>
      </w:r>
      <w:r w:rsidR="00BF670F">
        <w:rPr>
          <w:rFonts w:ascii="Times New Roman" w:hAnsi="Times New Roman"/>
          <w:color w:val="000000" w:themeColor="text1"/>
          <w:sz w:val="24"/>
          <w:szCs w:val="24"/>
        </w:rPr>
        <w:t>r</w:t>
      </w:r>
      <w:r w:rsidRPr="0095666C">
        <w:rPr>
          <w:rFonts w:ascii="Times New Roman" w:hAnsi="Times New Roman"/>
          <w:color w:val="000000" w:themeColor="text1"/>
          <w:sz w:val="24"/>
          <w:szCs w:val="24"/>
        </w:rPr>
        <w:t xml:space="preserve">egulation 14B has expired (that is, the prescription until 1 January 2019 no longer applies). </w:t>
      </w:r>
      <w:r w:rsidR="00016B35">
        <w:rPr>
          <w:rFonts w:ascii="Times New Roman" w:hAnsi="Times New Roman"/>
          <w:color w:val="000000" w:themeColor="text1"/>
          <w:sz w:val="24"/>
          <w:szCs w:val="24"/>
        </w:rPr>
        <w:t xml:space="preserve">Retrospective commencement will </w:t>
      </w:r>
      <w:r w:rsidR="00016B35" w:rsidRPr="00016B35">
        <w:rPr>
          <w:rFonts w:ascii="Times New Roman" w:hAnsi="Times New Roman"/>
          <w:color w:val="000000" w:themeColor="text1"/>
          <w:sz w:val="24"/>
          <w:szCs w:val="24"/>
        </w:rPr>
        <w:t xml:space="preserve">ensure </w:t>
      </w:r>
      <w:r w:rsidR="00016B35">
        <w:rPr>
          <w:rFonts w:ascii="Times New Roman" w:hAnsi="Times New Roman"/>
          <w:color w:val="000000" w:themeColor="text1"/>
          <w:sz w:val="24"/>
          <w:szCs w:val="24"/>
        </w:rPr>
        <w:t xml:space="preserve">the Regulations </w:t>
      </w:r>
      <w:r w:rsidR="00016B35" w:rsidRPr="00016B35">
        <w:rPr>
          <w:rFonts w:ascii="Times New Roman" w:hAnsi="Times New Roman"/>
          <w:color w:val="000000" w:themeColor="text1"/>
          <w:sz w:val="24"/>
          <w:szCs w:val="24"/>
        </w:rPr>
        <w:t xml:space="preserve">apply to any disclosures of credit information to a credit reporting body made by ACT energy and water utilities between 2 January 2019 and commencement of the </w:t>
      </w:r>
      <w:r w:rsidR="007E2902">
        <w:rPr>
          <w:rFonts w:ascii="Times New Roman" w:hAnsi="Times New Roman"/>
          <w:color w:val="000000" w:themeColor="text1"/>
          <w:sz w:val="24"/>
          <w:szCs w:val="24"/>
        </w:rPr>
        <w:t>new</w:t>
      </w:r>
      <w:r w:rsidR="007E2902" w:rsidRPr="00016B35">
        <w:rPr>
          <w:rFonts w:ascii="Times New Roman" w:hAnsi="Times New Roman"/>
          <w:color w:val="000000" w:themeColor="text1"/>
          <w:sz w:val="24"/>
          <w:szCs w:val="24"/>
        </w:rPr>
        <w:t xml:space="preserve"> </w:t>
      </w:r>
      <w:r w:rsidR="00016B35" w:rsidRPr="00016B35">
        <w:rPr>
          <w:rFonts w:ascii="Times New Roman" w:hAnsi="Times New Roman"/>
          <w:color w:val="000000" w:themeColor="text1"/>
          <w:sz w:val="24"/>
          <w:szCs w:val="24"/>
        </w:rPr>
        <w:t>Regulations.</w:t>
      </w:r>
      <w:r w:rsidR="00016B35">
        <w:rPr>
          <w:rFonts w:ascii="Times New Roman" w:hAnsi="Times New Roman"/>
          <w:color w:val="000000" w:themeColor="text1"/>
          <w:sz w:val="24"/>
          <w:szCs w:val="24"/>
        </w:rPr>
        <w:t xml:space="preserve"> </w:t>
      </w:r>
    </w:p>
    <w:p w14:paraId="1E981409" w14:textId="2FECA689" w:rsidR="00DA10CA" w:rsidRPr="0095666C" w:rsidRDefault="00DA10CA" w:rsidP="00DA10CA">
      <w:pPr>
        <w:spacing w:before="240" w:after="0" w:line="240" w:lineRule="auto"/>
        <w:rPr>
          <w:rFonts w:ascii="Times New Roman" w:hAnsi="Times New Roman"/>
          <w:color w:val="000000" w:themeColor="text1"/>
          <w:sz w:val="24"/>
          <w:szCs w:val="24"/>
        </w:rPr>
      </w:pPr>
      <w:r w:rsidRPr="0095666C">
        <w:rPr>
          <w:rFonts w:ascii="Times New Roman" w:hAnsi="Times New Roman" w:cs="Times New Roman"/>
          <w:sz w:val="24"/>
          <w:szCs w:val="24"/>
        </w:rPr>
        <w:t>Details</w:t>
      </w:r>
      <w:r w:rsidRPr="0095666C">
        <w:rPr>
          <w:rFonts w:ascii="Times New Roman" w:hAnsi="Times New Roman"/>
          <w:color w:val="000000" w:themeColor="text1"/>
          <w:sz w:val="24"/>
          <w:szCs w:val="24"/>
        </w:rPr>
        <w:t xml:space="preserve"> of the </w:t>
      </w:r>
      <w:r w:rsidR="00D921AE">
        <w:rPr>
          <w:rFonts w:ascii="Times New Roman" w:hAnsi="Times New Roman"/>
          <w:color w:val="000000" w:themeColor="text1"/>
          <w:sz w:val="24"/>
          <w:szCs w:val="24"/>
        </w:rPr>
        <w:t xml:space="preserve">new </w:t>
      </w:r>
      <w:r w:rsidRPr="0095666C">
        <w:rPr>
          <w:rFonts w:ascii="Times New Roman" w:hAnsi="Times New Roman"/>
          <w:color w:val="000000" w:themeColor="text1"/>
          <w:sz w:val="24"/>
          <w:szCs w:val="24"/>
        </w:rPr>
        <w:t xml:space="preserve">Regulations are set out in </w:t>
      </w:r>
      <w:r w:rsidRPr="0095666C">
        <w:rPr>
          <w:rFonts w:ascii="Times New Roman" w:hAnsi="Times New Roman"/>
          <w:color w:val="000000" w:themeColor="text1"/>
          <w:sz w:val="24"/>
          <w:szCs w:val="24"/>
          <w:u w:val="single"/>
        </w:rPr>
        <w:t>Attachment A.</w:t>
      </w:r>
      <w:r w:rsidRPr="0095666C">
        <w:rPr>
          <w:rFonts w:ascii="Times New Roman" w:hAnsi="Times New Roman"/>
          <w:color w:val="000000" w:themeColor="text1"/>
          <w:sz w:val="24"/>
          <w:szCs w:val="24"/>
        </w:rPr>
        <w:t xml:space="preserve"> </w:t>
      </w:r>
    </w:p>
    <w:p w14:paraId="338208CB" w14:textId="77777777" w:rsidR="00DA10CA" w:rsidRPr="0095666C" w:rsidRDefault="00DA10CA" w:rsidP="00DA10CA">
      <w:pPr>
        <w:spacing w:before="240" w:after="0" w:line="240" w:lineRule="auto"/>
        <w:rPr>
          <w:rFonts w:ascii="Times New Roman" w:hAnsi="Times New Roman"/>
          <w:color w:val="000000" w:themeColor="text1"/>
          <w:sz w:val="24"/>
          <w:szCs w:val="24"/>
        </w:rPr>
      </w:pPr>
      <w:r w:rsidRPr="0095666C">
        <w:rPr>
          <w:rFonts w:ascii="Times New Roman" w:hAnsi="Times New Roman"/>
          <w:color w:val="000000" w:themeColor="text1"/>
          <w:sz w:val="24"/>
          <w:szCs w:val="24"/>
        </w:rPr>
        <w:t xml:space="preserve">A </w:t>
      </w:r>
      <w:r w:rsidRPr="0095666C">
        <w:rPr>
          <w:rFonts w:ascii="Times New Roman" w:hAnsi="Times New Roman" w:cs="Times New Roman"/>
          <w:sz w:val="24"/>
          <w:szCs w:val="24"/>
        </w:rPr>
        <w:t>Statement</w:t>
      </w:r>
      <w:r w:rsidRPr="0095666C">
        <w:rPr>
          <w:rFonts w:ascii="Times New Roman" w:hAnsi="Times New Roman"/>
          <w:color w:val="000000" w:themeColor="text1"/>
          <w:sz w:val="24"/>
          <w:szCs w:val="24"/>
        </w:rPr>
        <w:t xml:space="preserve"> of Compatibility with Human Rights is set out in </w:t>
      </w:r>
      <w:r w:rsidRPr="0095666C">
        <w:rPr>
          <w:rFonts w:ascii="Times New Roman" w:hAnsi="Times New Roman"/>
          <w:color w:val="000000" w:themeColor="text1"/>
          <w:sz w:val="24"/>
          <w:szCs w:val="24"/>
          <w:u w:val="single"/>
        </w:rPr>
        <w:t>Attachment B</w:t>
      </w:r>
      <w:r w:rsidRPr="0095666C">
        <w:rPr>
          <w:rFonts w:ascii="Times New Roman" w:hAnsi="Times New Roman"/>
          <w:color w:val="000000" w:themeColor="text1"/>
          <w:sz w:val="24"/>
          <w:szCs w:val="24"/>
        </w:rPr>
        <w:t xml:space="preserve"> prepared in accordance with Part 3 of the </w:t>
      </w:r>
      <w:r w:rsidRPr="0095666C">
        <w:rPr>
          <w:rFonts w:ascii="Times New Roman" w:hAnsi="Times New Roman"/>
          <w:i/>
          <w:color w:val="000000" w:themeColor="text1"/>
          <w:sz w:val="24"/>
          <w:szCs w:val="24"/>
        </w:rPr>
        <w:t>Human Rights (Parliamentary Scrutiny Act) 2011.</w:t>
      </w:r>
      <w:r w:rsidRPr="0095666C">
        <w:rPr>
          <w:rFonts w:ascii="Times New Roman" w:hAnsi="Times New Roman"/>
          <w:color w:val="000000" w:themeColor="text1"/>
          <w:sz w:val="24"/>
          <w:szCs w:val="24"/>
        </w:rPr>
        <w:t xml:space="preserve"> </w:t>
      </w:r>
    </w:p>
    <w:p w14:paraId="6FFDD043" w14:textId="4D81A5C2" w:rsidR="00DA10CA" w:rsidRDefault="00DA10CA" w:rsidP="00DA10CA">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Consistent with the requirements of </w:t>
      </w:r>
      <w:r w:rsidR="00D921AE">
        <w:rPr>
          <w:rFonts w:ascii="Times New Roman" w:hAnsi="Times New Roman" w:cs="Times New Roman"/>
          <w:sz w:val="24"/>
          <w:szCs w:val="24"/>
        </w:rPr>
        <w:t xml:space="preserve">section 17 of </w:t>
      </w:r>
      <w:r w:rsidRPr="0095666C">
        <w:rPr>
          <w:rFonts w:ascii="Times New Roman" w:hAnsi="Times New Roman" w:cs="Times New Roman"/>
          <w:sz w:val="24"/>
          <w:szCs w:val="24"/>
        </w:rPr>
        <w:t xml:space="preserve">the </w:t>
      </w:r>
      <w:r w:rsidRPr="0095666C">
        <w:rPr>
          <w:rFonts w:ascii="Times New Roman" w:hAnsi="Times New Roman" w:cs="Times New Roman"/>
          <w:i/>
          <w:sz w:val="24"/>
          <w:szCs w:val="24"/>
        </w:rPr>
        <w:t>Legislation Act 2003</w:t>
      </w:r>
      <w:r w:rsidR="00996E9B" w:rsidRPr="0095666C">
        <w:rPr>
          <w:rFonts w:ascii="Times New Roman" w:hAnsi="Times New Roman" w:cs="Times New Roman"/>
          <w:i/>
          <w:sz w:val="24"/>
          <w:szCs w:val="24"/>
        </w:rPr>
        <w:t xml:space="preserve"> </w:t>
      </w:r>
      <w:r w:rsidR="00996E9B" w:rsidRPr="0095666C">
        <w:rPr>
          <w:rFonts w:ascii="Times New Roman" w:hAnsi="Times New Roman" w:cs="Times New Roman"/>
          <w:sz w:val="24"/>
          <w:szCs w:val="24"/>
        </w:rPr>
        <w:t>(Legislation Act)</w:t>
      </w:r>
      <w:r w:rsidRPr="0095666C">
        <w:rPr>
          <w:rFonts w:ascii="Times New Roman" w:hAnsi="Times New Roman" w:cs="Times New Roman"/>
          <w:sz w:val="24"/>
          <w:szCs w:val="24"/>
        </w:rPr>
        <w:t>,</w:t>
      </w:r>
      <w:r w:rsidRPr="0095666C">
        <w:rPr>
          <w:rFonts w:ascii="Times New Roman" w:hAnsi="Times New Roman" w:cs="Times New Roman"/>
          <w:i/>
          <w:sz w:val="24"/>
          <w:szCs w:val="24"/>
        </w:rPr>
        <w:t xml:space="preserve"> </w:t>
      </w:r>
      <w:r w:rsidRPr="0095666C">
        <w:rPr>
          <w:rFonts w:ascii="Times New Roman" w:hAnsi="Times New Roman" w:cs="Times New Roman"/>
          <w:sz w:val="24"/>
          <w:szCs w:val="24"/>
        </w:rPr>
        <w:t xml:space="preserve">the </w:t>
      </w:r>
      <w:r w:rsidR="00481549">
        <w:rPr>
          <w:rFonts w:ascii="Times New Roman" w:hAnsi="Times New Roman" w:cs="Times New Roman"/>
          <w:sz w:val="24"/>
          <w:szCs w:val="24"/>
        </w:rPr>
        <w:t>new</w:t>
      </w:r>
      <w:r w:rsidR="00481549" w:rsidRPr="0095666C">
        <w:rPr>
          <w:rFonts w:ascii="Times New Roman" w:hAnsi="Times New Roman" w:cs="Times New Roman"/>
          <w:sz w:val="24"/>
          <w:szCs w:val="24"/>
        </w:rPr>
        <w:t xml:space="preserve"> </w:t>
      </w:r>
      <w:r w:rsidRPr="0095666C">
        <w:rPr>
          <w:rFonts w:ascii="Times New Roman" w:hAnsi="Times New Roman" w:cs="Times New Roman"/>
          <w:sz w:val="24"/>
          <w:szCs w:val="24"/>
        </w:rPr>
        <w:t>Regulations have been the subject of consultation with the ACT Justice and Community Safety Directorate</w:t>
      </w:r>
      <w:r w:rsidR="00AA63F4">
        <w:rPr>
          <w:rFonts w:ascii="Times New Roman" w:hAnsi="Times New Roman" w:cs="Times New Roman"/>
          <w:sz w:val="24"/>
          <w:szCs w:val="24"/>
        </w:rPr>
        <w:t xml:space="preserve"> and the Office of the Australian Information Commissioner (OAIC)</w:t>
      </w:r>
      <w:r w:rsidRPr="0095666C">
        <w:rPr>
          <w:rFonts w:ascii="Times New Roman" w:hAnsi="Times New Roman" w:cs="Times New Roman"/>
          <w:sz w:val="24"/>
          <w:szCs w:val="24"/>
        </w:rPr>
        <w:t>.</w:t>
      </w:r>
      <w:r w:rsidR="00AA63F4">
        <w:rPr>
          <w:rFonts w:ascii="Times New Roman" w:hAnsi="Times New Roman" w:cs="Times New Roman"/>
          <w:sz w:val="24"/>
          <w:szCs w:val="24"/>
        </w:rPr>
        <w:t xml:space="preserve"> Both advised that they have no concerns regarding the retrospective operation of the </w:t>
      </w:r>
      <w:r w:rsidR="00481549">
        <w:rPr>
          <w:rFonts w:ascii="Times New Roman" w:hAnsi="Times New Roman" w:cs="Times New Roman"/>
          <w:sz w:val="24"/>
          <w:szCs w:val="24"/>
        </w:rPr>
        <w:t>new</w:t>
      </w:r>
      <w:r w:rsidR="00AA63F4">
        <w:rPr>
          <w:rFonts w:ascii="Times New Roman" w:hAnsi="Times New Roman" w:cs="Times New Roman"/>
          <w:sz w:val="24"/>
          <w:szCs w:val="24"/>
        </w:rPr>
        <w:t xml:space="preserve"> Regulations. Based on previous discussions with the OAIC in relation to</w:t>
      </w:r>
      <w:r w:rsidRPr="0095666C">
        <w:rPr>
          <w:rFonts w:ascii="Times New Roman" w:hAnsi="Times New Roman" w:cs="Times New Roman"/>
          <w:sz w:val="24"/>
          <w:szCs w:val="24"/>
        </w:rPr>
        <w:t xml:space="preserve"> </w:t>
      </w:r>
      <w:r w:rsidR="00AA63F4">
        <w:rPr>
          <w:rFonts w:ascii="Times New Roman" w:hAnsi="Times New Roman" w:cs="Times New Roman"/>
          <w:sz w:val="24"/>
          <w:szCs w:val="24"/>
        </w:rPr>
        <w:t xml:space="preserve">previous </w:t>
      </w:r>
      <w:r w:rsidR="00481549">
        <w:rPr>
          <w:rFonts w:ascii="Times New Roman" w:hAnsi="Times New Roman" w:cs="Times New Roman"/>
          <w:sz w:val="24"/>
          <w:szCs w:val="24"/>
        </w:rPr>
        <w:t>r</w:t>
      </w:r>
      <w:r w:rsidR="00AA63F4">
        <w:rPr>
          <w:rFonts w:ascii="Times New Roman" w:hAnsi="Times New Roman" w:cs="Times New Roman"/>
          <w:sz w:val="24"/>
          <w:szCs w:val="24"/>
        </w:rPr>
        <w:t>egulation 14B (which expired on 1 January 2019)</w:t>
      </w:r>
      <w:r w:rsidRPr="0095666C">
        <w:rPr>
          <w:rFonts w:ascii="Times New Roman" w:hAnsi="Times New Roman" w:cs="Times New Roman"/>
          <w:sz w:val="24"/>
          <w:szCs w:val="24"/>
        </w:rPr>
        <w:t xml:space="preserve">, </w:t>
      </w:r>
      <w:r w:rsidR="00996E9B" w:rsidRPr="0095666C">
        <w:rPr>
          <w:rFonts w:ascii="Times New Roman" w:hAnsi="Times New Roman" w:cs="Times New Roman"/>
          <w:sz w:val="24"/>
          <w:szCs w:val="24"/>
        </w:rPr>
        <w:t>there is not anticipated to be</w:t>
      </w:r>
      <w:r w:rsidRPr="0095666C">
        <w:rPr>
          <w:rFonts w:ascii="Times New Roman" w:hAnsi="Times New Roman" w:cs="Times New Roman"/>
          <w:sz w:val="24"/>
          <w:szCs w:val="24"/>
        </w:rPr>
        <w:t xml:space="preserve"> any issues in relation to recognition of the ACAT as an EDR scheme</w:t>
      </w:r>
      <w:r w:rsidR="00D921AE">
        <w:rPr>
          <w:rFonts w:ascii="Times New Roman" w:hAnsi="Times New Roman" w:cs="Times New Roman"/>
          <w:sz w:val="24"/>
          <w:szCs w:val="24"/>
        </w:rPr>
        <w:t>.</w:t>
      </w:r>
      <w:r w:rsidR="00AA63F4">
        <w:rPr>
          <w:rFonts w:ascii="Times New Roman" w:hAnsi="Times New Roman" w:cs="Times New Roman"/>
          <w:sz w:val="24"/>
          <w:szCs w:val="24"/>
        </w:rPr>
        <w:t xml:space="preserve"> The Australian Government Solicitor was also consulted. </w:t>
      </w:r>
    </w:p>
    <w:p w14:paraId="0458E25F" w14:textId="7C0FFAEA" w:rsidR="00AA63F4" w:rsidRPr="0095666C" w:rsidRDefault="00AA63F4" w:rsidP="00DA10CA">
      <w:pPr>
        <w:spacing w:before="240" w:after="0" w:line="240" w:lineRule="auto"/>
        <w:rPr>
          <w:rFonts w:ascii="Times New Roman" w:hAnsi="Times New Roman" w:cs="Times New Roman"/>
          <w:sz w:val="24"/>
          <w:szCs w:val="24"/>
        </w:rPr>
      </w:pPr>
      <w:r w:rsidRPr="00AA63F4">
        <w:rPr>
          <w:rFonts w:ascii="Times New Roman" w:hAnsi="Times New Roman" w:cs="Times New Roman"/>
          <w:sz w:val="24"/>
          <w:szCs w:val="24"/>
        </w:rPr>
        <w:t xml:space="preserve">The Office of Best Practice Regulation (OBPR) was consulted and has stated that a Regulation Impact Statement is not required for the </w:t>
      </w:r>
      <w:r w:rsidR="00481549">
        <w:rPr>
          <w:rFonts w:ascii="Times New Roman" w:hAnsi="Times New Roman" w:cs="Times New Roman"/>
          <w:sz w:val="24"/>
          <w:szCs w:val="24"/>
        </w:rPr>
        <w:t>new</w:t>
      </w:r>
      <w:r w:rsidRPr="00AA63F4">
        <w:rPr>
          <w:rFonts w:ascii="Times New Roman" w:hAnsi="Times New Roman" w:cs="Times New Roman"/>
          <w:sz w:val="24"/>
          <w:szCs w:val="24"/>
        </w:rPr>
        <w:t xml:space="preserve"> Regulations (OBPR ID: 25066).</w:t>
      </w:r>
    </w:p>
    <w:p w14:paraId="7B970333" w14:textId="11285F08" w:rsidR="00DA10CA" w:rsidRPr="0095666C" w:rsidRDefault="00DA10CA" w:rsidP="00DA10CA">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The </w:t>
      </w:r>
      <w:r w:rsidR="00997CAB">
        <w:rPr>
          <w:rFonts w:ascii="Times New Roman" w:hAnsi="Times New Roman" w:cs="Times New Roman"/>
          <w:sz w:val="24"/>
          <w:szCs w:val="24"/>
        </w:rPr>
        <w:t xml:space="preserve">new </w:t>
      </w:r>
      <w:r w:rsidRPr="0095666C">
        <w:rPr>
          <w:rFonts w:ascii="Times New Roman" w:hAnsi="Times New Roman" w:cs="Times New Roman"/>
          <w:sz w:val="24"/>
          <w:szCs w:val="24"/>
        </w:rPr>
        <w:t>Regulations are a legislative ins</w:t>
      </w:r>
      <w:r w:rsidR="00996E9B" w:rsidRPr="0095666C">
        <w:rPr>
          <w:rFonts w:ascii="Times New Roman" w:hAnsi="Times New Roman" w:cs="Times New Roman"/>
          <w:sz w:val="24"/>
          <w:szCs w:val="24"/>
        </w:rPr>
        <w:t>trument for the purposes of the Legislation Act.</w:t>
      </w:r>
    </w:p>
    <w:p w14:paraId="52FCD610" w14:textId="101C9866" w:rsidR="00DA10CA" w:rsidRPr="0095666C" w:rsidRDefault="00DA10CA" w:rsidP="00DA10CA">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The </w:t>
      </w:r>
      <w:r w:rsidR="00997CAB">
        <w:rPr>
          <w:rFonts w:ascii="Times New Roman" w:hAnsi="Times New Roman" w:cs="Times New Roman"/>
          <w:sz w:val="24"/>
          <w:szCs w:val="24"/>
        </w:rPr>
        <w:t xml:space="preserve">new </w:t>
      </w:r>
      <w:r w:rsidRPr="0095666C">
        <w:rPr>
          <w:rFonts w:ascii="Times New Roman" w:hAnsi="Times New Roman" w:cs="Times New Roman"/>
          <w:sz w:val="24"/>
          <w:szCs w:val="24"/>
        </w:rPr>
        <w:t xml:space="preserve">Regulations commence the day after registration, except for Schedule 1 which commences retrospectively on 2 January 2019. </w:t>
      </w:r>
    </w:p>
    <w:p w14:paraId="7DFD6693" w14:textId="6C0D66D4" w:rsidR="00AE225A" w:rsidRPr="0095666C" w:rsidRDefault="00DA10CA" w:rsidP="00AE225A">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Schedule 1 engages section 12 of the </w:t>
      </w:r>
      <w:r w:rsidR="00996E9B" w:rsidRPr="0095666C">
        <w:rPr>
          <w:rFonts w:ascii="Times New Roman" w:hAnsi="Times New Roman" w:cs="Times New Roman"/>
          <w:sz w:val="24"/>
          <w:szCs w:val="24"/>
        </w:rPr>
        <w:t>Legislation Act</w:t>
      </w:r>
      <w:r w:rsidRPr="0095666C">
        <w:rPr>
          <w:rFonts w:ascii="Times New Roman" w:hAnsi="Times New Roman" w:cs="Times New Roman"/>
          <w:i/>
          <w:sz w:val="24"/>
          <w:szCs w:val="24"/>
        </w:rPr>
        <w:t xml:space="preserve">. </w:t>
      </w:r>
      <w:r w:rsidR="00B54181" w:rsidRPr="0095666C">
        <w:rPr>
          <w:rFonts w:ascii="Times New Roman" w:hAnsi="Times New Roman" w:cs="Times New Roman"/>
          <w:sz w:val="24"/>
          <w:szCs w:val="24"/>
        </w:rPr>
        <w:t>Subsection 12</w:t>
      </w:r>
      <w:r w:rsidR="00351F8F" w:rsidRPr="0095666C">
        <w:rPr>
          <w:rFonts w:ascii="Times New Roman" w:hAnsi="Times New Roman" w:cs="Times New Roman"/>
          <w:sz w:val="24"/>
          <w:szCs w:val="24"/>
        </w:rPr>
        <w:t xml:space="preserve">(1A) of the Legislation Act permits legislative instruments to commence retrospectively. Subsection 12(2), however, provides that a provision of a legislative instrument does not apply in relation to a person to the extent that the retrospective commencement causes the person’s rights to be disadvantaged, or imposes liabilities on the person. </w:t>
      </w:r>
      <w:r w:rsidR="00C35ECA">
        <w:rPr>
          <w:rFonts w:ascii="Times New Roman" w:hAnsi="Times New Roman" w:cs="Times New Roman"/>
          <w:sz w:val="24"/>
          <w:szCs w:val="24"/>
        </w:rPr>
        <w:t>The new Regulations would not affect an individual’s right to make a privacy-related complaint regarding the disclosure of their credit information</w:t>
      </w:r>
      <w:r w:rsidR="00B73FA3" w:rsidRPr="0095666C">
        <w:rPr>
          <w:rFonts w:ascii="Times New Roman" w:hAnsi="Times New Roman" w:cs="Times New Roman"/>
          <w:sz w:val="24"/>
          <w:szCs w:val="24"/>
        </w:rPr>
        <w:t>.</w:t>
      </w:r>
    </w:p>
    <w:p w14:paraId="06380E73" w14:textId="56C0CF81" w:rsidR="00997CAB" w:rsidRDefault="00997CAB">
      <w:pPr>
        <w:rPr>
          <w:rFonts w:ascii="Times New Roman" w:hAnsi="Times New Roman" w:cs="Times New Roman"/>
          <w:sz w:val="24"/>
          <w:szCs w:val="24"/>
        </w:rPr>
      </w:pPr>
      <w:r>
        <w:rPr>
          <w:rFonts w:ascii="Times New Roman" w:hAnsi="Times New Roman" w:cs="Times New Roman"/>
          <w:sz w:val="24"/>
          <w:szCs w:val="24"/>
        </w:rPr>
        <w:br w:type="page"/>
      </w:r>
    </w:p>
    <w:p w14:paraId="121F2E18" w14:textId="77777777" w:rsidR="009C0BE2" w:rsidRPr="0095666C" w:rsidRDefault="009C0BE2" w:rsidP="009C0BE2">
      <w:pPr>
        <w:spacing w:line="360" w:lineRule="auto"/>
        <w:jc w:val="right"/>
        <w:rPr>
          <w:rFonts w:ascii="Times New Roman" w:hAnsi="Times New Roman" w:cs="Times New Roman"/>
          <w:b/>
          <w:sz w:val="24"/>
          <w:szCs w:val="24"/>
        </w:rPr>
      </w:pPr>
      <w:r w:rsidRPr="0095666C">
        <w:rPr>
          <w:rFonts w:ascii="Times New Roman" w:hAnsi="Times New Roman" w:cs="Times New Roman"/>
          <w:b/>
          <w:sz w:val="24"/>
          <w:szCs w:val="24"/>
        </w:rPr>
        <w:lastRenderedPageBreak/>
        <w:t>Attachment A</w:t>
      </w:r>
    </w:p>
    <w:p w14:paraId="6795538A" w14:textId="77777777" w:rsidR="00AE225A" w:rsidRPr="0095666C" w:rsidRDefault="00AE225A" w:rsidP="00AE225A">
      <w:pPr>
        <w:pStyle w:val="Heading1"/>
        <w:spacing w:before="0" w:after="0" w:line="240" w:lineRule="auto"/>
        <w:rPr>
          <w:rFonts w:ascii="Times New Roman" w:eastAsiaTheme="minorHAnsi" w:hAnsi="Times New Roman"/>
          <w:b/>
          <w:bCs w:val="0"/>
          <w:i/>
          <w:caps w:val="0"/>
          <w:kern w:val="0"/>
          <w:sz w:val="24"/>
          <w:szCs w:val="24"/>
          <w:u w:val="single"/>
        </w:rPr>
      </w:pPr>
      <w:r w:rsidRPr="0095666C">
        <w:rPr>
          <w:rFonts w:ascii="Times New Roman" w:eastAsiaTheme="minorHAnsi" w:hAnsi="Times New Roman"/>
          <w:b/>
          <w:bCs w:val="0"/>
          <w:i/>
          <w:caps w:val="0"/>
          <w:kern w:val="0"/>
          <w:sz w:val="24"/>
          <w:szCs w:val="24"/>
          <w:u w:val="single"/>
        </w:rPr>
        <w:t>Privacy Amendment (External Dispute Resolution Scheme) Regulations 2019</w:t>
      </w:r>
    </w:p>
    <w:p w14:paraId="01C19685" w14:textId="77777777" w:rsidR="00996E9B" w:rsidRPr="0095666C" w:rsidRDefault="00996E9B" w:rsidP="00043840">
      <w:pPr>
        <w:spacing w:line="360" w:lineRule="auto"/>
        <w:rPr>
          <w:rFonts w:ascii="Times New Roman" w:hAnsi="Times New Roman" w:cs="Times New Roman"/>
          <w:b/>
          <w:sz w:val="24"/>
          <w:szCs w:val="24"/>
        </w:rPr>
      </w:pPr>
    </w:p>
    <w:p w14:paraId="7E877529" w14:textId="4D885214" w:rsidR="00043840" w:rsidRPr="0095666C" w:rsidRDefault="00C16B35" w:rsidP="00043840">
      <w:pPr>
        <w:spacing w:line="360" w:lineRule="auto"/>
        <w:rPr>
          <w:rFonts w:ascii="Times New Roman" w:hAnsi="Times New Roman" w:cs="Times New Roman"/>
          <w:b/>
          <w:sz w:val="24"/>
          <w:szCs w:val="24"/>
          <w:u w:val="single"/>
        </w:rPr>
      </w:pPr>
      <w:r w:rsidRPr="0095666C">
        <w:rPr>
          <w:rFonts w:ascii="Times New Roman" w:hAnsi="Times New Roman" w:cs="Times New Roman"/>
          <w:b/>
          <w:sz w:val="24"/>
          <w:szCs w:val="24"/>
          <w:u w:val="single"/>
        </w:rPr>
        <w:t xml:space="preserve">Preliminary </w:t>
      </w:r>
    </w:p>
    <w:p w14:paraId="0032D546" w14:textId="77777777" w:rsidR="00043840" w:rsidRPr="0095666C" w:rsidRDefault="00C16B35" w:rsidP="00043840">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1 – Name</w:t>
      </w:r>
    </w:p>
    <w:p w14:paraId="4AB22170" w14:textId="5B88E4DA" w:rsidR="00043840" w:rsidRPr="0095666C" w:rsidRDefault="00C16B35" w:rsidP="001E5C30">
      <w:pPr>
        <w:shd w:val="clear" w:color="auto" w:fill="FFFFFF"/>
        <w:spacing w:after="100" w:afterAutospacing="1"/>
        <w:rPr>
          <w:rFonts w:ascii="Times New Roman" w:hAnsi="Times New Roman" w:cs="Times New Roman"/>
          <w:i/>
          <w:sz w:val="24"/>
          <w:szCs w:val="24"/>
        </w:rPr>
      </w:pPr>
      <w:r w:rsidRPr="0095666C">
        <w:rPr>
          <w:rFonts w:ascii="Times New Roman" w:hAnsi="Times New Roman" w:cs="Times New Roman"/>
          <w:sz w:val="24"/>
          <w:szCs w:val="24"/>
        </w:rPr>
        <w:t>Section 1 provides that the title of the instrument is the</w:t>
      </w:r>
      <w:r w:rsidR="00AE225A" w:rsidRPr="0095666C">
        <w:rPr>
          <w:sz w:val="24"/>
          <w:szCs w:val="24"/>
        </w:rPr>
        <w:t xml:space="preserve"> </w:t>
      </w:r>
      <w:r w:rsidR="00AE225A" w:rsidRPr="0095666C">
        <w:rPr>
          <w:rFonts w:ascii="Times New Roman" w:hAnsi="Times New Roman" w:cs="Times New Roman"/>
          <w:i/>
          <w:sz w:val="24"/>
          <w:szCs w:val="24"/>
        </w:rPr>
        <w:t xml:space="preserve">Privacy Amendment (External Dispute Resolution Scheme) Regulations 2019. </w:t>
      </w:r>
      <w:r w:rsidRPr="0095666C">
        <w:rPr>
          <w:rFonts w:ascii="Times New Roman" w:hAnsi="Times New Roman" w:cs="Times New Roman"/>
          <w:i/>
          <w:sz w:val="24"/>
          <w:szCs w:val="24"/>
        </w:rPr>
        <w:t xml:space="preserve"> </w:t>
      </w:r>
    </w:p>
    <w:p w14:paraId="0CF8DC30" w14:textId="77777777" w:rsidR="00043840" w:rsidRPr="0095666C" w:rsidRDefault="00C16B35" w:rsidP="00043840">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2 – Commencement</w:t>
      </w:r>
    </w:p>
    <w:p w14:paraId="5BCAA457" w14:textId="1CA781A8" w:rsidR="00AE225A" w:rsidRDefault="00B54181" w:rsidP="001E5C30">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Section </w:t>
      </w:r>
      <w:r w:rsidR="00AE225A" w:rsidRPr="0095666C">
        <w:rPr>
          <w:rFonts w:ascii="Times New Roman" w:hAnsi="Times New Roman" w:cs="Times New Roman"/>
          <w:sz w:val="24"/>
          <w:szCs w:val="24"/>
        </w:rPr>
        <w:t xml:space="preserve">2 provides that the Regulations commence the day after the instrument is registered, except for Schedule 1, which commenced on 2 January 2019. </w:t>
      </w:r>
    </w:p>
    <w:p w14:paraId="0E34DCD5" w14:textId="37BFAAF1" w:rsidR="00997CAB" w:rsidRPr="00997CAB" w:rsidRDefault="00997CAB" w:rsidP="00997CAB">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t xml:space="preserve">Subsection (1) </w:t>
      </w:r>
      <w:r w:rsidRPr="00997CAB">
        <w:rPr>
          <w:rFonts w:ascii="Times New Roman" w:hAnsi="Times New Roman" w:cs="Times New Roman"/>
          <w:sz w:val="24"/>
          <w:szCs w:val="24"/>
        </w:rPr>
        <w:t>provide</w:t>
      </w:r>
      <w:r>
        <w:rPr>
          <w:rFonts w:ascii="Times New Roman" w:hAnsi="Times New Roman" w:cs="Times New Roman"/>
          <w:sz w:val="24"/>
          <w:szCs w:val="24"/>
        </w:rPr>
        <w:t>s</w:t>
      </w:r>
      <w:r w:rsidRPr="00997CAB">
        <w:rPr>
          <w:rFonts w:ascii="Times New Roman" w:hAnsi="Times New Roman" w:cs="Times New Roman"/>
          <w:sz w:val="24"/>
          <w:szCs w:val="24"/>
        </w:rPr>
        <w:t xml:space="preserve"> that each provision of the instrument specified in column 1 of the table commences in accordance with column 2 of t</w:t>
      </w:r>
      <w:r>
        <w:rPr>
          <w:rFonts w:ascii="Times New Roman" w:hAnsi="Times New Roman" w:cs="Times New Roman"/>
          <w:sz w:val="24"/>
          <w:szCs w:val="24"/>
        </w:rPr>
        <w:t xml:space="preserve">he table. Columns 1 and 2 </w:t>
      </w:r>
      <w:r w:rsidRPr="00997CAB">
        <w:rPr>
          <w:rFonts w:ascii="Times New Roman" w:hAnsi="Times New Roman" w:cs="Times New Roman"/>
          <w:sz w:val="24"/>
          <w:szCs w:val="24"/>
        </w:rPr>
        <w:t>provide that the Regulations commence the day after the instrument is registered, except for Schedule 1 which commence</w:t>
      </w:r>
      <w:r>
        <w:rPr>
          <w:rFonts w:ascii="Times New Roman" w:hAnsi="Times New Roman" w:cs="Times New Roman"/>
          <w:sz w:val="24"/>
          <w:szCs w:val="24"/>
        </w:rPr>
        <w:t>s</w:t>
      </w:r>
      <w:r w:rsidRPr="00997CAB">
        <w:rPr>
          <w:rFonts w:ascii="Times New Roman" w:hAnsi="Times New Roman" w:cs="Times New Roman"/>
          <w:sz w:val="24"/>
          <w:szCs w:val="24"/>
        </w:rPr>
        <w:t xml:space="preserve"> on 2 January 2019. </w:t>
      </w:r>
    </w:p>
    <w:p w14:paraId="1D0896D8" w14:textId="517948E1" w:rsidR="00997CAB" w:rsidRPr="00997CAB" w:rsidRDefault="00997CAB" w:rsidP="00997CAB">
      <w:pPr>
        <w:shd w:val="clear" w:color="auto" w:fill="FFFFFF"/>
        <w:spacing w:after="100" w:afterAutospacing="1"/>
        <w:rPr>
          <w:rFonts w:ascii="Times New Roman" w:hAnsi="Times New Roman" w:cs="Times New Roman"/>
          <w:sz w:val="24"/>
          <w:szCs w:val="24"/>
        </w:rPr>
      </w:pPr>
      <w:r w:rsidRPr="00997CAB">
        <w:rPr>
          <w:rFonts w:ascii="Times New Roman" w:hAnsi="Times New Roman" w:cs="Times New Roman"/>
          <w:sz w:val="24"/>
          <w:szCs w:val="24"/>
        </w:rPr>
        <w:t xml:space="preserve">The note to subsection (1) </w:t>
      </w:r>
      <w:r>
        <w:rPr>
          <w:rFonts w:ascii="Times New Roman" w:hAnsi="Times New Roman" w:cs="Times New Roman"/>
          <w:sz w:val="24"/>
          <w:szCs w:val="24"/>
        </w:rPr>
        <w:t>clarifies</w:t>
      </w:r>
      <w:r w:rsidRPr="00997CAB">
        <w:rPr>
          <w:rFonts w:ascii="Times New Roman" w:hAnsi="Times New Roman" w:cs="Times New Roman"/>
          <w:sz w:val="24"/>
          <w:szCs w:val="24"/>
        </w:rPr>
        <w:t xml:space="preserve"> that the table only relates to the provisions of this instrument as originally made, and that it will not be amended to deal with any later amendments to the instrument. </w:t>
      </w:r>
    </w:p>
    <w:p w14:paraId="3C9E8DC9" w14:textId="2DB37B8B" w:rsidR="00997CAB" w:rsidRPr="0095666C" w:rsidRDefault="00997CAB" w:rsidP="00997CAB">
      <w:pPr>
        <w:shd w:val="clear" w:color="auto" w:fill="FFFFFF"/>
        <w:spacing w:after="100" w:afterAutospacing="1"/>
        <w:rPr>
          <w:rFonts w:ascii="Times New Roman" w:hAnsi="Times New Roman" w:cs="Times New Roman"/>
          <w:sz w:val="24"/>
          <w:szCs w:val="24"/>
        </w:rPr>
      </w:pPr>
      <w:r w:rsidRPr="00997CAB">
        <w:rPr>
          <w:rFonts w:ascii="Times New Roman" w:hAnsi="Times New Roman" w:cs="Times New Roman"/>
          <w:sz w:val="24"/>
          <w:szCs w:val="24"/>
        </w:rPr>
        <w:t xml:space="preserve">Subsection (2) </w:t>
      </w:r>
      <w:r>
        <w:rPr>
          <w:rFonts w:ascii="Times New Roman" w:hAnsi="Times New Roman" w:cs="Times New Roman"/>
          <w:sz w:val="24"/>
          <w:szCs w:val="24"/>
        </w:rPr>
        <w:t>provides</w:t>
      </w:r>
      <w:r w:rsidRPr="00997CAB">
        <w:rPr>
          <w:rFonts w:ascii="Times New Roman" w:hAnsi="Times New Roman" w:cs="Times New Roman"/>
          <w:sz w:val="24"/>
          <w:szCs w:val="24"/>
        </w:rPr>
        <w:t xml:space="preserve"> that information in column 3 of the table is not part of the instrument. It is designed to assist readers, and may be updated or changed in any published version of the Regulations. Column 3 is empty at the time of making the instrument.</w:t>
      </w:r>
    </w:p>
    <w:p w14:paraId="7BAC0A56" w14:textId="1F2A3BDC" w:rsidR="00FA6227" w:rsidRPr="0095666C" w:rsidRDefault="00FA6227" w:rsidP="00043840">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3 – Authority</w:t>
      </w:r>
    </w:p>
    <w:p w14:paraId="12157B7B" w14:textId="18A30D8C" w:rsidR="00FA6227" w:rsidRPr="0095666C" w:rsidRDefault="00FA6227" w:rsidP="00043840">
      <w:pPr>
        <w:spacing w:line="360" w:lineRule="auto"/>
        <w:rPr>
          <w:rFonts w:ascii="Times New Roman" w:hAnsi="Times New Roman" w:cs="Times New Roman"/>
          <w:sz w:val="24"/>
          <w:szCs w:val="24"/>
        </w:rPr>
      </w:pPr>
      <w:r w:rsidRPr="0095666C">
        <w:rPr>
          <w:rFonts w:ascii="Times New Roman" w:hAnsi="Times New Roman" w:cs="Times New Roman"/>
          <w:sz w:val="24"/>
          <w:szCs w:val="24"/>
        </w:rPr>
        <w:t xml:space="preserve">Section 3 provides that the Regulations are made under the </w:t>
      </w:r>
      <w:r w:rsidRPr="0095666C">
        <w:rPr>
          <w:rFonts w:ascii="Times New Roman" w:hAnsi="Times New Roman" w:cs="Times New Roman"/>
          <w:i/>
          <w:sz w:val="24"/>
          <w:szCs w:val="24"/>
        </w:rPr>
        <w:t>Privacy Act 1988</w:t>
      </w:r>
      <w:r w:rsidRPr="0095666C">
        <w:rPr>
          <w:rFonts w:ascii="Times New Roman" w:hAnsi="Times New Roman" w:cs="Times New Roman"/>
          <w:sz w:val="24"/>
          <w:szCs w:val="24"/>
        </w:rPr>
        <w:t xml:space="preserve"> (Privacy Act).</w:t>
      </w:r>
    </w:p>
    <w:p w14:paraId="424B7BB7" w14:textId="690810D3" w:rsidR="00FA6227" w:rsidRPr="0095666C" w:rsidRDefault="00FA6227" w:rsidP="00043840">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4 – Schedules</w:t>
      </w:r>
    </w:p>
    <w:p w14:paraId="50FB1F66" w14:textId="77777777" w:rsidR="006744B9" w:rsidRDefault="00997CAB" w:rsidP="00521029">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Section 4 </w:t>
      </w:r>
      <w:r w:rsidRPr="00997CAB">
        <w:rPr>
          <w:rFonts w:ascii="Times New Roman" w:hAnsi="Times New Roman" w:cs="Times New Roman"/>
          <w:sz w:val="24"/>
          <w:szCs w:val="24"/>
        </w:rPr>
        <w:t>provide</w:t>
      </w:r>
      <w:r>
        <w:rPr>
          <w:rFonts w:ascii="Times New Roman" w:hAnsi="Times New Roman" w:cs="Times New Roman"/>
          <w:sz w:val="24"/>
          <w:szCs w:val="24"/>
        </w:rPr>
        <w:t>s</w:t>
      </w:r>
      <w:r w:rsidRPr="00997CAB">
        <w:rPr>
          <w:rFonts w:ascii="Times New Roman" w:hAnsi="Times New Roman" w:cs="Times New Roman"/>
          <w:sz w:val="24"/>
          <w:szCs w:val="24"/>
        </w:rPr>
        <w:t xml:space="preserve"> that each instrument that is specified in Schedule 1 to this instrument is amended or repealed as set out in the applicable items in the Schedule concerned, and any other item in that Schedule has effect according to its terms. </w:t>
      </w:r>
    </w:p>
    <w:p w14:paraId="7FA1AC2F" w14:textId="77777777" w:rsidR="00E04381" w:rsidRDefault="00E0438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9BFDCFD" w14:textId="4CD76DF2" w:rsidR="00C16B35" w:rsidRPr="0095666C" w:rsidRDefault="00C16B35" w:rsidP="00E731B4">
      <w:pPr>
        <w:rPr>
          <w:rFonts w:ascii="Times New Roman" w:hAnsi="Times New Roman" w:cs="Times New Roman"/>
          <w:b/>
          <w:sz w:val="24"/>
          <w:szCs w:val="24"/>
          <w:u w:val="single"/>
        </w:rPr>
      </w:pPr>
      <w:r w:rsidRPr="0095666C">
        <w:rPr>
          <w:rFonts w:ascii="Times New Roman" w:hAnsi="Times New Roman" w:cs="Times New Roman"/>
          <w:b/>
          <w:sz w:val="24"/>
          <w:szCs w:val="24"/>
          <w:u w:val="single"/>
        </w:rPr>
        <w:t>SCHEDULE 1 – Amendments</w:t>
      </w:r>
    </w:p>
    <w:p w14:paraId="2476D39E" w14:textId="77777777" w:rsidR="00997CAB" w:rsidRPr="006744B9" w:rsidRDefault="00997CAB" w:rsidP="001E5C30">
      <w:pPr>
        <w:shd w:val="clear" w:color="auto" w:fill="FFFFFF"/>
        <w:spacing w:after="100" w:afterAutospacing="1"/>
        <w:rPr>
          <w:rFonts w:ascii="Times New Roman" w:hAnsi="Times New Roman" w:cs="Times New Roman"/>
          <w:sz w:val="24"/>
          <w:szCs w:val="24"/>
          <w:u w:val="single"/>
        </w:rPr>
      </w:pPr>
      <w:r w:rsidRPr="006744B9">
        <w:rPr>
          <w:rFonts w:ascii="Times New Roman" w:hAnsi="Times New Roman" w:cs="Times New Roman"/>
          <w:sz w:val="24"/>
          <w:szCs w:val="24"/>
          <w:u w:val="single"/>
        </w:rPr>
        <w:t>Item 1</w:t>
      </w:r>
    </w:p>
    <w:p w14:paraId="09BFDCFF" w14:textId="6C3C639A" w:rsidR="00F33269" w:rsidRPr="0095666C" w:rsidRDefault="00FA6227" w:rsidP="001E5C30">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Item </w:t>
      </w:r>
      <w:r w:rsidR="00A23FB2" w:rsidRPr="0095666C">
        <w:rPr>
          <w:rFonts w:ascii="Times New Roman" w:hAnsi="Times New Roman" w:cs="Times New Roman"/>
          <w:sz w:val="24"/>
          <w:szCs w:val="24"/>
        </w:rPr>
        <w:t>1 inserts section 14B</w:t>
      </w:r>
      <w:r w:rsidR="00997CAB">
        <w:rPr>
          <w:rFonts w:ascii="Times New Roman" w:hAnsi="Times New Roman" w:cs="Times New Roman"/>
          <w:sz w:val="24"/>
          <w:szCs w:val="24"/>
        </w:rPr>
        <w:t xml:space="preserve"> in the </w:t>
      </w:r>
      <w:r w:rsidR="00997CAB">
        <w:rPr>
          <w:rFonts w:ascii="Times New Roman" w:hAnsi="Times New Roman" w:cs="Times New Roman"/>
          <w:i/>
          <w:sz w:val="24"/>
          <w:szCs w:val="24"/>
        </w:rPr>
        <w:t>Privacy Regulations 2013</w:t>
      </w:r>
      <w:r w:rsidR="00A23FB2" w:rsidRPr="0095666C">
        <w:rPr>
          <w:rFonts w:ascii="Times New Roman" w:hAnsi="Times New Roman" w:cs="Times New Roman"/>
          <w:sz w:val="24"/>
          <w:szCs w:val="24"/>
        </w:rPr>
        <w:t>. Section 14B</w:t>
      </w:r>
      <w:r w:rsidR="00E77280" w:rsidRPr="0095666C">
        <w:rPr>
          <w:rFonts w:ascii="Times New Roman" w:hAnsi="Times New Roman" w:cs="Times New Roman"/>
          <w:sz w:val="24"/>
          <w:szCs w:val="24"/>
        </w:rPr>
        <w:t>(1)</w:t>
      </w:r>
      <w:r w:rsidR="00A23FB2" w:rsidRPr="0095666C">
        <w:rPr>
          <w:rFonts w:ascii="Times New Roman" w:hAnsi="Times New Roman" w:cs="Times New Roman"/>
          <w:sz w:val="24"/>
          <w:szCs w:val="24"/>
        </w:rPr>
        <w:t xml:space="preserve"> </w:t>
      </w:r>
      <w:r w:rsidR="00E77280" w:rsidRPr="0095666C">
        <w:rPr>
          <w:rFonts w:ascii="Times New Roman" w:hAnsi="Times New Roman" w:cs="Times New Roman"/>
          <w:sz w:val="24"/>
          <w:szCs w:val="24"/>
        </w:rPr>
        <w:t>states that entities that engage in the</w:t>
      </w:r>
      <w:r w:rsidR="00997CAB">
        <w:rPr>
          <w:rFonts w:ascii="Times New Roman" w:hAnsi="Times New Roman" w:cs="Times New Roman"/>
          <w:sz w:val="24"/>
          <w:szCs w:val="24"/>
        </w:rPr>
        <w:t xml:space="preserve"> retail</w:t>
      </w:r>
      <w:r w:rsidR="00E77280" w:rsidRPr="0095666C">
        <w:rPr>
          <w:rFonts w:ascii="Times New Roman" w:hAnsi="Times New Roman" w:cs="Times New Roman"/>
          <w:sz w:val="24"/>
          <w:szCs w:val="24"/>
        </w:rPr>
        <w:t xml:space="preserve"> sale of electricity, gas, water, sewerage or draining services in the Australian Capital Territory are prescribed credit providers for the purposes of sub</w:t>
      </w:r>
      <w:r w:rsidR="00997CAB">
        <w:rPr>
          <w:rFonts w:ascii="Times New Roman" w:hAnsi="Times New Roman" w:cs="Times New Roman"/>
          <w:sz w:val="24"/>
          <w:szCs w:val="24"/>
        </w:rPr>
        <w:t xml:space="preserve">paragraph </w:t>
      </w:r>
      <w:r w:rsidR="00E77280" w:rsidRPr="0095666C">
        <w:rPr>
          <w:rFonts w:ascii="Times New Roman" w:hAnsi="Times New Roman" w:cs="Times New Roman"/>
          <w:sz w:val="24"/>
          <w:szCs w:val="24"/>
        </w:rPr>
        <w:t xml:space="preserve">21D(2)(a)(i) of the Privacy Act for the calendar year beginning on 1 January 2019. </w:t>
      </w:r>
    </w:p>
    <w:p w14:paraId="59DB26EE" w14:textId="0D4C0CBA" w:rsidR="00E77280" w:rsidRPr="0095666C" w:rsidRDefault="00E77280" w:rsidP="001E5C30">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Section 14B(2) provides that section 14B is repealed at the end of 1 January 2020. </w:t>
      </w:r>
    </w:p>
    <w:p w14:paraId="3990F8F0" w14:textId="77777777" w:rsidR="00E77280" w:rsidRPr="0095666C" w:rsidRDefault="00E77280">
      <w:pPr>
        <w:rPr>
          <w:rFonts w:ascii="Times New Roman" w:hAnsi="Times New Roman" w:cs="Times New Roman"/>
          <w:color w:val="FF0000"/>
          <w:sz w:val="24"/>
          <w:szCs w:val="24"/>
        </w:rPr>
      </w:pPr>
      <w:r w:rsidRPr="0095666C">
        <w:rPr>
          <w:rFonts w:ascii="Times New Roman" w:hAnsi="Times New Roman" w:cs="Times New Roman"/>
          <w:color w:val="FF0000"/>
          <w:sz w:val="24"/>
          <w:szCs w:val="24"/>
        </w:rPr>
        <w:br w:type="page"/>
      </w:r>
    </w:p>
    <w:p w14:paraId="7B00A199" w14:textId="452614AD" w:rsidR="00E77280" w:rsidRPr="0095666C" w:rsidRDefault="00E77280" w:rsidP="00E77280">
      <w:pPr>
        <w:spacing w:line="360" w:lineRule="auto"/>
        <w:jc w:val="right"/>
        <w:rPr>
          <w:rFonts w:ascii="Times New Roman" w:hAnsi="Times New Roman" w:cs="Times New Roman"/>
          <w:b/>
          <w:sz w:val="24"/>
          <w:szCs w:val="24"/>
        </w:rPr>
      </w:pPr>
      <w:r w:rsidRPr="0095666C">
        <w:rPr>
          <w:rFonts w:ascii="Times New Roman" w:hAnsi="Times New Roman" w:cs="Times New Roman"/>
          <w:b/>
          <w:sz w:val="24"/>
          <w:szCs w:val="24"/>
        </w:rPr>
        <w:t>Attachment B</w:t>
      </w:r>
    </w:p>
    <w:p w14:paraId="6B3877C4" w14:textId="77777777" w:rsidR="00B73FA3" w:rsidRPr="0095666C" w:rsidRDefault="00B73FA3" w:rsidP="00B73FA3">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b/>
          <w:bCs/>
          <w:sz w:val="24"/>
          <w:szCs w:val="24"/>
        </w:rPr>
        <w:t>Statement of Compatibility with Human Rights</w:t>
      </w:r>
    </w:p>
    <w:p w14:paraId="70577982" w14:textId="77777777" w:rsidR="00B73FA3" w:rsidRPr="0095666C" w:rsidRDefault="00B73FA3" w:rsidP="00B73FA3">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sz w:val="24"/>
          <w:szCs w:val="24"/>
        </w:rPr>
        <w:t>Prepared in accordance with Part 3 of the</w:t>
      </w:r>
      <w:r w:rsidRPr="0095666C">
        <w:rPr>
          <w:rFonts w:ascii="Times New Roman" w:hAnsi="Times New Roman" w:cs="Times New Roman"/>
          <w:i/>
          <w:iCs/>
          <w:sz w:val="24"/>
          <w:szCs w:val="24"/>
        </w:rPr>
        <w:t xml:space="preserve"> Human Rights (Parliamentary Scrutiny) Act 2011</w:t>
      </w:r>
    </w:p>
    <w:p w14:paraId="66DD723A" w14:textId="77777777" w:rsidR="00B73FA3" w:rsidRPr="0095666C" w:rsidRDefault="00B73FA3" w:rsidP="00B73FA3">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b/>
          <w:bCs/>
          <w:sz w:val="24"/>
          <w:szCs w:val="24"/>
        </w:rPr>
        <w:t>Privacy Regulation 2013</w:t>
      </w:r>
    </w:p>
    <w:p w14:paraId="5873FA9A" w14:textId="77777777" w:rsidR="00B73FA3" w:rsidRPr="0095666C" w:rsidRDefault="00B73FA3" w:rsidP="00B73FA3">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5666C">
        <w:rPr>
          <w:rFonts w:ascii="Times New Roman" w:hAnsi="Times New Roman" w:cs="Times New Roman"/>
          <w:i/>
          <w:iCs/>
          <w:sz w:val="24"/>
          <w:szCs w:val="24"/>
        </w:rPr>
        <w:t>Human Rights (Parliamentary Scrutiny) Act 2011</w:t>
      </w:r>
      <w:r w:rsidRPr="0095666C">
        <w:rPr>
          <w:rFonts w:ascii="Times New Roman" w:hAnsi="Times New Roman" w:cs="Times New Roman"/>
          <w:sz w:val="24"/>
          <w:szCs w:val="24"/>
        </w:rPr>
        <w:t xml:space="preserve">. </w:t>
      </w:r>
    </w:p>
    <w:p w14:paraId="7461D67C" w14:textId="77777777" w:rsidR="00B73FA3" w:rsidRPr="0095666C" w:rsidRDefault="00B73FA3" w:rsidP="00B73FA3">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Overview of the Legislative Instrument</w:t>
      </w:r>
    </w:p>
    <w:p w14:paraId="5CA86F6D" w14:textId="5D36FA73" w:rsidR="00B11936" w:rsidRPr="0095666C" w:rsidRDefault="00B73FA3" w:rsidP="00B73FA3">
      <w:pPr>
        <w:shd w:val="clear" w:color="auto" w:fill="FFFFFF"/>
        <w:spacing w:after="100" w:afterAutospacing="1"/>
        <w:rPr>
          <w:rFonts w:ascii="Times New Roman" w:hAnsi="Times New Roman" w:cs="Times New Roman"/>
          <w:iCs/>
          <w:sz w:val="24"/>
          <w:szCs w:val="24"/>
        </w:rPr>
      </w:pPr>
      <w:r w:rsidRPr="0095666C">
        <w:rPr>
          <w:rFonts w:ascii="Times New Roman" w:hAnsi="Times New Roman" w:cs="Times New Roman"/>
          <w:sz w:val="24"/>
          <w:szCs w:val="24"/>
        </w:rPr>
        <w:t xml:space="preserve">The </w:t>
      </w:r>
      <w:r w:rsidRPr="0095666C">
        <w:rPr>
          <w:rFonts w:ascii="Times New Roman" w:hAnsi="Times New Roman" w:cs="Times New Roman"/>
          <w:i/>
          <w:sz w:val="24"/>
          <w:szCs w:val="24"/>
        </w:rPr>
        <w:t xml:space="preserve">Privacy Amendment (External Dispute Resolution Scheme) Regulations 2019 </w:t>
      </w:r>
      <w:r w:rsidRPr="0095666C">
        <w:rPr>
          <w:rFonts w:ascii="Times New Roman" w:hAnsi="Times New Roman" w:cs="Times New Roman"/>
          <w:sz w:val="24"/>
          <w:szCs w:val="24"/>
        </w:rPr>
        <w:t xml:space="preserve">(the Regulations) amend the </w:t>
      </w:r>
      <w:r w:rsidRPr="0095666C">
        <w:rPr>
          <w:rFonts w:ascii="Times New Roman" w:hAnsi="Times New Roman" w:cs="Times New Roman"/>
          <w:i/>
          <w:iCs/>
          <w:sz w:val="24"/>
          <w:szCs w:val="24"/>
        </w:rPr>
        <w:t xml:space="preserve">Privacy Regulation 2013 </w:t>
      </w:r>
      <w:r w:rsidR="00B11936" w:rsidRPr="0095666C">
        <w:rPr>
          <w:rFonts w:ascii="Times New Roman" w:hAnsi="Times New Roman" w:cs="Times New Roman"/>
          <w:iCs/>
          <w:sz w:val="24"/>
          <w:szCs w:val="24"/>
        </w:rPr>
        <w:t xml:space="preserve">to extend, until 1 January 2020, the exemption </w:t>
      </w:r>
      <w:r w:rsidR="00996E9B" w:rsidRPr="0095666C">
        <w:rPr>
          <w:rFonts w:ascii="Times New Roman" w:hAnsi="Times New Roman" w:cs="Times New Roman"/>
          <w:iCs/>
          <w:sz w:val="24"/>
          <w:szCs w:val="24"/>
        </w:rPr>
        <w:t>of energy and water utilit</w:t>
      </w:r>
      <w:r w:rsidR="00B54181" w:rsidRPr="0095666C">
        <w:rPr>
          <w:rFonts w:ascii="Times New Roman" w:hAnsi="Times New Roman" w:cs="Times New Roman"/>
          <w:iCs/>
          <w:sz w:val="24"/>
          <w:szCs w:val="24"/>
        </w:rPr>
        <w:t>ies</w:t>
      </w:r>
      <w:r w:rsidR="00B11936" w:rsidRPr="0095666C">
        <w:rPr>
          <w:rFonts w:ascii="Times New Roman" w:hAnsi="Times New Roman" w:cs="Times New Roman"/>
          <w:iCs/>
          <w:sz w:val="24"/>
          <w:szCs w:val="24"/>
        </w:rPr>
        <w:t xml:space="preserve"> in the Australian Capital Territory from the requirement to be a </w:t>
      </w:r>
      <w:r w:rsidR="004B5B9E">
        <w:rPr>
          <w:rFonts w:ascii="Times New Roman" w:hAnsi="Times New Roman" w:cs="Times New Roman"/>
          <w:iCs/>
          <w:sz w:val="24"/>
          <w:szCs w:val="24"/>
        </w:rPr>
        <w:t xml:space="preserve">‘member’ </w:t>
      </w:r>
      <w:r w:rsidR="00B11936" w:rsidRPr="0095666C">
        <w:rPr>
          <w:rFonts w:ascii="Times New Roman" w:hAnsi="Times New Roman" w:cs="Times New Roman"/>
          <w:iCs/>
          <w:sz w:val="24"/>
          <w:szCs w:val="24"/>
        </w:rPr>
        <w:t xml:space="preserve">of a recognised external dispute resolution (EDR) </w:t>
      </w:r>
      <w:r w:rsidR="004B5B9E" w:rsidRPr="0095666C">
        <w:rPr>
          <w:rFonts w:ascii="Times New Roman" w:hAnsi="Times New Roman" w:cs="Times New Roman"/>
          <w:iCs/>
          <w:sz w:val="24"/>
          <w:szCs w:val="24"/>
        </w:rPr>
        <w:t xml:space="preserve">scheme </w:t>
      </w:r>
      <w:r w:rsidR="00B11936" w:rsidRPr="0095666C">
        <w:rPr>
          <w:rFonts w:ascii="Times New Roman" w:hAnsi="Times New Roman" w:cs="Times New Roman"/>
          <w:iCs/>
          <w:sz w:val="24"/>
          <w:szCs w:val="24"/>
        </w:rPr>
        <w:t xml:space="preserve">in order to </w:t>
      </w:r>
      <w:r w:rsidR="004B5B9E">
        <w:rPr>
          <w:rFonts w:ascii="Times New Roman" w:hAnsi="Times New Roman" w:cs="Times New Roman"/>
          <w:iCs/>
          <w:sz w:val="24"/>
          <w:szCs w:val="24"/>
        </w:rPr>
        <w:t xml:space="preserve">participate in </w:t>
      </w:r>
      <w:r w:rsidR="00B11936" w:rsidRPr="0095666C">
        <w:rPr>
          <w:rFonts w:ascii="Times New Roman" w:hAnsi="Times New Roman" w:cs="Times New Roman"/>
          <w:iCs/>
          <w:sz w:val="24"/>
          <w:szCs w:val="24"/>
        </w:rPr>
        <w:t xml:space="preserve">the credit reporting system regulated by the </w:t>
      </w:r>
      <w:r w:rsidR="00B11936" w:rsidRPr="0095666C">
        <w:rPr>
          <w:rFonts w:ascii="Times New Roman" w:hAnsi="Times New Roman" w:cs="Times New Roman"/>
          <w:i/>
          <w:iCs/>
          <w:sz w:val="24"/>
          <w:szCs w:val="24"/>
        </w:rPr>
        <w:t xml:space="preserve">Privacy Act 1988 </w:t>
      </w:r>
      <w:r w:rsidR="00B11936" w:rsidRPr="0095666C">
        <w:rPr>
          <w:rFonts w:ascii="Times New Roman" w:hAnsi="Times New Roman" w:cs="Times New Roman"/>
          <w:iCs/>
          <w:sz w:val="24"/>
          <w:szCs w:val="24"/>
        </w:rPr>
        <w:t xml:space="preserve">(Privacy Act). </w:t>
      </w:r>
    </w:p>
    <w:p w14:paraId="6A79DBA2" w14:textId="77777777" w:rsidR="00B73FA3" w:rsidRPr="0095666C" w:rsidRDefault="00B73FA3" w:rsidP="00B73FA3">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Human rights implications</w:t>
      </w:r>
    </w:p>
    <w:p w14:paraId="5FEBCFD5" w14:textId="77777777" w:rsidR="00B73FA3" w:rsidRPr="0095666C" w:rsidRDefault="00B73FA3" w:rsidP="00B73FA3">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 xml:space="preserve">This Legislative Instrument engages the right to the protection against arbitrary interference with privacy, protected in Article 17 of the </w:t>
      </w:r>
      <w:r w:rsidRPr="0095666C">
        <w:rPr>
          <w:rFonts w:ascii="Times New Roman" w:hAnsi="Times New Roman" w:cs="Times New Roman"/>
          <w:i/>
          <w:sz w:val="24"/>
          <w:szCs w:val="24"/>
        </w:rPr>
        <w:t>International Covenant on Civil and Political Rights</w:t>
      </w:r>
      <w:r w:rsidRPr="0095666C">
        <w:rPr>
          <w:rFonts w:ascii="Times New Roman" w:hAnsi="Times New Roman" w:cs="Times New Roman"/>
          <w:sz w:val="24"/>
          <w:szCs w:val="24"/>
        </w:rPr>
        <w:t xml:space="preserve">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7CA59EF0" w14:textId="5F2A4539" w:rsidR="00B73FA3" w:rsidRPr="00736064" w:rsidRDefault="00B73FA3" w:rsidP="00B73FA3">
      <w:pPr>
        <w:keepLines/>
        <w:ind w:right="91"/>
        <w:rPr>
          <w:rFonts w:ascii="Times New Roman" w:hAnsi="Times New Roman" w:cs="Times New Roman"/>
          <w:sz w:val="24"/>
          <w:szCs w:val="24"/>
        </w:rPr>
      </w:pPr>
      <w:r w:rsidRPr="00736064">
        <w:rPr>
          <w:rFonts w:ascii="Times New Roman" w:hAnsi="Times New Roman" w:cs="Times New Roman"/>
          <w:sz w:val="24"/>
          <w:szCs w:val="24"/>
        </w:rPr>
        <w:t xml:space="preserve">The </w:t>
      </w:r>
      <w:r w:rsidR="001E5E77">
        <w:rPr>
          <w:rFonts w:ascii="Times New Roman" w:hAnsi="Times New Roman" w:cs="Times New Roman"/>
          <w:sz w:val="24"/>
          <w:szCs w:val="24"/>
        </w:rPr>
        <w:t xml:space="preserve">new </w:t>
      </w:r>
      <w:r w:rsidRPr="00736064">
        <w:rPr>
          <w:rFonts w:ascii="Times New Roman" w:hAnsi="Times New Roman" w:cs="Times New Roman"/>
          <w:sz w:val="24"/>
          <w:szCs w:val="24"/>
        </w:rPr>
        <w:t>Regulations</w:t>
      </w:r>
      <w:r w:rsidR="00B11936" w:rsidRPr="00736064">
        <w:rPr>
          <w:rFonts w:ascii="Times New Roman" w:hAnsi="Times New Roman" w:cs="Times New Roman"/>
          <w:sz w:val="24"/>
          <w:szCs w:val="24"/>
        </w:rPr>
        <w:t xml:space="preserve"> </w:t>
      </w:r>
      <w:r w:rsidR="001E5E77">
        <w:rPr>
          <w:rFonts w:ascii="Times New Roman" w:hAnsi="Times New Roman" w:cs="Times New Roman"/>
          <w:sz w:val="24"/>
          <w:szCs w:val="24"/>
        </w:rPr>
        <w:t>relate to</w:t>
      </w:r>
      <w:r w:rsidRPr="00736064">
        <w:rPr>
          <w:rFonts w:ascii="Times New Roman" w:hAnsi="Times New Roman" w:cs="Times New Roman"/>
          <w:sz w:val="24"/>
          <w:szCs w:val="24"/>
        </w:rPr>
        <w:t xml:space="preserve"> the use and disclosure of credit information, which is personal information. The Regulations ensure that consumers</w:t>
      </w:r>
      <w:r w:rsidR="00736064" w:rsidRPr="00736064">
        <w:rPr>
          <w:rFonts w:ascii="Times New Roman" w:hAnsi="Times New Roman" w:cs="Times New Roman"/>
          <w:sz w:val="24"/>
          <w:szCs w:val="24"/>
        </w:rPr>
        <w:t xml:space="preserve"> within the Australian Capital Territory are not disadvantaged simply due to the A</w:t>
      </w:r>
      <w:r w:rsidR="00736064">
        <w:rPr>
          <w:rFonts w:ascii="Times New Roman" w:hAnsi="Times New Roman" w:cs="Times New Roman"/>
          <w:sz w:val="24"/>
          <w:szCs w:val="24"/>
        </w:rPr>
        <w:t xml:space="preserve">CAT </w:t>
      </w:r>
      <w:r w:rsidR="00736064" w:rsidRPr="00736064">
        <w:rPr>
          <w:rFonts w:ascii="Times New Roman" w:hAnsi="Times New Roman" w:cs="Times New Roman"/>
          <w:sz w:val="24"/>
          <w:szCs w:val="24"/>
        </w:rPr>
        <w:t>not being an EDR scheme</w:t>
      </w:r>
      <w:r w:rsidR="00AA3567">
        <w:rPr>
          <w:rFonts w:ascii="Times New Roman" w:hAnsi="Times New Roman" w:cs="Times New Roman"/>
          <w:sz w:val="24"/>
          <w:szCs w:val="24"/>
        </w:rPr>
        <w:t xml:space="preserve"> with a strict ‘membership’ structure as contemplated by the Privacy Act</w:t>
      </w:r>
      <w:r w:rsidR="00736064" w:rsidRPr="00736064">
        <w:rPr>
          <w:rFonts w:ascii="Times New Roman" w:hAnsi="Times New Roman" w:cs="Times New Roman"/>
          <w:sz w:val="24"/>
          <w:szCs w:val="24"/>
        </w:rPr>
        <w:t>. The prescription is limited to utilities operating in the Australian Capital Territory</w:t>
      </w:r>
      <w:r w:rsidR="00AA3567">
        <w:rPr>
          <w:rFonts w:ascii="Times New Roman" w:hAnsi="Times New Roman" w:cs="Times New Roman"/>
          <w:sz w:val="24"/>
          <w:szCs w:val="24"/>
        </w:rPr>
        <w:t>, where individuals are still able to make privacy complaints to an equivalent EDR scheme: the ACAT</w:t>
      </w:r>
      <w:r w:rsidR="00736064" w:rsidRPr="00736064">
        <w:rPr>
          <w:rFonts w:ascii="Times New Roman" w:hAnsi="Times New Roman" w:cs="Times New Roman"/>
          <w:sz w:val="24"/>
          <w:szCs w:val="24"/>
        </w:rPr>
        <w:t xml:space="preserve">. </w:t>
      </w:r>
      <w:r w:rsidRPr="00736064">
        <w:rPr>
          <w:rFonts w:ascii="Times New Roman" w:hAnsi="Times New Roman" w:cs="Times New Roman"/>
          <w:sz w:val="24"/>
          <w:szCs w:val="24"/>
        </w:rPr>
        <w:t>The measures are time limited, reasonable, necessary and proportionate as they ensure that a discrete subset of personal data is used for the purpose of providing essential services to Australians.  These are legitimate objectives consistent with the Privacy Act.</w:t>
      </w:r>
    </w:p>
    <w:p w14:paraId="78CF590A" w14:textId="77777777" w:rsidR="00B73FA3" w:rsidRPr="0095666C" w:rsidRDefault="00B73FA3" w:rsidP="00B73FA3">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Conclusion</w:t>
      </w:r>
    </w:p>
    <w:p w14:paraId="7E869D43" w14:textId="7475B1F7" w:rsidR="00E77280" w:rsidRPr="0095666C" w:rsidRDefault="00B73FA3" w:rsidP="0095666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This Legislative Instrument engages the right to privacy,</w:t>
      </w:r>
      <w:r w:rsidR="00AA3567">
        <w:rPr>
          <w:rFonts w:ascii="Times New Roman" w:hAnsi="Times New Roman" w:cs="Times New Roman"/>
          <w:sz w:val="24"/>
          <w:szCs w:val="24"/>
        </w:rPr>
        <w:t xml:space="preserve"> by facilitating ACT utilities’ participation in the credit reporting </w:t>
      </w:r>
      <w:r w:rsidR="007359CE">
        <w:rPr>
          <w:rFonts w:ascii="Times New Roman" w:hAnsi="Times New Roman" w:cs="Times New Roman"/>
          <w:sz w:val="24"/>
          <w:szCs w:val="24"/>
        </w:rPr>
        <w:t>system involving</w:t>
      </w:r>
      <w:r w:rsidRPr="0095666C">
        <w:rPr>
          <w:rFonts w:ascii="Times New Roman" w:hAnsi="Times New Roman" w:cs="Times New Roman"/>
          <w:sz w:val="24"/>
          <w:szCs w:val="24"/>
        </w:rPr>
        <w:t xml:space="preserve"> the use and disclosure of personal information. To the extent that the Legislative Instrument may limit the right to privacy, those limitations are reasonable, necessary and proportionate to achieve the legitimate aims of the Legislative Instrument.</w:t>
      </w:r>
    </w:p>
    <w:sectPr w:rsidR="00E77280" w:rsidRPr="009566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2775B" w14:textId="77777777" w:rsidR="0014003A" w:rsidRDefault="0014003A" w:rsidP="0002636A">
      <w:pPr>
        <w:spacing w:after="0" w:line="240" w:lineRule="auto"/>
      </w:pPr>
      <w:r>
        <w:separator/>
      </w:r>
    </w:p>
  </w:endnote>
  <w:endnote w:type="continuationSeparator" w:id="0">
    <w:p w14:paraId="12364E0F" w14:textId="77777777" w:rsidR="0014003A" w:rsidRDefault="0014003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FC6614">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D71B5" w14:textId="77777777" w:rsidR="0014003A" w:rsidRDefault="0014003A" w:rsidP="0002636A">
      <w:pPr>
        <w:spacing w:after="0" w:line="240" w:lineRule="auto"/>
      </w:pPr>
      <w:r>
        <w:separator/>
      </w:r>
    </w:p>
  </w:footnote>
  <w:footnote w:type="continuationSeparator" w:id="0">
    <w:p w14:paraId="1F23DFA0" w14:textId="77777777" w:rsidR="0014003A" w:rsidRDefault="0014003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0B3972"/>
    <w:multiLevelType w:val="hybridMultilevel"/>
    <w:tmpl w:val="7F8CBBCA"/>
    <w:lvl w:ilvl="0" w:tplc="A52880F0">
      <w:start w:val="1"/>
      <w:numFmt w:val="decimal"/>
      <w:lvlText w:val="%1."/>
      <w:lvlJc w:val="left"/>
      <w:pPr>
        <w:ind w:left="36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12AD6"/>
    <w:rsid w:val="00016B35"/>
    <w:rsid w:val="0002636A"/>
    <w:rsid w:val="000415BA"/>
    <w:rsid w:val="00043840"/>
    <w:rsid w:val="00092565"/>
    <w:rsid w:val="000A66BD"/>
    <w:rsid w:val="000E1EA1"/>
    <w:rsid w:val="000E2C80"/>
    <w:rsid w:val="000F0FB1"/>
    <w:rsid w:val="0010364C"/>
    <w:rsid w:val="00106CBA"/>
    <w:rsid w:val="001176B4"/>
    <w:rsid w:val="00132863"/>
    <w:rsid w:val="0014003A"/>
    <w:rsid w:val="001469C7"/>
    <w:rsid w:val="00165635"/>
    <w:rsid w:val="0017632E"/>
    <w:rsid w:val="0018064C"/>
    <w:rsid w:val="00186EFA"/>
    <w:rsid w:val="00195A18"/>
    <w:rsid w:val="001B64F7"/>
    <w:rsid w:val="001C4696"/>
    <w:rsid w:val="001D3031"/>
    <w:rsid w:val="001E5C30"/>
    <w:rsid w:val="001E5E77"/>
    <w:rsid w:val="002515E5"/>
    <w:rsid w:val="0026109C"/>
    <w:rsid w:val="00262B9E"/>
    <w:rsid w:val="002B361E"/>
    <w:rsid w:val="002B6201"/>
    <w:rsid w:val="002C5B76"/>
    <w:rsid w:val="002E2783"/>
    <w:rsid w:val="003516FD"/>
    <w:rsid w:val="00351F8F"/>
    <w:rsid w:val="00381AEC"/>
    <w:rsid w:val="003B6050"/>
    <w:rsid w:val="003C6789"/>
    <w:rsid w:val="00441DD1"/>
    <w:rsid w:val="004709FE"/>
    <w:rsid w:val="00481549"/>
    <w:rsid w:val="0049094A"/>
    <w:rsid w:val="004A0438"/>
    <w:rsid w:val="004A4086"/>
    <w:rsid w:val="004B3C03"/>
    <w:rsid w:val="004B5B9E"/>
    <w:rsid w:val="004F430F"/>
    <w:rsid w:val="004F69E7"/>
    <w:rsid w:val="0050398F"/>
    <w:rsid w:val="00521029"/>
    <w:rsid w:val="00566C9B"/>
    <w:rsid w:val="005D194A"/>
    <w:rsid w:val="005E2EA2"/>
    <w:rsid w:val="00603589"/>
    <w:rsid w:val="00624FB6"/>
    <w:rsid w:val="0063239B"/>
    <w:rsid w:val="00634AE9"/>
    <w:rsid w:val="00635C6A"/>
    <w:rsid w:val="00641CC1"/>
    <w:rsid w:val="00670C8D"/>
    <w:rsid w:val="006744B9"/>
    <w:rsid w:val="00674543"/>
    <w:rsid w:val="007318F2"/>
    <w:rsid w:val="007359CE"/>
    <w:rsid w:val="00736064"/>
    <w:rsid w:val="00752DAB"/>
    <w:rsid w:val="007649B6"/>
    <w:rsid w:val="007B7195"/>
    <w:rsid w:val="007E2902"/>
    <w:rsid w:val="007F1D53"/>
    <w:rsid w:val="00857AD9"/>
    <w:rsid w:val="00860F32"/>
    <w:rsid w:val="00872B27"/>
    <w:rsid w:val="0089163B"/>
    <w:rsid w:val="00894D9D"/>
    <w:rsid w:val="008B2955"/>
    <w:rsid w:val="008E35F4"/>
    <w:rsid w:val="00902F3D"/>
    <w:rsid w:val="00911332"/>
    <w:rsid w:val="009227B6"/>
    <w:rsid w:val="0095666C"/>
    <w:rsid w:val="00957401"/>
    <w:rsid w:val="009601BB"/>
    <w:rsid w:val="00996E9B"/>
    <w:rsid w:val="00997CAB"/>
    <w:rsid w:val="009A581D"/>
    <w:rsid w:val="009B1F88"/>
    <w:rsid w:val="009B6322"/>
    <w:rsid w:val="009C0BE2"/>
    <w:rsid w:val="009D205A"/>
    <w:rsid w:val="009D2B82"/>
    <w:rsid w:val="00A23FB2"/>
    <w:rsid w:val="00A52B25"/>
    <w:rsid w:val="00A76CD3"/>
    <w:rsid w:val="00AA3567"/>
    <w:rsid w:val="00AA63F4"/>
    <w:rsid w:val="00AB3F89"/>
    <w:rsid w:val="00AC39E5"/>
    <w:rsid w:val="00AE225A"/>
    <w:rsid w:val="00AF0C63"/>
    <w:rsid w:val="00AF673F"/>
    <w:rsid w:val="00B11936"/>
    <w:rsid w:val="00B17E14"/>
    <w:rsid w:val="00B273E1"/>
    <w:rsid w:val="00B427D5"/>
    <w:rsid w:val="00B54181"/>
    <w:rsid w:val="00B57503"/>
    <w:rsid w:val="00B73FA3"/>
    <w:rsid w:val="00B828BC"/>
    <w:rsid w:val="00BA3F3C"/>
    <w:rsid w:val="00BF4FB5"/>
    <w:rsid w:val="00BF670F"/>
    <w:rsid w:val="00C10284"/>
    <w:rsid w:val="00C16B35"/>
    <w:rsid w:val="00C27309"/>
    <w:rsid w:val="00C35ECA"/>
    <w:rsid w:val="00C858F4"/>
    <w:rsid w:val="00CC5318"/>
    <w:rsid w:val="00CE6485"/>
    <w:rsid w:val="00CF14E3"/>
    <w:rsid w:val="00D108C7"/>
    <w:rsid w:val="00D51A2A"/>
    <w:rsid w:val="00D921AE"/>
    <w:rsid w:val="00DA10CA"/>
    <w:rsid w:val="00DB2DA6"/>
    <w:rsid w:val="00DB54AF"/>
    <w:rsid w:val="00DF2E0B"/>
    <w:rsid w:val="00E04381"/>
    <w:rsid w:val="00E23B2F"/>
    <w:rsid w:val="00E31C05"/>
    <w:rsid w:val="00E44073"/>
    <w:rsid w:val="00E731B4"/>
    <w:rsid w:val="00E77280"/>
    <w:rsid w:val="00E81349"/>
    <w:rsid w:val="00E9072D"/>
    <w:rsid w:val="00ED357E"/>
    <w:rsid w:val="00F10A91"/>
    <w:rsid w:val="00F11561"/>
    <w:rsid w:val="00F26896"/>
    <w:rsid w:val="00F33269"/>
    <w:rsid w:val="00F769DC"/>
    <w:rsid w:val="00FA6227"/>
    <w:rsid w:val="00FC6614"/>
    <w:rsid w:val="00FF6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692341707">
      <w:bodyDiv w:val="1"/>
      <w:marLeft w:val="0"/>
      <w:marRight w:val="0"/>
      <w:marTop w:val="0"/>
      <w:marBottom w:val="0"/>
      <w:divBdr>
        <w:top w:val="none" w:sz="0" w:space="0" w:color="auto"/>
        <w:left w:val="none" w:sz="0" w:space="0" w:color="auto"/>
        <w:bottom w:val="none" w:sz="0" w:space="0" w:color="auto"/>
        <w:right w:val="none" w:sz="0" w:space="0" w:color="auto"/>
      </w:divBdr>
    </w:div>
    <w:div w:id="1931422402">
      <w:bodyDiv w:val="1"/>
      <w:marLeft w:val="0"/>
      <w:marRight w:val="0"/>
      <w:marTop w:val="0"/>
      <w:marBottom w:val="0"/>
      <w:divBdr>
        <w:top w:val="none" w:sz="0" w:space="0" w:color="auto"/>
        <w:left w:val="none" w:sz="0" w:space="0" w:color="auto"/>
        <w:bottom w:val="none" w:sz="0" w:space="0" w:color="auto"/>
        <w:right w:val="none" w:sz="0" w:space="0" w:color="auto"/>
      </w:divBdr>
    </w:div>
    <w:div w:id="2022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886B0C34-0C05-4133-926D-03466F40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CB5E264-0649-463C-983D-734F12C3EA34"/>
    <ds:schemaRef ds:uri="http://schemas.microsoft.com/office/2006/metadata/properties"/>
  </ds:schemaRefs>
</ds:datastoreItem>
</file>

<file path=customXml/itemProps4.xml><?xml version="1.0" encoding="utf-8"?>
<ds:datastoreItem xmlns:ds="http://schemas.openxmlformats.org/officeDocument/2006/customXml" ds:itemID="{AD3D4C6B-7DC0-4513-AEB7-F32B48AA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oconka</cp:lastModifiedBy>
  <cp:revision>2</cp:revision>
  <cp:lastPrinted>2019-02-19T23:39:00Z</cp:lastPrinted>
  <dcterms:created xsi:type="dcterms:W3CDTF">2019-04-05T04:35:00Z</dcterms:created>
  <dcterms:modified xsi:type="dcterms:W3CDTF">2019-04-05T04:35:00Z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