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B3366" w14:textId="77777777" w:rsidR="00841176" w:rsidRPr="00A242A6" w:rsidRDefault="001B4011" w:rsidP="00841176">
      <w:pPr>
        <w:pStyle w:val="SigningPageBreak"/>
      </w:pPr>
      <w:bookmarkStart w:id="0" w:name="citation"/>
      <w:r>
        <w:rPr>
          <w:noProof/>
          <w:lang w:eastAsia="en-AU"/>
        </w:rPr>
        <w:drawing>
          <wp:inline distT="0" distB="0" distL="0" distR="0" wp14:anchorId="32AF2CD7" wp14:editId="0557F812">
            <wp:extent cx="1388745" cy="1104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104265"/>
                    </a:xfrm>
                    <a:prstGeom prst="rect">
                      <a:avLst/>
                    </a:prstGeom>
                    <a:noFill/>
                    <a:ln>
                      <a:noFill/>
                    </a:ln>
                  </pic:spPr>
                </pic:pic>
              </a:graphicData>
            </a:graphic>
          </wp:inline>
        </w:drawing>
      </w:r>
      <w:r w:rsidR="0094748A">
        <w:br/>
      </w:r>
    </w:p>
    <w:p w14:paraId="27762E00" w14:textId="24CF5390" w:rsidR="00C7265B" w:rsidRPr="00C7265B" w:rsidRDefault="00C7265B" w:rsidP="00C7265B">
      <w:pPr>
        <w:rPr>
          <w:rFonts w:ascii="Arial" w:hAnsi="Arial" w:cs="Arial"/>
          <w:b/>
          <w:bCs/>
          <w:sz w:val="40"/>
          <w:szCs w:val="40"/>
        </w:rPr>
      </w:pPr>
      <w:r w:rsidRPr="00C7265B">
        <w:rPr>
          <w:rFonts w:ascii="Arial" w:hAnsi="Arial" w:cs="Arial"/>
          <w:b/>
          <w:bCs/>
          <w:sz w:val="40"/>
          <w:szCs w:val="40"/>
        </w:rPr>
        <w:t xml:space="preserve">Health Insurance (Section 3C General Medical Services – </w:t>
      </w:r>
      <w:r w:rsidR="00B2261F">
        <w:rPr>
          <w:rFonts w:ascii="Arial" w:hAnsi="Arial" w:cs="Arial"/>
          <w:b/>
          <w:bCs/>
          <w:sz w:val="40"/>
          <w:szCs w:val="40"/>
        </w:rPr>
        <w:t xml:space="preserve">Medicare </w:t>
      </w:r>
      <w:r w:rsidRPr="00C7265B">
        <w:rPr>
          <w:rFonts w:ascii="Arial" w:hAnsi="Arial" w:cs="Arial"/>
          <w:b/>
          <w:bCs/>
          <w:sz w:val="40"/>
          <w:szCs w:val="40"/>
        </w:rPr>
        <w:t>Indexation) Amendment Determination 2019</w:t>
      </w:r>
    </w:p>
    <w:p w14:paraId="71DFCFCE" w14:textId="1462A58F" w:rsidR="00215977" w:rsidRPr="000C7E6E" w:rsidRDefault="0094748A" w:rsidP="00215977">
      <w:r>
        <w:rPr>
          <w:rFonts w:ascii="Arial" w:hAnsi="Arial" w:cs="Arial"/>
          <w:b/>
          <w:bCs/>
          <w:sz w:val="40"/>
          <w:szCs w:val="40"/>
        </w:rPr>
        <w:br/>
      </w:r>
      <w:r w:rsidR="00215977" w:rsidRPr="000C7E6E">
        <w:t>__________________________________________________________________</w:t>
      </w:r>
    </w:p>
    <w:p w14:paraId="32340680" w14:textId="1FA93B72" w:rsidR="00841176" w:rsidRPr="00204A75" w:rsidRDefault="00841176" w:rsidP="0094748A">
      <w:pPr>
        <w:tabs>
          <w:tab w:val="left" w:pos="540"/>
          <w:tab w:val="left" w:pos="3240"/>
        </w:tabs>
        <w:spacing w:after="600" w:line="240" w:lineRule="atLeast"/>
        <w:ind w:right="397"/>
      </w:pPr>
      <w:r w:rsidRPr="00204A75">
        <w:br/>
        <w:t xml:space="preserve">I, </w:t>
      </w:r>
      <w:r w:rsidR="00276735">
        <w:t>ELIZABETH DOWD</w:t>
      </w:r>
      <w:r w:rsidR="00177189" w:rsidRPr="00C4779E">
        <w:t>,</w:t>
      </w:r>
      <w:r w:rsidR="00177189" w:rsidRPr="00D644BC">
        <w:t xml:space="preserve"> delegate</w:t>
      </w:r>
      <w:r w:rsidR="00177189">
        <w:t xml:space="preserve"> of the Minister for Health,</w:t>
      </w:r>
      <w:r w:rsidR="00177189" w:rsidRPr="00A242A6">
        <w:t xml:space="preserve"> make </w:t>
      </w:r>
      <w:r w:rsidR="005A007F">
        <w:t xml:space="preserve">the following </w:t>
      </w:r>
      <w:r w:rsidR="00693084">
        <w:t>d</w:t>
      </w:r>
      <w:r w:rsidR="00177189">
        <w:t>etermination.</w:t>
      </w:r>
      <w:r w:rsidR="00177189" w:rsidRPr="00A242A6">
        <w:t xml:space="preserve">  </w:t>
      </w:r>
    </w:p>
    <w:p w14:paraId="10EA2F4D" w14:textId="6AC70160" w:rsidR="00841176" w:rsidRPr="00204A75" w:rsidRDefault="00841176" w:rsidP="00CC5223">
      <w:pPr>
        <w:tabs>
          <w:tab w:val="left" w:pos="540"/>
          <w:tab w:val="left" w:pos="3240"/>
        </w:tabs>
        <w:spacing w:before="300" w:after="600" w:line="240" w:lineRule="atLeast"/>
        <w:ind w:right="397"/>
      </w:pPr>
      <w:r w:rsidRPr="00204A75">
        <w:t xml:space="preserve">Dated </w:t>
      </w:r>
      <w:r w:rsidR="007E1BA3" w:rsidRPr="00204A75">
        <w:t xml:space="preserve">   </w:t>
      </w:r>
      <w:r w:rsidR="00082970" w:rsidRPr="00204A75">
        <w:t xml:space="preserve">  </w:t>
      </w:r>
      <w:bookmarkStart w:id="1" w:name="WILLIAMDEANE"/>
      <w:bookmarkEnd w:id="1"/>
      <w:r w:rsidR="003F249A" w:rsidRPr="00204A75">
        <w:t xml:space="preserve"> </w:t>
      </w:r>
      <w:r w:rsidR="00DF402A" w:rsidRPr="00204A75">
        <w:t xml:space="preserve">  </w:t>
      </w:r>
      <w:r w:rsidR="00B81193">
        <w:t xml:space="preserve">5 </w:t>
      </w:r>
      <w:r w:rsidR="00C7265B">
        <w:t>April</w:t>
      </w:r>
      <w:r w:rsidR="007D046D">
        <w:t xml:space="preserve"> </w:t>
      </w:r>
      <w:r w:rsidR="00395868">
        <w:t>2019</w:t>
      </w:r>
    </w:p>
    <w:p w14:paraId="03254570" w14:textId="77777777" w:rsidR="003F249A" w:rsidRPr="00204A75" w:rsidRDefault="004B7AA4" w:rsidP="00CC5223">
      <w:pPr>
        <w:tabs>
          <w:tab w:val="left" w:pos="540"/>
          <w:tab w:val="left" w:pos="3240"/>
        </w:tabs>
        <w:spacing w:before="300" w:after="600" w:line="240" w:lineRule="atLeast"/>
        <w:ind w:right="397"/>
      </w:pPr>
      <w:r>
        <w:t xml:space="preserve">  </w:t>
      </w:r>
    </w:p>
    <w:p w14:paraId="47E59076" w14:textId="77777777" w:rsidR="003F249A" w:rsidRPr="00204A75" w:rsidRDefault="003F249A" w:rsidP="00E426B9">
      <w:pPr>
        <w:tabs>
          <w:tab w:val="left" w:pos="540"/>
          <w:tab w:val="left" w:pos="3240"/>
        </w:tabs>
        <w:spacing w:before="300" w:line="240" w:lineRule="atLeast"/>
        <w:ind w:right="397"/>
      </w:pPr>
    </w:p>
    <w:p w14:paraId="4E1E1B3D" w14:textId="77777777" w:rsidR="00C7265B" w:rsidRDefault="00C7265B" w:rsidP="00C7265B">
      <w:pPr>
        <w:shd w:val="clear" w:color="auto" w:fill="FFFFFF"/>
        <w:spacing w:line="240" w:lineRule="atLeast"/>
        <w:ind w:right="397"/>
        <w:rPr>
          <w:szCs w:val="22"/>
        </w:rPr>
      </w:pPr>
      <w:r>
        <w:rPr>
          <w:szCs w:val="22"/>
        </w:rPr>
        <w:t>Elizabeth Dowd</w:t>
      </w:r>
    </w:p>
    <w:p w14:paraId="7407BF22" w14:textId="77777777" w:rsidR="00C7265B" w:rsidRPr="00C34152" w:rsidRDefault="00C7265B" w:rsidP="00C7265B">
      <w:pPr>
        <w:shd w:val="clear" w:color="auto" w:fill="FFFFFF"/>
        <w:spacing w:line="240" w:lineRule="atLeast"/>
        <w:ind w:right="397"/>
        <w:rPr>
          <w:szCs w:val="22"/>
        </w:rPr>
      </w:pPr>
      <w:r w:rsidRPr="00C34152">
        <w:rPr>
          <w:szCs w:val="22"/>
        </w:rPr>
        <w:t xml:space="preserve">Assistant Secretary </w:t>
      </w:r>
    </w:p>
    <w:p w14:paraId="683C8298" w14:textId="77777777" w:rsidR="00C7265B" w:rsidRPr="00C34152" w:rsidRDefault="00C7265B" w:rsidP="00C7265B">
      <w:pPr>
        <w:shd w:val="clear" w:color="auto" w:fill="FFFFFF"/>
        <w:spacing w:line="240" w:lineRule="atLeast"/>
        <w:ind w:right="397"/>
        <w:rPr>
          <w:szCs w:val="22"/>
        </w:rPr>
      </w:pPr>
      <w:r>
        <w:rPr>
          <w:szCs w:val="22"/>
        </w:rPr>
        <w:t>MBS Policy and Specialist Services</w:t>
      </w:r>
      <w:r w:rsidRPr="00C34152">
        <w:rPr>
          <w:szCs w:val="22"/>
        </w:rPr>
        <w:t xml:space="preserve"> Branch</w:t>
      </w:r>
    </w:p>
    <w:p w14:paraId="746AFC2C" w14:textId="77777777" w:rsidR="00C7265B" w:rsidRDefault="00C7265B" w:rsidP="00C7265B">
      <w:pPr>
        <w:shd w:val="clear" w:color="auto" w:fill="FFFFFF"/>
        <w:spacing w:line="240" w:lineRule="atLeast"/>
        <w:ind w:right="397"/>
        <w:rPr>
          <w:szCs w:val="22"/>
        </w:rPr>
      </w:pPr>
      <w:r w:rsidRPr="00C34152">
        <w:rPr>
          <w:szCs w:val="22"/>
        </w:rPr>
        <w:t>Medical Benefits Division</w:t>
      </w:r>
    </w:p>
    <w:p w14:paraId="475926F5" w14:textId="77777777" w:rsidR="00C7265B" w:rsidRPr="00C34152" w:rsidRDefault="00C7265B" w:rsidP="00C7265B">
      <w:pPr>
        <w:shd w:val="clear" w:color="auto" w:fill="FFFFFF"/>
        <w:spacing w:line="240" w:lineRule="atLeast"/>
        <w:ind w:right="397"/>
        <w:rPr>
          <w:szCs w:val="22"/>
        </w:rPr>
      </w:pPr>
      <w:r>
        <w:rPr>
          <w:szCs w:val="22"/>
        </w:rPr>
        <w:t>Health Financing Group</w:t>
      </w:r>
    </w:p>
    <w:p w14:paraId="42387253" w14:textId="77777777" w:rsidR="00C7265B" w:rsidRPr="00C34152" w:rsidRDefault="00C7265B" w:rsidP="00C7265B">
      <w:pPr>
        <w:shd w:val="clear" w:color="auto" w:fill="FFFFFF"/>
        <w:spacing w:line="240" w:lineRule="atLeast"/>
        <w:ind w:right="397"/>
        <w:rPr>
          <w:szCs w:val="22"/>
        </w:rPr>
      </w:pPr>
      <w:r w:rsidRPr="00C34152">
        <w:rPr>
          <w:szCs w:val="22"/>
        </w:rPr>
        <w:t>Department of Health</w:t>
      </w:r>
    </w:p>
    <w:p w14:paraId="7B358086" w14:textId="77777777" w:rsidR="00215977" w:rsidRPr="000C7E6E" w:rsidRDefault="00215977" w:rsidP="00215977">
      <w:pPr>
        <w:pBdr>
          <w:bottom w:val="single" w:sz="4" w:space="12" w:color="auto"/>
        </w:pBdr>
        <w:tabs>
          <w:tab w:val="left" w:pos="3119"/>
        </w:tabs>
        <w:spacing w:after="240" w:line="300" w:lineRule="atLeast"/>
      </w:pPr>
    </w:p>
    <w:p w14:paraId="4E90A1C5" w14:textId="77777777" w:rsidR="00345481" w:rsidRPr="00204A75" w:rsidRDefault="00345481" w:rsidP="00CC5223">
      <w:pPr>
        <w:tabs>
          <w:tab w:val="left" w:pos="540"/>
          <w:tab w:val="left" w:pos="3240"/>
        </w:tabs>
        <w:spacing w:before="300" w:after="600" w:line="240" w:lineRule="atLeast"/>
        <w:ind w:right="397"/>
        <w:rPr>
          <w:highlight w:val="yellow"/>
        </w:rPr>
      </w:pPr>
    </w:p>
    <w:p w14:paraId="1D9ADD9B" w14:textId="77777777" w:rsidR="00841176" w:rsidRPr="00204A75" w:rsidRDefault="00841176" w:rsidP="00E426B9">
      <w:pPr>
        <w:rPr>
          <w:highlight w:val="yellow"/>
        </w:rPr>
      </w:pPr>
    </w:p>
    <w:p w14:paraId="59345162" w14:textId="77777777" w:rsidR="00FD5DDA" w:rsidRPr="00204A75" w:rsidRDefault="00FD5DDA" w:rsidP="00841176">
      <w:pPr>
        <w:spacing w:line="300" w:lineRule="atLeast"/>
        <w:ind w:right="397"/>
        <w:outlineLvl w:val="0"/>
        <w:rPr>
          <w:highlight w:val="yellow"/>
        </w:rPr>
        <w:sectPr w:rsidR="00FD5DDA" w:rsidRPr="00204A75" w:rsidSect="00780596">
          <w:headerReference w:type="even" r:id="rId12"/>
          <w:headerReference w:type="default" r:id="rId13"/>
          <w:footerReference w:type="even" r:id="rId14"/>
          <w:footerReference w:type="default" r:id="rId15"/>
          <w:pgSz w:w="11906" w:h="16838" w:code="9"/>
          <w:pgMar w:top="1440" w:right="1797" w:bottom="1440" w:left="1797" w:header="709" w:footer="709" w:gutter="0"/>
          <w:paperSrc w:first="259" w:other="259"/>
          <w:cols w:space="709"/>
          <w:docGrid w:linePitch="326"/>
        </w:sectPr>
      </w:pPr>
    </w:p>
    <w:p w14:paraId="472300C8" w14:textId="77777777" w:rsidR="00841176" w:rsidRPr="00373DE0" w:rsidRDefault="00984BD0" w:rsidP="00AA5825">
      <w:pPr>
        <w:pStyle w:val="Heading4"/>
        <w:rPr>
          <w:rFonts w:ascii="Arial" w:hAnsi="Arial" w:cs="Arial"/>
        </w:rPr>
      </w:pPr>
      <w:r w:rsidRPr="00373DE0">
        <w:rPr>
          <w:rFonts w:ascii="Arial" w:hAnsi="Arial" w:cs="Arial"/>
        </w:rPr>
        <w:lastRenderedPageBreak/>
        <w:t>C</w:t>
      </w:r>
      <w:r w:rsidR="00DB3E72" w:rsidRPr="00373DE0">
        <w:rPr>
          <w:rFonts w:ascii="Arial" w:hAnsi="Arial" w:cs="Arial"/>
        </w:rPr>
        <w:t>ontents</w:t>
      </w:r>
    </w:p>
    <w:p w14:paraId="4E25C533" w14:textId="6FDAD926" w:rsidR="00761CAB" w:rsidRDefault="00417AA5">
      <w:pPr>
        <w:pStyle w:val="TOC1"/>
        <w:tabs>
          <w:tab w:val="left" w:pos="1320"/>
        </w:tabs>
        <w:rPr>
          <w:rFonts w:asciiTheme="minorHAnsi" w:eastAsiaTheme="minorEastAsia" w:hAnsiTheme="minorHAnsi" w:cstheme="minorBidi"/>
          <w:noProof/>
          <w:sz w:val="22"/>
          <w:szCs w:val="22"/>
          <w:lang w:eastAsia="en-AU"/>
        </w:rPr>
      </w:pPr>
      <w:r w:rsidRPr="00373DE0">
        <w:fldChar w:fldCharType="begin"/>
      </w:r>
      <w:r w:rsidRPr="00373DE0">
        <w:instrText xml:space="preserve"> TOC \o "1-3" \h \z \u </w:instrText>
      </w:r>
      <w:r w:rsidRPr="00373DE0">
        <w:fldChar w:fldCharType="separate"/>
      </w:r>
      <w:hyperlink w:anchor="_Toc5806919" w:history="1">
        <w:r w:rsidR="00761CAB" w:rsidRPr="00596502">
          <w:rPr>
            <w:rStyle w:val="Hyperlink"/>
            <w:noProof/>
          </w:rPr>
          <w:t>1.</w:t>
        </w:r>
        <w:r w:rsidR="00761CAB">
          <w:rPr>
            <w:rFonts w:asciiTheme="minorHAnsi" w:eastAsiaTheme="minorEastAsia" w:hAnsiTheme="minorHAnsi" w:cstheme="minorBidi"/>
            <w:noProof/>
            <w:sz w:val="22"/>
            <w:szCs w:val="22"/>
            <w:lang w:eastAsia="en-AU"/>
          </w:rPr>
          <w:tab/>
        </w:r>
        <w:r w:rsidR="00761CAB" w:rsidRPr="00596502">
          <w:rPr>
            <w:rStyle w:val="Hyperlink"/>
            <w:noProof/>
          </w:rPr>
          <w:t>Name</w:t>
        </w:r>
        <w:r w:rsidR="00761CAB">
          <w:rPr>
            <w:noProof/>
            <w:webHidden/>
          </w:rPr>
          <w:tab/>
        </w:r>
        <w:r w:rsidR="00761CAB">
          <w:rPr>
            <w:noProof/>
            <w:webHidden/>
          </w:rPr>
          <w:fldChar w:fldCharType="begin"/>
        </w:r>
        <w:r w:rsidR="00761CAB">
          <w:rPr>
            <w:noProof/>
            <w:webHidden/>
          </w:rPr>
          <w:instrText xml:space="preserve"> PAGEREF _Toc5806919 \h </w:instrText>
        </w:r>
        <w:r w:rsidR="00761CAB">
          <w:rPr>
            <w:noProof/>
            <w:webHidden/>
          </w:rPr>
        </w:r>
        <w:r w:rsidR="00761CAB">
          <w:rPr>
            <w:noProof/>
            <w:webHidden/>
          </w:rPr>
          <w:fldChar w:fldCharType="separate"/>
        </w:r>
        <w:r w:rsidR="00761CAB">
          <w:rPr>
            <w:noProof/>
            <w:webHidden/>
          </w:rPr>
          <w:t>3</w:t>
        </w:r>
        <w:r w:rsidR="00761CAB">
          <w:rPr>
            <w:noProof/>
            <w:webHidden/>
          </w:rPr>
          <w:fldChar w:fldCharType="end"/>
        </w:r>
      </w:hyperlink>
    </w:p>
    <w:p w14:paraId="1A0B0BB3" w14:textId="0D3B7B3C" w:rsidR="00761CAB" w:rsidRDefault="00761CAB">
      <w:pPr>
        <w:pStyle w:val="TOC1"/>
        <w:tabs>
          <w:tab w:val="left" w:pos="1320"/>
        </w:tabs>
        <w:rPr>
          <w:rFonts w:asciiTheme="minorHAnsi" w:eastAsiaTheme="minorEastAsia" w:hAnsiTheme="minorHAnsi" w:cstheme="minorBidi"/>
          <w:noProof/>
          <w:sz w:val="22"/>
          <w:szCs w:val="22"/>
          <w:lang w:eastAsia="en-AU"/>
        </w:rPr>
      </w:pPr>
      <w:hyperlink w:anchor="_Toc5806920" w:history="1">
        <w:r w:rsidRPr="00596502">
          <w:rPr>
            <w:rStyle w:val="Hyperlink"/>
            <w:noProof/>
          </w:rPr>
          <w:t>2.</w:t>
        </w:r>
        <w:r>
          <w:rPr>
            <w:rFonts w:asciiTheme="minorHAnsi" w:eastAsiaTheme="minorEastAsia" w:hAnsiTheme="minorHAnsi" w:cstheme="minorBidi"/>
            <w:noProof/>
            <w:sz w:val="22"/>
            <w:szCs w:val="22"/>
            <w:lang w:eastAsia="en-AU"/>
          </w:rPr>
          <w:tab/>
        </w:r>
        <w:r w:rsidRPr="00596502">
          <w:rPr>
            <w:rStyle w:val="Hyperlink"/>
            <w:noProof/>
          </w:rPr>
          <w:t>Commencement</w:t>
        </w:r>
        <w:r>
          <w:rPr>
            <w:noProof/>
            <w:webHidden/>
          </w:rPr>
          <w:tab/>
        </w:r>
        <w:r>
          <w:rPr>
            <w:noProof/>
            <w:webHidden/>
          </w:rPr>
          <w:fldChar w:fldCharType="begin"/>
        </w:r>
        <w:r>
          <w:rPr>
            <w:noProof/>
            <w:webHidden/>
          </w:rPr>
          <w:instrText xml:space="preserve"> PAGEREF _Toc5806920 \h </w:instrText>
        </w:r>
        <w:r>
          <w:rPr>
            <w:noProof/>
            <w:webHidden/>
          </w:rPr>
        </w:r>
        <w:r>
          <w:rPr>
            <w:noProof/>
            <w:webHidden/>
          </w:rPr>
          <w:fldChar w:fldCharType="separate"/>
        </w:r>
        <w:r>
          <w:rPr>
            <w:noProof/>
            <w:webHidden/>
          </w:rPr>
          <w:t>3</w:t>
        </w:r>
        <w:r>
          <w:rPr>
            <w:noProof/>
            <w:webHidden/>
          </w:rPr>
          <w:fldChar w:fldCharType="end"/>
        </w:r>
      </w:hyperlink>
    </w:p>
    <w:p w14:paraId="34CC8129" w14:textId="1BBA778D" w:rsidR="00761CAB" w:rsidRDefault="00761CAB">
      <w:pPr>
        <w:pStyle w:val="TOC1"/>
        <w:tabs>
          <w:tab w:val="left" w:pos="1320"/>
        </w:tabs>
        <w:rPr>
          <w:rFonts w:asciiTheme="minorHAnsi" w:eastAsiaTheme="minorEastAsia" w:hAnsiTheme="minorHAnsi" w:cstheme="minorBidi"/>
          <w:noProof/>
          <w:sz w:val="22"/>
          <w:szCs w:val="22"/>
          <w:lang w:eastAsia="en-AU"/>
        </w:rPr>
      </w:pPr>
      <w:hyperlink w:anchor="_Toc5806921" w:history="1">
        <w:r w:rsidRPr="00596502">
          <w:rPr>
            <w:rStyle w:val="Hyperlink"/>
            <w:noProof/>
          </w:rPr>
          <w:t>3.</w:t>
        </w:r>
        <w:r>
          <w:rPr>
            <w:rFonts w:asciiTheme="minorHAnsi" w:eastAsiaTheme="minorEastAsia" w:hAnsiTheme="minorHAnsi" w:cstheme="minorBidi"/>
            <w:noProof/>
            <w:sz w:val="22"/>
            <w:szCs w:val="22"/>
            <w:lang w:eastAsia="en-AU"/>
          </w:rPr>
          <w:tab/>
        </w:r>
        <w:r w:rsidRPr="00596502">
          <w:rPr>
            <w:rStyle w:val="Hyperlink"/>
            <w:noProof/>
          </w:rPr>
          <w:t>Authority</w:t>
        </w:r>
        <w:r>
          <w:rPr>
            <w:noProof/>
            <w:webHidden/>
          </w:rPr>
          <w:tab/>
        </w:r>
        <w:r>
          <w:rPr>
            <w:noProof/>
            <w:webHidden/>
          </w:rPr>
          <w:fldChar w:fldCharType="begin"/>
        </w:r>
        <w:r>
          <w:rPr>
            <w:noProof/>
            <w:webHidden/>
          </w:rPr>
          <w:instrText xml:space="preserve"> PAGEREF _Toc5806921 \h </w:instrText>
        </w:r>
        <w:r>
          <w:rPr>
            <w:noProof/>
            <w:webHidden/>
          </w:rPr>
        </w:r>
        <w:r>
          <w:rPr>
            <w:noProof/>
            <w:webHidden/>
          </w:rPr>
          <w:fldChar w:fldCharType="separate"/>
        </w:r>
        <w:r>
          <w:rPr>
            <w:noProof/>
            <w:webHidden/>
          </w:rPr>
          <w:t>3</w:t>
        </w:r>
        <w:r>
          <w:rPr>
            <w:noProof/>
            <w:webHidden/>
          </w:rPr>
          <w:fldChar w:fldCharType="end"/>
        </w:r>
      </w:hyperlink>
    </w:p>
    <w:p w14:paraId="2483BF0A" w14:textId="6C8610A4" w:rsidR="00761CAB" w:rsidRDefault="00761CAB">
      <w:pPr>
        <w:pStyle w:val="TOC1"/>
        <w:tabs>
          <w:tab w:val="left" w:pos="1320"/>
        </w:tabs>
        <w:rPr>
          <w:rFonts w:asciiTheme="minorHAnsi" w:eastAsiaTheme="minorEastAsia" w:hAnsiTheme="minorHAnsi" w:cstheme="minorBidi"/>
          <w:noProof/>
          <w:sz w:val="22"/>
          <w:szCs w:val="22"/>
          <w:lang w:eastAsia="en-AU"/>
        </w:rPr>
      </w:pPr>
      <w:hyperlink w:anchor="_Toc5806922" w:history="1">
        <w:r w:rsidRPr="00596502">
          <w:rPr>
            <w:rStyle w:val="Hyperlink"/>
            <w:noProof/>
          </w:rPr>
          <w:t>4.</w:t>
        </w:r>
        <w:r>
          <w:rPr>
            <w:rFonts w:asciiTheme="minorHAnsi" w:eastAsiaTheme="minorEastAsia" w:hAnsiTheme="minorHAnsi" w:cstheme="minorBidi"/>
            <w:noProof/>
            <w:sz w:val="22"/>
            <w:szCs w:val="22"/>
            <w:lang w:eastAsia="en-AU"/>
          </w:rPr>
          <w:tab/>
        </w:r>
        <w:r w:rsidRPr="00596502">
          <w:rPr>
            <w:rStyle w:val="Hyperlink"/>
            <w:noProof/>
          </w:rPr>
          <w:t>Schedules</w:t>
        </w:r>
        <w:r>
          <w:rPr>
            <w:noProof/>
            <w:webHidden/>
          </w:rPr>
          <w:tab/>
        </w:r>
        <w:r>
          <w:rPr>
            <w:noProof/>
            <w:webHidden/>
          </w:rPr>
          <w:fldChar w:fldCharType="begin"/>
        </w:r>
        <w:r>
          <w:rPr>
            <w:noProof/>
            <w:webHidden/>
          </w:rPr>
          <w:instrText xml:space="preserve"> PAGEREF _Toc5806922 \h </w:instrText>
        </w:r>
        <w:r>
          <w:rPr>
            <w:noProof/>
            <w:webHidden/>
          </w:rPr>
        </w:r>
        <w:r>
          <w:rPr>
            <w:noProof/>
            <w:webHidden/>
          </w:rPr>
          <w:fldChar w:fldCharType="separate"/>
        </w:r>
        <w:r>
          <w:rPr>
            <w:noProof/>
            <w:webHidden/>
          </w:rPr>
          <w:t>3</w:t>
        </w:r>
        <w:r>
          <w:rPr>
            <w:noProof/>
            <w:webHidden/>
          </w:rPr>
          <w:fldChar w:fldCharType="end"/>
        </w:r>
      </w:hyperlink>
    </w:p>
    <w:p w14:paraId="1B013AFD" w14:textId="77777777" w:rsidR="00761CAB" w:rsidRDefault="00761CAB" w:rsidP="00761CAB">
      <w:pPr>
        <w:pStyle w:val="TOC1"/>
        <w:rPr>
          <w:rStyle w:val="Hyperlink"/>
          <w:noProof/>
        </w:rPr>
      </w:pPr>
      <w:hyperlink w:anchor="_Toc5806923" w:history="1">
        <w:r w:rsidRPr="00596502">
          <w:rPr>
            <w:rStyle w:val="Hyperlink"/>
            <w:noProof/>
          </w:rPr>
          <w:t>Schedule 1 – Amendments</w:t>
        </w:r>
        <w:r>
          <w:rPr>
            <w:noProof/>
            <w:webHidden/>
          </w:rPr>
          <w:tab/>
        </w:r>
        <w:r>
          <w:rPr>
            <w:noProof/>
            <w:webHidden/>
          </w:rPr>
          <w:fldChar w:fldCharType="begin"/>
        </w:r>
        <w:r>
          <w:rPr>
            <w:noProof/>
            <w:webHidden/>
          </w:rPr>
          <w:instrText xml:space="preserve"> PAGEREF _Toc5806923 \h </w:instrText>
        </w:r>
        <w:r>
          <w:rPr>
            <w:noProof/>
            <w:webHidden/>
          </w:rPr>
        </w:r>
        <w:r>
          <w:rPr>
            <w:noProof/>
            <w:webHidden/>
          </w:rPr>
          <w:fldChar w:fldCharType="separate"/>
        </w:r>
        <w:r>
          <w:rPr>
            <w:noProof/>
            <w:webHidden/>
          </w:rPr>
          <w:t>4</w:t>
        </w:r>
        <w:r>
          <w:rPr>
            <w:noProof/>
            <w:webHidden/>
          </w:rPr>
          <w:fldChar w:fldCharType="end"/>
        </w:r>
      </w:hyperlink>
    </w:p>
    <w:p w14:paraId="3D2CBD13" w14:textId="77777777" w:rsidR="00761CAB" w:rsidRDefault="00761CAB" w:rsidP="00761CAB">
      <w:pPr>
        <w:pStyle w:val="TOC1"/>
        <w:rPr>
          <w:rStyle w:val="Hyperlink"/>
          <w:noProof/>
        </w:rPr>
      </w:pPr>
      <w:hyperlink w:anchor="_Toc5806924" w:history="1">
        <w:r w:rsidRPr="00596502">
          <w:rPr>
            <w:rStyle w:val="Hyperlink"/>
            <w:i/>
            <w:noProof/>
          </w:rPr>
          <w:t>Health Insurance (Section 3C General Medical Services – Blue Light Cystoscopy) Determination 2019</w:t>
        </w:r>
        <w:r>
          <w:rPr>
            <w:noProof/>
            <w:webHidden/>
          </w:rPr>
          <w:tab/>
        </w:r>
        <w:r>
          <w:rPr>
            <w:noProof/>
            <w:webHidden/>
          </w:rPr>
          <w:fldChar w:fldCharType="begin"/>
        </w:r>
        <w:r>
          <w:rPr>
            <w:noProof/>
            <w:webHidden/>
          </w:rPr>
          <w:instrText xml:space="preserve"> PAGEREF _Toc5806924 \h </w:instrText>
        </w:r>
        <w:r>
          <w:rPr>
            <w:noProof/>
            <w:webHidden/>
          </w:rPr>
        </w:r>
        <w:r>
          <w:rPr>
            <w:noProof/>
            <w:webHidden/>
          </w:rPr>
          <w:fldChar w:fldCharType="separate"/>
        </w:r>
        <w:r>
          <w:rPr>
            <w:noProof/>
            <w:webHidden/>
          </w:rPr>
          <w:t>4</w:t>
        </w:r>
        <w:r>
          <w:rPr>
            <w:noProof/>
            <w:webHidden/>
          </w:rPr>
          <w:fldChar w:fldCharType="end"/>
        </w:r>
      </w:hyperlink>
    </w:p>
    <w:p w14:paraId="098DFD19" w14:textId="77777777" w:rsidR="00761CAB" w:rsidRDefault="00761CAB" w:rsidP="00761CAB">
      <w:pPr>
        <w:pStyle w:val="TOC1"/>
        <w:rPr>
          <w:rStyle w:val="Hyperlink"/>
          <w:noProof/>
        </w:rPr>
      </w:pPr>
      <w:hyperlink w:anchor="_Toc5806925" w:history="1">
        <w:r w:rsidRPr="00596502">
          <w:rPr>
            <w:rStyle w:val="Hyperlink"/>
            <w:i/>
            <w:noProof/>
          </w:rPr>
          <w:t>Health Insurance (Section 3C General Medical Services – Cryopreservation of Semen) Determination 2018</w:t>
        </w:r>
        <w:r>
          <w:rPr>
            <w:noProof/>
            <w:webHidden/>
          </w:rPr>
          <w:tab/>
        </w:r>
        <w:r>
          <w:rPr>
            <w:noProof/>
            <w:webHidden/>
          </w:rPr>
          <w:fldChar w:fldCharType="begin"/>
        </w:r>
        <w:r>
          <w:rPr>
            <w:noProof/>
            <w:webHidden/>
          </w:rPr>
          <w:instrText xml:space="preserve"> PAGEREF _Toc5806925 \h </w:instrText>
        </w:r>
        <w:r>
          <w:rPr>
            <w:noProof/>
            <w:webHidden/>
          </w:rPr>
        </w:r>
        <w:r>
          <w:rPr>
            <w:noProof/>
            <w:webHidden/>
          </w:rPr>
          <w:fldChar w:fldCharType="separate"/>
        </w:r>
        <w:r>
          <w:rPr>
            <w:noProof/>
            <w:webHidden/>
          </w:rPr>
          <w:t>4</w:t>
        </w:r>
        <w:r>
          <w:rPr>
            <w:noProof/>
            <w:webHidden/>
          </w:rPr>
          <w:fldChar w:fldCharType="end"/>
        </w:r>
      </w:hyperlink>
    </w:p>
    <w:p w14:paraId="2A9E6345" w14:textId="77777777" w:rsidR="00761CAB" w:rsidRDefault="00761CAB" w:rsidP="00761CAB">
      <w:pPr>
        <w:pStyle w:val="TOC1"/>
        <w:rPr>
          <w:rStyle w:val="Hyperlink"/>
          <w:noProof/>
        </w:rPr>
      </w:pPr>
      <w:hyperlink w:anchor="_Toc5806926" w:history="1">
        <w:r w:rsidRPr="00596502">
          <w:rPr>
            <w:rStyle w:val="Hyperlink"/>
            <w:i/>
            <w:noProof/>
          </w:rPr>
          <w:t>Health Insurance (Section 3C General Medical Services – Heart Health Assessment No.2) Determination 2019</w:t>
        </w:r>
        <w:r>
          <w:rPr>
            <w:noProof/>
            <w:webHidden/>
          </w:rPr>
          <w:tab/>
        </w:r>
        <w:r>
          <w:rPr>
            <w:noProof/>
            <w:webHidden/>
          </w:rPr>
          <w:fldChar w:fldCharType="begin"/>
        </w:r>
        <w:r>
          <w:rPr>
            <w:noProof/>
            <w:webHidden/>
          </w:rPr>
          <w:instrText xml:space="preserve"> PAGEREF _Toc5806926 \h </w:instrText>
        </w:r>
        <w:r>
          <w:rPr>
            <w:noProof/>
            <w:webHidden/>
          </w:rPr>
        </w:r>
        <w:r>
          <w:rPr>
            <w:noProof/>
            <w:webHidden/>
          </w:rPr>
          <w:fldChar w:fldCharType="separate"/>
        </w:r>
        <w:r>
          <w:rPr>
            <w:noProof/>
            <w:webHidden/>
          </w:rPr>
          <w:t>4</w:t>
        </w:r>
        <w:r>
          <w:rPr>
            <w:noProof/>
            <w:webHidden/>
          </w:rPr>
          <w:fldChar w:fldCharType="end"/>
        </w:r>
      </w:hyperlink>
    </w:p>
    <w:p w14:paraId="67426A43" w14:textId="77777777" w:rsidR="00761CAB" w:rsidRDefault="00761CAB" w:rsidP="00761CAB">
      <w:pPr>
        <w:pStyle w:val="TOC1"/>
        <w:rPr>
          <w:rStyle w:val="Hyperlink"/>
          <w:noProof/>
        </w:rPr>
      </w:pPr>
      <w:hyperlink w:anchor="_Toc5806927" w:history="1">
        <w:r w:rsidRPr="00596502">
          <w:rPr>
            <w:rStyle w:val="Hyperlink"/>
            <w:i/>
            <w:noProof/>
          </w:rPr>
          <w:t>Health Insurance (Section 3C General Medical Services - General Practitioner Telehealth Services) Determination 2018</w:t>
        </w:r>
        <w:r>
          <w:rPr>
            <w:noProof/>
            <w:webHidden/>
          </w:rPr>
          <w:tab/>
        </w:r>
        <w:r>
          <w:rPr>
            <w:noProof/>
            <w:webHidden/>
          </w:rPr>
          <w:fldChar w:fldCharType="begin"/>
        </w:r>
        <w:r>
          <w:rPr>
            <w:noProof/>
            <w:webHidden/>
          </w:rPr>
          <w:instrText xml:space="preserve"> PAGEREF _Toc5806927 \h </w:instrText>
        </w:r>
        <w:r>
          <w:rPr>
            <w:noProof/>
            <w:webHidden/>
          </w:rPr>
        </w:r>
        <w:r>
          <w:rPr>
            <w:noProof/>
            <w:webHidden/>
          </w:rPr>
          <w:fldChar w:fldCharType="separate"/>
        </w:r>
        <w:r>
          <w:rPr>
            <w:noProof/>
            <w:webHidden/>
          </w:rPr>
          <w:t>5</w:t>
        </w:r>
        <w:r>
          <w:rPr>
            <w:noProof/>
            <w:webHidden/>
          </w:rPr>
          <w:fldChar w:fldCharType="end"/>
        </w:r>
      </w:hyperlink>
    </w:p>
    <w:p w14:paraId="4A910EBD" w14:textId="77777777" w:rsidR="00761CAB" w:rsidRDefault="00761CAB" w:rsidP="00761CAB">
      <w:pPr>
        <w:pStyle w:val="TOC1"/>
        <w:rPr>
          <w:rStyle w:val="Hyperlink"/>
          <w:noProof/>
        </w:rPr>
      </w:pPr>
      <w:hyperlink w:anchor="_Toc5806928" w:history="1">
        <w:r w:rsidRPr="00596502">
          <w:rPr>
            <w:rStyle w:val="Hyperlink"/>
            <w:i/>
            <w:noProof/>
          </w:rPr>
          <w:t>Health Insurance (Section 3C General Medical Services – MIGS Stent Implantation) Determination 2018</w:t>
        </w:r>
        <w:r>
          <w:rPr>
            <w:noProof/>
            <w:webHidden/>
          </w:rPr>
          <w:tab/>
        </w:r>
        <w:r>
          <w:rPr>
            <w:noProof/>
            <w:webHidden/>
          </w:rPr>
          <w:fldChar w:fldCharType="begin"/>
        </w:r>
        <w:r>
          <w:rPr>
            <w:noProof/>
            <w:webHidden/>
          </w:rPr>
          <w:instrText xml:space="preserve"> PAGEREF _Toc5806928 \h </w:instrText>
        </w:r>
        <w:r>
          <w:rPr>
            <w:noProof/>
            <w:webHidden/>
          </w:rPr>
        </w:r>
        <w:r>
          <w:rPr>
            <w:noProof/>
            <w:webHidden/>
          </w:rPr>
          <w:fldChar w:fldCharType="separate"/>
        </w:r>
        <w:r>
          <w:rPr>
            <w:noProof/>
            <w:webHidden/>
          </w:rPr>
          <w:t>5</w:t>
        </w:r>
        <w:r>
          <w:rPr>
            <w:noProof/>
            <w:webHidden/>
          </w:rPr>
          <w:fldChar w:fldCharType="end"/>
        </w:r>
      </w:hyperlink>
    </w:p>
    <w:p w14:paraId="25F686F3" w14:textId="77777777" w:rsidR="00761CAB" w:rsidRDefault="00761CAB" w:rsidP="00761CAB">
      <w:pPr>
        <w:pStyle w:val="TOC1"/>
        <w:rPr>
          <w:rStyle w:val="Hyperlink"/>
          <w:noProof/>
        </w:rPr>
      </w:pPr>
      <w:hyperlink w:anchor="_Toc5806929" w:history="1">
        <w:r w:rsidRPr="00596502">
          <w:rPr>
            <w:rStyle w:val="Hyperlink"/>
            <w:i/>
            <w:noProof/>
          </w:rPr>
          <w:t>Health Insurance (Section 3C General Medical Services – Optical Coherence Tomography) Determination 2018</w:t>
        </w:r>
        <w:r>
          <w:rPr>
            <w:noProof/>
            <w:webHidden/>
          </w:rPr>
          <w:tab/>
        </w:r>
        <w:r>
          <w:rPr>
            <w:noProof/>
            <w:webHidden/>
          </w:rPr>
          <w:fldChar w:fldCharType="begin"/>
        </w:r>
        <w:r>
          <w:rPr>
            <w:noProof/>
            <w:webHidden/>
          </w:rPr>
          <w:instrText xml:space="preserve"> PAGEREF _Toc5806929 \h </w:instrText>
        </w:r>
        <w:r>
          <w:rPr>
            <w:noProof/>
            <w:webHidden/>
          </w:rPr>
        </w:r>
        <w:r>
          <w:rPr>
            <w:noProof/>
            <w:webHidden/>
          </w:rPr>
          <w:fldChar w:fldCharType="separate"/>
        </w:r>
        <w:r>
          <w:rPr>
            <w:noProof/>
            <w:webHidden/>
          </w:rPr>
          <w:t>5</w:t>
        </w:r>
        <w:r>
          <w:rPr>
            <w:noProof/>
            <w:webHidden/>
          </w:rPr>
          <w:fldChar w:fldCharType="end"/>
        </w:r>
      </w:hyperlink>
    </w:p>
    <w:p w14:paraId="3EAA7998" w14:textId="77777777" w:rsidR="00761CAB" w:rsidRDefault="00761CAB" w:rsidP="00761CAB">
      <w:pPr>
        <w:pStyle w:val="TOC1"/>
        <w:rPr>
          <w:rStyle w:val="Hyperlink"/>
          <w:noProof/>
        </w:rPr>
      </w:pPr>
      <w:hyperlink w:anchor="_Toc5806930" w:history="1">
        <w:r w:rsidRPr="00596502">
          <w:rPr>
            <w:rStyle w:val="Hyperlink"/>
            <w:i/>
            <w:noProof/>
          </w:rPr>
          <w:t>Health Insurance (Section 3C General Medical Services – Transcatheter Aortic Valve Implantation) Determination 2018</w:t>
        </w:r>
        <w:r>
          <w:rPr>
            <w:noProof/>
            <w:webHidden/>
          </w:rPr>
          <w:tab/>
        </w:r>
        <w:r>
          <w:rPr>
            <w:noProof/>
            <w:webHidden/>
          </w:rPr>
          <w:fldChar w:fldCharType="begin"/>
        </w:r>
        <w:r>
          <w:rPr>
            <w:noProof/>
            <w:webHidden/>
          </w:rPr>
          <w:instrText xml:space="preserve"> PAGEREF _Toc5806930 \h </w:instrText>
        </w:r>
        <w:r>
          <w:rPr>
            <w:noProof/>
            <w:webHidden/>
          </w:rPr>
        </w:r>
        <w:r>
          <w:rPr>
            <w:noProof/>
            <w:webHidden/>
          </w:rPr>
          <w:fldChar w:fldCharType="separate"/>
        </w:r>
        <w:r>
          <w:rPr>
            <w:noProof/>
            <w:webHidden/>
          </w:rPr>
          <w:t>5</w:t>
        </w:r>
        <w:r>
          <w:rPr>
            <w:noProof/>
            <w:webHidden/>
          </w:rPr>
          <w:fldChar w:fldCharType="end"/>
        </w:r>
      </w:hyperlink>
    </w:p>
    <w:p w14:paraId="0EAA7AA8" w14:textId="77777777" w:rsidR="00761CAB" w:rsidRDefault="00761CAB" w:rsidP="00761CAB">
      <w:pPr>
        <w:pStyle w:val="TOC1"/>
        <w:rPr>
          <w:rStyle w:val="Hyperlink"/>
          <w:noProof/>
        </w:rPr>
      </w:pPr>
      <w:hyperlink w:anchor="_Toc5806931" w:history="1">
        <w:r w:rsidRPr="00596502">
          <w:rPr>
            <w:rStyle w:val="Hyperlink"/>
            <w:i/>
            <w:noProof/>
          </w:rPr>
          <w:t>Health Insurance (Section 3C General Medical Services – Transvaginal repair of pelvic organ prolapse and procedures for the excision of graft material) Determination 2018</w:t>
        </w:r>
        <w:r>
          <w:rPr>
            <w:noProof/>
            <w:webHidden/>
          </w:rPr>
          <w:tab/>
        </w:r>
        <w:r>
          <w:rPr>
            <w:noProof/>
            <w:webHidden/>
          </w:rPr>
          <w:fldChar w:fldCharType="begin"/>
        </w:r>
        <w:r>
          <w:rPr>
            <w:noProof/>
            <w:webHidden/>
          </w:rPr>
          <w:instrText xml:space="preserve"> PAGEREF _Toc5806931 \h </w:instrText>
        </w:r>
        <w:r>
          <w:rPr>
            <w:noProof/>
            <w:webHidden/>
          </w:rPr>
        </w:r>
        <w:r>
          <w:rPr>
            <w:noProof/>
            <w:webHidden/>
          </w:rPr>
          <w:fldChar w:fldCharType="separate"/>
        </w:r>
        <w:r>
          <w:rPr>
            <w:noProof/>
            <w:webHidden/>
          </w:rPr>
          <w:t>6</w:t>
        </w:r>
        <w:r>
          <w:rPr>
            <w:noProof/>
            <w:webHidden/>
          </w:rPr>
          <w:fldChar w:fldCharType="end"/>
        </w:r>
      </w:hyperlink>
    </w:p>
    <w:p w14:paraId="0AE64BA3" w14:textId="77777777" w:rsidR="00761CAB" w:rsidRDefault="00761CAB" w:rsidP="00761CAB">
      <w:pPr>
        <w:pStyle w:val="TOC1"/>
        <w:rPr>
          <w:rStyle w:val="Hyperlink"/>
          <w:noProof/>
        </w:rPr>
      </w:pPr>
      <w:hyperlink w:anchor="_Toc5806932" w:history="1">
        <w:r w:rsidRPr="00596502">
          <w:rPr>
            <w:rStyle w:val="Hyperlink"/>
            <w:i/>
            <w:noProof/>
          </w:rPr>
          <w:t>Health Insurance (Section 3C General Medical Services – Unscheduled specialist attendance) Determination 2019</w:t>
        </w:r>
        <w:r>
          <w:rPr>
            <w:noProof/>
            <w:webHidden/>
          </w:rPr>
          <w:tab/>
        </w:r>
        <w:r>
          <w:rPr>
            <w:noProof/>
            <w:webHidden/>
          </w:rPr>
          <w:fldChar w:fldCharType="begin"/>
        </w:r>
        <w:r>
          <w:rPr>
            <w:noProof/>
            <w:webHidden/>
          </w:rPr>
          <w:instrText xml:space="preserve"> PAGEREF _Toc5806932 \h </w:instrText>
        </w:r>
        <w:r>
          <w:rPr>
            <w:noProof/>
            <w:webHidden/>
          </w:rPr>
        </w:r>
        <w:r>
          <w:rPr>
            <w:noProof/>
            <w:webHidden/>
          </w:rPr>
          <w:fldChar w:fldCharType="separate"/>
        </w:r>
        <w:r>
          <w:rPr>
            <w:noProof/>
            <w:webHidden/>
          </w:rPr>
          <w:t>7</w:t>
        </w:r>
        <w:r>
          <w:rPr>
            <w:noProof/>
            <w:webHidden/>
          </w:rPr>
          <w:fldChar w:fldCharType="end"/>
        </w:r>
      </w:hyperlink>
    </w:p>
    <w:p w14:paraId="0F279959" w14:textId="261EE93B" w:rsidR="00761CAB" w:rsidRPr="00761CAB" w:rsidRDefault="00761CAB" w:rsidP="00761CAB">
      <w:pPr>
        <w:pStyle w:val="TOC1"/>
        <w:rPr>
          <w:rFonts w:asciiTheme="minorHAnsi" w:eastAsiaTheme="minorEastAsia" w:hAnsiTheme="minorHAnsi" w:cstheme="minorBidi"/>
          <w:noProof/>
          <w:sz w:val="22"/>
          <w:szCs w:val="22"/>
          <w:lang w:eastAsia="en-AU"/>
        </w:rPr>
      </w:pPr>
      <w:hyperlink w:anchor="_Toc5806933" w:history="1">
        <w:r w:rsidRPr="00596502">
          <w:rPr>
            <w:rStyle w:val="Hyperlink"/>
            <w:i/>
            <w:noProof/>
          </w:rPr>
          <w:t>Health Insurance (Section 3C General Medical Services – Vigilance Testing) Determination 2018</w:t>
        </w:r>
        <w:r>
          <w:rPr>
            <w:noProof/>
            <w:webHidden/>
          </w:rPr>
          <w:tab/>
        </w:r>
        <w:r>
          <w:rPr>
            <w:noProof/>
            <w:webHidden/>
          </w:rPr>
          <w:fldChar w:fldCharType="begin"/>
        </w:r>
        <w:r>
          <w:rPr>
            <w:noProof/>
            <w:webHidden/>
          </w:rPr>
          <w:instrText xml:space="preserve"> PAGEREF _Toc5806933 \h </w:instrText>
        </w:r>
        <w:r>
          <w:rPr>
            <w:noProof/>
            <w:webHidden/>
          </w:rPr>
        </w:r>
        <w:r>
          <w:rPr>
            <w:noProof/>
            <w:webHidden/>
          </w:rPr>
          <w:fldChar w:fldCharType="separate"/>
        </w:r>
        <w:r>
          <w:rPr>
            <w:noProof/>
            <w:webHidden/>
          </w:rPr>
          <w:t>7</w:t>
        </w:r>
        <w:r>
          <w:rPr>
            <w:noProof/>
            <w:webHidden/>
          </w:rPr>
          <w:fldChar w:fldCharType="end"/>
        </w:r>
      </w:hyperlink>
    </w:p>
    <w:p w14:paraId="2953F9BE" w14:textId="57B8230E" w:rsidR="007C5901" w:rsidRDefault="00417AA5" w:rsidP="007C5901">
      <w:pPr>
        <w:spacing w:line="300" w:lineRule="atLeast"/>
        <w:ind w:right="397"/>
        <w:outlineLvl w:val="0"/>
        <w:rPr>
          <w:rFonts w:ascii="Arial" w:hAnsi="Arial" w:cs="Arial"/>
          <w:b/>
          <w:bCs/>
          <w:kern w:val="32"/>
          <w:szCs w:val="32"/>
        </w:rPr>
      </w:pPr>
      <w:r w:rsidRPr="00373DE0">
        <w:fldChar w:fldCharType="end"/>
      </w:r>
      <w:bookmarkStart w:id="4" w:name="_Toc67297414"/>
      <w:bookmarkStart w:id="5" w:name="_Toc67297904"/>
      <w:bookmarkStart w:id="6" w:name="_Toc69632333"/>
      <w:bookmarkStart w:id="7" w:name="_Toc162188477"/>
      <w:r w:rsidR="007C5901">
        <w:br w:type="page"/>
      </w:r>
      <w:bookmarkStart w:id="8" w:name="_GoBack"/>
      <w:bookmarkEnd w:id="8"/>
    </w:p>
    <w:p w14:paraId="15A0BB34" w14:textId="0E0B0F4F" w:rsidR="00841176" w:rsidRPr="00B62DEE" w:rsidRDefault="00841176" w:rsidP="005B3DE8">
      <w:pPr>
        <w:pStyle w:val="Heading1"/>
        <w:tabs>
          <w:tab w:val="clear" w:pos="970"/>
          <w:tab w:val="num" w:pos="851"/>
        </w:tabs>
        <w:rPr>
          <w:sz w:val="18"/>
          <w:szCs w:val="18"/>
        </w:rPr>
      </w:pPr>
      <w:bookmarkStart w:id="9" w:name="_Toc5806919"/>
      <w:r w:rsidRPr="00B62DEE">
        <w:lastRenderedPageBreak/>
        <w:t>Name</w:t>
      </w:r>
      <w:bookmarkEnd w:id="4"/>
      <w:bookmarkEnd w:id="5"/>
      <w:bookmarkEnd w:id="6"/>
      <w:bookmarkEnd w:id="7"/>
      <w:bookmarkEnd w:id="9"/>
    </w:p>
    <w:p w14:paraId="523A70D0" w14:textId="3877D407" w:rsidR="00841176" w:rsidRPr="00C7265B" w:rsidRDefault="00841176" w:rsidP="00C7265B">
      <w:pPr>
        <w:pStyle w:val="HealthLevel1"/>
        <w:rPr>
          <w:i/>
          <w:color w:val="auto"/>
        </w:rPr>
      </w:pPr>
      <w:r w:rsidRPr="00B62DEE">
        <w:rPr>
          <w:color w:val="auto"/>
        </w:rPr>
        <w:t>Th</w:t>
      </w:r>
      <w:r w:rsidR="00082970" w:rsidRPr="00B62DEE">
        <w:rPr>
          <w:color w:val="auto"/>
        </w:rPr>
        <w:t xml:space="preserve">is Determination is the </w:t>
      </w:r>
      <w:r w:rsidR="00C26951" w:rsidRPr="00C26951">
        <w:rPr>
          <w:i/>
          <w:color w:val="auto"/>
        </w:rPr>
        <w:t>Health Insurance (Section 3C General Medical Services – Medicare Indexation) Amendment Determination 2019</w:t>
      </w:r>
      <w:r w:rsidR="00C7265B" w:rsidRPr="00C7265B">
        <w:rPr>
          <w:i/>
          <w:color w:val="auto"/>
        </w:rPr>
        <w:t>.</w:t>
      </w:r>
    </w:p>
    <w:p w14:paraId="2706BAE0" w14:textId="77777777" w:rsidR="00841176" w:rsidRPr="00E5070B" w:rsidRDefault="00841176" w:rsidP="005B3DE8">
      <w:pPr>
        <w:pStyle w:val="Heading1"/>
        <w:tabs>
          <w:tab w:val="clear" w:pos="970"/>
          <w:tab w:val="num" w:pos="851"/>
        </w:tabs>
      </w:pPr>
      <w:bookmarkStart w:id="10" w:name="_Toc67297415"/>
      <w:bookmarkStart w:id="11" w:name="_Toc67297905"/>
      <w:bookmarkStart w:id="12" w:name="_Toc69632334"/>
      <w:bookmarkStart w:id="13" w:name="_Toc162188478"/>
      <w:bookmarkStart w:id="14" w:name="_Toc5806920"/>
      <w:r w:rsidRPr="00E5070B">
        <w:t>Commencement</w:t>
      </w:r>
      <w:bookmarkEnd w:id="10"/>
      <w:bookmarkEnd w:id="11"/>
      <w:bookmarkEnd w:id="12"/>
      <w:bookmarkEnd w:id="13"/>
      <w:bookmarkEnd w:id="14"/>
    </w:p>
    <w:p w14:paraId="483BD8A6" w14:textId="77777777" w:rsidR="004D77FD" w:rsidRPr="001B363C" w:rsidRDefault="004D77FD" w:rsidP="00300EFF">
      <w:pPr>
        <w:tabs>
          <w:tab w:val="left" w:pos="851"/>
        </w:tabs>
        <w:spacing w:before="180"/>
        <w:ind w:left="851" w:hanging="709"/>
        <w:rPr>
          <w:lang w:eastAsia="en-AU"/>
        </w:rPr>
      </w:pPr>
      <w:r>
        <w:rPr>
          <w:lang w:eastAsia="en-AU"/>
        </w:rPr>
        <w:t>(</w:t>
      </w:r>
      <w:r w:rsidRPr="001B363C">
        <w:rPr>
          <w:lang w:eastAsia="en-AU"/>
        </w:rPr>
        <w:t>1)</w:t>
      </w:r>
      <w:r w:rsidRPr="001B363C">
        <w:rPr>
          <w:lang w:eastAsia="en-AU"/>
        </w:rPr>
        <w:tab/>
        <w:t>Each provision of this instrument specified in column 1 of the table commences, or is taken to have commenced, in accordance with column 2 of the table. Any other statement in column 2 has effect according to its terms.</w:t>
      </w:r>
    </w:p>
    <w:p w14:paraId="3AF337C4" w14:textId="77777777" w:rsidR="004D77FD" w:rsidRPr="001B363C" w:rsidRDefault="004D77FD" w:rsidP="004D77FD">
      <w:pPr>
        <w:spacing w:before="60" w:line="240" w:lineRule="atLeast"/>
        <w:rPr>
          <w:sz w:val="20"/>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296"/>
        <w:gridCol w:w="4742"/>
        <w:gridCol w:w="1988"/>
      </w:tblGrid>
      <w:tr w:rsidR="004D77FD" w:rsidRPr="001B363C" w14:paraId="1C0842BA" w14:textId="77777777" w:rsidTr="00BC050F">
        <w:trPr>
          <w:tblHeader/>
        </w:trPr>
        <w:tc>
          <w:tcPr>
            <w:tcW w:w="5000" w:type="pct"/>
            <w:gridSpan w:val="3"/>
            <w:tcBorders>
              <w:top w:val="single" w:sz="12" w:space="0" w:color="auto"/>
              <w:bottom w:val="single" w:sz="6" w:space="0" w:color="auto"/>
            </w:tcBorders>
            <w:shd w:val="clear" w:color="auto" w:fill="auto"/>
            <w:hideMark/>
          </w:tcPr>
          <w:p w14:paraId="1FAF1D6B" w14:textId="77777777" w:rsidR="004D77FD" w:rsidRPr="001B363C" w:rsidRDefault="004D77FD" w:rsidP="00BC050F">
            <w:pPr>
              <w:keepNext/>
              <w:spacing w:before="60" w:line="240" w:lineRule="atLeast"/>
              <w:rPr>
                <w:b/>
                <w:sz w:val="20"/>
                <w:lang w:eastAsia="en-AU"/>
              </w:rPr>
            </w:pPr>
            <w:r w:rsidRPr="001B363C">
              <w:rPr>
                <w:b/>
                <w:sz w:val="20"/>
                <w:lang w:eastAsia="en-AU"/>
              </w:rPr>
              <w:t>Commencement information</w:t>
            </w:r>
          </w:p>
        </w:tc>
      </w:tr>
      <w:tr w:rsidR="004D77FD" w:rsidRPr="001B363C" w14:paraId="1E9E4972" w14:textId="77777777" w:rsidTr="00BC050F">
        <w:trPr>
          <w:tblHeader/>
        </w:trPr>
        <w:tc>
          <w:tcPr>
            <w:tcW w:w="1272" w:type="pct"/>
            <w:tcBorders>
              <w:top w:val="single" w:sz="6" w:space="0" w:color="auto"/>
              <w:bottom w:val="single" w:sz="6" w:space="0" w:color="auto"/>
            </w:tcBorders>
            <w:shd w:val="clear" w:color="auto" w:fill="auto"/>
            <w:hideMark/>
          </w:tcPr>
          <w:p w14:paraId="03F49D89" w14:textId="77777777" w:rsidR="004D77FD" w:rsidRPr="001B363C" w:rsidRDefault="004D77FD" w:rsidP="00BC050F">
            <w:pPr>
              <w:keepNext/>
              <w:spacing w:before="60" w:line="240" w:lineRule="atLeast"/>
              <w:rPr>
                <w:b/>
                <w:sz w:val="20"/>
                <w:lang w:eastAsia="en-AU"/>
              </w:rPr>
            </w:pPr>
            <w:r w:rsidRPr="001B363C">
              <w:rPr>
                <w:b/>
                <w:sz w:val="20"/>
                <w:lang w:eastAsia="en-AU"/>
              </w:rPr>
              <w:t>Column 1</w:t>
            </w:r>
          </w:p>
        </w:tc>
        <w:tc>
          <w:tcPr>
            <w:tcW w:w="2627" w:type="pct"/>
            <w:tcBorders>
              <w:top w:val="single" w:sz="6" w:space="0" w:color="auto"/>
              <w:bottom w:val="single" w:sz="6" w:space="0" w:color="auto"/>
            </w:tcBorders>
            <w:shd w:val="clear" w:color="auto" w:fill="auto"/>
            <w:hideMark/>
          </w:tcPr>
          <w:p w14:paraId="5A4C3A94" w14:textId="77777777" w:rsidR="004D77FD" w:rsidRPr="001B363C" w:rsidRDefault="004D77FD" w:rsidP="00BC050F">
            <w:pPr>
              <w:keepNext/>
              <w:spacing w:before="60" w:line="240" w:lineRule="atLeast"/>
              <w:rPr>
                <w:b/>
                <w:sz w:val="20"/>
                <w:lang w:eastAsia="en-AU"/>
              </w:rPr>
            </w:pPr>
            <w:r w:rsidRPr="001B363C">
              <w:rPr>
                <w:b/>
                <w:sz w:val="20"/>
                <w:lang w:eastAsia="en-AU"/>
              </w:rPr>
              <w:t>Column 2</w:t>
            </w:r>
          </w:p>
        </w:tc>
        <w:tc>
          <w:tcPr>
            <w:tcW w:w="1101" w:type="pct"/>
            <w:tcBorders>
              <w:top w:val="single" w:sz="6" w:space="0" w:color="auto"/>
              <w:bottom w:val="single" w:sz="6" w:space="0" w:color="auto"/>
            </w:tcBorders>
            <w:shd w:val="clear" w:color="auto" w:fill="auto"/>
            <w:hideMark/>
          </w:tcPr>
          <w:p w14:paraId="3970273E" w14:textId="77777777" w:rsidR="004D77FD" w:rsidRPr="001B363C" w:rsidRDefault="004D77FD" w:rsidP="00BC050F">
            <w:pPr>
              <w:keepNext/>
              <w:spacing w:before="60" w:line="240" w:lineRule="atLeast"/>
              <w:rPr>
                <w:b/>
                <w:sz w:val="20"/>
                <w:lang w:eastAsia="en-AU"/>
              </w:rPr>
            </w:pPr>
            <w:r w:rsidRPr="001B363C">
              <w:rPr>
                <w:b/>
                <w:sz w:val="20"/>
                <w:lang w:eastAsia="en-AU"/>
              </w:rPr>
              <w:t>Column 3</w:t>
            </w:r>
          </w:p>
        </w:tc>
      </w:tr>
      <w:tr w:rsidR="004D77FD" w:rsidRPr="001B363C" w14:paraId="17FF0E7A" w14:textId="77777777" w:rsidTr="00196F76">
        <w:trPr>
          <w:tblHeader/>
        </w:trPr>
        <w:tc>
          <w:tcPr>
            <w:tcW w:w="1272" w:type="pct"/>
            <w:tcBorders>
              <w:top w:val="single" w:sz="6" w:space="0" w:color="auto"/>
              <w:bottom w:val="single" w:sz="12" w:space="0" w:color="auto"/>
            </w:tcBorders>
            <w:shd w:val="clear" w:color="auto" w:fill="auto"/>
            <w:hideMark/>
          </w:tcPr>
          <w:p w14:paraId="39745EAD" w14:textId="77777777" w:rsidR="004D77FD" w:rsidRPr="001B363C" w:rsidRDefault="004D77FD" w:rsidP="00BC050F">
            <w:pPr>
              <w:keepNext/>
              <w:spacing w:before="60" w:line="240" w:lineRule="atLeast"/>
              <w:rPr>
                <w:b/>
                <w:sz w:val="20"/>
                <w:lang w:eastAsia="en-AU"/>
              </w:rPr>
            </w:pPr>
            <w:r w:rsidRPr="001B363C">
              <w:rPr>
                <w:b/>
                <w:sz w:val="20"/>
                <w:lang w:eastAsia="en-AU"/>
              </w:rPr>
              <w:t>Provisions</w:t>
            </w:r>
          </w:p>
        </w:tc>
        <w:tc>
          <w:tcPr>
            <w:tcW w:w="2627" w:type="pct"/>
            <w:tcBorders>
              <w:top w:val="single" w:sz="6" w:space="0" w:color="auto"/>
              <w:bottom w:val="single" w:sz="12" w:space="0" w:color="auto"/>
            </w:tcBorders>
            <w:shd w:val="clear" w:color="auto" w:fill="auto"/>
            <w:hideMark/>
          </w:tcPr>
          <w:p w14:paraId="4060D888" w14:textId="77777777" w:rsidR="004D77FD" w:rsidRPr="001B363C" w:rsidRDefault="004D77FD" w:rsidP="00BC050F">
            <w:pPr>
              <w:keepNext/>
              <w:spacing w:before="60" w:line="240" w:lineRule="atLeast"/>
              <w:rPr>
                <w:b/>
                <w:sz w:val="20"/>
                <w:lang w:eastAsia="en-AU"/>
              </w:rPr>
            </w:pPr>
            <w:r w:rsidRPr="001B363C">
              <w:rPr>
                <w:b/>
                <w:sz w:val="20"/>
                <w:lang w:eastAsia="en-AU"/>
              </w:rPr>
              <w:t>Commencement</w:t>
            </w:r>
          </w:p>
        </w:tc>
        <w:tc>
          <w:tcPr>
            <w:tcW w:w="1101" w:type="pct"/>
            <w:tcBorders>
              <w:top w:val="single" w:sz="6" w:space="0" w:color="auto"/>
              <w:bottom w:val="single" w:sz="12" w:space="0" w:color="auto"/>
            </w:tcBorders>
            <w:shd w:val="clear" w:color="auto" w:fill="auto"/>
            <w:hideMark/>
          </w:tcPr>
          <w:p w14:paraId="5E5FB065" w14:textId="77777777" w:rsidR="004D77FD" w:rsidRPr="001B363C" w:rsidRDefault="004D77FD" w:rsidP="00BC050F">
            <w:pPr>
              <w:keepNext/>
              <w:spacing w:before="60" w:line="240" w:lineRule="atLeast"/>
              <w:rPr>
                <w:b/>
                <w:sz w:val="20"/>
                <w:lang w:eastAsia="en-AU"/>
              </w:rPr>
            </w:pPr>
            <w:r w:rsidRPr="001B363C">
              <w:rPr>
                <w:b/>
                <w:sz w:val="20"/>
                <w:lang w:eastAsia="en-AU"/>
              </w:rPr>
              <w:t>Date/Details</w:t>
            </w:r>
          </w:p>
        </w:tc>
      </w:tr>
      <w:tr w:rsidR="004D77FD" w:rsidRPr="001B363C" w14:paraId="183B3BE3" w14:textId="77777777" w:rsidTr="00196F76">
        <w:tc>
          <w:tcPr>
            <w:tcW w:w="1272" w:type="pct"/>
            <w:tcBorders>
              <w:top w:val="single" w:sz="12" w:space="0" w:color="auto"/>
              <w:bottom w:val="single" w:sz="12" w:space="0" w:color="auto"/>
            </w:tcBorders>
            <w:shd w:val="clear" w:color="auto" w:fill="auto"/>
            <w:hideMark/>
          </w:tcPr>
          <w:p w14:paraId="2EDB147F" w14:textId="77777777" w:rsidR="004D77FD" w:rsidRPr="001B363C" w:rsidRDefault="004D77FD" w:rsidP="00BC050F">
            <w:pPr>
              <w:spacing w:before="60" w:line="240" w:lineRule="atLeast"/>
              <w:rPr>
                <w:sz w:val="20"/>
                <w:lang w:eastAsia="en-AU"/>
              </w:rPr>
            </w:pPr>
            <w:r w:rsidRPr="001B363C">
              <w:rPr>
                <w:sz w:val="20"/>
                <w:lang w:eastAsia="en-AU"/>
              </w:rPr>
              <w:t>1.  The whole of this instrument</w:t>
            </w:r>
          </w:p>
        </w:tc>
        <w:tc>
          <w:tcPr>
            <w:tcW w:w="2627" w:type="pct"/>
            <w:tcBorders>
              <w:top w:val="single" w:sz="12" w:space="0" w:color="auto"/>
              <w:bottom w:val="single" w:sz="12" w:space="0" w:color="auto"/>
            </w:tcBorders>
            <w:shd w:val="clear" w:color="auto" w:fill="auto"/>
            <w:hideMark/>
          </w:tcPr>
          <w:p w14:paraId="25AE0C21" w14:textId="57DA42D7" w:rsidR="004D77FD" w:rsidRPr="001B363C" w:rsidRDefault="004D77FD" w:rsidP="00C7265B">
            <w:pPr>
              <w:spacing w:before="60" w:line="240" w:lineRule="atLeast"/>
              <w:rPr>
                <w:sz w:val="20"/>
                <w:lang w:eastAsia="en-AU"/>
              </w:rPr>
            </w:pPr>
            <w:r w:rsidRPr="001B363C">
              <w:rPr>
                <w:sz w:val="20"/>
                <w:lang w:eastAsia="en-AU"/>
              </w:rPr>
              <w:t xml:space="preserve">1 </w:t>
            </w:r>
            <w:r w:rsidR="00C7265B">
              <w:rPr>
                <w:sz w:val="20"/>
                <w:lang w:eastAsia="en-AU"/>
              </w:rPr>
              <w:t>July</w:t>
            </w:r>
            <w:r w:rsidR="005543B7">
              <w:rPr>
                <w:sz w:val="20"/>
                <w:lang w:eastAsia="en-AU"/>
              </w:rPr>
              <w:t xml:space="preserve"> 2019</w:t>
            </w:r>
          </w:p>
        </w:tc>
        <w:tc>
          <w:tcPr>
            <w:tcW w:w="1101" w:type="pct"/>
            <w:tcBorders>
              <w:top w:val="single" w:sz="12" w:space="0" w:color="auto"/>
              <w:bottom w:val="single" w:sz="12" w:space="0" w:color="auto"/>
            </w:tcBorders>
            <w:shd w:val="clear" w:color="auto" w:fill="auto"/>
          </w:tcPr>
          <w:p w14:paraId="2114061D" w14:textId="77777777" w:rsidR="004D77FD" w:rsidRPr="001B363C" w:rsidRDefault="004D77FD" w:rsidP="00BC050F">
            <w:pPr>
              <w:spacing w:before="60" w:line="240" w:lineRule="atLeast"/>
              <w:rPr>
                <w:sz w:val="20"/>
                <w:lang w:eastAsia="en-AU"/>
              </w:rPr>
            </w:pPr>
          </w:p>
        </w:tc>
      </w:tr>
    </w:tbl>
    <w:p w14:paraId="33753388" w14:textId="77777777" w:rsidR="004D77FD" w:rsidRPr="001B363C" w:rsidRDefault="004D77FD" w:rsidP="004D77FD">
      <w:pPr>
        <w:spacing w:before="122"/>
        <w:ind w:left="1985" w:hanging="851"/>
        <w:rPr>
          <w:sz w:val="18"/>
          <w:lang w:eastAsia="en-AU"/>
        </w:rPr>
      </w:pPr>
      <w:r w:rsidRPr="001B363C">
        <w:rPr>
          <w:snapToGrid w:val="0"/>
          <w:sz w:val="18"/>
        </w:rPr>
        <w:t>Note:</w:t>
      </w:r>
      <w:r w:rsidRPr="001B363C">
        <w:rPr>
          <w:snapToGrid w:val="0"/>
          <w:sz w:val="18"/>
        </w:rPr>
        <w:tab/>
        <w:t>This table relates only to the provisions of this instrument</w:t>
      </w:r>
      <w:r w:rsidRPr="001B363C">
        <w:rPr>
          <w:sz w:val="18"/>
          <w:lang w:eastAsia="en-AU"/>
        </w:rPr>
        <w:t xml:space="preserve"> </w:t>
      </w:r>
      <w:r w:rsidRPr="001B363C">
        <w:rPr>
          <w:snapToGrid w:val="0"/>
          <w:sz w:val="18"/>
        </w:rPr>
        <w:t>as originally made. It will not be amended to deal with any later amendments of this instrument.</w:t>
      </w:r>
    </w:p>
    <w:p w14:paraId="3246A77F" w14:textId="77777777" w:rsidR="004D77FD" w:rsidRPr="001B363C" w:rsidRDefault="004D77FD" w:rsidP="004E10E7">
      <w:pPr>
        <w:spacing w:before="180"/>
        <w:ind w:left="851" w:hanging="709"/>
        <w:rPr>
          <w:lang w:eastAsia="en-AU"/>
        </w:rPr>
      </w:pPr>
      <w:r w:rsidRPr="001B363C">
        <w:rPr>
          <w:lang w:eastAsia="en-AU"/>
        </w:rPr>
        <w:t>(2)</w:t>
      </w:r>
      <w:r w:rsidRPr="001B363C">
        <w:rPr>
          <w:lang w:eastAsia="en-AU"/>
        </w:rPr>
        <w:tab/>
        <w:t>Any information in column 3 of the table is not part of this instrument. Information may be inserted in this column, or information in it may be edited, in any published version of this instrument.</w:t>
      </w:r>
    </w:p>
    <w:p w14:paraId="5B948ABA" w14:textId="77777777" w:rsidR="00843D9E" w:rsidRDefault="000D61DB" w:rsidP="00843D9E">
      <w:pPr>
        <w:pStyle w:val="Heading1"/>
        <w:tabs>
          <w:tab w:val="clear" w:pos="970"/>
          <w:tab w:val="num" w:pos="851"/>
        </w:tabs>
      </w:pPr>
      <w:bookmarkStart w:id="15" w:name="_Toc5806921"/>
      <w:r w:rsidRPr="00E5070B">
        <w:t>Authority</w:t>
      </w:r>
      <w:bookmarkEnd w:id="15"/>
      <w:r w:rsidR="00843D9E">
        <w:tab/>
      </w:r>
    </w:p>
    <w:p w14:paraId="6C9AE85F" w14:textId="77777777" w:rsidR="000D61DB" w:rsidRPr="00E5070B" w:rsidRDefault="000D61DB" w:rsidP="004C1BEF">
      <w:pPr>
        <w:spacing w:before="120"/>
        <w:ind w:left="851"/>
      </w:pPr>
      <w:r w:rsidRPr="00E5070B">
        <w:t xml:space="preserve">This Determination is made under </w:t>
      </w:r>
      <w:r w:rsidR="00EF2420" w:rsidRPr="00E5070B">
        <w:t xml:space="preserve">subsection </w:t>
      </w:r>
      <w:proofErr w:type="gramStart"/>
      <w:r w:rsidR="00EF2420" w:rsidRPr="00E5070B">
        <w:t>3C(</w:t>
      </w:r>
      <w:proofErr w:type="gramEnd"/>
      <w:r w:rsidR="00EF2420" w:rsidRPr="00E5070B">
        <w:t xml:space="preserve">1) of </w:t>
      </w:r>
      <w:r w:rsidRPr="00E5070B">
        <w:t xml:space="preserve">the </w:t>
      </w:r>
      <w:r w:rsidRPr="00E5070B">
        <w:rPr>
          <w:i/>
        </w:rPr>
        <w:t>Health Insurance Act 1973</w:t>
      </w:r>
      <w:r w:rsidRPr="00E5070B">
        <w:t xml:space="preserve">. </w:t>
      </w:r>
    </w:p>
    <w:p w14:paraId="0DD16672" w14:textId="56AC681A" w:rsidR="00841176" w:rsidRPr="00E5070B" w:rsidRDefault="00C7265B" w:rsidP="005B3DE8">
      <w:pPr>
        <w:pStyle w:val="Heading1"/>
        <w:tabs>
          <w:tab w:val="clear" w:pos="970"/>
          <w:tab w:val="num" w:pos="851"/>
        </w:tabs>
      </w:pPr>
      <w:bookmarkStart w:id="16" w:name="_Toc5806922"/>
      <w:r>
        <w:t>Schedules</w:t>
      </w:r>
      <w:bookmarkEnd w:id="16"/>
    </w:p>
    <w:p w14:paraId="3553E67A" w14:textId="6571CFA6" w:rsidR="008F6C57" w:rsidRPr="00E5070B" w:rsidRDefault="00C7265B" w:rsidP="00C7265B">
      <w:pPr>
        <w:shd w:val="clear" w:color="auto" w:fill="FFFFFF"/>
        <w:autoSpaceDE/>
        <w:autoSpaceDN/>
        <w:spacing w:before="240" w:line="260" w:lineRule="atLeast"/>
        <w:ind w:left="851"/>
        <w:jc w:val="both"/>
        <w:rPr>
          <w:color w:val="000000"/>
          <w:lang w:eastAsia="en-AU"/>
        </w:rPr>
      </w:pPr>
      <w:r w:rsidRPr="00C7265B">
        <w:rPr>
          <w:color w:val="000000"/>
          <w:lang w:eastAsia="en-AU"/>
        </w:rPr>
        <w:t xml:space="preserve">Each instrument that is specified in a Schedule to this </w:t>
      </w:r>
      <w:r>
        <w:rPr>
          <w:color w:val="000000"/>
          <w:lang w:eastAsia="en-AU"/>
        </w:rPr>
        <w:t>Determination</w:t>
      </w:r>
      <w:r w:rsidRPr="00C7265B">
        <w:rPr>
          <w:color w:val="000000"/>
          <w:lang w:eastAsia="en-AU"/>
        </w:rPr>
        <w:t xml:space="preserve"> is amended or repealed as set out in the applicable items in the Schedule concerned, and any other item in a Schedule to this </w:t>
      </w:r>
      <w:r>
        <w:rPr>
          <w:color w:val="000000"/>
          <w:lang w:eastAsia="en-AU"/>
        </w:rPr>
        <w:t>Determination</w:t>
      </w:r>
      <w:r w:rsidRPr="00C7265B">
        <w:rPr>
          <w:color w:val="000000"/>
          <w:lang w:eastAsia="en-AU"/>
        </w:rPr>
        <w:t xml:space="preserve"> has effect according to its terms.</w:t>
      </w:r>
    </w:p>
    <w:p w14:paraId="1AC89E9E" w14:textId="77777777" w:rsidR="000F3E57" w:rsidRDefault="000F3E57">
      <w:pPr>
        <w:autoSpaceDE/>
        <w:autoSpaceDN/>
        <w:rPr>
          <w:rFonts w:ascii="Arial" w:hAnsi="Arial" w:cs="Arial"/>
          <w:b/>
          <w:bCs/>
          <w:kern w:val="32"/>
          <w:szCs w:val="32"/>
        </w:rPr>
      </w:pPr>
      <w:r>
        <w:br w:type="page"/>
      </w:r>
    </w:p>
    <w:p w14:paraId="2BB78FA8" w14:textId="77CDFCDC" w:rsidR="00581818" w:rsidRPr="001220AA" w:rsidRDefault="00581818" w:rsidP="00B30255">
      <w:pPr>
        <w:pStyle w:val="Heading1"/>
        <w:numPr>
          <w:ilvl w:val="0"/>
          <w:numId w:val="0"/>
        </w:numPr>
        <w:ind w:left="970" w:hanging="850"/>
        <w:rPr>
          <w:sz w:val="28"/>
          <w:szCs w:val="28"/>
        </w:rPr>
      </w:pPr>
      <w:bookmarkStart w:id="17" w:name="_Toc5806923"/>
      <w:r w:rsidRPr="001220AA">
        <w:rPr>
          <w:sz w:val="28"/>
          <w:szCs w:val="28"/>
        </w:rPr>
        <w:lastRenderedPageBreak/>
        <w:t xml:space="preserve">Schedule 1 – </w:t>
      </w:r>
      <w:r w:rsidR="00C7265B" w:rsidRPr="001220AA">
        <w:rPr>
          <w:sz w:val="28"/>
          <w:szCs w:val="28"/>
        </w:rPr>
        <w:t>Amendments</w:t>
      </w:r>
      <w:bookmarkEnd w:id="17"/>
    </w:p>
    <w:p w14:paraId="325734FB" w14:textId="3F2F1618" w:rsidR="008F1F88" w:rsidRDefault="008F1F88" w:rsidP="00AB4ACA">
      <w:pPr>
        <w:tabs>
          <w:tab w:val="left" w:pos="851"/>
        </w:tabs>
        <w:rPr>
          <w:sz w:val="28"/>
          <w:szCs w:val="28"/>
          <w:highlight w:val="yellow"/>
        </w:rPr>
      </w:pPr>
    </w:p>
    <w:p w14:paraId="6B961766" w14:textId="5B3CC6C3" w:rsidR="00AB4ACA" w:rsidRPr="00AB4ACA" w:rsidRDefault="00AB4ACA" w:rsidP="00AB4ACA">
      <w:pPr>
        <w:pStyle w:val="Heading2"/>
        <w:numPr>
          <w:ilvl w:val="0"/>
          <w:numId w:val="0"/>
        </w:numPr>
        <w:ind w:left="142"/>
        <w:rPr>
          <w:i/>
          <w:highlight w:val="yellow"/>
        </w:rPr>
      </w:pPr>
      <w:bookmarkStart w:id="18" w:name="_Toc5806924"/>
      <w:r w:rsidRPr="00AB4ACA">
        <w:rPr>
          <w:i/>
        </w:rPr>
        <w:t>Health Insurance (Section 3C General Medical Services – Blue Light Cystoscopy) Determination 2019</w:t>
      </w:r>
      <w:bookmarkEnd w:id="18"/>
    </w:p>
    <w:p w14:paraId="780C97E4" w14:textId="5371A6BB" w:rsidR="00AB4ACA" w:rsidRPr="00AB4ACA" w:rsidRDefault="00AB4ACA" w:rsidP="000851CB">
      <w:pPr>
        <w:pStyle w:val="ItemHead"/>
        <w:numPr>
          <w:ilvl w:val="0"/>
          <w:numId w:val="3"/>
        </w:numPr>
        <w:ind w:left="1134" w:hanging="774"/>
        <w:rPr>
          <w:rFonts w:ascii="Times New Roman" w:hAnsi="Times New Roman"/>
          <w:szCs w:val="24"/>
        </w:rPr>
      </w:pPr>
      <w:r w:rsidRPr="00AB4ACA">
        <w:rPr>
          <w:rFonts w:ascii="Times New Roman" w:hAnsi="Times New Roman"/>
          <w:szCs w:val="24"/>
        </w:rPr>
        <w:t xml:space="preserve">Subsection 6(2) </w:t>
      </w:r>
    </w:p>
    <w:p w14:paraId="6AF23B63" w14:textId="149FF395" w:rsidR="00AB4ACA" w:rsidRPr="002B3219" w:rsidRDefault="00AB4ACA" w:rsidP="00AB4ACA">
      <w:pPr>
        <w:pStyle w:val="Item"/>
        <w:ind w:left="720" w:firstLine="414"/>
        <w:rPr>
          <w:sz w:val="24"/>
          <w:szCs w:val="24"/>
        </w:rPr>
      </w:pPr>
      <w:r>
        <w:rPr>
          <w:sz w:val="24"/>
          <w:szCs w:val="24"/>
        </w:rPr>
        <w:t>Repeal the subsection</w:t>
      </w:r>
      <w:r w:rsidRPr="002B3219">
        <w:rPr>
          <w:sz w:val="24"/>
          <w:szCs w:val="24"/>
        </w:rPr>
        <w:t>, substitute:</w:t>
      </w:r>
    </w:p>
    <w:p w14:paraId="69DD422B" w14:textId="2B0F536D" w:rsidR="00AB4ACA" w:rsidRPr="002B3219" w:rsidRDefault="00AB4ACA" w:rsidP="00AB4ACA">
      <w:pPr>
        <w:pStyle w:val="Item"/>
        <w:numPr>
          <w:ilvl w:val="0"/>
          <w:numId w:val="5"/>
        </w:numPr>
        <w:ind w:left="1843" w:hanging="709"/>
        <w:rPr>
          <w:sz w:val="24"/>
          <w:szCs w:val="24"/>
        </w:rPr>
      </w:pPr>
      <w:r>
        <w:rPr>
          <w:sz w:val="24"/>
          <w:szCs w:val="24"/>
        </w:rPr>
        <w:t>Clause 2.46</w:t>
      </w:r>
      <w:r w:rsidRPr="00AB4ACA">
        <w:rPr>
          <w:sz w:val="24"/>
          <w:szCs w:val="24"/>
        </w:rPr>
        <w:t>.2 of the general medical services table shall have effect as if items 36504, 36505, 36507 and 36508 contained in the Schedu</w:t>
      </w:r>
      <w:r>
        <w:rPr>
          <w:sz w:val="24"/>
          <w:szCs w:val="24"/>
        </w:rPr>
        <w:t>le were specified in clause 2.46</w:t>
      </w:r>
      <w:r w:rsidRPr="00AB4ACA">
        <w:rPr>
          <w:sz w:val="24"/>
          <w:szCs w:val="24"/>
        </w:rPr>
        <w:t>.2.</w:t>
      </w:r>
    </w:p>
    <w:p w14:paraId="30E7BE8D" w14:textId="29F10EB4" w:rsidR="00AB4ACA" w:rsidRPr="000851CB" w:rsidRDefault="00AB4ACA" w:rsidP="000851CB">
      <w:pPr>
        <w:pStyle w:val="ItemHead"/>
        <w:numPr>
          <w:ilvl w:val="0"/>
          <w:numId w:val="3"/>
        </w:numPr>
        <w:ind w:left="1134" w:hanging="774"/>
        <w:rPr>
          <w:rFonts w:ascii="Times New Roman" w:hAnsi="Times New Roman"/>
          <w:szCs w:val="24"/>
        </w:rPr>
      </w:pPr>
      <w:r w:rsidRPr="000851CB">
        <w:rPr>
          <w:rFonts w:ascii="Times New Roman" w:hAnsi="Times New Roman"/>
          <w:szCs w:val="24"/>
        </w:rPr>
        <w:t xml:space="preserve">Schedule 1 (item </w:t>
      </w:r>
      <w:r w:rsidR="000851CB" w:rsidRPr="000851CB">
        <w:rPr>
          <w:rFonts w:ascii="Times New Roman" w:hAnsi="Times New Roman"/>
          <w:szCs w:val="24"/>
        </w:rPr>
        <w:t>36504</w:t>
      </w:r>
      <w:r w:rsidRPr="000851CB">
        <w:rPr>
          <w:rFonts w:ascii="Times New Roman" w:hAnsi="Times New Roman"/>
          <w:szCs w:val="24"/>
        </w:rPr>
        <w:t>, column 3)</w:t>
      </w:r>
    </w:p>
    <w:p w14:paraId="45860316" w14:textId="2A9E61DA" w:rsidR="00AB4ACA" w:rsidRPr="002B3219" w:rsidRDefault="00AB4ACA" w:rsidP="00AB4ACA">
      <w:pPr>
        <w:pStyle w:val="Item"/>
        <w:ind w:left="1134"/>
        <w:rPr>
          <w:sz w:val="24"/>
          <w:szCs w:val="24"/>
        </w:rPr>
      </w:pPr>
      <w:r w:rsidRPr="00574FD2">
        <w:rPr>
          <w:sz w:val="24"/>
          <w:szCs w:val="24"/>
        </w:rPr>
        <w:t>Omit “</w:t>
      </w:r>
      <w:r w:rsidR="000851CB" w:rsidRPr="00574FD2">
        <w:rPr>
          <w:sz w:val="24"/>
          <w:szCs w:val="24"/>
        </w:rPr>
        <w:t>294.85</w:t>
      </w:r>
      <w:r w:rsidRPr="00574FD2">
        <w:rPr>
          <w:sz w:val="24"/>
          <w:szCs w:val="24"/>
        </w:rPr>
        <w:t>”, substitute “</w:t>
      </w:r>
      <w:r w:rsidR="00574FD2" w:rsidRPr="00574FD2">
        <w:rPr>
          <w:sz w:val="24"/>
          <w:szCs w:val="24"/>
        </w:rPr>
        <w:t>299.55</w:t>
      </w:r>
      <w:r w:rsidRPr="00574FD2">
        <w:rPr>
          <w:sz w:val="24"/>
          <w:szCs w:val="24"/>
        </w:rPr>
        <w:t>”.</w:t>
      </w:r>
    </w:p>
    <w:p w14:paraId="75566A87" w14:textId="1310D885" w:rsidR="00574FD2" w:rsidRPr="00574FD2" w:rsidRDefault="00574FD2" w:rsidP="00574FD2">
      <w:pPr>
        <w:pStyle w:val="ItemHead"/>
        <w:numPr>
          <w:ilvl w:val="0"/>
          <w:numId w:val="3"/>
        </w:numPr>
        <w:ind w:left="1134" w:hanging="774"/>
        <w:rPr>
          <w:rFonts w:ascii="Times New Roman" w:hAnsi="Times New Roman"/>
          <w:szCs w:val="24"/>
        </w:rPr>
      </w:pPr>
      <w:r w:rsidRPr="00574FD2">
        <w:rPr>
          <w:rFonts w:ascii="Times New Roman" w:hAnsi="Times New Roman"/>
          <w:szCs w:val="24"/>
        </w:rPr>
        <w:t>Schedule 1 (item 36505, column 3)</w:t>
      </w:r>
    </w:p>
    <w:p w14:paraId="0F41A2B9" w14:textId="0B30FE35" w:rsidR="00574FD2" w:rsidRPr="002B3219" w:rsidRDefault="00574FD2" w:rsidP="00574FD2">
      <w:pPr>
        <w:pStyle w:val="Item"/>
        <w:ind w:left="1134"/>
        <w:rPr>
          <w:sz w:val="24"/>
          <w:szCs w:val="24"/>
        </w:rPr>
      </w:pPr>
      <w:r w:rsidRPr="00574FD2">
        <w:rPr>
          <w:sz w:val="24"/>
          <w:szCs w:val="24"/>
        </w:rPr>
        <w:t>Omit “231.70”, substitute “235.4</w:t>
      </w:r>
      <w:r>
        <w:rPr>
          <w:sz w:val="24"/>
          <w:szCs w:val="24"/>
        </w:rPr>
        <w:t>0</w:t>
      </w:r>
      <w:r w:rsidRPr="00574FD2">
        <w:rPr>
          <w:sz w:val="24"/>
          <w:szCs w:val="24"/>
        </w:rPr>
        <w:t>”.</w:t>
      </w:r>
    </w:p>
    <w:p w14:paraId="3879D351" w14:textId="1213CFCA" w:rsidR="00574FD2" w:rsidRPr="00574FD2" w:rsidRDefault="00574FD2" w:rsidP="00574FD2">
      <w:pPr>
        <w:pStyle w:val="ItemHead"/>
        <w:numPr>
          <w:ilvl w:val="0"/>
          <w:numId w:val="3"/>
        </w:numPr>
        <w:ind w:left="1134" w:hanging="774"/>
        <w:rPr>
          <w:rFonts w:ascii="Times New Roman" w:hAnsi="Times New Roman"/>
          <w:szCs w:val="24"/>
        </w:rPr>
      </w:pPr>
      <w:r w:rsidRPr="00574FD2">
        <w:rPr>
          <w:rFonts w:ascii="Times New Roman" w:hAnsi="Times New Roman"/>
          <w:szCs w:val="24"/>
        </w:rPr>
        <w:t>Schedule 1 (item 36507, column 3)</w:t>
      </w:r>
    </w:p>
    <w:p w14:paraId="34ACAC35" w14:textId="536401E4" w:rsidR="00574FD2" w:rsidRPr="002B3219" w:rsidRDefault="00574FD2" w:rsidP="00574FD2">
      <w:pPr>
        <w:pStyle w:val="Item"/>
        <w:ind w:left="1134"/>
        <w:rPr>
          <w:sz w:val="24"/>
          <w:szCs w:val="24"/>
        </w:rPr>
      </w:pPr>
      <w:r w:rsidRPr="00574FD2">
        <w:rPr>
          <w:sz w:val="24"/>
          <w:szCs w:val="24"/>
        </w:rPr>
        <w:t>Omit “388.20”, substitute “394.4</w:t>
      </w:r>
      <w:r>
        <w:rPr>
          <w:sz w:val="24"/>
          <w:szCs w:val="24"/>
        </w:rPr>
        <w:t>0</w:t>
      </w:r>
      <w:r w:rsidRPr="00574FD2">
        <w:rPr>
          <w:sz w:val="24"/>
          <w:szCs w:val="24"/>
        </w:rPr>
        <w:t>”.</w:t>
      </w:r>
    </w:p>
    <w:p w14:paraId="0DD454C7" w14:textId="1A01300E" w:rsidR="00574FD2" w:rsidRPr="00574FD2" w:rsidRDefault="00574FD2" w:rsidP="00574FD2">
      <w:pPr>
        <w:pStyle w:val="ItemHead"/>
        <w:numPr>
          <w:ilvl w:val="0"/>
          <w:numId w:val="3"/>
        </w:numPr>
        <w:ind w:left="1134" w:hanging="774"/>
        <w:rPr>
          <w:rFonts w:ascii="Times New Roman" w:hAnsi="Times New Roman"/>
          <w:szCs w:val="24"/>
        </w:rPr>
      </w:pPr>
      <w:r w:rsidRPr="00574FD2">
        <w:rPr>
          <w:rFonts w:ascii="Times New Roman" w:hAnsi="Times New Roman"/>
          <w:szCs w:val="24"/>
        </w:rPr>
        <w:t>Schedule 1 (item 36508, column 3)</w:t>
      </w:r>
    </w:p>
    <w:p w14:paraId="25C51FE0" w14:textId="3B0BEA05" w:rsidR="00574FD2" w:rsidRPr="002B3219" w:rsidRDefault="00574FD2" w:rsidP="00574FD2">
      <w:pPr>
        <w:pStyle w:val="Item"/>
        <w:ind w:left="1134"/>
        <w:rPr>
          <w:sz w:val="24"/>
          <w:szCs w:val="24"/>
        </w:rPr>
      </w:pPr>
      <w:r w:rsidRPr="00574FD2">
        <w:rPr>
          <w:sz w:val="24"/>
          <w:szCs w:val="24"/>
        </w:rPr>
        <w:t>Omit “756.40”, substitute “768.50”.</w:t>
      </w:r>
    </w:p>
    <w:p w14:paraId="77B1DEDA" w14:textId="77777777" w:rsidR="00574FD2" w:rsidRPr="00AB4ACA" w:rsidRDefault="00574FD2" w:rsidP="00AB4ACA">
      <w:pPr>
        <w:tabs>
          <w:tab w:val="left" w:pos="851"/>
        </w:tabs>
        <w:rPr>
          <w:sz w:val="28"/>
          <w:szCs w:val="28"/>
          <w:highlight w:val="yellow"/>
        </w:rPr>
      </w:pPr>
    </w:p>
    <w:p w14:paraId="386BC0BA" w14:textId="77777777" w:rsidR="00C7265B" w:rsidRPr="001220AA" w:rsidRDefault="00C7265B" w:rsidP="001220AA">
      <w:pPr>
        <w:pStyle w:val="Heading2"/>
        <w:numPr>
          <w:ilvl w:val="0"/>
          <w:numId w:val="0"/>
        </w:numPr>
        <w:ind w:left="142"/>
        <w:rPr>
          <w:i/>
        </w:rPr>
      </w:pPr>
      <w:bookmarkStart w:id="19" w:name="_Toc4587913"/>
      <w:bookmarkStart w:id="20" w:name="_Toc5806925"/>
      <w:r w:rsidRPr="001220AA">
        <w:rPr>
          <w:i/>
        </w:rPr>
        <w:t>Health Insurance (Section 3C General Medical Services – Cryopreservation of Semen) Determination 2018</w:t>
      </w:r>
      <w:bookmarkEnd w:id="19"/>
      <w:bookmarkEnd w:id="20"/>
    </w:p>
    <w:p w14:paraId="18CD5E96"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 xml:space="preserve">Subsection 6(1) </w:t>
      </w:r>
    </w:p>
    <w:p w14:paraId="19B2711E" w14:textId="77777777" w:rsidR="00C7265B" w:rsidRPr="002B3219" w:rsidRDefault="00C7265B" w:rsidP="00C7265B">
      <w:pPr>
        <w:pStyle w:val="Item"/>
        <w:ind w:left="1065" w:firstLine="69"/>
        <w:rPr>
          <w:sz w:val="24"/>
          <w:szCs w:val="24"/>
        </w:rPr>
      </w:pPr>
      <w:r w:rsidRPr="002B3219">
        <w:rPr>
          <w:sz w:val="24"/>
          <w:szCs w:val="24"/>
        </w:rPr>
        <w:t>Omit “2.37.5”, substitute “2.38.5”.</w:t>
      </w:r>
    </w:p>
    <w:p w14:paraId="6DAA5075"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13260, column 3)</w:t>
      </w:r>
    </w:p>
    <w:p w14:paraId="39DD7A10" w14:textId="77777777" w:rsidR="00C7265B" w:rsidRPr="002B3219" w:rsidRDefault="00C7265B" w:rsidP="00C7265B">
      <w:pPr>
        <w:pStyle w:val="Item"/>
        <w:ind w:left="1134"/>
        <w:rPr>
          <w:sz w:val="24"/>
          <w:szCs w:val="24"/>
        </w:rPr>
      </w:pPr>
      <w:r w:rsidRPr="002B3219">
        <w:rPr>
          <w:sz w:val="24"/>
          <w:szCs w:val="24"/>
        </w:rPr>
        <w:t>Omit “415.00”, substitute “421.65”.</w:t>
      </w:r>
    </w:p>
    <w:p w14:paraId="00A07E79" w14:textId="77777777" w:rsidR="00C7265B" w:rsidRDefault="00C7265B" w:rsidP="00C7265B">
      <w:pPr>
        <w:pStyle w:val="ItemHead"/>
        <w:spacing w:before="0"/>
      </w:pPr>
    </w:p>
    <w:p w14:paraId="2820A673" w14:textId="77777777" w:rsidR="00C7265B" w:rsidRPr="001220AA" w:rsidRDefault="00C7265B" w:rsidP="001220AA">
      <w:pPr>
        <w:pStyle w:val="Heading2"/>
        <w:numPr>
          <w:ilvl w:val="0"/>
          <w:numId w:val="0"/>
        </w:numPr>
        <w:ind w:left="142"/>
        <w:rPr>
          <w:i/>
        </w:rPr>
      </w:pPr>
      <w:bookmarkStart w:id="21" w:name="_Toc4587914"/>
      <w:bookmarkStart w:id="22" w:name="_Toc5806926"/>
      <w:r w:rsidRPr="001220AA">
        <w:rPr>
          <w:i/>
        </w:rPr>
        <w:t>Health Insurance (Section 3C General Medical Services – Heart Health Assessment No.2) Determination 2019</w:t>
      </w:r>
      <w:bookmarkEnd w:id="21"/>
      <w:bookmarkEnd w:id="22"/>
    </w:p>
    <w:p w14:paraId="079E4FFD" w14:textId="35ECCA5F" w:rsidR="00C7265B" w:rsidRDefault="00C7265B" w:rsidP="000851CB">
      <w:pPr>
        <w:pStyle w:val="ItemHead"/>
        <w:numPr>
          <w:ilvl w:val="0"/>
          <w:numId w:val="3"/>
        </w:numPr>
        <w:ind w:left="1134" w:hanging="774"/>
        <w:rPr>
          <w:rFonts w:ascii="Times New Roman" w:hAnsi="Times New Roman"/>
          <w:szCs w:val="24"/>
        </w:rPr>
      </w:pPr>
      <w:r w:rsidRPr="00BC7FAE">
        <w:rPr>
          <w:rFonts w:ascii="Times New Roman" w:hAnsi="Times New Roman"/>
          <w:szCs w:val="24"/>
        </w:rPr>
        <w:t xml:space="preserve">Schedule 1 </w:t>
      </w:r>
      <w:r w:rsidR="008307F1">
        <w:rPr>
          <w:rFonts w:ascii="Times New Roman" w:hAnsi="Times New Roman"/>
          <w:szCs w:val="24"/>
        </w:rPr>
        <w:t>(item 699, column 3)</w:t>
      </w:r>
    </w:p>
    <w:p w14:paraId="581C7A26" w14:textId="6359413A" w:rsidR="008307F1" w:rsidRDefault="008307F1" w:rsidP="008307F1">
      <w:pPr>
        <w:pStyle w:val="Item"/>
        <w:ind w:left="1134"/>
      </w:pPr>
      <w:r>
        <w:t>Omit “85.60”, substitute “86.95”</w:t>
      </w:r>
      <w:r w:rsidR="002262C1">
        <w:t>.</w:t>
      </w:r>
    </w:p>
    <w:p w14:paraId="0FE33076" w14:textId="5676F954" w:rsidR="008307F1" w:rsidRDefault="008307F1" w:rsidP="008307F1">
      <w:pPr>
        <w:pStyle w:val="ItemHead"/>
        <w:numPr>
          <w:ilvl w:val="0"/>
          <w:numId w:val="3"/>
        </w:numPr>
        <w:ind w:left="1134" w:hanging="774"/>
        <w:rPr>
          <w:rFonts w:ascii="Times New Roman" w:hAnsi="Times New Roman"/>
          <w:szCs w:val="24"/>
        </w:rPr>
      </w:pPr>
      <w:r w:rsidRPr="00BC7FAE">
        <w:rPr>
          <w:rFonts w:ascii="Times New Roman" w:hAnsi="Times New Roman"/>
          <w:szCs w:val="24"/>
        </w:rPr>
        <w:t xml:space="preserve">Schedule 1 </w:t>
      </w:r>
      <w:r>
        <w:rPr>
          <w:rFonts w:ascii="Times New Roman" w:hAnsi="Times New Roman"/>
          <w:szCs w:val="24"/>
        </w:rPr>
        <w:t>(item 177, column 3)</w:t>
      </w:r>
    </w:p>
    <w:p w14:paraId="2D47FB76" w14:textId="5770C1BA" w:rsidR="008307F1" w:rsidRPr="008307F1" w:rsidRDefault="008307F1" w:rsidP="008307F1">
      <w:pPr>
        <w:pStyle w:val="Item"/>
        <w:ind w:left="1134"/>
      </w:pPr>
      <w:r>
        <w:t>Omit “68.50”, substitute “69.55”</w:t>
      </w:r>
      <w:r w:rsidR="002262C1">
        <w:t>.</w:t>
      </w:r>
    </w:p>
    <w:p w14:paraId="3E9D5A3E" w14:textId="77777777" w:rsidR="008307F1" w:rsidRPr="008307F1" w:rsidRDefault="008307F1" w:rsidP="008307F1">
      <w:pPr>
        <w:pStyle w:val="ItemHead"/>
      </w:pPr>
    </w:p>
    <w:p w14:paraId="5966BED5" w14:textId="56D9ED11" w:rsidR="00BC7FAE" w:rsidRDefault="00BC7FAE" w:rsidP="00BC7FAE">
      <w:pPr>
        <w:shd w:val="clear" w:color="auto" w:fill="FFFFFF"/>
        <w:autoSpaceDE/>
        <w:autoSpaceDN/>
        <w:rPr>
          <w:color w:val="000000"/>
          <w:lang w:eastAsia="en-AU"/>
        </w:rPr>
      </w:pPr>
    </w:p>
    <w:p w14:paraId="71062133" w14:textId="4F85E780" w:rsidR="00BC7FAE" w:rsidRPr="00BC7FAE" w:rsidRDefault="00BC7FAE" w:rsidP="00BC7FAE">
      <w:pPr>
        <w:rPr>
          <w:rFonts w:ascii="Arial" w:hAnsi="Arial" w:cs="Arial"/>
          <w:b/>
          <w:sz w:val="28"/>
          <w:szCs w:val="28"/>
        </w:rPr>
      </w:pPr>
    </w:p>
    <w:p w14:paraId="1BCAF293" w14:textId="148A36EE" w:rsidR="00BC7FAE" w:rsidRDefault="00BC7FAE" w:rsidP="00BC7FAE">
      <w:pPr>
        <w:pStyle w:val="Item"/>
        <w:ind w:left="0"/>
        <w:rPr>
          <w:rFonts w:ascii="Arial" w:hAnsi="Arial"/>
          <w:b/>
          <w:kern w:val="28"/>
          <w:sz w:val="24"/>
          <w:highlight w:val="yellow"/>
        </w:rPr>
      </w:pPr>
    </w:p>
    <w:p w14:paraId="0DCC62C4" w14:textId="77777777" w:rsidR="00BC7FAE" w:rsidRPr="00BC7FAE" w:rsidRDefault="00BC7FAE" w:rsidP="00BC7FAE">
      <w:pPr>
        <w:autoSpaceDE/>
        <w:autoSpaceDN/>
        <w:rPr>
          <w:lang w:eastAsia="en-AU"/>
        </w:rPr>
      </w:pPr>
    </w:p>
    <w:p w14:paraId="277614F4" w14:textId="77777777" w:rsidR="00C7265B" w:rsidRPr="001220AA" w:rsidRDefault="00C7265B" w:rsidP="001220AA">
      <w:pPr>
        <w:pStyle w:val="Heading2"/>
        <w:numPr>
          <w:ilvl w:val="0"/>
          <w:numId w:val="0"/>
        </w:numPr>
        <w:ind w:left="142"/>
        <w:rPr>
          <w:i/>
        </w:rPr>
      </w:pPr>
      <w:bookmarkStart w:id="23" w:name="_Toc4587915"/>
      <w:bookmarkStart w:id="24" w:name="_Toc5806927"/>
      <w:r w:rsidRPr="001220AA">
        <w:rPr>
          <w:i/>
        </w:rPr>
        <w:lastRenderedPageBreak/>
        <w:t>Health Insurance (Section 3C General Medical Services - General Practitioner Telehealth Services) Determination 2018</w:t>
      </w:r>
      <w:bookmarkEnd w:id="23"/>
      <w:bookmarkEnd w:id="24"/>
    </w:p>
    <w:p w14:paraId="57F1E76B" w14:textId="4CAA7A15" w:rsidR="00F55144" w:rsidRDefault="00F55144" w:rsidP="000851CB">
      <w:pPr>
        <w:pStyle w:val="ItemHead"/>
        <w:numPr>
          <w:ilvl w:val="0"/>
          <w:numId w:val="3"/>
        </w:numPr>
        <w:ind w:left="1134" w:hanging="774"/>
        <w:rPr>
          <w:rFonts w:ascii="Times New Roman" w:hAnsi="Times New Roman"/>
          <w:szCs w:val="24"/>
        </w:rPr>
      </w:pPr>
      <w:r>
        <w:rPr>
          <w:rFonts w:ascii="Times New Roman" w:hAnsi="Times New Roman"/>
          <w:szCs w:val="24"/>
        </w:rPr>
        <w:t>Schedule 1 (item 2729, column 3)</w:t>
      </w:r>
    </w:p>
    <w:p w14:paraId="431A64A6" w14:textId="2B07D0F6" w:rsidR="00F55144" w:rsidRPr="00F55144" w:rsidRDefault="00F55144" w:rsidP="00F55144">
      <w:pPr>
        <w:pStyle w:val="Item"/>
        <w:ind w:left="1134"/>
      </w:pPr>
      <w:r>
        <w:t>Omit “92.75”, substitute “94.25”</w:t>
      </w:r>
      <w:r w:rsidR="002262C1">
        <w:t>.</w:t>
      </w:r>
    </w:p>
    <w:p w14:paraId="495EA5DE" w14:textId="5A416F57" w:rsidR="00F55144" w:rsidRDefault="00F55144" w:rsidP="000851CB">
      <w:pPr>
        <w:pStyle w:val="ItemHead"/>
        <w:numPr>
          <w:ilvl w:val="0"/>
          <w:numId w:val="3"/>
        </w:numPr>
        <w:ind w:left="1134" w:hanging="774"/>
        <w:rPr>
          <w:rFonts w:ascii="Times New Roman" w:hAnsi="Times New Roman"/>
          <w:szCs w:val="24"/>
        </w:rPr>
      </w:pPr>
      <w:r>
        <w:rPr>
          <w:rFonts w:ascii="Times New Roman" w:hAnsi="Times New Roman"/>
          <w:szCs w:val="24"/>
        </w:rPr>
        <w:t>Schedule 1 (item 2731, column 3)</w:t>
      </w:r>
    </w:p>
    <w:p w14:paraId="1B593FAA" w14:textId="79D78339" w:rsidR="00F55144" w:rsidRPr="00F55144" w:rsidRDefault="00F55144" w:rsidP="00F55144">
      <w:pPr>
        <w:pStyle w:val="Item"/>
        <w:ind w:left="1134"/>
      </w:pPr>
      <w:r>
        <w:t>Omit “132.75”, substitute “134.85”</w:t>
      </w:r>
      <w:r w:rsidR="002262C1">
        <w:t>.</w:t>
      </w:r>
    </w:p>
    <w:p w14:paraId="780EA051" w14:textId="34234D71"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2121, column 3)</w:t>
      </w:r>
    </w:p>
    <w:p w14:paraId="64292ECC" w14:textId="77777777" w:rsidR="00C7265B" w:rsidRPr="002B3219" w:rsidRDefault="00C7265B" w:rsidP="00C7265B">
      <w:pPr>
        <w:pStyle w:val="Item"/>
        <w:ind w:left="1065" w:firstLine="69"/>
        <w:rPr>
          <w:sz w:val="24"/>
          <w:szCs w:val="24"/>
        </w:rPr>
      </w:pPr>
      <w:r w:rsidRPr="002B3219">
        <w:rPr>
          <w:sz w:val="24"/>
          <w:szCs w:val="24"/>
        </w:rPr>
        <w:t>Omit “44.20”, substitute “44.90”.</w:t>
      </w:r>
    </w:p>
    <w:p w14:paraId="1AF52D31"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2150, column 3)</w:t>
      </w:r>
    </w:p>
    <w:p w14:paraId="4AD3658D" w14:textId="77777777" w:rsidR="00C7265B" w:rsidRPr="002B3219" w:rsidRDefault="00C7265B" w:rsidP="00C7265B">
      <w:pPr>
        <w:pStyle w:val="Item"/>
        <w:ind w:left="1134"/>
        <w:rPr>
          <w:sz w:val="24"/>
          <w:szCs w:val="24"/>
        </w:rPr>
      </w:pPr>
      <w:r w:rsidRPr="002B3219">
        <w:rPr>
          <w:sz w:val="24"/>
          <w:szCs w:val="24"/>
        </w:rPr>
        <w:t>Omit “85.60”, substitute “86.95”.</w:t>
      </w:r>
    </w:p>
    <w:p w14:paraId="2AEBA745"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2196, column 3)</w:t>
      </w:r>
    </w:p>
    <w:p w14:paraId="2D7CBBC3" w14:textId="77777777" w:rsidR="00C7265B" w:rsidRPr="00486068" w:rsidRDefault="00C7265B" w:rsidP="00C7265B">
      <w:pPr>
        <w:pStyle w:val="Item"/>
        <w:ind w:left="1134"/>
        <w:rPr>
          <w:szCs w:val="22"/>
        </w:rPr>
      </w:pPr>
      <w:r w:rsidRPr="002B3219">
        <w:rPr>
          <w:sz w:val="24"/>
          <w:szCs w:val="24"/>
        </w:rPr>
        <w:t>Omit “126.05”, substitute “128.05”.</w:t>
      </w:r>
      <w:r>
        <w:rPr>
          <w:szCs w:val="22"/>
        </w:rPr>
        <w:br/>
      </w:r>
    </w:p>
    <w:p w14:paraId="09500AF0" w14:textId="6CBF64F4" w:rsidR="00C7265B" w:rsidRPr="001220AA" w:rsidRDefault="00C7265B" w:rsidP="001220AA">
      <w:pPr>
        <w:pStyle w:val="Heading2"/>
        <w:numPr>
          <w:ilvl w:val="0"/>
          <w:numId w:val="0"/>
        </w:numPr>
        <w:ind w:left="142"/>
        <w:rPr>
          <w:i/>
        </w:rPr>
      </w:pPr>
      <w:bookmarkStart w:id="25" w:name="_Toc4587916"/>
      <w:bookmarkStart w:id="26" w:name="_Toc5806928"/>
      <w:r w:rsidRPr="001220AA">
        <w:rPr>
          <w:i/>
        </w:rPr>
        <w:t>Health Insurance (Section 3C General Medical Services – MIGS Stent Implantation) Determination 2018</w:t>
      </w:r>
      <w:bookmarkEnd w:id="25"/>
      <w:bookmarkEnd w:id="26"/>
    </w:p>
    <w:p w14:paraId="5EC06025"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Subsection 7(4)</w:t>
      </w:r>
    </w:p>
    <w:p w14:paraId="153545CF" w14:textId="77777777" w:rsidR="00C7265B" w:rsidRPr="002B3219" w:rsidRDefault="00C7265B" w:rsidP="00C7265B">
      <w:pPr>
        <w:pStyle w:val="Item"/>
        <w:ind w:left="1065" w:firstLine="69"/>
        <w:rPr>
          <w:sz w:val="24"/>
          <w:szCs w:val="24"/>
        </w:rPr>
      </w:pPr>
      <w:r w:rsidRPr="002B3219">
        <w:rPr>
          <w:sz w:val="24"/>
          <w:szCs w:val="24"/>
        </w:rPr>
        <w:t>Omit “2.45.2”, substitute “2.46.2”.</w:t>
      </w:r>
    </w:p>
    <w:p w14:paraId="37C3CBEC"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42505, column 3)</w:t>
      </w:r>
    </w:p>
    <w:p w14:paraId="6D72FFA3" w14:textId="77777777" w:rsidR="00C7265B" w:rsidRPr="002B3219" w:rsidRDefault="00C7265B" w:rsidP="00C7265B">
      <w:pPr>
        <w:pStyle w:val="Item"/>
        <w:ind w:left="1134"/>
        <w:rPr>
          <w:sz w:val="24"/>
          <w:szCs w:val="24"/>
        </w:rPr>
      </w:pPr>
      <w:r w:rsidRPr="002B3219">
        <w:rPr>
          <w:sz w:val="24"/>
          <w:szCs w:val="24"/>
        </w:rPr>
        <w:t>Omit “300.75”, substitute “305.55”.</w:t>
      </w:r>
    </w:p>
    <w:p w14:paraId="6FC6076C"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42705, column 3)</w:t>
      </w:r>
    </w:p>
    <w:p w14:paraId="1B17BA24" w14:textId="77777777" w:rsidR="00C7265B" w:rsidRDefault="00C7265B" w:rsidP="00C7265B">
      <w:pPr>
        <w:pStyle w:val="Item"/>
        <w:ind w:left="1134"/>
        <w:rPr>
          <w:szCs w:val="22"/>
        </w:rPr>
      </w:pPr>
      <w:r w:rsidRPr="002B3219">
        <w:rPr>
          <w:sz w:val="24"/>
          <w:szCs w:val="24"/>
        </w:rPr>
        <w:t>Omit “911.10”, substitute “925.70”.</w:t>
      </w:r>
      <w:r>
        <w:rPr>
          <w:szCs w:val="22"/>
        </w:rPr>
        <w:br/>
      </w:r>
    </w:p>
    <w:p w14:paraId="784CACF3" w14:textId="77777777" w:rsidR="00C7265B" w:rsidRPr="001220AA" w:rsidRDefault="00C7265B" w:rsidP="001220AA">
      <w:pPr>
        <w:pStyle w:val="Heading2"/>
        <w:numPr>
          <w:ilvl w:val="0"/>
          <w:numId w:val="0"/>
        </w:numPr>
        <w:ind w:left="142"/>
        <w:rPr>
          <w:i/>
        </w:rPr>
      </w:pPr>
      <w:bookmarkStart w:id="27" w:name="_Toc4587917"/>
      <w:bookmarkStart w:id="28" w:name="_Toc5806929"/>
      <w:r w:rsidRPr="001220AA">
        <w:rPr>
          <w:i/>
        </w:rPr>
        <w:t>Health Insurance (Section 3C General Medical Services – Optical Coherence Tomography) Determination 2018</w:t>
      </w:r>
      <w:bookmarkEnd w:id="27"/>
      <w:bookmarkEnd w:id="28"/>
    </w:p>
    <w:p w14:paraId="3093D71F"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 xml:space="preserve">Schedule 1 (item </w:t>
      </w:r>
      <w:r w:rsidRPr="002B3219">
        <w:rPr>
          <w:rFonts w:ascii="Times New Roman" w:hAnsi="Times New Roman"/>
          <w:bCs/>
          <w:szCs w:val="24"/>
        </w:rPr>
        <w:t>11219</w:t>
      </w:r>
      <w:r w:rsidRPr="002B3219">
        <w:rPr>
          <w:rFonts w:ascii="Times New Roman" w:hAnsi="Times New Roman"/>
          <w:szCs w:val="24"/>
        </w:rPr>
        <w:t>, column 3)</w:t>
      </w:r>
    </w:p>
    <w:p w14:paraId="32B08905" w14:textId="77777777" w:rsidR="00C7265B" w:rsidRDefault="00C7265B" w:rsidP="00C7265B">
      <w:pPr>
        <w:pStyle w:val="Item"/>
        <w:ind w:left="1134"/>
        <w:rPr>
          <w:szCs w:val="22"/>
        </w:rPr>
      </w:pPr>
      <w:r w:rsidRPr="002B3219">
        <w:rPr>
          <w:sz w:val="24"/>
          <w:szCs w:val="24"/>
        </w:rPr>
        <w:t>Omit “40.00”, substitute “40.65”.</w:t>
      </w:r>
      <w:r>
        <w:rPr>
          <w:szCs w:val="22"/>
        </w:rPr>
        <w:br/>
      </w:r>
    </w:p>
    <w:p w14:paraId="3985469B" w14:textId="77777777" w:rsidR="00C7265B" w:rsidRPr="001220AA" w:rsidRDefault="00C7265B" w:rsidP="001220AA">
      <w:pPr>
        <w:pStyle w:val="Heading2"/>
        <w:numPr>
          <w:ilvl w:val="0"/>
          <w:numId w:val="0"/>
        </w:numPr>
        <w:ind w:left="142"/>
        <w:rPr>
          <w:i/>
        </w:rPr>
      </w:pPr>
      <w:bookmarkStart w:id="29" w:name="_Toc4587918"/>
      <w:bookmarkStart w:id="30" w:name="_Toc5806930"/>
      <w:r w:rsidRPr="001220AA">
        <w:rPr>
          <w:i/>
        </w:rPr>
        <w:t>Health Insurance (Section 3C General Medical Services – Transcatheter Aortic Valve Implantation) Determination 2018</w:t>
      </w:r>
      <w:bookmarkEnd w:id="29"/>
      <w:bookmarkEnd w:id="30"/>
    </w:p>
    <w:p w14:paraId="48F26E37"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6080, column 3)</w:t>
      </w:r>
    </w:p>
    <w:p w14:paraId="177B1FE1" w14:textId="77777777" w:rsidR="00C7265B" w:rsidRPr="002B3219" w:rsidRDefault="00C7265B" w:rsidP="00C7265B">
      <w:pPr>
        <w:pStyle w:val="Item"/>
        <w:ind w:left="1134"/>
        <w:rPr>
          <w:sz w:val="24"/>
          <w:szCs w:val="24"/>
        </w:rPr>
      </w:pPr>
      <w:r w:rsidRPr="002B3219">
        <w:rPr>
          <w:sz w:val="24"/>
          <w:szCs w:val="24"/>
        </w:rPr>
        <w:t>Omit “50.90”, substitute “51.70”.</w:t>
      </w:r>
    </w:p>
    <w:p w14:paraId="6982C3CB"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6081, column 3)</w:t>
      </w:r>
    </w:p>
    <w:p w14:paraId="589E2068" w14:textId="77777777" w:rsidR="00C7265B" w:rsidRPr="002B3219" w:rsidRDefault="00C7265B" w:rsidP="00C7265B">
      <w:pPr>
        <w:pStyle w:val="Item"/>
        <w:ind w:left="1134"/>
        <w:rPr>
          <w:sz w:val="24"/>
          <w:szCs w:val="24"/>
        </w:rPr>
      </w:pPr>
      <w:r w:rsidRPr="002B3219">
        <w:rPr>
          <w:sz w:val="24"/>
          <w:szCs w:val="24"/>
        </w:rPr>
        <w:t>Omit “37.95”, substitute “38.55”.</w:t>
      </w:r>
    </w:p>
    <w:p w14:paraId="454E1192"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38495, column 3)</w:t>
      </w:r>
    </w:p>
    <w:p w14:paraId="5F04D512" w14:textId="5413E2B4" w:rsidR="00C7265B" w:rsidRPr="002B3219" w:rsidRDefault="00C7265B" w:rsidP="00C7265B">
      <w:pPr>
        <w:pStyle w:val="Item"/>
        <w:ind w:left="1134"/>
        <w:rPr>
          <w:sz w:val="24"/>
          <w:szCs w:val="24"/>
          <w:highlight w:val="yellow"/>
        </w:rPr>
      </w:pPr>
      <w:r w:rsidRPr="002B3219">
        <w:rPr>
          <w:sz w:val="24"/>
          <w:szCs w:val="24"/>
        </w:rPr>
        <w:t>Omit “1,432.20”, substitute “1</w:t>
      </w:r>
      <w:r w:rsidR="00496077">
        <w:rPr>
          <w:sz w:val="24"/>
          <w:szCs w:val="24"/>
        </w:rPr>
        <w:t>,</w:t>
      </w:r>
      <w:r w:rsidRPr="002B3219">
        <w:rPr>
          <w:sz w:val="24"/>
          <w:szCs w:val="24"/>
        </w:rPr>
        <w:t>455.10”.</w:t>
      </w:r>
    </w:p>
    <w:p w14:paraId="576EF4DF" w14:textId="77777777" w:rsidR="00C7265B" w:rsidRDefault="00C7265B" w:rsidP="00C7265B">
      <w:pPr>
        <w:pStyle w:val="Blocks"/>
      </w:pPr>
    </w:p>
    <w:p w14:paraId="56B4E6FA" w14:textId="28BE5738" w:rsidR="00C7265B" w:rsidRPr="001220AA" w:rsidRDefault="00C7265B" w:rsidP="001220AA">
      <w:pPr>
        <w:pStyle w:val="Heading2"/>
        <w:numPr>
          <w:ilvl w:val="0"/>
          <w:numId w:val="0"/>
        </w:numPr>
        <w:ind w:left="142"/>
        <w:rPr>
          <w:i/>
        </w:rPr>
      </w:pPr>
      <w:bookmarkStart w:id="31" w:name="_Toc4587919"/>
      <w:bookmarkStart w:id="32" w:name="_Toc5806931"/>
      <w:r w:rsidRPr="001220AA">
        <w:rPr>
          <w:i/>
        </w:rPr>
        <w:t>Health Insurance (Section 3C General Medical Services</w:t>
      </w:r>
      <w:r w:rsidR="002D39DA">
        <w:rPr>
          <w:i/>
        </w:rPr>
        <w:t xml:space="preserve"> – </w:t>
      </w:r>
      <w:r w:rsidRPr="001220AA">
        <w:rPr>
          <w:i/>
        </w:rPr>
        <w:t>Transvaginal repair of pelvic organ prolapse and procedures for the excision of graft material) Determination 2018</w:t>
      </w:r>
      <w:bookmarkEnd w:id="31"/>
      <w:bookmarkEnd w:id="32"/>
    </w:p>
    <w:p w14:paraId="750DE819"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(below the heading)</w:t>
      </w:r>
    </w:p>
    <w:p w14:paraId="318DFAC6" w14:textId="77777777" w:rsidR="00C7265B" w:rsidRPr="001D3923" w:rsidRDefault="00C7265B" w:rsidP="00C7265B">
      <w:pPr>
        <w:pStyle w:val="Item"/>
        <w:ind w:left="1134"/>
        <w:rPr>
          <w:szCs w:val="22"/>
          <w:highlight w:val="yellow"/>
        </w:rPr>
      </w:pPr>
      <w:r w:rsidRPr="002B3219">
        <w:rPr>
          <w:sz w:val="24"/>
          <w:szCs w:val="24"/>
        </w:rPr>
        <w:t>Repeal the table, substitute:</w:t>
      </w:r>
      <w:r>
        <w:rPr>
          <w:szCs w:val="22"/>
        </w:rPr>
        <w:br/>
      </w:r>
    </w:p>
    <w:tbl>
      <w:tblPr>
        <w:tblW w:w="8773" w:type="dxa"/>
        <w:tblInd w:w="-19" w:type="dxa"/>
        <w:shd w:val="clear" w:color="auto" w:fill="FFFFFF"/>
        <w:tblCellMar>
          <w:left w:w="0" w:type="dxa"/>
          <w:right w:w="0" w:type="dxa"/>
        </w:tblCellMar>
        <w:tblLook w:val="04A0" w:firstRow="1" w:lastRow="0" w:firstColumn="1" w:lastColumn="0" w:noHBand="0" w:noVBand="1"/>
      </w:tblPr>
      <w:tblGrid>
        <w:gridCol w:w="1332"/>
        <w:gridCol w:w="6031"/>
        <w:gridCol w:w="1410"/>
      </w:tblGrid>
      <w:tr w:rsidR="00C7265B" w:rsidRPr="0086753F" w14:paraId="06411674" w14:textId="77777777" w:rsidTr="00F14EA9">
        <w:trPr>
          <w:tblHeader/>
        </w:trPr>
        <w:tc>
          <w:tcPr>
            <w:tcW w:w="8773"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EDA42CA" w14:textId="77777777" w:rsidR="00C7265B" w:rsidRPr="0086753F" w:rsidRDefault="00C7265B" w:rsidP="00F14EA9">
            <w:pPr>
              <w:keepNext/>
              <w:spacing w:before="60" w:after="100" w:afterAutospacing="1" w:line="240" w:lineRule="atLeast"/>
              <w:rPr>
                <w:sz w:val="20"/>
                <w:lang w:eastAsia="en-AU"/>
              </w:rPr>
            </w:pPr>
            <w:r w:rsidRPr="0086753F">
              <w:rPr>
                <w:b/>
                <w:bCs/>
                <w:color w:val="000000"/>
                <w:sz w:val="20"/>
                <w:lang w:eastAsia="en-AU"/>
              </w:rPr>
              <w:t>Group T8 – Surgical Operations</w:t>
            </w:r>
          </w:p>
        </w:tc>
      </w:tr>
      <w:tr w:rsidR="00C7265B" w:rsidRPr="0086753F" w14:paraId="4CEA21AC" w14:textId="77777777" w:rsidTr="00F14EA9">
        <w:trPr>
          <w:tblHeader/>
        </w:trPr>
        <w:tc>
          <w:tcPr>
            <w:tcW w:w="8773"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A07162B" w14:textId="77777777" w:rsidR="00C7265B" w:rsidRPr="0086753F" w:rsidRDefault="00C7265B" w:rsidP="00F14EA9">
            <w:pPr>
              <w:keepNext/>
              <w:spacing w:before="60" w:after="100" w:afterAutospacing="1" w:line="240" w:lineRule="atLeast"/>
              <w:rPr>
                <w:sz w:val="20"/>
                <w:lang w:eastAsia="en-AU"/>
              </w:rPr>
            </w:pPr>
            <w:r w:rsidRPr="0086753F">
              <w:rPr>
                <w:b/>
                <w:bCs/>
                <w:color w:val="000000"/>
                <w:sz w:val="20"/>
                <w:lang w:eastAsia="en-AU"/>
              </w:rPr>
              <w:t>Subgroup 4—Gynaecological</w:t>
            </w:r>
            <w:r w:rsidRPr="0086753F">
              <w:rPr>
                <w:b/>
                <w:bCs/>
                <w:sz w:val="20"/>
              </w:rPr>
              <w:t xml:space="preserve"> </w:t>
            </w:r>
          </w:p>
        </w:tc>
      </w:tr>
      <w:tr w:rsidR="00C7265B" w:rsidRPr="0086753F" w14:paraId="694A0918" w14:textId="77777777" w:rsidTr="00F14EA9">
        <w:trPr>
          <w:tblHeader/>
        </w:trPr>
        <w:tc>
          <w:tcPr>
            <w:tcW w:w="1332"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4D1AAA36" w14:textId="77777777" w:rsidR="00C7265B" w:rsidRPr="0086753F" w:rsidRDefault="00C7265B" w:rsidP="00F14EA9">
            <w:pPr>
              <w:keepNext/>
              <w:spacing w:before="60" w:after="100" w:afterAutospacing="1" w:line="240" w:lineRule="atLeast"/>
              <w:rPr>
                <w:sz w:val="20"/>
                <w:lang w:eastAsia="en-AU"/>
              </w:rPr>
            </w:pPr>
            <w:r w:rsidRPr="0086753F">
              <w:rPr>
                <w:b/>
                <w:bCs/>
                <w:color w:val="000000"/>
                <w:sz w:val="20"/>
                <w:lang w:eastAsia="en-AU"/>
              </w:rPr>
              <w:t>Item</w:t>
            </w:r>
          </w:p>
        </w:tc>
        <w:tc>
          <w:tcPr>
            <w:tcW w:w="6031"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1300B495" w14:textId="77777777" w:rsidR="00C7265B" w:rsidRPr="0086753F" w:rsidRDefault="00C7265B" w:rsidP="00F14EA9">
            <w:pPr>
              <w:keepNext/>
              <w:spacing w:before="60" w:after="100" w:afterAutospacing="1" w:line="240" w:lineRule="atLeast"/>
              <w:rPr>
                <w:sz w:val="20"/>
                <w:lang w:eastAsia="en-AU"/>
              </w:rPr>
            </w:pPr>
            <w:r w:rsidRPr="0086753F">
              <w:rPr>
                <w:b/>
                <w:bCs/>
                <w:color w:val="000000"/>
                <w:sz w:val="20"/>
                <w:lang w:eastAsia="en-AU"/>
              </w:rPr>
              <w:t>Service</w:t>
            </w:r>
          </w:p>
        </w:tc>
        <w:tc>
          <w:tcPr>
            <w:tcW w:w="1410"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1D1C7F3D" w14:textId="77777777" w:rsidR="00C7265B" w:rsidRPr="0086753F" w:rsidRDefault="00C7265B" w:rsidP="00F14EA9">
            <w:pPr>
              <w:keepNext/>
              <w:spacing w:before="60" w:line="240" w:lineRule="atLeast"/>
              <w:ind w:left="594" w:right="-382"/>
              <w:rPr>
                <w:sz w:val="20"/>
                <w:lang w:eastAsia="en-AU"/>
              </w:rPr>
            </w:pPr>
            <w:r w:rsidRPr="0086753F">
              <w:rPr>
                <w:b/>
                <w:bCs/>
                <w:color w:val="000000"/>
                <w:sz w:val="20"/>
                <w:lang w:eastAsia="en-AU"/>
              </w:rPr>
              <w:t>Fee ($)</w:t>
            </w:r>
          </w:p>
        </w:tc>
      </w:tr>
      <w:tr w:rsidR="00C7265B" w:rsidRPr="0086753F" w14:paraId="46B3E110" w14:textId="77777777" w:rsidTr="00F14EA9">
        <w:trPr>
          <w:cantSplit/>
        </w:trPr>
        <w:tc>
          <w:tcPr>
            <w:tcW w:w="1332" w:type="dxa"/>
            <w:tcBorders>
              <w:top w:val="nil"/>
              <w:left w:val="nil"/>
              <w:bottom w:val="single" w:sz="8" w:space="0" w:color="auto"/>
              <w:right w:val="nil"/>
            </w:tcBorders>
            <w:shd w:val="clear" w:color="auto" w:fill="auto"/>
            <w:tcMar>
              <w:top w:w="0" w:type="dxa"/>
              <w:left w:w="107" w:type="dxa"/>
              <w:bottom w:w="0" w:type="dxa"/>
              <w:right w:w="107" w:type="dxa"/>
            </w:tcMar>
          </w:tcPr>
          <w:p w14:paraId="584BD7ED" w14:textId="77777777" w:rsidR="00C7265B" w:rsidRPr="0086753F" w:rsidRDefault="00C7265B" w:rsidP="00F14EA9">
            <w:pPr>
              <w:spacing w:before="60" w:after="60" w:line="276" w:lineRule="auto"/>
              <w:rPr>
                <w:color w:val="000000"/>
                <w:sz w:val="20"/>
                <w:lang w:eastAsia="en-AU"/>
              </w:rPr>
            </w:pPr>
            <w:r w:rsidRPr="0086753F">
              <w:rPr>
                <w:color w:val="000000"/>
                <w:sz w:val="20"/>
                <w:lang w:eastAsia="en-AU"/>
              </w:rPr>
              <w:t>35570</w:t>
            </w:r>
          </w:p>
        </w:tc>
        <w:tc>
          <w:tcPr>
            <w:tcW w:w="6031" w:type="dxa"/>
            <w:tcBorders>
              <w:top w:val="nil"/>
              <w:left w:val="nil"/>
              <w:bottom w:val="single" w:sz="8" w:space="0" w:color="auto"/>
              <w:right w:val="nil"/>
            </w:tcBorders>
            <w:shd w:val="clear" w:color="auto" w:fill="FFFFFF"/>
            <w:tcMar>
              <w:top w:w="0" w:type="dxa"/>
              <w:left w:w="107" w:type="dxa"/>
              <w:bottom w:w="0" w:type="dxa"/>
              <w:right w:w="107" w:type="dxa"/>
            </w:tcMar>
          </w:tcPr>
          <w:p w14:paraId="70A782C0" w14:textId="77777777" w:rsidR="00C7265B" w:rsidRPr="0086753F" w:rsidRDefault="00C7265B" w:rsidP="00F14EA9">
            <w:pPr>
              <w:shd w:val="clear" w:color="auto" w:fill="FFFFFF"/>
              <w:spacing w:before="100" w:beforeAutospacing="1" w:after="100" w:afterAutospacing="1" w:line="240" w:lineRule="atLeast"/>
              <w:rPr>
                <w:sz w:val="20"/>
              </w:rPr>
            </w:pPr>
            <w:r w:rsidRPr="0086753F">
              <w:rPr>
                <w:color w:val="000000"/>
                <w:sz w:val="20"/>
                <w:lang w:eastAsia="en-AU"/>
              </w:rPr>
              <w:t xml:space="preserve">Anterior vaginal compartment repair by vaginal approach for pelvic organ prolapse (involving repair of </w:t>
            </w:r>
            <w:proofErr w:type="spellStart"/>
            <w:r w:rsidRPr="0086753F">
              <w:rPr>
                <w:color w:val="000000"/>
                <w:sz w:val="20"/>
                <w:lang w:eastAsia="en-AU"/>
              </w:rPr>
              <w:t>urethrocele</w:t>
            </w:r>
            <w:proofErr w:type="spellEnd"/>
            <w:r w:rsidRPr="0086753F">
              <w:rPr>
                <w:color w:val="000000"/>
                <w:sz w:val="20"/>
                <w:lang w:eastAsia="en-AU"/>
              </w:rPr>
              <w:t xml:space="preserve"> and cystocele), using native tissue without graft, other than a service associated with a service to which item 35573, 35577 or 35578 applies (H) (</w:t>
            </w:r>
            <w:proofErr w:type="spellStart"/>
            <w:r w:rsidRPr="0086753F">
              <w:rPr>
                <w:color w:val="000000"/>
                <w:sz w:val="20"/>
                <w:lang w:eastAsia="en-AU"/>
              </w:rPr>
              <w:t>Anaes</w:t>
            </w:r>
            <w:proofErr w:type="spellEnd"/>
            <w:r w:rsidRPr="0086753F">
              <w:rPr>
                <w:color w:val="000000"/>
                <w:sz w:val="20"/>
                <w:lang w:eastAsia="en-AU"/>
              </w:rPr>
              <w:t>.) (Assist.)</w:t>
            </w:r>
          </w:p>
        </w:tc>
        <w:tc>
          <w:tcPr>
            <w:tcW w:w="1410" w:type="dxa"/>
            <w:tcBorders>
              <w:top w:val="nil"/>
              <w:left w:val="nil"/>
              <w:bottom w:val="single" w:sz="8" w:space="0" w:color="auto"/>
              <w:right w:val="nil"/>
            </w:tcBorders>
            <w:shd w:val="clear" w:color="auto" w:fill="FFFFFF"/>
            <w:tcMar>
              <w:top w:w="0" w:type="dxa"/>
              <w:left w:w="107" w:type="dxa"/>
              <w:bottom w:w="0" w:type="dxa"/>
              <w:right w:w="107" w:type="dxa"/>
            </w:tcMar>
          </w:tcPr>
          <w:p w14:paraId="654FEFEA" w14:textId="77777777" w:rsidR="00C7265B" w:rsidRPr="0086753F" w:rsidRDefault="00C7265B" w:rsidP="00F14EA9">
            <w:pPr>
              <w:keepNext/>
              <w:spacing w:before="60" w:after="60" w:line="276" w:lineRule="auto"/>
              <w:ind w:left="594" w:right="-665"/>
              <w:rPr>
                <w:sz w:val="20"/>
                <w:lang w:eastAsia="en-AU"/>
              </w:rPr>
            </w:pPr>
            <w:r w:rsidRPr="00F41647">
              <w:rPr>
                <w:sz w:val="20"/>
                <w:lang w:eastAsia="en-AU"/>
              </w:rPr>
              <w:t>562.70</w:t>
            </w:r>
          </w:p>
        </w:tc>
      </w:tr>
      <w:tr w:rsidR="00C7265B" w:rsidRPr="0086753F" w14:paraId="57A969C8" w14:textId="77777777" w:rsidTr="00F14EA9">
        <w:trPr>
          <w:cantSplit/>
        </w:trPr>
        <w:tc>
          <w:tcPr>
            <w:tcW w:w="1332"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DCE02B8" w14:textId="77777777" w:rsidR="00C7265B" w:rsidRPr="0086753F" w:rsidRDefault="00C7265B" w:rsidP="00F14EA9">
            <w:pPr>
              <w:spacing w:before="60" w:after="60" w:line="276" w:lineRule="auto"/>
              <w:rPr>
                <w:color w:val="000000"/>
                <w:sz w:val="20"/>
                <w:lang w:eastAsia="en-AU"/>
              </w:rPr>
            </w:pPr>
            <w:r w:rsidRPr="0086753F">
              <w:rPr>
                <w:color w:val="000000"/>
                <w:sz w:val="20"/>
                <w:lang w:eastAsia="en-AU"/>
              </w:rPr>
              <w:t>35571</w:t>
            </w:r>
          </w:p>
        </w:tc>
        <w:tc>
          <w:tcPr>
            <w:tcW w:w="6031"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34B39DD" w14:textId="77777777" w:rsidR="00C7265B" w:rsidRPr="0086753F" w:rsidRDefault="00C7265B" w:rsidP="00F14EA9">
            <w:pPr>
              <w:shd w:val="clear" w:color="auto" w:fill="FFFFFF"/>
              <w:spacing w:before="120"/>
              <w:rPr>
                <w:color w:val="000000"/>
                <w:sz w:val="20"/>
                <w:lang w:eastAsia="en-AU"/>
              </w:rPr>
            </w:pPr>
            <w:r w:rsidRPr="0086753F">
              <w:rPr>
                <w:color w:val="000000"/>
                <w:sz w:val="20"/>
                <w:lang w:eastAsia="en-AU"/>
              </w:rPr>
              <w:t>Posterior vaginal compartment repair by vaginal approach for pelvic organ prolapse involving repair of one or more of the following:</w:t>
            </w:r>
          </w:p>
          <w:p w14:paraId="57F7B836" w14:textId="77777777" w:rsidR="00C7265B" w:rsidRPr="0086753F" w:rsidRDefault="00C7265B" w:rsidP="00F14EA9">
            <w:pPr>
              <w:shd w:val="clear" w:color="auto" w:fill="FFFFFF"/>
              <w:rPr>
                <w:color w:val="000000"/>
                <w:sz w:val="20"/>
                <w:lang w:eastAsia="en-AU"/>
              </w:rPr>
            </w:pPr>
            <w:r w:rsidRPr="0086753F">
              <w:rPr>
                <w:color w:val="000000"/>
                <w:sz w:val="20"/>
                <w:lang w:eastAsia="en-AU"/>
              </w:rPr>
              <w:t>(a) perineum;</w:t>
            </w:r>
          </w:p>
          <w:p w14:paraId="5562E328" w14:textId="77777777" w:rsidR="00C7265B" w:rsidRPr="0086753F" w:rsidRDefault="00C7265B" w:rsidP="00F14EA9">
            <w:pPr>
              <w:shd w:val="clear" w:color="auto" w:fill="FFFFFF"/>
              <w:spacing w:line="240" w:lineRule="atLeast"/>
              <w:rPr>
                <w:color w:val="000000"/>
                <w:sz w:val="20"/>
                <w:lang w:eastAsia="en-AU"/>
              </w:rPr>
            </w:pPr>
            <w:r w:rsidRPr="0086753F">
              <w:rPr>
                <w:color w:val="000000"/>
                <w:sz w:val="20"/>
                <w:lang w:eastAsia="en-AU"/>
              </w:rPr>
              <w:t xml:space="preserve">(b) </w:t>
            </w:r>
            <w:proofErr w:type="spellStart"/>
            <w:r w:rsidRPr="0086753F">
              <w:rPr>
                <w:color w:val="000000"/>
                <w:sz w:val="20"/>
                <w:lang w:eastAsia="en-AU"/>
              </w:rPr>
              <w:t>rectocoele</w:t>
            </w:r>
            <w:proofErr w:type="spellEnd"/>
            <w:r w:rsidRPr="0086753F">
              <w:rPr>
                <w:color w:val="000000"/>
                <w:sz w:val="20"/>
                <w:lang w:eastAsia="en-AU"/>
              </w:rPr>
              <w:t>;</w:t>
            </w:r>
          </w:p>
          <w:p w14:paraId="4DB152D1" w14:textId="77777777" w:rsidR="00C7265B" w:rsidRPr="0086753F" w:rsidRDefault="00C7265B" w:rsidP="00F14EA9">
            <w:pPr>
              <w:shd w:val="clear" w:color="auto" w:fill="FFFFFF"/>
              <w:rPr>
                <w:color w:val="000000"/>
                <w:sz w:val="20"/>
                <w:lang w:eastAsia="en-AU"/>
              </w:rPr>
            </w:pPr>
            <w:r w:rsidRPr="0086753F">
              <w:rPr>
                <w:color w:val="000000"/>
                <w:sz w:val="20"/>
                <w:lang w:eastAsia="en-AU"/>
              </w:rPr>
              <w:t xml:space="preserve">(c) </w:t>
            </w:r>
            <w:proofErr w:type="spellStart"/>
            <w:r w:rsidRPr="0086753F">
              <w:rPr>
                <w:color w:val="000000"/>
                <w:sz w:val="20"/>
                <w:lang w:eastAsia="en-AU"/>
              </w:rPr>
              <w:t>enterocoele</w:t>
            </w:r>
            <w:proofErr w:type="spellEnd"/>
            <w:r w:rsidRPr="0086753F">
              <w:rPr>
                <w:color w:val="000000"/>
                <w:sz w:val="20"/>
                <w:lang w:eastAsia="en-AU"/>
              </w:rPr>
              <w:t>;</w:t>
            </w:r>
          </w:p>
          <w:p w14:paraId="26C2FB3D" w14:textId="77777777" w:rsidR="00C7265B" w:rsidRPr="0086753F" w:rsidRDefault="00C7265B" w:rsidP="00F14EA9">
            <w:pPr>
              <w:shd w:val="clear" w:color="auto" w:fill="FFFFFF"/>
              <w:rPr>
                <w:color w:val="000000"/>
                <w:sz w:val="20"/>
                <w:lang w:eastAsia="en-AU"/>
              </w:rPr>
            </w:pPr>
            <w:proofErr w:type="gramStart"/>
            <w:r w:rsidRPr="0086753F">
              <w:rPr>
                <w:color w:val="000000"/>
                <w:sz w:val="20"/>
                <w:lang w:eastAsia="en-AU"/>
              </w:rPr>
              <w:t>using</w:t>
            </w:r>
            <w:proofErr w:type="gramEnd"/>
            <w:r w:rsidRPr="0086753F">
              <w:rPr>
                <w:color w:val="000000"/>
                <w:sz w:val="20"/>
                <w:lang w:eastAsia="en-AU"/>
              </w:rPr>
              <w:t xml:space="preserve"> native tissue without graft, other than a service associated with a service to which item 35573, 35577 or 35578 applies (H) (</w:t>
            </w:r>
            <w:proofErr w:type="spellStart"/>
            <w:r w:rsidRPr="0086753F">
              <w:rPr>
                <w:color w:val="000000"/>
                <w:sz w:val="20"/>
                <w:lang w:eastAsia="en-AU"/>
              </w:rPr>
              <w:t>Anaes</w:t>
            </w:r>
            <w:proofErr w:type="spellEnd"/>
            <w:r w:rsidRPr="0086753F">
              <w:rPr>
                <w:color w:val="000000"/>
                <w:sz w:val="20"/>
                <w:lang w:eastAsia="en-AU"/>
              </w:rPr>
              <w:t>.) (Assist.)</w:t>
            </w:r>
          </w:p>
        </w:tc>
        <w:tc>
          <w:tcPr>
            <w:tcW w:w="141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12D0870" w14:textId="77777777" w:rsidR="00C7265B" w:rsidRPr="0086753F" w:rsidRDefault="00C7265B" w:rsidP="00F14EA9">
            <w:pPr>
              <w:keepNext/>
              <w:spacing w:before="60" w:after="60" w:line="276" w:lineRule="auto"/>
              <w:ind w:left="594" w:right="-665"/>
              <w:rPr>
                <w:sz w:val="20"/>
                <w:lang w:eastAsia="en-AU"/>
              </w:rPr>
            </w:pPr>
            <w:r w:rsidRPr="00F41647">
              <w:rPr>
                <w:sz w:val="20"/>
                <w:lang w:eastAsia="en-AU"/>
              </w:rPr>
              <w:t>562.70</w:t>
            </w:r>
          </w:p>
        </w:tc>
      </w:tr>
      <w:tr w:rsidR="00C7265B" w:rsidRPr="0086753F" w14:paraId="544B13A9" w14:textId="77777777" w:rsidTr="00F14EA9">
        <w:trPr>
          <w:cantSplit/>
        </w:trPr>
        <w:tc>
          <w:tcPr>
            <w:tcW w:w="1332" w:type="dxa"/>
            <w:tcBorders>
              <w:top w:val="single" w:sz="8" w:space="0" w:color="auto"/>
              <w:left w:val="nil"/>
              <w:bottom w:val="single" w:sz="4" w:space="0" w:color="auto"/>
              <w:right w:val="nil"/>
            </w:tcBorders>
            <w:shd w:val="clear" w:color="auto" w:fill="auto"/>
            <w:tcMar>
              <w:top w:w="0" w:type="dxa"/>
              <w:left w:w="107" w:type="dxa"/>
              <w:bottom w:w="0" w:type="dxa"/>
              <w:right w:w="107" w:type="dxa"/>
            </w:tcMar>
          </w:tcPr>
          <w:p w14:paraId="194C073C" w14:textId="77777777" w:rsidR="00C7265B" w:rsidRPr="0086753F" w:rsidRDefault="00C7265B" w:rsidP="00F14EA9">
            <w:pPr>
              <w:spacing w:before="60" w:after="60" w:line="276" w:lineRule="auto"/>
              <w:rPr>
                <w:color w:val="000000"/>
                <w:sz w:val="20"/>
                <w:lang w:eastAsia="en-AU"/>
              </w:rPr>
            </w:pPr>
            <w:r w:rsidRPr="0086753F">
              <w:rPr>
                <w:color w:val="000000"/>
                <w:sz w:val="20"/>
                <w:lang w:eastAsia="en-AU"/>
              </w:rPr>
              <w:t>35573</w:t>
            </w:r>
          </w:p>
        </w:tc>
        <w:tc>
          <w:tcPr>
            <w:tcW w:w="6031" w:type="dxa"/>
            <w:tcBorders>
              <w:top w:val="single" w:sz="8" w:space="0" w:color="auto"/>
              <w:left w:val="nil"/>
              <w:bottom w:val="single" w:sz="4" w:space="0" w:color="auto"/>
              <w:right w:val="nil"/>
            </w:tcBorders>
            <w:shd w:val="clear" w:color="auto" w:fill="FFFFFF"/>
            <w:tcMar>
              <w:top w:w="0" w:type="dxa"/>
              <w:left w:w="107" w:type="dxa"/>
              <w:bottom w:w="0" w:type="dxa"/>
              <w:right w:w="107" w:type="dxa"/>
            </w:tcMar>
          </w:tcPr>
          <w:p w14:paraId="14BE39A7" w14:textId="77777777" w:rsidR="00C7265B" w:rsidRPr="0086753F" w:rsidRDefault="00C7265B" w:rsidP="00F14EA9">
            <w:pPr>
              <w:shd w:val="clear" w:color="auto" w:fill="FFFFFF"/>
              <w:spacing w:before="100" w:beforeAutospacing="1" w:after="100" w:afterAutospacing="1" w:line="240" w:lineRule="atLeast"/>
              <w:rPr>
                <w:sz w:val="20"/>
                <w:lang w:eastAsia="en-AU"/>
              </w:rPr>
            </w:pPr>
            <w:r w:rsidRPr="0086753F">
              <w:rPr>
                <w:sz w:val="20"/>
              </w:rPr>
              <w:t>Anterior and posterior vaginal compartment repair by vaginal approach for pelvic organ prolapse (involving anterior and posterior compartment defects), using native tissue without graft, other than a service associated with a service to which item 35577 or 35578 applies (H) (</w:t>
            </w:r>
            <w:proofErr w:type="spellStart"/>
            <w:r w:rsidRPr="0086753F">
              <w:rPr>
                <w:sz w:val="20"/>
              </w:rPr>
              <w:t>Anaes</w:t>
            </w:r>
            <w:proofErr w:type="spellEnd"/>
            <w:r w:rsidRPr="0086753F">
              <w:rPr>
                <w:sz w:val="20"/>
              </w:rPr>
              <w:t>.) (Assist.)</w:t>
            </w:r>
          </w:p>
        </w:tc>
        <w:tc>
          <w:tcPr>
            <w:tcW w:w="1410" w:type="dxa"/>
            <w:tcBorders>
              <w:top w:val="single" w:sz="8" w:space="0" w:color="auto"/>
              <w:left w:val="nil"/>
              <w:bottom w:val="single" w:sz="4" w:space="0" w:color="auto"/>
              <w:right w:val="nil"/>
            </w:tcBorders>
            <w:shd w:val="clear" w:color="auto" w:fill="FFFFFF"/>
            <w:tcMar>
              <w:top w:w="0" w:type="dxa"/>
              <w:left w:w="107" w:type="dxa"/>
              <w:bottom w:w="0" w:type="dxa"/>
              <w:right w:w="107" w:type="dxa"/>
            </w:tcMar>
          </w:tcPr>
          <w:p w14:paraId="60B67FA0" w14:textId="77777777" w:rsidR="00C7265B" w:rsidRPr="0086753F" w:rsidRDefault="00C7265B" w:rsidP="00F14EA9">
            <w:pPr>
              <w:keepNext/>
              <w:spacing w:before="60" w:after="60" w:line="276" w:lineRule="auto"/>
              <w:ind w:left="594" w:right="-665"/>
              <w:rPr>
                <w:sz w:val="20"/>
                <w:lang w:eastAsia="en-AU"/>
              </w:rPr>
            </w:pPr>
            <w:r w:rsidRPr="00F41647">
              <w:rPr>
                <w:sz w:val="20"/>
                <w:lang w:eastAsia="en-AU"/>
              </w:rPr>
              <w:t>844.20</w:t>
            </w:r>
          </w:p>
        </w:tc>
      </w:tr>
      <w:tr w:rsidR="00C7265B" w:rsidRPr="0086753F" w14:paraId="07E785C1" w14:textId="77777777" w:rsidTr="00F14EA9">
        <w:trPr>
          <w:cantSplit/>
        </w:trPr>
        <w:tc>
          <w:tcPr>
            <w:tcW w:w="1332"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5F3E21DE" w14:textId="77777777" w:rsidR="00C7265B" w:rsidRPr="0086753F" w:rsidRDefault="00C7265B" w:rsidP="00F14EA9">
            <w:pPr>
              <w:spacing w:before="60" w:after="60" w:line="276" w:lineRule="auto"/>
              <w:rPr>
                <w:color w:val="000000"/>
                <w:sz w:val="20"/>
                <w:lang w:eastAsia="en-AU"/>
              </w:rPr>
            </w:pPr>
            <w:r w:rsidRPr="0086753F">
              <w:rPr>
                <w:color w:val="000000"/>
                <w:sz w:val="20"/>
                <w:lang w:eastAsia="en-AU"/>
              </w:rPr>
              <w:t>35577</w:t>
            </w:r>
          </w:p>
        </w:tc>
        <w:tc>
          <w:tcPr>
            <w:tcW w:w="6031"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DA63BEE" w14:textId="77777777" w:rsidR="00C7265B" w:rsidRPr="0086753F" w:rsidRDefault="00C7265B" w:rsidP="00F14EA9">
            <w:pPr>
              <w:pStyle w:val="Default"/>
              <w:rPr>
                <w:sz w:val="20"/>
                <w:szCs w:val="20"/>
              </w:rPr>
            </w:pPr>
            <w:r w:rsidRPr="0086753F">
              <w:rPr>
                <w:sz w:val="20"/>
                <w:szCs w:val="20"/>
              </w:rPr>
              <w:t>Manchester (Donald Fothergill) operation for pelvic organ prolapse (includes cervical amputation, anterior and posterior native tissue vaginal wall repairs without graft) (H) (</w:t>
            </w:r>
            <w:proofErr w:type="spellStart"/>
            <w:r w:rsidRPr="0086753F">
              <w:rPr>
                <w:sz w:val="20"/>
                <w:szCs w:val="20"/>
              </w:rPr>
              <w:t>Anaes</w:t>
            </w:r>
            <w:proofErr w:type="spellEnd"/>
            <w:r w:rsidRPr="0086753F">
              <w:rPr>
                <w:sz w:val="20"/>
                <w:szCs w:val="20"/>
              </w:rPr>
              <w:t>.) (Assist.)</w:t>
            </w:r>
          </w:p>
        </w:tc>
        <w:tc>
          <w:tcPr>
            <w:tcW w:w="1410"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D560416" w14:textId="77777777" w:rsidR="00C7265B" w:rsidRPr="0086753F" w:rsidRDefault="00C7265B" w:rsidP="00F14EA9">
            <w:pPr>
              <w:keepNext/>
              <w:spacing w:before="60" w:after="60" w:line="276" w:lineRule="auto"/>
              <w:ind w:left="594" w:right="-665"/>
              <w:rPr>
                <w:sz w:val="20"/>
                <w:lang w:eastAsia="en-AU"/>
              </w:rPr>
            </w:pPr>
            <w:r w:rsidRPr="00F41647">
              <w:rPr>
                <w:sz w:val="20"/>
                <w:lang w:eastAsia="en-AU"/>
              </w:rPr>
              <w:t>685.30</w:t>
            </w:r>
          </w:p>
        </w:tc>
      </w:tr>
      <w:tr w:rsidR="00C7265B" w:rsidRPr="0086753F" w14:paraId="700C21B3" w14:textId="77777777" w:rsidTr="00F14EA9">
        <w:trPr>
          <w:cantSplit/>
        </w:trPr>
        <w:tc>
          <w:tcPr>
            <w:tcW w:w="1332"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5802F4B5" w14:textId="77777777" w:rsidR="00C7265B" w:rsidRPr="0086753F" w:rsidRDefault="00C7265B" w:rsidP="00F14EA9">
            <w:pPr>
              <w:spacing w:before="60" w:after="60" w:line="276" w:lineRule="auto"/>
              <w:rPr>
                <w:sz w:val="20"/>
                <w:lang w:eastAsia="en-AU"/>
              </w:rPr>
            </w:pPr>
            <w:r w:rsidRPr="0086753F">
              <w:rPr>
                <w:color w:val="000000"/>
                <w:sz w:val="20"/>
                <w:lang w:eastAsia="en-AU"/>
              </w:rPr>
              <w:t>35581</w:t>
            </w:r>
          </w:p>
        </w:tc>
        <w:tc>
          <w:tcPr>
            <w:tcW w:w="6031"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0472BB6B" w14:textId="77777777" w:rsidR="00C7265B" w:rsidRPr="0086753F" w:rsidRDefault="00C7265B" w:rsidP="00F14EA9">
            <w:pPr>
              <w:shd w:val="clear" w:color="auto" w:fill="FFFFFF"/>
              <w:spacing w:before="100" w:beforeAutospacing="1" w:after="100" w:afterAutospacing="1" w:line="240" w:lineRule="atLeast"/>
              <w:rPr>
                <w:sz w:val="20"/>
                <w:lang w:eastAsia="en-AU"/>
              </w:rPr>
            </w:pPr>
            <w:r w:rsidRPr="0086753F">
              <w:rPr>
                <w:color w:val="000000"/>
                <w:sz w:val="20"/>
                <w:lang w:eastAsia="en-AU"/>
              </w:rPr>
              <w:t>Vaginal procedure for excision of graft material in symptomatic patients with graft related complications, including graft related pain or discharge and bleeding related to graft exposure, less than 2cm</w:t>
            </w:r>
            <w:r w:rsidRPr="0086753F">
              <w:rPr>
                <w:sz w:val="20"/>
                <w:vertAlign w:val="superscript"/>
                <w:lang w:val="en-US"/>
              </w:rPr>
              <w:t>2</w:t>
            </w:r>
            <w:r w:rsidRPr="0086753F">
              <w:rPr>
                <w:color w:val="000000"/>
                <w:sz w:val="20"/>
                <w:lang w:eastAsia="en-AU"/>
              </w:rPr>
              <w:t xml:space="preserve"> in its maximum area, either singly or in multiple pieces, other than a service associated with a service to which item 35582 or 35585 applies (H) (</w:t>
            </w:r>
            <w:proofErr w:type="spellStart"/>
            <w:r w:rsidRPr="0086753F">
              <w:rPr>
                <w:color w:val="000000"/>
                <w:sz w:val="20"/>
                <w:lang w:eastAsia="en-AU"/>
              </w:rPr>
              <w:t>Anaes</w:t>
            </w:r>
            <w:proofErr w:type="spellEnd"/>
            <w:r w:rsidRPr="0086753F">
              <w:rPr>
                <w:color w:val="000000"/>
                <w:sz w:val="20"/>
                <w:lang w:eastAsia="en-AU"/>
              </w:rPr>
              <w:t>.) (Assist.)</w:t>
            </w:r>
          </w:p>
        </w:tc>
        <w:tc>
          <w:tcPr>
            <w:tcW w:w="1410"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408CAE6B" w14:textId="77777777" w:rsidR="00C7265B" w:rsidRPr="0086753F" w:rsidRDefault="00C7265B" w:rsidP="00F14EA9">
            <w:pPr>
              <w:keepNext/>
              <w:spacing w:before="60" w:after="60" w:line="276" w:lineRule="auto"/>
              <w:ind w:left="594" w:right="-665"/>
              <w:rPr>
                <w:sz w:val="20"/>
                <w:lang w:eastAsia="en-AU"/>
              </w:rPr>
            </w:pPr>
            <w:r w:rsidRPr="00A8745A">
              <w:rPr>
                <w:sz w:val="20"/>
                <w:lang w:eastAsia="en-AU"/>
              </w:rPr>
              <w:t>562.70</w:t>
            </w:r>
          </w:p>
        </w:tc>
      </w:tr>
      <w:tr w:rsidR="00C7265B" w:rsidRPr="0086753F" w14:paraId="71D77D7E" w14:textId="77777777" w:rsidTr="00F14EA9">
        <w:trPr>
          <w:cantSplit/>
        </w:trPr>
        <w:tc>
          <w:tcPr>
            <w:tcW w:w="1332"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1C75C046" w14:textId="77777777" w:rsidR="00C7265B" w:rsidRPr="0086753F" w:rsidRDefault="00C7265B" w:rsidP="00F14EA9">
            <w:pPr>
              <w:spacing w:before="60" w:after="60" w:line="276" w:lineRule="auto"/>
              <w:rPr>
                <w:sz w:val="20"/>
                <w:lang w:eastAsia="en-AU"/>
              </w:rPr>
            </w:pPr>
            <w:r w:rsidRPr="0086753F">
              <w:rPr>
                <w:color w:val="000000"/>
                <w:sz w:val="20"/>
                <w:lang w:eastAsia="en-AU"/>
              </w:rPr>
              <w:t>35582</w:t>
            </w:r>
          </w:p>
        </w:tc>
        <w:tc>
          <w:tcPr>
            <w:tcW w:w="6031"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6C5DF4CD" w14:textId="77777777" w:rsidR="00C7265B" w:rsidRPr="0086753F" w:rsidRDefault="00C7265B" w:rsidP="00F14EA9">
            <w:pPr>
              <w:shd w:val="clear" w:color="auto" w:fill="FFFFFF"/>
              <w:spacing w:before="100" w:beforeAutospacing="1" w:after="100" w:afterAutospacing="1" w:line="240" w:lineRule="atLeast"/>
              <w:rPr>
                <w:sz w:val="20"/>
                <w:lang w:eastAsia="en-AU"/>
              </w:rPr>
            </w:pPr>
            <w:r w:rsidRPr="0086753F">
              <w:rPr>
                <w:color w:val="000000"/>
                <w:sz w:val="20"/>
                <w:lang w:eastAsia="en-AU"/>
              </w:rPr>
              <w:t>Vaginal procedure for excision of graft material in symptomatic patients with graft related complications, including graft related pain or discharge and bleeding related to graft exposure, more than 2cm</w:t>
            </w:r>
            <w:r w:rsidRPr="0086753F">
              <w:rPr>
                <w:sz w:val="20"/>
                <w:vertAlign w:val="superscript"/>
                <w:lang w:val="en-US"/>
              </w:rPr>
              <w:t xml:space="preserve">2 </w:t>
            </w:r>
            <w:r w:rsidRPr="0086753F">
              <w:rPr>
                <w:color w:val="000000"/>
                <w:sz w:val="20"/>
                <w:lang w:eastAsia="en-AU"/>
              </w:rPr>
              <w:t>in its maximum area, either singly or in multiple pieces, other than a service associated with a service to which item 35581 or 35585 applies (H) (</w:t>
            </w:r>
            <w:proofErr w:type="spellStart"/>
            <w:r w:rsidRPr="0086753F">
              <w:rPr>
                <w:color w:val="000000"/>
                <w:sz w:val="20"/>
                <w:lang w:eastAsia="en-AU"/>
              </w:rPr>
              <w:t>Anaes</w:t>
            </w:r>
            <w:proofErr w:type="spellEnd"/>
            <w:r w:rsidRPr="0086753F">
              <w:rPr>
                <w:color w:val="000000"/>
                <w:sz w:val="20"/>
                <w:lang w:eastAsia="en-AU"/>
              </w:rPr>
              <w:t>.) (Assist.)</w:t>
            </w:r>
          </w:p>
        </w:tc>
        <w:tc>
          <w:tcPr>
            <w:tcW w:w="1410"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6B853F3A" w14:textId="77777777" w:rsidR="00C7265B" w:rsidRPr="0086753F" w:rsidRDefault="00C7265B" w:rsidP="00F14EA9">
            <w:pPr>
              <w:keepNext/>
              <w:spacing w:before="60" w:after="60" w:line="276" w:lineRule="auto"/>
              <w:ind w:left="594" w:right="-229"/>
              <w:rPr>
                <w:sz w:val="20"/>
                <w:lang w:eastAsia="en-AU"/>
              </w:rPr>
            </w:pPr>
            <w:r w:rsidRPr="00A8745A">
              <w:rPr>
                <w:sz w:val="20"/>
                <w:lang w:eastAsia="en-AU"/>
              </w:rPr>
              <w:t>844.20</w:t>
            </w:r>
          </w:p>
        </w:tc>
      </w:tr>
      <w:tr w:rsidR="00C7265B" w:rsidRPr="0086753F" w14:paraId="1C525FB7" w14:textId="77777777" w:rsidTr="00F14EA9">
        <w:trPr>
          <w:cantSplit/>
          <w:trHeight w:val="20"/>
        </w:trPr>
        <w:tc>
          <w:tcPr>
            <w:tcW w:w="1332"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72F63A7D" w14:textId="77777777" w:rsidR="00C7265B" w:rsidRPr="0086753F" w:rsidRDefault="00C7265B" w:rsidP="00F14EA9">
            <w:pPr>
              <w:spacing w:before="60" w:after="60" w:line="276" w:lineRule="auto"/>
              <w:rPr>
                <w:sz w:val="20"/>
                <w:lang w:eastAsia="en-AU"/>
              </w:rPr>
            </w:pPr>
            <w:r w:rsidRPr="0086753F">
              <w:rPr>
                <w:color w:val="000000"/>
                <w:sz w:val="20"/>
                <w:lang w:eastAsia="en-AU"/>
              </w:rPr>
              <w:t>35585</w:t>
            </w:r>
          </w:p>
        </w:tc>
        <w:tc>
          <w:tcPr>
            <w:tcW w:w="6031"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6B2EC704" w14:textId="77777777" w:rsidR="00C7265B" w:rsidRPr="0086753F" w:rsidRDefault="00C7265B" w:rsidP="00F14EA9">
            <w:pPr>
              <w:shd w:val="clear" w:color="auto" w:fill="FFFFFF"/>
              <w:spacing w:before="100" w:beforeAutospacing="1" w:line="240" w:lineRule="atLeast"/>
              <w:rPr>
                <w:sz w:val="20"/>
                <w:lang w:eastAsia="en-AU"/>
              </w:rPr>
            </w:pPr>
            <w:r w:rsidRPr="0086753F">
              <w:rPr>
                <w:color w:val="000000"/>
                <w:sz w:val="20"/>
                <w:lang w:eastAsia="en-AU"/>
              </w:rPr>
              <w:t>Abdominal procedure either open, laparoscopic or robotic, for removal of graft material in patients symptomatic with graft related complications, including graft related pain or discharge and bleeding related to graft exposure or where the graft has penetrated adjacent organs such as the bladder (including urethra) or bowel, including retroperitoneal dissection and mobilisation of bladder and/or bowel, other than a service associated with a service to which item 35581 or 35582 applies (H) (</w:t>
            </w:r>
            <w:proofErr w:type="spellStart"/>
            <w:r w:rsidRPr="0086753F">
              <w:rPr>
                <w:color w:val="000000"/>
                <w:sz w:val="20"/>
                <w:lang w:eastAsia="en-AU"/>
              </w:rPr>
              <w:t>Anaes</w:t>
            </w:r>
            <w:proofErr w:type="spellEnd"/>
            <w:r w:rsidRPr="0086753F">
              <w:rPr>
                <w:color w:val="000000"/>
                <w:sz w:val="20"/>
                <w:lang w:eastAsia="en-AU"/>
              </w:rPr>
              <w:t>.) (Assist.)</w:t>
            </w:r>
          </w:p>
        </w:tc>
        <w:tc>
          <w:tcPr>
            <w:tcW w:w="1410" w:type="dxa"/>
            <w:tcBorders>
              <w:top w:val="single" w:sz="4" w:space="0" w:color="auto"/>
              <w:left w:val="nil"/>
              <w:bottom w:val="single" w:sz="4" w:space="0" w:color="auto"/>
              <w:right w:val="nil"/>
            </w:tcBorders>
            <w:shd w:val="clear" w:color="auto" w:fill="FFFFFF"/>
            <w:tcMar>
              <w:top w:w="0" w:type="dxa"/>
              <w:left w:w="107" w:type="dxa"/>
              <w:bottom w:w="0" w:type="dxa"/>
              <w:right w:w="107" w:type="dxa"/>
            </w:tcMar>
            <w:hideMark/>
          </w:tcPr>
          <w:p w14:paraId="7C95DD29" w14:textId="77777777" w:rsidR="00C7265B" w:rsidRPr="0086753F" w:rsidRDefault="00C7265B" w:rsidP="00F14EA9">
            <w:pPr>
              <w:keepNext/>
              <w:spacing w:before="60" w:after="60" w:line="276" w:lineRule="auto"/>
              <w:ind w:right="-7"/>
              <w:jc w:val="right"/>
              <w:rPr>
                <w:sz w:val="20"/>
                <w:lang w:eastAsia="en-AU"/>
              </w:rPr>
            </w:pPr>
            <w:r w:rsidRPr="00A8745A">
              <w:rPr>
                <w:sz w:val="20"/>
                <w:lang w:eastAsia="en-AU"/>
              </w:rPr>
              <w:t>1</w:t>
            </w:r>
            <w:r>
              <w:rPr>
                <w:sz w:val="20"/>
                <w:lang w:eastAsia="en-AU"/>
              </w:rPr>
              <w:t>,</w:t>
            </w:r>
            <w:r w:rsidRPr="00A8745A">
              <w:rPr>
                <w:sz w:val="20"/>
                <w:lang w:eastAsia="en-AU"/>
              </w:rPr>
              <w:t>496.75</w:t>
            </w:r>
          </w:p>
        </w:tc>
      </w:tr>
    </w:tbl>
    <w:p w14:paraId="1F2E9FA9" w14:textId="77777777" w:rsidR="00C7265B" w:rsidRDefault="00C7265B" w:rsidP="00C7265B">
      <w:pPr>
        <w:rPr>
          <w:i/>
        </w:rPr>
      </w:pPr>
    </w:p>
    <w:p w14:paraId="32E84E17" w14:textId="3F64DBBF" w:rsidR="0059202B" w:rsidRPr="001220AA" w:rsidRDefault="00C7265B" w:rsidP="001220AA">
      <w:pPr>
        <w:pStyle w:val="Heading2"/>
        <w:numPr>
          <w:ilvl w:val="0"/>
          <w:numId w:val="0"/>
        </w:numPr>
        <w:ind w:left="142"/>
        <w:rPr>
          <w:i/>
        </w:rPr>
      </w:pPr>
      <w:bookmarkStart w:id="33" w:name="_Toc4587920"/>
      <w:bookmarkStart w:id="34" w:name="_Toc5806932"/>
      <w:r w:rsidRPr="001220AA">
        <w:rPr>
          <w:i/>
        </w:rPr>
        <w:lastRenderedPageBreak/>
        <w:t>Health Insurance (Section 3C General Medical Services – Unscheduled specialist attendance) Determination 2019</w:t>
      </w:r>
      <w:bookmarkEnd w:id="33"/>
      <w:bookmarkEnd w:id="34"/>
    </w:p>
    <w:p w14:paraId="29722D0D"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115, column 3)</w:t>
      </w:r>
    </w:p>
    <w:p w14:paraId="1C370977" w14:textId="2D08C249" w:rsidR="00C7265B" w:rsidRPr="002B3219" w:rsidRDefault="00C7265B" w:rsidP="00C7265B">
      <w:pPr>
        <w:pStyle w:val="Item"/>
        <w:ind w:left="1134"/>
        <w:rPr>
          <w:sz w:val="24"/>
          <w:szCs w:val="24"/>
        </w:rPr>
      </w:pPr>
      <w:r w:rsidRPr="002B3219">
        <w:rPr>
          <w:sz w:val="24"/>
          <w:szCs w:val="24"/>
        </w:rPr>
        <w:t>Omit “43.65”, substitute “44.35”.</w:t>
      </w:r>
      <w:r w:rsidR="0059202B">
        <w:rPr>
          <w:sz w:val="24"/>
          <w:szCs w:val="24"/>
        </w:rPr>
        <w:br/>
      </w:r>
    </w:p>
    <w:p w14:paraId="0672E77C" w14:textId="77777777" w:rsidR="00C7265B" w:rsidRPr="001220AA" w:rsidRDefault="00C7265B" w:rsidP="001220AA">
      <w:pPr>
        <w:pStyle w:val="Heading2"/>
        <w:numPr>
          <w:ilvl w:val="0"/>
          <w:numId w:val="0"/>
        </w:numPr>
        <w:ind w:left="142"/>
        <w:rPr>
          <w:i/>
        </w:rPr>
      </w:pPr>
      <w:bookmarkStart w:id="35" w:name="_Toc4587921"/>
      <w:bookmarkStart w:id="36" w:name="_Toc5806933"/>
      <w:r w:rsidRPr="001220AA">
        <w:rPr>
          <w:i/>
        </w:rPr>
        <w:t>Health Insurance (Section 3C General Medical Services – Vigilance Testing) Determination 2018</w:t>
      </w:r>
      <w:bookmarkEnd w:id="35"/>
      <w:bookmarkEnd w:id="36"/>
    </w:p>
    <w:p w14:paraId="01273DF1"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Section 6 (below the heading)</w:t>
      </w:r>
    </w:p>
    <w:p w14:paraId="597FFB60" w14:textId="77777777" w:rsidR="00C7265B" w:rsidRPr="002B3219" w:rsidRDefault="00C7265B" w:rsidP="00C7265B">
      <w:pPr>
        <w:pStyle w:val="Item"/>
        <w:ind w:left="720" w:firstLine="414"/>
        <w:rPr>
          <w:sz w:val="24"/>
          <w:szCs w:val="24"/>
        </w:rPr>
      </w:pPr>
      <w:r w:rsidRPr="002B3219">
        <w:rPr>
          <w:sz w:val="24"/>
          <w:szCs w:val="24"/>
        </w:rPr>
        <w:t>Repeal the subsections, substitute:</w:t>
      </w:r>
    </w:p>
    <w:p w14:paraId="1DDB6DE4" w14:textId="77777777" w:rsidR="00C7265B" w:rsidRPr="002B3219" w:rsidRDefault="00C7265B" w:rsidP="00C7265B">
      <w:pPr>
        <w:pStyle w:val="Item"/>
        <w:numPr>
          <w:ilvl w:val="0"/>
          <w:numId w:val="4"/>
        </w:numPr>
        <w:rPr>
          <w:sz w:val="24"/>
          <w:szCs w:val="24"/>
        </w:rPr>
      </w:pPr>
      <w:r w:rsidRPr="002B3219">
        <w:rPr>
          <w:sz w:val="24"/>
          <w:szCs w:val="24"/>
        </w:rPr>
        <w:t xml:space="preserve">Clause 1.2.10 of the general medical services table shall have effect as if item 12254, 12258, 12261, 12265, 12268 and 12272 were also specified in the clause. </w:t>
      </w:r>
    </w:p>
    <w:p w14:paraId="061384DF" w14:textId="77777777" w:rsidR="00C7265B" w:rsidRPr="002B3219" w:rsidRDefault="00C7265B" w:rsidP="00C7265B">
      <w:pPr>
        <w:pStyle w:val="Item"/>
        <w:numPr>
          <w:ilvl w:val="0"/>
          <w:numId w:val="4"/>
        </w:numPr>
        <w:rPr>
          <w:sz w:val="24"/>
          <w:szCs w:val="24"/>
        </w:rPr>
      </w:pPr>
      <w:r w:rsidRPr="002B3219">
        <w:rPr>
          <w:sz w:val="24"/>
          <w:szCs w:val="24"/>
        </w:rPr>
        <w:t xml:space="preserve">Clause 2.36.2 of the general medical services table shall have effect as if item 12261 and 12265 were also specified in subclause 2.36.2(1). </w:t>
      </w:r>
    </w:p>
    <w:p w14:paraId="35DD059A" w14:textId="77777777" w:rsidR="00C7265B" w:rsidRPr="002B3219" w:rsidRDefault="00C7265B" w:rsidP="00C7265B">
      <w:pPr>
        <w:pStyle w:val="Item"/>
        <w:numPr>
          <w:ilvl w:val="0"/>
          <w:numId w:val="4"/>
        </w:numPr>
        <w:rPr>
          <w:sz w:val="24"/>
          <w:szCs w:val="24"/>
        </w:rPr>
      </w:pPr>
      <w:r w:rsidRPr="002B3219">
        <w:rPr>
          <w:sz w:val="24"/>
          <w:szCs w:val="24"/>
        </w:rPr>
        <w:t xml:space="preserve">Clause 2.36.2 of the general medical services table shall have effect as if item 12268 and 12272 were also specified in subclause 2.36.2(2). </w:t>
      </w:r>
    </w:p>
    <w:p w14:paraId="7B2CAD53" w14:textId="77777777" w:rsidR="00C7265B" w:rsidRPr="002B3219" w:rsidRDefault="00C7265B" w:rsidP="00C7265B">
      <w:pPr>
        <w:pStyle w:val="Item"/>
        <w:numPr>
          <w:ilvl w:val="0"/>
          <w:numId w:val="4"/>
        </w:numPr>
        <w:rPr>
          <w:sz w:val="24"/>
          <w:szCs w:val="24"/>
        </w:rPr>
      </w:pPr>
      <w:r w:rsidRPr="002B3219">
        <w:rPr>
          <w:sz w:val="24"/>
          <w:szCs w:val="24"/>
        </w:rPr>
        <w:t>Clause 2.36.2 of the general medical services table shall have effect as if item 12254 and 12258 were also specified in subclause 2.36.2(3).</w:t>
      </w:r>
    </w:p>
    <w:p w14:paraId="7C0234D2"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12254, column 3)</w:t>
      </w:r>
    </w:p>
    <w:p w14:paraId="7BB15D3D" w14:textId="77777777" w:rsidR="00C7265B" w:rsidRPr="002B3219" w:rsidRDefault="00C7265B" w:rsidP="00C7265B">
      <w:pPr>
        <w:pStyle w:val="Item"/>
        <w:ind w:left="1134"/>
        <w:rPr>
          <w:sz w:val="24"/>
          <w:szCs w:val="24"/>
        </w:rPr>
      </w:pPr>
      <w:r w:rsidRPr="002B3219">
        <w:rPr>
          <w:sz w:val="24"/>
          <w:szCs w:val="24"/>
        </w:rPr>
        <w:t>Omit “913.70”, substitute “928.30”.</w:t>
      </w:r>
    </w:p>
    <w:p w14:paraId="5E52DE3A"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12258, column 3)</w:t>
      </w:r>
    </w:p>
    <w:p w14:paraId="2C2434A8" w14:textId="77777777" w:rsidR="00C7265B" w:rsidRPr="002B3219" w:rsidRDefault="00C7265B" w:rsidP="00C7265B">
      <w:pPr>
        <w:pStyle w:val="Item"/>
        <w:ind w:left="1134"/>
        <w:rPr>
          <w:sz w:val="24"/>
          <w:szCs w:val="24"/>
        </w:rPr>
      </w:pPr>
      <w:r w:rsidRPr="002B3219">
        <w:rPr>
          <w:sz w:val="24"/>
          <w:szCs w:val="24"/>
        </w:rPr>
        <w:t>Omit “913.70”, substitute “928.30”.</w:t>
      </w:r>
    </w:p>
    <w:p w14:paraId="0404E5DB"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12261, column 3)</w:t>
      </w:r>
    </w:p>
    <w:p w14:paraId="4AF2A759" w14:textId="77777777" w:rsidR="00C7265B" w:rsidRPr="002B3219" w:rsidRDefault="00C7265B" w:rsidP="00C7265B">
      <w:pPr>
        <w:pStyle w:val="Item"/>
        <w:ind w:left="1134"/>
        <w:rPr>
          <w:sz w:val="24"/>
          <w:szCs w:val="24"/>
        </w:rPr>
      </w:pPr>
      <w:r w:rsidRPr="002B3219">
        <w:rPr>
          <w:sz w:val="24"/>
          <w:szCs w:val="24"/>
        </w:rPr>
        <w:t>Omit “958.00”, substitute “973.35”.</w:t>
      </w:r>
    </w:p>
    <w:p w14:paraId="5A0AE24A"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12265, column 3)</w:t>
      </w:r>
    </w:p>
    <w:p w14:paraId="6E980C5E" w14:textId="77777777" w:rsidR="00C7265B" w:rsidRPr="002B3219" w:rsidRDefault="00C7265B" w:rsidP="00C7265B">
      <w:pPr>
        <w:pStyle w:val="Item"/>
        <w:ind w:left="1134"/>
        <w:rPr>
          <w:sz w:val="24"/>
          <w:szCs w:val="24"/>
        </w:rPr>
      </w:pPr>
      <w:r w:rsidRPr="002B3219">
        <w:rPr>
          <w:sz w:val="24"/>
          <w:szCs w:val="24"/>
        </w:rPr>
        <w:t>Omit “958.00”, substitute “973.35”.</w:t>
      </w:r>
    </w:p>
    <w:p w14:paraId="5A1F6A08"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12268, column 3)</w:t>
      </w:r>
    </w:p>
    <w:p w14:paraId="0233A6BA" w14:textId="77777777" w:rsidR="00C7265B" w:rsidRPr="002B3219" w:rsidRDefault="00C7265B" w:rsidP="00C7265B">
      <w:pPr>
        <w:pStyle w:val="Item"/>
        <w:ind w:left="1134"/>
        <w:rPr>
          <w:sz w:val="24"/>
          <w:szCs w:val="24"/>
        </w:rPr>
      </w:pPr>
      <w:r w:rsidRPr="002B3219">
        <w:rPr>
          <w:sz w:val="24"/>
          <w:szCs w:val="24"/>
        </w:rPr>
        <w:t>Omit “1,027.55”, substitute “1,044.00”.</w:t>
      </w:r>
    </w:p>
    <w:p w14:paraId="128FDDAD" w14:textId="77777777" w:rsidR="00C7265B" w:rsidRPr="002B3219" w:rsidRDefault="00C7265B" w:rsidP="000851CB">
      <w:pPr>
        <w:pStyle w:val="ItemHead"/>
        <w:numPr>
          <w:ilvl w:val="0"/>
          <w:numId w:val="3"/>
        </w:numPr>
        <w:ind w:left="1134" w:hanging="774"/>
        <w:rPr>
          <w:rFonts w:ascii="Times New Roman" w:hAnsi="Times New Roman"/>
          <w:szCs w:val="24"/>
        </w:rPr>
      </w:pPr>
      <w:r w:rsidRPr="002B3219">
        <w:rPr>
          <w:rFonts w:ascii="Times New Roman" w:hAnsi="Times New Roman"/>
          <w:szCs w:val="24"/>
        </w:rPr>
        <w:t>Schedule 1 (item 12272, column 3)</w:t>
      </w:r>
    </w:p>
    <w:p w14:paraId="343800DB" w14:textId="77777777" w:rsidR="00C7265B" w:rsidRPr="002B3219" w:rsidRDefault="00C7265B" w:rsidP="00C7265B">
      <w:pPr>
        <w:pStyle w:val="Item"/>
        <w:ind w:left="1134"/>
        <w:rPr>
          <w:sz w:val="24"/>
          <w:szCs w:val="24"/>
        </w:rPr>
      </w:pPr>
      <w:r w:rsidRPr="002B3219">
        <w:rPr>
          <w:sz w:val="24"/>
          <w:szCs w:val="24"/>
        </w:rPr>
        <w:t>Omit “1,027.55”, substitute “1,044.00”.</w:t>
      </w:r>
    </w:p>
    <w:p w14:paraId="1FC10E1C" w14:textId="75BC1DAE" w:rsidR="00581818" w:rsidRDefault="00581818" w:rsidP="00581818">
      <w:pPr>
        <w:pStyle w:val="ListParagraph"/>
        <w:ind w:left="0"/>
        <w:rPr>
          <w:sz w:val="28"/>
          <w:szCs w:val="28"/>
          <w:highlight w:val="yellow"/>
        </w:rPr>
      </w:pPr>
    </w:p>
    <w:p w14:paraId="4CCB99CA" w14:textId="77777777" w:rsidR="00C234C5" w:rsidRDefault="00C234C5" w:rsidP="00581818">
      <w:pPr>
        <w:pStyle w:val="ListParagraph"/>
        <w:ind w:left="0"/>
        <w:rPr>
          <w:sz w:val="28"/>
          <w:szCs w:val="28"/>
          <w:highlight w:val="yellow"/>
        </w:rPr>
      </w:pPr>
    </w:p>
    <w:p w14:paraId="0E57F455" w14:textId="7D4486F5" w:rsidR="00581818" w:rsidRDefault="00581818" w:rsidP="00581818">
      <w:pPr>
        <w:pStyle w:val="ListParagraph"/>
        <w:ind w:left="0"/>
        <w:rPr>
          <w:sz w:val="28"/>
          <w:szCs w:val="28"/>
          <w:highlight w:val="yellow"/>
        </w:rPr>
      </w:pPr>
    </w:p>
    <w:p w14:paraId="48FA5DDD" w14:textId="77777777" w:rsidR="00581818" w:rsidRPr="0024225E" w:rsidRDefault="00581818" w:rsidP="00581818">
      <w:pPr>
        <w:pStyle w:val="ListParagraph"/>
        <w:ind w:left="0"/>
        <w:rPr>
          <w:sz w:val="28"/>
          <w:szCs w:val="28"/>
          <w:highlight w:val="yellow"/>
        </w:rPr>
      </w:pPr>
    </w:p>
    <w:bookmarkEnd w:id="0"/>
    <w:p w14:paraId="1005342C" w14:textId="77777777" w:rsidR="005D7785" w:rsidRPr="005D50C1" w:rsidRDefault="005D7785" w:rsidP="005D50C1"/>
    <w:sectPr w:rsidR="005D7785" w:rsidRPr="005D50C1" w:rsidSect="006C620E">
      <w:headerReference w:type="even" r:id="rId16"/>
      <w:headerReference w:type="default" r:id="rId17"/>
      <w:footerReference w:type="default" r:id="rId18"/>
      <w:headerReference w:type="first" r:id="rId19"/>
      <w:pgSz w:w="11906" w:h="16838" w:code="9"/>
      <w:pgMar w:top="689" w:right="1440" w:bottom="993" w:left="1440"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ED309" w14:textId="77777777" w:rsidR="00F65662" w:rsidRDefault="00F65662">
      <w:r>
        <w:separator/>
      </w:r>
    </w:p>
  </w:endnote>
  <w:endnote w:type="continuationSeparator" w:id="0">
    <w:p w14:paraId="6BC82BAF" w14:textId="77777777" w:rsidR="00F65662" w:rsidRDefault="00F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E4375F" w14:paraId="3188B4B0" w14:textId="77777777">
      <w:tc>
        <w:tcPr>
          <w:tcW w:w="1701" w:type="dxa"/>
          <w:tcBorders>
            <w:top w:val="single" w:sz="4" w:space="0" w:color="auto"/>
          </w:tcBorders>
        </w:tcPr>
        <w:p w14:paraId="77645BDA" w14:textId="77777777" w:rsidR="00E4375F" w:rsidRDefault="00E4375F">
          <w:pPr>
            <w:pStyle w:val="Footer"/>
          </w:pPr>
        </w:p>
      </w:tc>
      <w:tc>
        <w:tcPr>
          <w:tcW w:w="4933" w:type="dxa"/>
          <w:tcBorders>
            <w:top w:val="single" w:sz="4" w:space="0" w:color="auto"/>
          </w:tcBorders>
        </w:tcPr>
        <w:p w14:paraId="6024BE84" w14:textId="77777777" w:rsidR="00E4375F" w:rsidRDefault="00DF0119">
          <w:pPr>
            <w:pStyle w:val="Footer"/>
            <w:spacing w:before="20" w:line="200" w:lineRule="exact"/>
            <w:jc w:val="center"/>
            <w:rPr>
              <w:i/>
              <w:iCs/>
            </w:rPr>
          </w:pPr>
          <w:bookmarkStart w:id="2" w:name="Title"/>
          <w:bookmarkEnd w:id="2"/>
          <w:r w:rsidRPr="00DF0119">
            <w:rPr>
              <w:i/>
            </w:rPr>
            <w:t>Health Insurance (Optometric services) Determination 2015.</w:t>
          </w:r>
        </w:p>
      </w:tc>
      <w:tc>
        <w:tcPr>
          <w:tcW w:w="1701" w:type="dxa"/>
          <w:tcBorders>
            <w:top w:val="single" w:sz="4" w:space="0" w:color="auto"/>
          </w:tcBorders>
        </w:tcPr>
        <w:p w14:paraId="7CADC5C3" w14:textId="77777777" w:rsidR="00E4375F" w:rsidRDefault="00E4375F">
          <w:pPr>
            <w:pStyle w:val="Footer"/>
            <w:jc w:val="right"/>
          </w:pPr>
          <w:r>
            <w:rPr>
              <w:rStyle w:val="PageNumber"/>
            </w:rPr>
            <w:fldChar w:fldCharType="begin"/>
          </w:r>
          <w:r>
            <w:rPr>
              <w:rStyle w:val="PageNumber"/>
            </w:rPr>
            <w:instrText xml:space="preserve"> PAGE </w:instrText>
          </w:r>
          <w:r>
            <w:rPr>
              <w:rStyle w:val="PageNumber"/>
            </w:rPr>
            <w:fldChar w:fldCharType="separate"/>
          </w:r>
          <w:r w:rsidR="00DF0119">
            <w:rPr>
              <w:rStyle w:val="PageNumber"/>
              <w:noProof/>
            </w:rPr>
            <w:t>4</w:t>
          </w:r>
          <w:r>
            <w:rPr>
              <w:rStyle w:val="PageNumber"/>
            </w:rPr>
            <w:fldChar w:fldCharType="end"/>
          </w:r>
        </w:p>
      </w:tc>
    </w:tr>
  </w:tbl>
  <w:p w14:paraId="64889EAC" w14:textId="77777777" w:rsidR="00E4375F" w:rsidRDefault="00E4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4FCE" w14:textId="77777777" w:rsidR="00E4375F" w:rsidRPr="007129FF" w:rsidRDefault="00E4375F" w:rsidP="00841176">
    <w:pPr>
      <w:pStyle w:val="Footer"/>
      <w:jc w:val="center"/>
    </w:pPr>
    <w:bookmarkStart w:id="3" w:name="IsForm"/>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7655"/>
      <w:gridCol w:w="680"/>
    </w:tblGrid>
    <w:tr w:rsidR="00135B54" w14:paraId="049B9345" w14:textId="77777777" w:rsidTr="00135B54">
      <w:tc>
        <w:tcPr>
          <w:tcW w:w="7655" w:type="dxa"/>
          <w:tcBorders>
            <w:top w:val="single" w:sz="4" w:space="0" w:color="auto"/>
          </w:tcBorders>
        </w:tcPr>
        <w:p w14:paraId="6F2C777B" w14:textId="3CBFF907" w:rsidR="00135B54" w:rsidRPr="00024C54" w:rsidRDefault="00C26951" w:rsidP="007B569E">
          <w:pPr>
            <w:pStyle w:val="Footer"/>
            <w:jc w:val="center"/>
            <w:rPr>
              <w:i/>
              <w:iCs/>
            </w:rPr>
          </w:pPr>
          <w:r w:rsidRPr="00C26951">
            <w:rPr>
              <w:i/>
              <w:iCs/>
            </w:rPr>
            <w:t>Health Insurance (Section 3C General Medical Services – Medicare Indexation) Amendment Determination 2019</w:t>
          </w:r>
        </w:p>
      </w:tc>
      <w:tc>
        <w:tcPr>
          <w:tcW w:w="680" w:type="dxa"/>
          <w:tcBorders>
            <w:top w:val="single" w:sz="4" w:space="0" w:color="auto"/>
          </w:tcBorders>
        </w:tcPr>
        <w:p w14:paraId="17F09BF4" w14:textId="4ED32055" w:rsidR="00135B54" w:rsidRPr="00024C54" w:rsidRDefault="00135B54" w:rsidP="00135B54">
          <w:pPr>
            <w:pStyle w:val="Footer"/>
            <w:jc w:val="center"/>
          </w:pPr>
          <w:r w:rsidRPr="00024C54">
            <w:fldChar w:fldCharType="begin"/>
          </w:r>
          <w:r w:rsidRPr="00024C54">
            <w:instrText xml:space="preserve"> PAGE   \* MERGEFORMAT </w:instrText>
          </w:r>
          <w:r w:rsidRPr="00024C54">
            <w:fldChar w:fldCharType="separate"/>
          </w:r>
          <w:r w:rsidR="00761CAB">
            <w:rPr>
              <w:noProof/>
            </w:rPr>
            <w:t>7</w:t>
          </w:r>
          <w:r w:rsidRPr="00024C54">
            <w:rPr>
              <w:noProof/>
            </w:rPr>
            <w:fldChar w:fldCharType="end"/>
          </w:r>
        </w:p>
      </w:tc>
    </w:tr>
  </w:tbl>
  <w:p w14:paraId="5F6D774F" w14:textId="77777777" w:rsidR="00E4375F" w:rsidRPr="007129FF" w:rsidRDefault="00E4375F" w:rsidP="00DF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F552" w14:textId="77777777" w:rsidR="00F65662" w:rsidRDefault="00F65662">
      <w:r>
        <w:separator/>
      </w:r>
    </w:p>
  </w:footnote>
  <w:footnote w:type="continuationSeparator" w:id="0">
    <w:p w14:paraId="3700CB13" w14:textId="77777777" w:rsidR="00F65662" w:rsidRDefault="00F6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E4375F" w14:paraId="22022C77" w14:textId="77777777">
      <w:trPr>
        <w:jc w:val="center"/>
      </w:trPr>
      <w:tc>
        <w:tcPr>
          <w:tcW w:w="1531" w:type="dxa"/>
        </w:tcPr>
        <w:p w14:paraId="44F79C6D" w14:textId="77777777" w:rsidR="00E4375F" w:rsidRDefault="00E4375F"/>
      </w:tc>
      <w:tc>
        <w:tcPr>
          <w:tcW w:w="6804" w:type="dxa"/>
        </w:tcPr>
        <w:p w14:paraId="6A38D9A3" w14:textId="77777777" w:rsidR="00E4375F" w:rsidRDefault="00E4375F"/>
      </w:tc>
    </w:tr>
    <w:tr w:rsidR="00E4375F" w14:paraId="3FF55448" w14:textId="77777777">
      <w:trPr>
        <w:jc w:val="center"/>
      </w:trPr>
      <w:tc>
        <w:tcPr>
          <w:tcW w:w="1531" w:type="dxa"/>
        </w:tcPr>
        <w:p w14:paraId="48709A6F" w14:textId="77777777" w:rsidR="00E4375F" w:rsidRDefault="00E4375F"/>
      </w:tc>
      <w:tc>
        <w:tcPr>
          <w:tcW w:w="6804" w:type="dxa"/>
        </w:tcPr>
        <w:p w14:paraId="22E17FEC" w14:textId="77777777" w:rsidR="00E4375F" w:rsidRDefault="00E4375F"/>
      </w:tc>
    </w:tr>
    <w:tr w:rsidR="00E4375F" w14:paraId="3AD98771" w14:textId="77777777">
      <w:trPr>
        <w:jc w:val="center"/>
      </w:trPr>
      <w:tc>
        <w:tcPr>
          <w:tcW w:w="1531" w:type="dxa"/>
          <w:tcBorders>
            <w:bottom w:val="single" w:sz="4" w:space="0" w:color="auto"/>
          </w:tcBorders>
        </w:tcPr>
        <w:p w14:paraId="41AF15F0" w14:textId="77777777" w:rsidR="00E4375F" w:rsidRDefault="00E4375F">
          <w:pPr>
            <w:spacing w:before="120" w:after="60"/>
          </w:pPr>
        </w:p>
      </w:tc>
      <w:tc>
        <w:tcPr>
          <w:tcW w:w="6804" w:type="dxa"/>
          <w:tcBorders>
            <w:bottom w:val="single" w:sz="4" w:space="0" w:color="auto"/>
          </w:tcBorders>
        </w:tcPr>
        <w:p w14:paraId="74E97279" w14:textId="77777777" w:rsidR="00E4375F" w:rsidRDefault="00E4375F">
          <w:pPr>
            <w:spacing w:before="120" w:after="60"/>
          </w:pPr>
        </w:p>
      </w:tc>
    </w:tr>
  </w:tbl>
  <w:p w14:paraId="462DBAB7" w14:textId="77777777" w:rsidR="00E4375F" w:rsidRDefault="00E437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43A1" w14:textId="77777777" w:rsidR="00E4375F" w:rsidRPr="00CC2BFC" w:rsidRDefault="00E4375F">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5" w:type="dxa"/>
      <w:jc w:val="center"/>
      <w:tblLayout w:type="fixed"/>
      <w:tblLook w:val="0000" w:firstRow="0" w:lastRow="0" w:firstColumn="0" w:lastColumn="0" w:noHBand="0" w:noVBand="0"/>
    </w:tblPr>
    <w:tblGrid>
      <w:gridCol w:w="8335"/>
    </w:tblGrid>
    <w:tr w:rsidR="00E4375F" w14:paraId="6AE28670" w14:textId="77777777">
      <w:trPr>
        <w:cantSplit/>
        <w:jc w:val="center"/>
      </w:trPr>
      <w:tc>
        <w:tcPr>
          <w:tcW w:w="8335" w:type="dxa"/>
        </w:tcPr>
        <w:p w14:paraId="04A28C06" w14:textId="77777777" w:rsidR="00E4375F" w:rsidRPr="00574A8F" w:rsidRDefault="00E4375F">
          <w:pPr>
            <w:pStyle w:val="Header"/>
            <w:rPr>
              <w:b w:val="0"/>
            </w:rPr>
          </w:pPr>
        </w:p>
      </w:tc>
    </w:tr>
    <w:tr w:rsidR="00E4375F" w14:paraId="00749D71" w14:textId="77777777">
      <w:trPr>
        <w:cantSplit/>
        <w:jc w:val="center"/>
      </w:trPr>
      <w:tc>
        <w:tcPr>
          <w:tcW w:w="8335" w:type="dxa"/>
        </w:tcPr>
        <w:p w14:paraId="0F4C62BD" w14:textId="77777777" w:rsidR="00E4375F" w:rsidRDefault="00E4375F"/>
      </w:tc>
    </w:tr>
    <w:tr w:rsidR="00E4375F" w14:paraId="72D63B4A" w14:textId="77777777">
      <w:trPr>
        <w:cantSplit/>
        <w:jc w:val="center"/>
      </w:trPr>
      <w:tc>
        <w:tcPr>
          <w:tcW w:w="8335" w:type="dxa"/>
          <w:tcBorders>
            <w:bottom w:val="single" w:sz="4" w:space="0" w:color="auto"/>
          </w:tcBorders>
        </w:tcPr>
        <w:p w14:paraId="14C8B50C" w14:textId="77777777" w:rsidR="00E4375F" w:rsidRDefault="00E4375F">
          <w:pPr>
            <w:pStyle w:val="Header"/>
          </w:pPr>
        </w:p>
      </w:tc>
    </w:tr>
  </w:tbl>
  <w:p w14:paraId="1FAD787D" w14:textId="77777777" w:rsidR="00E4375F" w:rsidRDefault="00E4375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335"/>
    </w:tblGrid>
    <w:tr w:rsidR="00E4375F" w14:paraId="31FC622D" w14:textId="77777777">
      <w:trPr>
        <w:cantSplit/>
        <w:jc w:val="center"/>
      </w:trPr>
      <w:tc>
        <w:tcPr>
          <w:tcW w:w="8335" w:type="dxa"/>
        </w:tcPr>
        <w:p w14:paraId="1A906EEE" w14:textId="77777777" w:rsidR="00E4375F" w:rsidRPr="00574A8F" w:rsidRDefault="00E4375F" w:rsidP="00841176">
          <w:pPr>
            <w:pStyle w:val="Header"/>
            <w:tabs>
              <w:tab w:val="clear" w:pos="4153"/>
              <w:tab w:val="left" w:pos="1881"/>
            </w:tabs>
            <w:jc w:val="right"/>
            <w:rPr>
              <w:b w:val="0"/>
            </w:rPr>
          </w:pPr>
        </w:p>
      </w:tc>
    </w:tr>
    <w:tr w:rsidR="00E4375F" w14:paraId="073D3B8B" w14:textId="77777777">
      <w:trPr>
        <w:cantSplit/>
        <w:jc w:val="center"/>
      </w:trPr>
      <w:tc>
        <w:tcPr>
          <w:tcW w:w="8335" w:type="dxa"/>
        </w:tcPr>
        <w:p w14:paraId="3A4F174A" w14:textId="77777777" w:rsidR="00E4375F" w:rsidRDefault="00E4375F"/>
      </w:tc>
    </w:tr>
    <w:tr w:rsidR="00E4375F" w14:paraId="567A3DBE" w14:textId="77777777">
      <w:trPr>
        <w:cantSplit/>
        <w:jc w:val="center"/>
      </w:trPr>
      <w:tc>
        <w:tcPr>
          <w:tcW w:w="8335" w:type="dxa"/>
          <w:tcBorders>
            <w:bottom w:val="single" w:sz="4" w:space="0" w:color="auto"/>
          </w:tcBorders>
        </w:tcPr>
        <w:p w14:paraId="5321E5D0" w14:textId="77777777" w:rsidR="00E4375F" w:rsidRDefault="00E4375F">
          <w:pPr>
            <w:pStyle w:val="Header"/>
          </w:pPr>
        </w:p>
      </w:tc>
    </w:tr>
  </w:tbl>
  <w:p w14:paraId="2A9F926B" w14:textId="77777777" w:rsidR="00E4375F" w:rsidRDefault="00E4375F" w:rsidP="002549C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2B98" w14:textId="77777777" w:rsidR="00E4375F" w:rsidRDefault="00E4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95C"/>
    <w:multiLevelType w:val="hybridMultilevel"/>
    <w:tmpl w:val="BBF43316"/>
    <w:lvl w:ilvl="0" w:tplc="97AAD304">
      <w:start w:val="1"/>
      <w:numFmt w:val="decimal"/>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36A3276"/>
    <w:multiLevelType w:val="hybridMultilevel"/>
    <w:tmpl w:val="257457BE"/>
    <w:lvl w:ilvl="0" w:tplc="9384AAEE">
      <w:start w:val="1"/>
      <w:numFmt w:val="lowerLetter"/>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675B9"/>
    <w:multiLevelType w:val="hybridMultilevel"/>
    <w:tmpl w:val="3058F39A"/>
    <w:lvl w:ilvl="0" w:tplc="822EC3BA">
      <w:start w:val="1"/>
      <w:numFmt w:val="decimal"/>
      <w:lvlText w:val="%1."/>
      <w:lvlJc w:val="left"/>
      <w:pPr>
        <w:ind w:left="1316" w:hanging="465"/>
      </w:pPr>
      <w:rPr>
        <w:rFonts w:ascii="Arial" w:eastAsia="Times New Roman" w:hAnsi="Arial" w:cs="Times New Roman" w:hint="default"/>
        <w:color w:val="0000FF"/>
        <w:sz w:val="20"/>
        <w:u w:val="single"/>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6515C6A"/>
    <w:multiLevelType w:val="hybridMultilevel"/>
    <w:tmpl w:val="257457BE"/>
    <w:lvl w:ilvl="0" w:tplc="9384AAEE">
      <w:start w:val="1"/>
      <w:numFmt w:val="lowerLetter"/>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B64C6"/>
    <w:multiLevelType w:val="hybridMultilevel"/>
    <w:tmpl w:val="338CFBD8"/>
    <w:lvl w:ilvl="0" w:tplc="D02CCE3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D1D7E"/>
    <w:multiLevelType w:val="hybridMultilevel"/>
    <w:tmpl w:val="A794558A"/>
    <w:lvl w:ilvl="0" w:tplc="31481532">
      <w:start w:val="2"/>
      <w:numFmt w:val="decimal"/>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52F660C3"/>
    <w:multiLevelType w:val="hybridMultilevel"/>
    <w:tmpl w:val="AABC839A"/>
    <w:lvl w:ilvl="0" w:tplc="0C09000F">
      <w:start w:val="1"/>
      <w:numFmt w:val="decimal"/>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8" w15:restartNumberingAfterBreak="0">
    <w:nsid w:val="58144413"/>
    <w:multiLevelType w:val="multilevel"/>
    <w:tmpl w:val="9EBAE8C6"/>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9" w15:restartNumberingAfterBreak="0">
    <w:nsid w:val="78830C23"/>
    <w:multiLevelType w:val="hybridMultilevel"/>
    <w:tmpl w:val="8B0E4230"/>
    <w:lvl w:ilvl="0" w:tplc="858AA3EE">
      <w:start w:val="1"/>
      <w:numFmt w:val="decimal"/>
      <w:lvlText w:val="%1."/>
      <w:lvlJc w:val="left"/>
      <w:pPr>
        <w:ind w:left="1211" w:hanging="360"/>
      </w:pPr>
      <w:rPr>
        <w:rFonts w:ascii="Arial" w:eastAsia="Times New Roman" w:hAnsi="Arial" w:cs="Times New Roman" w:hint="default"/>
        <w:color w:val="0000FF"/>
        <w:sz w:val="20"/>
        <w:u w:val="single"/>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8"/>
  </w:num>
  <w:num w:numId="2">
    <w:abstractNumId w:val="6"/>
  </w:num>
  <w:num w:numId="3">
    <w:abstractNumId w:val="4"/>
  </w:num>
  <w:num w:numId="4">
    <w:abstractNumId w:val="0"/>
  </w:num>
  <w:num w:numId="5">
    <w:abstractNumId w:val="5"/>
  </w:num>
  <w:num w:numId="6">
    <w:abstractNumId w:val="7"/>
  </w:num>
  <w:num w:numId="7">
    <w:abstractNumId w:val="9"/>
  </w:num>
  <w:num w:numId="8">
    <w:abstractNumId w:val="3"/>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2"/>
    <w:rsid w:val="00000229"/>
    <w:rsid w:val="0000109E"/>
    <w:rsid w:val="00001370"/>
    <w:rsid w:val="00003B2E"/>
    <w:rsid w:val="00004709"/>
    <w:rsid w:val="00005070"/>
    <w:rsid w:val="0000564A"/>
    <w:rsid w:val="00007C93"/>
    <w:rsid w:val="00007E1C"/>
    <w:rsid w:val="00010000"/>
    <w:rsid w:val="0001225D"/>
    <w:rsid w:val="00012A94"/>
    <w:rsid w:val="0001344B"/>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8A4"/>
    <w:rsid w:val="00036DFF"/>
    <w:rsid w:val="00036E83"/>
    <w:rsid w:val="00037653"/>
    <w:rsid w:val="00040F0C"/>
    <w:rsid w:val="00042AA4"/>
    <w:rsid w:val="00042D09"/>
    <w:rsid w:val="00042F51"/>
    <w:rsid w:val="00043B4E"/>
    <w:rsid w:val="000440F7"/>
    <w:rsid w:val="0005217E"/>
    <w:rsid w:val="000523CC"/>
    <w:rsid w:val="00052CA2"/>
    <w:rsid w:val="00053BD2"/>
    <w:rsid w:val="0005407B"/>
    <w:rsid w:val="000546CB"/>
    <w:rsid w:val="00054FAA"/>
    <w:rsid w:val="000574FA"/>
    <w:rsid w:val="000576EA"/>
    <w:rsid w:val="00061B60"/>
    <w:rsid w:val="00061CC2"/>
    <w:rsid w:val="00061E61"/>
    <w:rsid w:val="00063144"/>
    <w:rsid w:val="00064FF4"/>
    <w:rsid w:val="000653A0"/>
    <w:rsid w:val="0006548A"/>
    <w:rsid w:val="00066FD3"/>
    <w:rsid w:val="000701B7"/>
    <w:rsid w:val="00070884"/>
    <w:rsid w:val="00070B0F"/>
    <w:rsid w:val="00070FEE"/>
    <w:rsid w:val="000715FD"/>
    <w:rsid w:val="00071BCC"/>
    <w:rsid w:val="000730F6"/>
    <w:rsid w:val="00073BA7"/>
    <w:rsid w:val="00077E91"/>
    <w:rsid w:val="0008018A"/>
    <w:rsid w:val="0008019A"/>
    <w:rsid w:val="000803EF"/>
    <w:rsid w:val="00080688"/>
    <w:rsid w:val="00081DE9"/>
    <w:rsid w:val="00082970"/>
    <w:rsid w:val="00084724"/>
    <w:rsid w:val="00084799"/>
    <w:rsid w:val="00084A84"/>
    <w:rsid w:val="00084FAD"/>
    <w:rsid w:val="000851CB"/>
    <w:rsid w:val="000853CE"/>
    <w:rsid w:val="0008594F"/>
    <w:rsid w:val="00087687"/>
    <w:rsid w:val="00090528"/>
    <w:rsid w:val="00090EB0"/>
    <w:rsid w:val="0009295C"/>
    <w:rsid w:val="00092CF9"/>
    <w:rsid w:val="00092D1E"/>
    <w:rsid w:val="00093CB0"/>
    <w:rsid w:val="00093D28"/>
    <w:rsid w:val="00094735"/>
    <w:rsid w:val="00095653"/>
    <w:rsid w:val="000A1960"/>
    <w:rsid w:val="000A32B7"/>
    <w:rsid w:val="000A3A0F"/>
    <w:rsid w:val="000A5835"/>
    <w:rsid w:val="000A6BC6"/>
    <w:rsid w:val="000A727A"/>
    <w:rsid w:val="000A7AEB"/>
    <w:rsid w:val="000B02FB"/>
    <w:rsid w:val="000B291D"/>
    <w:rsid w:val="000B3842"/>
    <w:rsid w:val="000B4829"/>
    <w:rsid w:val="000B5B05"/>
    <w:rsid w:val="000B6146"/>
    <w:rsid w:val="000B760D"/>
    <w:rsid w:val="000B781D"/>
    <w:rsid w:val="000C1853"/>
    <w:rsid w:val="000C1F4B"/>
    <w:rsid w:val="000C2F25"/>
    <w:rsid w:val="000C3E3F"/>
    <w:rsid w:val="000C592B"/>
    <w:rsid w:val="000D207B"/>
    <w:rsid w:val="000D3883"/>
    <w:rsid w:val="000D3C5B"/>
    <w:rsid w:val="000D4374"/>
    <w:rsid w:val="000D438C"/>
    <w:rsid w:val="000D522D"/>
    <w:rsid w:val="000D5347"/>
    <w:rsid w:val="000D5A15"/>
    <w:rsid w:val="000D5EA8"/>
    <w:rsid w:val="000D61DB"/>
    <w:rsid w:val="000D6C6F"/>
    <w:rsid w:val="000D6F75"/>
    <w:rsid w:val="000D7D22"/>
    <w:rsid w:val="000D7F69"/>
    <w:rsid w:val="000E04CA"/>
    <w:rsid w:val="000E09ED"/>
    <w:rsid w:val="000E1B36"/>
    <w:rsid w:val="000E33CE"/>
    <w:rsid w:val="000E3EE3"/>
    <w:rsid w:val="000E3FF8"/>
    <w:rsid w:val="000E4589"/>
    <w:rsid w:val="000E5146"/>
    <w:rsid w:val="000E6FAC"/>
    <w:rsid w:val="000E7353"/>
    <w:rsid w:val="000F0162"/>
    <w:rsid w:val="000F0A4A"/>
    <w:rsid w:val="000F0AB2"/>
    <w:rsid w:val="000F0E6F"/>
    <w:rsid w:val="000F3E57"/>
    <w:rsid w:val="000F400A"/>
    <w:rsid w:val="000F405D"/>
    <w:rsid w:val="000F5465"/>
    <w:rsid w:val="000F5513"/>
    <w:rsid w:val="000F5766"/>
    <w:rsid w:val="000F5A7F"/>
    <w:rsid w:val="000F6E96"/>
    <w:rsid w:val="000F746C"/>
    <w:rsid w:val="000F7C85"/>
    <w:rsid w:val="0010058D"/>
    <w:rsid w:val="00102B42"/>
    <w:rsid w:val="00102F37"/>
    <w:rsid w:val="0010332B"/>
    <w:rsid w:val="00103DFD"/>
    <w:rsid w:val="00103FA9"/>
    <w:rsid w:val="001043FD"/>
    <w:rsid w:val="00104ECC"/>
    <w:rsid w:val="0010567C"/>
    <w:rsid w:val="00107545"/>
    <w:rsid w:val="001078BA"/>
    <w:rsid w:val="00110EC8"/>
    <w:rsid w:val="001110F2"/>
    <w:rsid w:val="00114453"/>
    <w:rsid w:val="001145DD"/>
    <w:rsid w:val="001153E8"/>
    <w:rsid w:val="001155FA"/>
    <w:rsid w:val="00116A17"/>
    <w:rsid w:val="00116EC8"/>
    <w:rsid w:val="00120E09"/>
    <w:rsid w:val="001220AA"/>
    <w:rsid w:val="0012292E"/>
    <w:rsid w:val="001252CE"/>
    <w:rsid w:val="00125D3F"/>
    <w:rsid w:val="0012686F"/>
    <w:rsid w:val="00130252"/>
    <w:rsid w:val="00130DDA"/>
    <w:rsid w:val="0013194A"/>
    <w:rsid w:val="00132747"/>
    <w:rsid w:val="0013278F"/>
    <w:rsid w:val="001328E2"/>
    <w:rsid w:val="00132F45"/>
    <w:rsid w:val="00133B3D"/>
    <w:rsid w:val="001341D1"/>
    <w:rsid w:val="001341E2"/>
    <w:rsid w:val="00134400"/>
    <w:rsid w:val="00134B7F"/>
    <w:rsid w:val="00135B54"/>
    <w:rsid w:val="00136684"/>
    <w:rsid w:val="001369A2"/>
    <w:rsid w:val="001369EB"/>
    <w:rsid w:val="00141727"/>
    <w:rsid w:val="001418A3"/>
    <w:rsid w:val="0014294A"/>
    <w:rsid w:val="00142BD4"/>
    <w:rsid w:val="001452D3"/>
    <w:rsid w:val="001452F0"/>
    <w:rsid w:val="00145C2D"/>
    <w:rsid w:val="001464FF"/>
    <w:rsid w:val="00147C1E"/>
    <w:rsid w:val="00150069"/>
    <w:rsid w:val="0015049C"/>
    <w:rsid w:val="001515A7"/>
    <w:rsid w:val="00153B40"/>
    <w:rsid w:val="00154F1C"/>
    <w:rsid w:val="00155C10"/>
    <w:rsid w:val="0015670F"/>
    <w:rsid w:val="00156731"/>
    <w:rsid w:val="001601E5"/>
    <w:rsid w:val="001618C5"/>
    <w:rsid w:val="00161C55"/>
    <w:rsid w:val="001621AB"/>
    <w:rsid w:val="001624B1"/>
    <w:rsid w:val="001625BE"/>
    <w:rsid w:val="001658AF"/>
    <w:rsid w:val="00166EC9"/>
    <w:rsid w:val="00172419"/>
    <w:rsid w:val="00172F0D"/>
    <w:rsid w:val="0017538D"/>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B31"/>
    <w:rsid w:val="00187E66"/>
    <w:rsid w:val="00190282"/>
    <w:rsid w:val="001906B1"/>
    <w:rsid w:val="001927B4"/>
    <w:rsid w:val="00193308"/>
    <w:rsid w:val="00193B6F"/>
    <w:rsid w:val="00193BFE"/>
    <w:rsid w:val="00194453"/>
    <w:rsid w:val="00195DD6"/>
    <w:rsid w:val="00195E57"/>
    <w:rsid w:val="00196F76"/>
    <w:rsid w:val="0019785D"/>
    <w:rsid w:val="00197CD5"/>
    <w:rsid w:val="00197E5D"/>
    <w:rsid w:val="001A05B3"/>
    <w:rsid w:val="001A0763"/>
    <w:rsid w:val="001A0E63"/>
    <w:rsid w:val="001A28FC"/>
    <w:rsid w:val="001A2BD6"/>
    <w:rsid w:val="001A2D27"/>
    <w:rsid w:val="001A3EA4"/>
    <w:rsid w:val="001A68F9"/>
    <w:rsid w:val="001A726D"/>
    <w:rsid w:val="001A774D"/>
    <w:rsid w:val="001A7821"/>
    <w:rsid w:val="001B038E"/>
    <w:rsid w:val="001B0827"/>
    <w:rsid w:val="001B0AB8"/>
    <w:rsid w:val="001B192C"/>
    <w:rsid w:val="001B231D"/>
    <w:rsid w:val="001B2E51"/>
    <w:rsid w:val="001B4011"/>
    <w:rsid w:val="001B4789"/>
    <w:rsid w:val="001B508B"/>
    <w:rsid w:val="001B5715"/>
    <w:rsid w:val="001B6B4A"/>
    <w:rsid w:val="001B713C"/>
    <w:rsid w:val="001B7994"/>
    <w:rsid w:val="001B7B35"/>
    <w:rsid w:val="001B7D93"/>
    <w:rsid w:val="001C0A0D"/>
    <w:rsid w:val="001C13E6"/>
    <w:rsid w:val="001C21D7"/>
    <w:rsid w:val="001C308B"/>
    <w:rsid w:val="001C5502"/>
    <w:rsid w:val="001D0D0F"/>
    <w:rsid w:val="001D23D5"/>
    <w:rsid w:val="001D46CF"/>
    <w:rsid w:val="001D487C"/>
    <w:rsid w:val="001D5996"/>
    <w:rsid w:val="001D5FA6"/>
    <w:rsid w:val="001D7525"/>
    <w:rsid w:val="001E0BC0"/>
    <w:rsid w:val="001E1ADD"/>
    <w:rsid w:val="001E2C76"/>
    <w:rsid w:val="001E2EDE"/>
    <w:rsid w:val="001E3AB6"/>
    <w:rsid w:val="001E3C77"/>
    <w:rsid w:val="001E4AE1"/>
    <w:rsid w:val="001E61C8"/>
    <w:rsid w:val="001E65CE"/>
    <w:rsid w:val="001E6E87"/>
    <w:rsid w:val="001E7036"/>
    <w:rsid w:val="001E75F8"/>
    <w:rsid w:val="001E7821"/>
    <w:rsid w:val="001F0CD9"/>
    <w:rsid w:val="001F24BF"/>
    <w:rsid w:val="001F44BC"/>
    <w:rsid w:val="001F4EEB"/>
    <w:rsid w:val="001F5773"/>
    <w:rsid w:val="001F5D69"/>
    <w:rsid w:val="001F6869"/>
    <w:rsid w:val="001F6968"/>
    <w:rsid w:val="00200D16"/>
    <w:rsid w:val="00201BD0"/>
    <w:rsid w:val="00202480"/>
    <w:rsid w:val="0020283F"/>
    <w:rsid w:val="00202D78"/>
    <w:rsid w:val="00204A75"/>
    <w:rsid w:val="00204D8A"/>
    <w:rsid w:val="00205A6E"/>
    <w:rsid w:val="00206456"/>
    <w:rsid w:val="00211537"/>
    <w:rsid w:val="00212F5A"/>
    <w:rsid w:val="002140D3"/>
    <w:rsid w:val="00214B8E"/>
    <w:rsid w:val="00215977"/>
    <w:rsid w:val="00215EE0"/>
    <w:rsid w:val="00216908"/>
    <w:rsid w:val="00216CCD"/>
    <w:rsid w:val="00220461"/>
    <w:rsid w:val="00222AA5"/>
    <w:rsid w:val="00222DC2"/>
    <w:rsid w:val="00224DDC"/>
    <w:rsid w:val="002258C8"/>
    <w:rsid w:val="00225D56"/>
    <w:rsid w:val="002262C1"/>
    <w:rsid w:val="00226F46"/>
    <w:rsid w:val="00231936"/>
    <w:rsid w:val="0023194B"/>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49C8"/>
    <w:rsid w:val="00255502"/>
    <w:rsid w:val="00255835"/>
    <w:rsid w:val="00257B3F"/>
    <w:rsid w:val="00257C33"/>
    <w:rsid w:val="00257C53"/>
    <w:rsid w:val="0026481A"/>
    <w:rsid w:val="002670B3"/>
    <w:rsid w:val="00267CD9"/>
    <w:rsid w:val="002706C0"/>
    <w:rsid w:val="00270906"/>
    <w:rsid w:val="00270C34"/>
    <w:rsid w:val="00270D1A"/>
    <w:rsid w:val="00272A95"/>
    <w:rsid w:val="00273043"/>
    <w:rsid w:val="00273A2B"/>
    <w:rsid w:val="00274434"/>
    <w:rsid w:val="00274C8A"/>
    <w:rsid w:val="00275A7F"/>
    <w:rsid w:val="00275B11"/>
    <w:rsid w:val="002762C5"/>
    <w:rsid w:val="00276735"/>
    <w:rsid w:val="00276B3E"/>
    <w:rsid w:val="00276E45"/>
    <w:rsid w:val="00282D1D"/>
    <w:rsid w:val="002833B6"/>
    <w:rsid w:val="00283CCD"/>
    <w:rsid w:val="00283F1C"/>
    <w:rsid w:val="00285347"/>
    <w:rsid w:val="0028714B"/>
    <w:rsid w:val="00287490"/>
    <w:rsid w:val="002877A8"/>
    <w:rsid w:val="00290F4E"/>
    <w:rsid w:val="0029211D"/>
    <w:rsid w:val="00292BF4"/>
    <w:rsid w:val="002939E6"/>
    <w:rsid w:val="002946E5"/>
    <w:rsid w:val="00297601"/>
    <w:rsid w:val="002A01EB"/>
    <w:rsid w:val="002A1281"/>
    <w:rsid w:val="002A5513"/>
    <w:rsid w:val="002A61E4"/>
    <w:rsid w:val="002A6F54"/>
    <w:rsid w:val="002A7043"/>
    <w:rsid w:val="002A7E62"/>
    <w:rsid w:val="002B3219"/>
    <w:rsid w:val="002B3301"/>
    <w:rsid w:val="002B342D"/>
    <w:rsid w:val="002B53DF"/>
    <w:rsid w:val="002B687B"/>
    <w:rsid w:val="002C0A85"/>
    <w:rsid w:val="002C55AC"/>
    <w:rsid w:val="002C7F09"/>
    <w:rsid w:val="002D0721"/>
    <w:rsid w:val="002D0854"/>
    <w:rsid w:val="002D1A27"/>
    <w:rsid w:val="002D1AEC"/>
    <w:rsid w:val="002D2A5E"/>
    <w:rsid w:val="002D35EF"/>
    <w:rsid w:val="002D39DA"/>
    <w:rsid w:val="002D3C9F"/>
    <w:rsid w:val="002D3CEB"/>
    <w:rsid w:val="002D5D0C"/>
    <w:rsid w:val="002D72E1"/>
    <w:rsid w:val="002E0EE2"/>
    <w:rsid w:val="002E0F36"/>
    <w:rsid w:val="002E150D"/>
    <w:rsid w:val="002E2726"/>
    <w:rsid w:val="002E2A4E"/>
    <w:rsid w:val="002E46C6"/>
    <w:rsid w:val="002E5515"/>
    <w:rsid w:val="002E5AFF"/>
    <w:rsid w:val="002E637F"/>
    <w:rsid w:val="002E6FB5"/>
    <w:rsid w:val="002F0901"/>
    <w:rsid w:val="002F1FAC"/>
    <w:rsid w:val="002F26AB"/>
    <w:rsid w:val="002F272F"/>
    <w:rsid w:val="002F2E36"/>
    <w:rsid w:val="002F3C73"/>
    <w:rsid w:val="002F4FE4"/>
    <w:rsid w:val="002F50D5"/>
    <w:rsid w:val="003000B4"/>
    <w:rsid w:val="00300409"/>
    <w:rsid w:val="003006F1"/>
    <w:rsid w:val="00300EFF"/>
    <w:rsid w:val="00301F1B"/>
    <w:rsid w:val="003024C7"/>
    <w:rsid w:val="003026F1"/>
    <w:rsid w:val="00302A2B"/>
    <w:rsid w:val="00304667"/>
    <w:rsid w:val="003100CA"/>
    <w:rsid w:val="00310482"/>
    <w:rsid w:val="003106D1"/>
    <w:rsid w:val="00311112"/>
    <w:rsid w:val="00311B9F"/>
    <w:rsid w:val="003122F1"/>
    <w:rsid w:val="00313A26"/>
    <w:rsid w:val="00313C22"/>
    <w:rsid w:val="00316A27"/>
    <w:rsid w:val="00316A3C"/>
    <w:rsid w:val="00317922"/>
    <w:rsid w:val="00321E90"/>
    <w:rsid w:val="003220F3"/>
    <w:rsid w:val="0032373B"/>
    <w:rsid w:val="003246DC"/>
    <w:rsid w:val="00325CC8"/>
    <w:rsid w:val="0032608C"/>
    <w:rsid w:val="003262E3"/>
    <w:rsid w:val="003329A5"/>
    <w:rsid w:val="003348AC"/>
    <w:rsid w:val="00335A42"/>
    <w:rsid w:val="003361F1"/>
    <w:rsid w:val="003379C9"/>
    <w:rsid w:val="00337E95"/>
    <w:rsid w:val="00340120"/>
    <w:rsid w:val="003413F6"/>
    <w:rsid w:val="003416A3"/>
    <w:rsid w:val="00341F00"/>
    <w:rsid w:val="003431CC"/>
    <w:rsid w:val="00343326"/>
    <w:rsid w:val="003447DC"/>
    <w:rsid w:val="00345481"/>
    <w:rsid w:val="0034650C"/>
    <w:rsid w:val="003472F1"/>
    <w:rsid w:val="003477D7"/>
    <w:rsid w:val="003479DF"/>
    <w:rsid w:val="00350168"/>
    <w:rsid w:val="003510F6"/>
    <w:rsid w:val="00352489"/>
    <w:rsid w:val="00352981"/>
    <w:rsid w:val="00353A54"/>
    <w:rsid w:val="0035439D"/>
    <w:rsid w:val="00354E84"/>
    <w:rsid w:val="0035506C"/>
    <w:rsid w:val="00355DB1"/>
    <w:rsid w:val="003561CB"/>
    <w:rsid w:val="0036232C"/>
    <w:rsid w:val="0036280F"/>
    <w:rsid w:val="00362841"/>
    <w:rsid w:val="003631D7"/>
    <w:rsid w:val="00363B74"/>
    <w:rsid w:val="00364754"/>
    <w:rsid w:val="003663B8"/>
    <w:rsid w:val="00370EA8"/>
    <w:rsid w:val="003725FB"/>
    <w:rsid w:val="00373DE0"/>
    <w:rsid w:val="003741A9"/>
    <w:rsid w:val="003741D5"/>
    <w:rsid w:val="003756D8"/>
    <w:rsid w:val="00381C84"/>
    <w:rsid w:val="00382394"/>
    <w:rsid w:val="0038243C"/>
    <w:rsid w:val="00382D7C"/>
    <w:rsid w:val="00383490"/>
    <w:rsid w:val="003847C9"/>
    <w:rsid w:val="00384C4F"/>
    <w:rsid w:val="00386185"/>
    <w:rsid w:val="00387AF0"/>
    <w:rsid w:val="00391819"/>
    <w:rsid w:val="00392131"/>
    <w:rsid w:val="00392754"/>
    <w:rsid w:val="0039278C"/>
    <w:rsid w:val="00393E16"/>
    <w:rsid w:val="0039443F"/>
    <w:rsid w:val="00395868"/>
    <w:rsid w:val="00396B93"/>
    <w:rsid w:val="003A13CF"/>
    <w:rsid w:val="003A205F"/>
    <w:rsid w:val="003A2EA3"/>
    <w:rsid w:val="003A32A2"/>
    <w:rsid w:val="003A3E68"/>
    <w:rsid w:val="003A5627"/>
    <w:rsid w:val="003A7803"/>
    <w:rsid w:val="003B0CA5"/>
    <w:rsid w:val="003B11E4"/>
    <w:rsid w:val="003B1F98"/>
    <w:rsid w:val="003B2369"/>
    <w:rsid w:val="003B4A89"/>
    <w:rsid w:val="003B5147"/>
    <w:rsid w:val="003B5954"/>
    <w:rsid w:val="003B643B"/>
    <w:rsid w:val="003B6C8C"/>
    <w:rsid w:val="003C1D9B"/>
    <w:rsid w:val="003C296D"/>
    <w:rsid w:val="003C364F"/>
    <w:rsid w:val="003C5383"/>
    <w:rsid w:val="003C64D0"/>
    <w:rsid w:val="003C664B"/>
    <w:rsid w:val="003D007F"/>
    <w:rsid w:val="003D05E7"/>
    <w:rsid w:val="003D0669"/>
    <w:rsid w:val="003D31B0"/>
    <w:rsid w:val="003D3C7C"/>
    <w:rsid w:val="003D4D5C"/>
    <w:rsid w:val="003D4EC6"/>
    <w:rsid w:val="003D764D"/>
    <w:rsid w:val="003E0BC0"/>
    <w:rsid w:val="003E1B8C"/>
    <w:rsid w:val="003E2FB2"/>
    <w:rsid w:val="003E465F"/>
    <w:rsid w:val="003E538D"/>
    <w:rsid w:val="003E7122"/>
    <w:rsid w:val="003E7553"/>
    <w:rsid w:val="003E7822"/>
    <w:rsid w:val="003E7F5D"/>
    <w:rsid w:val="003F058B"/>
    <w:rsid w:val="003F249A"/>
    <w:rsid w:val="003F280C"/>
    <w:rsid w:val="003F29D3"/>
    <w:rsid w:val="003F522D"/>
    <w:rsid w:val="003F71D3"/>
    <w:rsid w:val="0040009B"/>
    <w:rsid w:val="00400D1B"/>
    <w:rsid w:val="004017CF"/>
    <w:rsid w:val="00401AFD"/>
    <w:rsid w:val="0040220A"/>
    <w:rsid w:val="004027F4"/>
    <w:rsid w:val="00404AFD"/>
    <w:rsid w:val="0040584E"/>
    <w:rsid w:val="004067BB"/>
    <w:rsid w:val="00410E34"/>
    <w:rsid w:val="00411A73"/>
    <w:rsid w:val="00411DCE"/>
    <w:rsid w:val="0041478B"/>
    <w:rsid w:val="00414A18"/>
    <w:rsid w:val="0041532A"/>
    <w:rsid w:val="004163A1"/>
    <w:rsid w:val="00417AA5"/>
    <w:rsid w:val="004203B0"/>
    <w:rsid w:val="00420D8C"/>
    <w:rsid w:val="00422168"/>
    <w:rsid w:val="00422191"/>
    <w:rsid w:val="0042335B"/>
    <w:rsid w:val="00424F98"/>
    <w:rsid w:val="004262DA"/>
    <w:rsid w:val="0042696C"/>
    <w:rsid w:val="004326B1"/>
    <w:rsid w:val="0043282C"/>
    <w:rsid w:val="0043293B"/>
    <w:rsid w:val="00433221"/>
    <w:rsid w:val="00433C9C"/>
    <w:rsid w:val="004346F3"/>
    <w:rsid w:val="00434B3D"/>
    <w:rsid w:val="00434C02"/>
    <w:rsid w:val="00435639"/>
    <w:rsid w:val="00436B69"/>
    <w:rsid w:val="00436DD8"/>
    <w:rsid w:val="004372B2"/>
    <w:rsid w:val="0043749A"/>
    <w:rsid w:val="00437A95"/>
    <w:rsid w:val="0044076A"/>
    <w:rsid w:val="004415EC"/>
    <w:rsid w:val="00441A9D"/>
    <w:rsid w:val="00441A9F"/>
    <w:rsid w:val="0044264A"/>
    <w:rsid w:val="004430B5"/>
    <w:rsid w:val="004440B6"/>
    <w:rsid w:val="00445DDF"/>
    <w:rsid w:val="00445FF5"/>
    <w:rsid w:val="0044633F"/>
    <w:rsid w:val="00447346"/>
    <w:rsid w:val="00447B68"/>
    <w:rsid w:val="00447DD6"/>
    <w:rsid w:val="004512B2"/>
    <w:rsid w:val="00452693"/>
    <w:rsid w:val="00453ABB"/>
    <w:rsid w:val="00453F9F"/>
    <w:rsid w:val="00455C94"/>
    <w:rsid w:val="004571A4"/>
    <w:rsid w:val="00460704"/>
    <w:rsid w:val="00464EC2"/>
    <w:rsid w:val="004654AB"/>
    <w:rsid w:val="004662A4"/>
    <w:rsid w:val="00466834"/>
    <w:rsid w:val="00470EF7"/>
    <w:rsid w:val="00471397"/>
    <w:rsid w:val="00472906"/>
    <w:rsid w:val="00474DB6"/>
    <w:rsid w:val="0047655B"/>
    <w:rsid w:val="004765BC"/>
    <w:rsid w:val="00476646"/>
    <w:rsid w:val="00476E70"/>
    <w:rsid w:val="004772D4"/>
    <w:rsid w:val="00480350"/>
    <w:rsid w:val="004816E2"/>
    <w:rsid w:val="004834A3"/>
    <w:rsid w:val="00483AAB"/>
    <w:rsid w:val="00483F90"/>
    <w:rsid w:val="004855F1"/>
    <w:rsid w:val="00485666"/>
    <w:rsid w:val="00485700"/>
    <w:rsid w:val="0048596A"/>
    <w:rsid w:val="00486684"/>
    <w:rsid w:val="00486775"/>
    <w:rsid w:val="00487961"/>
    <w:rsid w:val="00490741"/>
    <w:rsid w:val="00491754"/>
    <w:rsid w:val="00492519"/>
    <w:rsid w:val="00493058"/>
    <w:rsid w:val="004939D8"/>
    <w:rsid w:val="00494483"/>
    <w:rsid w:val="00495C14"/>
    <w:rsid w:val="00496077"/>
    <w:rsid w:val="00496B2E"/>
    <w:rsid w:val="00497761"/>
    <w:rsid w:val="004A2331"/>
    <w:rsid w:val="004A37A0"/>
    <w:rsid w:val="004A4924"/>
    <w:rsid w:val="004A4B2A"/>
    <w:rsid w:val="004A6BC5"/>
    <w:rsid w:val="004A79EB"/>
    <w:rsid w:val="004B011B"/>
    <w:rsid w:val="004B161D"/>
    <w:rsid w:val="004B24DF"/>
    <w:rsid w:val="004B256A"/>
    <w:rsid w:val="004B33D2"/>
    <w:rsid w:val="004B3695"/>
    <w:rsid w:val="004B38E2"/>
    <w:rsid w:val="004B3957"/>
    <w:rsid w:val="004B3F78"/>
    <w:rsid w:val="004B49BF"/>
    <w:rsid w:val="004B52EE"/>
    <w:rsid w:val="004B57DB"/>
    <w:rsid w:val="004B731F"/>
    <w:rsid w:val="004B7AA4"/>
    <w:rsid w:val="004C1B84"/>
    <w:rsid w:val="004C1BEF"/>
    <w:rsid w:val="004C1F51"/>
    <w:rsid w:val="004C2D80"/>
    <w:rsid w:val="004C4DAE"/>
    <w:rsid w:val="004C53FA"/>
    <w:rsid w:val="004C5795"/>
    <w:rsid w:val="004C6D24"/>
    <w:rsid w:val="004C6DDA"/>
    <w:rsid w:val="004C75BA"/>
    <w:rsid w:val="004C76D3"/>
    <w:rsid w:val="004C7C3A"/>
    <w:rsid w:val="004D0CC3"/>
    <w:rsid w:val="004D2A62"/>
    <w:rsid w:val="004D3E27"/>
    <w:rsid w:val="004D411D"/>
    <w:rsid w:val="004D5031"/>
    <w:rsid w:val="004D5597"/>
    <w:rsid w:val="004D626F"/>
    <w:rsid w:val="004D77FD"/>
    <w:rsid w:val="004E10E7"/>
    <w:rsid w:val="004E4CFF"/>
    <w:rsid w:val="004E6DFF"/>
    <w:rsid w:val="004E7546"/>
    <w:rsid w:val="004E7866"/>
    <w:rsid w:val="004F11CD"/>
    <w:rsid w:val="004F1741"/>
    <w:rsid w:val="004F2572"/>
    <w:rsid w:val="004F4419"/>
    <w:rsid w:val="004F4A71"/>
    <w:rsid w:val="004F5356"/>
    <w:rsid w:val="004F53D2"/>
    <w:rsid w:val="004F590E"/>
    <w:rsid w:val="004F7E03"/>
    <w:rsid w:val="0050099B"/>
    <w:rsid w:val="005013A3"/>
    <w:rsid w:val="005013DA"/>
    <w:rsid w:val="005026BD"/>
    <w:rsid w:val="00504307"/>
    <w:rsid w:val="00504E8B"/>
    <w:rsid w:val="00505D3C"/>
    <w:rsid w:val="0050773A"/>
    <w:rsid w:val="0051111A"/>
    <w:rsid w:val="00511DB2"/>
    <w:rsid w:val="0051265B"/>
    <w:rsid w:val="00515715"/>
    <w:rsid w:val="005157D8"/>
    <w:rsid w:val="00515BD6"/>
    <w:rsid w:val="00515EF2"/>
    <w:rsid w:val="0051611B"/>
    <w:rsid w:val="005177FF"/>
    <w:rsid w:val="005214E8"/>
    <w:rsid w:val="00522181"/>
    <w:rsid w:val="0052336D"/>
    <w:rsid w:val="0052358F"/>
    <w:rsid w:val="005240DE"/>
    <w:rsid w:val="005250AE"/>
    <w:rsid w:val="00526307"/>
    <w:rsid w:val="0052644C"/>
    <w:rsid w:val="00526711"/>
    <w:rsid w:val="0053027C"/>
    <w:rsid w:val="0053166E"/>
    <w:rsid w:val="00531AAB"/>
    <w:rsid w:val="0053439A"/>
    <w:rsid w:val="00534457"/>
    <w:rsid w:val="005347A7"/>
    <w:rsid w:val="005356B9"/>
    <w:rsid w:val="00536E88"/>
    <w:rsid w:val="005370F9"/>
    <w:rsid w:val="00537233"/>
    <w:rsid w:val="00537972"/>
    <w:rsid w:val="00537D3D"/>
    <w:rsid w:val="00540E1D"/>
    <w:rsid w:val="005411E9"/>
    <w:rsid w:val="00542604"/>
    <w:rsid w:val="00543047"/>
    <w:rsid w:val="00544B72"/>
    <w:rsid w:val="00544CF0"/>
    <w:rsid w:val="0054734E"/>
    <w:rsid w:val="0055038E"/>
    <w:rsid w:val="00550FCC"/>
    <w:rsid w:val="00552146"/>
    <w:rsid w:val="00554076"/>
    <w:rsid w:val="005543B7"/>
    <w:rsid w:val="00555324"/>
    <w:rsid w:val="00556D24"/>
    <w:rsid w:val="00560385"/>
    <w:rsid w:val="0056366D"/>
    <w:rsid w:val="00563ECC"/>
    <w:rsid w:val="00564F4E"/>
    <w:rsid w:val="0056580B"/>
    <w:rsid w:val="00566F33"/>
    <w:rsid w:val="00567832"/>
    <w:rsid w:val="00570CA8"/>
    <w:rsid w:val="00570D9F"/>
    <w:rsid w:val="00571BE0"/>
    <w:rsid w:val="00571EA0"/>
    <w:rsid w:val="00572E93"/>
    <w:rsid w:val="00574434"/>
    <w:rsid w:val="00574DDC"/>
    <w:rsid w:val="00574FD2"/>
    <w:rsid w:val="00576C86"/>
    <w:rsid w:val="00577D60"/>
    <w:rsid w:val="00580CD9"/>
    <w:rsid w:val="00581818"/>
    <w:rsid w:val="00581D7D"/>
    <w:rsid w:val="00582049"/>
    <w:rsid w:val="00582212"/>
    <w:rsid w:val="00582D9A"/>
    <w:rsid w:val="005835F9"/>
    <w:rsid w:val="00584A00"/>
    <w:rsid w:val="005861F8"/>
    <w:rsid w:val="005864D4"/>
    <w:rsid w:val="00587885"/>
    <w:rsid w:val="00590781"/>
    <w:rsid w:val="0059202B"/>
    <w:rsid w:val="00592973"/>
    <w:rsid w:val="005939D6"/>
    <w:rsid w:val="0059535F"/>
    <w:rsid w:val="00597F21"/>
    <w:rsid w:val="005A007F"/>
    <w:rsid w:val="005A055F"/>
    <w:rsid w:val="005A0570"/>
    <w:rsid w:val="005A0D50"/>
    <w:rsid w:val="005A1FA3"/>
    <w:rsid w:val="005A20B7"/>
    <w:rsid w:val="005A36D3"/>
    <w:rsid w:val="005A3CA2"/>
    <w:rsid w:val="005A53FC"/>
    <w:rsid w:val="005A7F60"/>
    <w:rsid w:val="005B3DE8"/>
    <w:rsid w:val="005B73CA"/>
    <w:rsid w:val="005B740E"/>
    <w:rsid w:val="005B7C60"/>
    <w:rsid w:val="005C3296"/>
    <w:rsid w:val="005C38F5"/>
    <w:rsid w:val="005C5D19"/>
    <w:rsid w:val="005C65A5"/>
    <w:rsid w:val="005C7806"/>
    <w:rsid w:val="005D0FF5"/>
    <w:rsid w:val="005D1370"/>
    <w:rsid w:val="005D225A"/>
    <w:rsid w:val="005D2721"/>
    <w:rsid w:val="005D50C1"/>
    <w:rsid w:val="005D5878"/>
    <w:rsid w:val="005D5D26"/>
    <w:rsid w:val="005D69EB"/>
    <w:rsid w:val="005D7785"/>
    <w:rsid w:val="005E2029"/>
    <w:rsid w:val="005E2230"/>
    <w:rsid w:val="005E2946"/>
    <w:rsid w:val="005E2AC7"/>
    <w:rsid w:val="005E5431"/>
    <w:rsid w:val="005E564B"/>
    <w:rsid w:val="005E7360"/>
    <w:rsid w:val="005F24A3"/>
    <w:rsid w:val="005F2F48"/>
    <w:rsid w:val="005F536A"/>
    <w:rsid w:val="005F694B"/>
    <w:rsid w:val="005F7010"/>
    <w:rsid w:val="005F79D1"/>
    <w:rsid w:val="006010B7"/>
    <w:rsid w:val="00602CFD"/>
    <w:rsid w:val="00602DC8"/>
    <w:rsid w:val="00604E58"/>
    <w:rsid w:val="0060540C"/>
    <w:rsid w:val="00606BDB"/>
    <w:rsid w:val="006073D5"/>
    <w:rsid w:val="006076E5"/>
    <w:rsid w:val="00607805"/>
    <w:rsid w:val="006101E9"/>
    <w:rsid w:val="00611E2F"/>
    <w:rsid w:val="00612102"/>
    <w:rsid w:val="00612993"/>
    <w:rsid w:val="00613A6A"/>
    <w:rsid w:val="00614028"/>
    <w:rsid w:val="006143D0"/>
    <w:rsid w:val="00614C62"/>
    <w:rsid w:val="00615128"/>
    <w:rsid w:val="006152A2"/>
    <w:rsid w:val="00616639"/>
    <w:rsid w:val="00616A7F"/>
    <w:rsid w:val="00616FC1"/>
    <w:rsid w:val="006170B7"/>
    <w:rsid w:val="00617884"/>
    <w:rsid w:val="00617AE9"/>
    <w:rsid w:val="00617E7C"/>
    <w:rsid w:val="006205AA"/>
    <w:rsid w:val="006214BA"/>
    <w:rsid w:val="00622A1C"/>
    <w:rsid w:val="0062451F"/>
    <w:rsid w:val="006252E4"/>
    <w:rsid w:val="00625848"/>
    <w:rsid w:val="00626854"/>
    <w:rsid w:val="006320DE"/>
    <w:rsid w:val="0063276E"/>
    <w:rsid w:val="00635AA4"/>
    <w:rsid w:val="00636D67"/>
    <w:rsid w:val="00637664"/>
    <w:rsid w:val="00642080"/>
    <w:rsid w:val="006429B5"/>
    <w:rsid w:val="00644044"/>
    <w:rsid w:val="006445BF"/>
    <w:rsid w:val="00646CAB"/>
    <w:rsid w:val="0064770D"/>
    <w:rsid w:val="00650C18"/>
    <w:rsid w:val="00650C80"/>
    <w:rsid w:val="00651546"/>
    <w:rsid w:val="00651562"/>
    <w:rsid w:val="0065166E"/>
    <w:rsid w:val="00651B2D"/>
    <w:rsid w:val="006531A1"/>
    <w:rsid w:val="00654034"/>
    <w:rsid w:val="006543A1"/>
    <w:rsid w:val="00654D45"/>
    <w:rsid w:val="00656084"/>
    <w:rsid w:val="006566FB"/>
    <w:rsid w:val="006577C7"/>
    <w:rsid w:val="00660CD3"/>
    <w:rsid w:val="00661F77"/>
    <w:rsid w:val="00662DEE"/>
    <w:rsid w:val="006631F7"/>
    <w:rsid w:val="006633D8"/>
    <w:rsid w:val="0066406D"/>
    <w:rsid w:val="0066480C"/>
    <w:rsid w:val="00664BB0"/>
    <w:rsid w:val="006657A6"/>
    <w:rsid w:val="006657BF"/>
    <w:rsid w:val="00665CC1"/>
    <w:rsid w:val="00666F2C"/>
    <w:rsid w:val="00667AA0"/>
    <w:rsid w:val="00667FDF"/>
    <w:rsid w:val="00670885"/>
    <w:rsid w:val="006719B1"/>
    <w:rsid w:val="006722D9"/>
    <w:rsid w:val="0067230C"/>
    <w:rsid w:val="006729AA"/>
    <w:rsid w:val="00672A8B"/>
    <w:rsid w:val="006742B0"/>
    <w:rsid w:val="006743EC"/>
    <w:rsid w:val="006754B0"/>
    <w:rsid w:val="00676008"/>
    <w:rsid w:val="00676DA6"/>
    <w:rsid w:val="006771F0"/>
    <w:rsid w:val="006837CB"/>
    <w:rsid w:val="00684B9A"/>
    <w:rsid w:val="006852E2"/>
    <w:rsid w:val="006865D2"/>
    <w:rsid w:val="00687C9A"/>
    <w:rsid w:val="00692F64"/>
    <w:rsid w:val="00693084"/>
    <w:rsid w:val="006930C7"/>
    <w:rsid w:val="00695882"/>
    <w:rsid w:val="006958CD"/>
    <w:rsid w:val="0069773E"/>
    <w:rsid w:val="006A02E5"/>
    <w:rsid w:val="006A0833"/>
    <w:rsid w:val="006A1F07"/>
    <w:rsid w:val="006A4BEE"/>
    <w:rsid w:val="006A511F"/>
    <w:rsid w:val="006A5E8C"/>
    <w:rsid w:val="006A6457"/>
    <w:rsid w:val="006A6E5E"/>
    <w:rsid w:val="006A7F18"/>
    <w:rsid w:val="006A7F2B"/>
    <w:rsid w:val="006B0EFF"/>
    <w:rsid w:val="006B1884"/>
    <w:rsid w:val="006B2681"/>
    <w:rsid w:val="006B37EE"/>
    <w:rsid w:val="006B3FE7"/>
    <w:rsid w:val="006B5E07"/>
    <w:rsid w:val="006B673B"/>
    <w:rsid w:val="006B7D14"/>
    <w:rsid w:val="006C1516"/>
    <w:rsid w:val="006C1637"/>
    <w:rsid w:val="006C2240"/>
    <w:rsid w:val="006C2A81"/>
    <w:rsid w:val="006C3027"/>
    <w:rsid w:val="006C3060"/>
    <w:rsid w:val="006C430F"/>
    <w:rsid w:val="006C612F"/>
    <w:rsid w:val="006C61E2"/>
    <w:rsid w:val="006C620E"/>
    <w:rsid w:val="006C7483"/>
    <w:rsid w:val="006D142D"/>
    <w:rsid w:val="006D1579"/>
    <w:rsid w:val="006D2449"/>
    <w:rsid w:val="006D2773"/>
    <w:rsid w:val="006D322D"/>
    <w:rsid w:val="006D402D"/>
    <w:rsid w:val="006D6AD1"/>
    <w:rsid w:val="006D7794"/>
    <w:rsid w:val="006E21B2"/>
    <w:rsid w:val="006E2352"/>
    <w:rsid w:val="006E2428"/>
    <w:rsid w:val="006E402D"/>
    <w:rsid w:val="006E4135"/>
    <w:rsid w:val="006E42E0"/>
    <w:rsid w:val="006E7B69"/>
    <w:rsid w:val="006E7DB2"/>
    <w:rsid w:val="006F2228"/>
    <w:rsid w:val="006F26A0"/>
    <w:rsid w:val="006F3712"/>
    <w:rsid w:val="006F4819"/>
    <w:rsid w:val="006F5710"/>
    <w:rsid w:val="00700323"/>
    <w:rsid w:val="007007F5"/>
    <w:rsid w:val="00700984"/>
    <w:rsid w:val="00700D6A"/>
    <w:rsid w:val="00701FB5"/>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3128"/>
    <w:rsid w:val="00723F31"/>
    <w:rsid w:val="0072407E"/>
    <w:rsid w:val="00724F6C"/>
    <w:rsid w:val="00725920"/>
    <w:rsid w:val="00725BCB"/>
    <w:rsid w:val="007277DD"/>
    <w:rsid w:val="00727802"/>
    <w:rsid w:val="00730505"/>
    <w:rsid w:val="00730813"/>
    <w:rsid w:val="00731B25"/>
    <w:rsid w:val="007321B0"/>
    <w:rsid w:val="007321B7"/>
    <w:rsid w:val="0073334D"/>
    <w:rsid w:val="0073392C"/>
    <w:rsid w:val="00734516"/>
    <w:rsid w:val="007352F5"/>
    <w:rsid w:val="00735F8C"/>
    <w:rsid w:val="00736D20"/>
    <w:rsid w:val="00741AB3"/>
    <w:rsid w:val="0074222B"/>
    <w:rsid w:val="007441BF"/>
    <w:rsid w:val="00745D04"/>
    <w:rsid w:val="00747FCD"/>
    <w:rsid w:val="0075049B"/>
    <w:rsid w:val="00750A6A"/>
    <w:rsid w:val="00751333"/>
    <w:rsid w:val="00751564"/>
    <w:rsid w:val="0075193F"/>
    <w:rsid w:val="007535C1"/>
    <w:rsid w:val="0075381F"/>
    <w:rsid w:val="00753B80"/>
    <w:rsid w:val="0075405F"/>
    <w:rsid w:val="00755175"/>
    <w:rsid w:val="007565BD"/>
    <w:rsid w:val="00757E23"/>
    <w:rsid w:val="007600AE"/>
    <w:rsid w:val="00760635"/>
    <w:rsid w:val="00761CAB"/>
    <w:rsid w:val="00762D85"/>
    <w:rsid w:val="0076303A"/>
    <w:rsid w:val="00763B36"/>
    <w:rsid w:val="00763E01"/>
    <w:rsid w:val="007651CA"/>
    <w:rsid w:val="0076545E"/>
    <w:rsid w:val="00765E2C"/>
    <w:rsid w:val="007663AB"/>
    <w:rsid w:val="00767B06"/>
    <w:rsid w:val="00770718"/>
    <w:rsid w:val="00770CE8"/>
    <w:rsid w:val="00772043"/>
    <w:rsid w:val="00772729"/>
    <w:rsid w:val="00773059"/>
    <w:rsid w:val="0077439B"/>
    <w:rsid w:val="0077507C"/>
    <w:rsid w:val="0077689C"/>
    <w:rsid w:val="00780429"/>
    <w:rsid w:val="00780596"/>
    <w:rsid w:val="0078224F"/>
    <w:rsid w:val="007826A1"/>
    <w:rsid w:val="00782FAF"/>
    <w:rsid w:val="00783365"/>
    <w:rsid w:val="00784188"/>
    <w:rsid w:val="00787304"/>
    <w:rsid w:val="00787BF7"/>
    <w:rsid w:val="00787DD3"/>
    <w:rsid w:val="0079097B"/>
    <w:rsid w:val="00791807"/>
    <w:rsid w:val="00791F8A"/>
    <w:rsid w:val="007920DB"/>
    <w:rsid w:val="00792190"/>
    <w:rsid w:val="0079591A"/>
    <w:rsid w:val="00796221"/>
    <w:rsid w:val="00796610"/>
    <w:rsid w:val="00797451"/>
    <w:rsid w:val="00797BD6"/>
    <w:rsid w:val="00797DC1"/>
    <w:rsid w:val="007A02AB"/>
    <w:rsid w:val="007A0702"/>
    <w:rsid w:val="007A0D22"/>
    <w:rsid w:val="007A1EDA"/>
    <w:rsid w:val="007A29AB"/>
    <w:rsid w:val="007A4C86"/>
    <w:rsid w:val="007A54A2"/>
    <w:rsid w:val="007A5624"/>
    <w:rsid w:val="007A6043"/>
    <w:rsid w:val="007A68AE"/>
    <w:rsid w:val="007A6E0D"/>
    <w:rsid w:val="007A7E3F"/>
    <w:rsid w:val="007B0D80"/>
    <w:rsid w:val="007B1029"/>
    <w:rsid w:val="007B4470"/>
    <w:rsid w:val="007B49FD"/>
    <w:rsid w:val="007B509D"/>
    <w:rsid w:val="007B53A9"/>
    <w:rsid w:val="007B569E"/>
    <w:rsid w:val="007B612A"/>
    <w:rsid w:val="007B6B5D"/>
    <w:rsid w:val="007B77A9"/>
    <w:rsid w:val="007B7902"/>
    <w:rsid w:val="007C04C2"/>
    <w:rsid w:val="007C08C5"/>
    <w:rsid w:val="007C0FCE"/>
    <w:rsid w:val="007C20A6"/>
    <w:rsid w:val="007C25B3"/>
    <w:rsid w:val="007C2F16"/>
    <w:rsid w:val="007C31FE"/>
    <w:rsid w:val="007C36CA"/>
    <w:rsid w:val="007C3B7B"/>
    <w:rsid w:val="007C3E86"/>
    <w:rsid w:val="007C4068"/>
    <w:rsid w:val="007C5202"/>
    <w:rsid w:val="007C5901"/>
    <w:rsid w:val="007C678E"/>
    <w:rsid w:val="007C71AF"/>
    <w:rsid w:val="007D046D"/>
    <w:rsid w:val="007D0CE6"/>
    <w:rsid w:val="007D16AD"/>
    <w:rsid w:val="007D4080"/>
    <w:rsid w:val="007D45D3"/>
    <w:rsid w:val="007D55C7"/>
    <w:rsid w:val="007D576E"/>
    <w:rsid w:val="007D58D4"/>
    <w:rsid w:val="007D5C5F"/>
    <w:rsid w:val="007D6908"/>
    <w:rsid w:val="007D74DF"/>
    <w:rsid w:val="007E1BA3"/>
    <w:rsid w:val="007E1F18"/>
    <w:rsid w:val="007E36C1"/>
    <w:rsid w:val="007E4FE0"/>
    <w:rsid w:val="007E5103"/>
    <w:rsid w:val="007F2268"/>
    <w:rsid w:val="007F33A0"/>
    <w:rsid w:val="007F35E0"/>
    <w:rsid w:val="007F3888"/>
    <w:rsid w:val="007F3C7E"/>
    <w:rsid w:val="007F5A54"/>
    <w:rsid w:val="007F5A62"/>
    <w:rsid w:val="007F74E8"/>
    <w:rsid w:val="007F75EE"/>
    <w:rsid w:val="007F7D23"/>
    <w:rsid w:val="007F7D2A"/>
    <w:rsid w:val="00801C48"/>
    <w:rsid w:val="0080268A"/>
    <w:rsid w:val="00802ABC"/>
    <w:rsid w:val="00803634"/>
    <w:rsid w:val="0080396C"/>
    <w:rsid w:val="008039B2"/>
    <w:rsid w:val="00803ADE"/>
    <w:rsid w:val="00804841"/>
    <w:rsid w:val="00804B94"/>
    <w:rsid w:val="00806831"/>
    <w:rsid w:val="00807BA4"/>
    <w:rsid w:val="00807FDB"/>
    <w:rsid w:val="008106F2"/>
    <w:rsid w:val="00810850"/>
    <w:rsid w:val="00810C5E"/>
    <w:rsid w:val="00812328"/>
    <w:rsid w:val="008127FB"/>
    <w:rsid w:val="00813920"/>
    <w:rsid w:val="00813A91"/>
    <w:rsid w:val="00814903"/>
    <w:rsid w:val="00814DD6"/>
    <w:rsid w:val="00815D16"/>
    <w:rsid w:val="00817C10"/>
    <w:rsid w:val="00817C79"/>
    <w:rsid w:val="0082120D"/>
    <w:rsid w:val="00822498"/>
    <w:rsid w:val="008266F1"/>
    <w:rsid w:val="00827FBE"/>
    <w:rsid w:val="008307F1"/>
    <w:rsid w:val="00830AD7"/>
    <w:rsid w:val="008316EA"/>
    <w:rsid w:val="0083288D"/>
    <w:rsid w:val="0083306C"/>
    <w:rsid w:val="00833448"/>
    <w:rsid w:val="00833D2A"/>
    <w:rsid w:val="0083426F"/>
    <w:rsid w:val="00834309"/>
    <w:rsid w:val="00834987"/>
    <w:rsid w:val="00834ADC"/>
    <w:rsid w:val="00834EA2"/>
    <w:rsid w:val="00840BBB"/>
    <w:rsid w:val="00840EC9"/>
    <w:rsid w:val="00841102"/>
    <w:rsid w:val="00841176"/>
    <w:rsid w:val="00842BA4"/>
    <w:rsid w:val="00843D9E"/>
    <w:rsid w:val="00844A14"/>
    <w:rsid w:val="00846296"/>
    <w:rsid w:val="00846690"/>
    <w:rsid w:val="0084694D"/>
    <w:rsid w:val="00846BB0"/>
    <w:rsid w:val="00850168"/>
    <w:rsid w:val="00850E9E"/>
    <w:rsid w:val="00850EBF"/>
    <w:rsid w:val="00851DFC"/>
    <w:rsid w:val="00852F22"/>
    <w:rsid w:val="00853176"/>
    <w:rsid w:val="00853992"/>
    <w:rsid w:val="00854193"/>
    <w:rsid w:val="0085488E"/>
    <w:rsid w:val="0085578D"/>
    <w:rsid w:val="00855A81"/>
    <w:rsid w:val="00856803"/>
    <w:rsid w:val="0085741C"/>
    <w:rsid w:val="00860B82"/>
    <w:rsid w:val="00860F0F"/>
    <w:rsid w:val="0086280D"/>
    <w:rsid w:val="0086398F"/>
    <w:rsid w:val="008651B0"/>
    <w:rsid w:val="00865753"/>
    <w:rsid w:val="00867402"/>
    <w:rsid w:val="008714BA"/>
    <w:rsid w:val="00871F21"/>
    <w:rsid w:val="008725B2"/>
    <w:rsid w:val="00873B81"/>
    <w:rsid w:val="00874000"/>
    <w:rsid w:val="00875244"/>
    <w:rsid w:val="0087573D"/>
    <w:rsid w:val="00875761"/>
    <w:rsid w:val="00877A81"/>
    <w:rsid w:val="00880FE4"/>
    <w:rsid w:val="00882E85"/>
    <w:rsid w:val="008830AD"/>
    <w:rsid w:val="0088454C"/>
    <w:rsid w:val="0088503C"/>
    <w:rsid w:val="008865D9"/>
    <w:rsid w:val="0088691B"/>
    <w:rsid w:val="00890518"/>
    <w:rsid w:val="008909D8"/>
    <w:rsid w:val="00892287"/>
    <w:rsid w:val="0089242D"/>
    <w:rsid w:val="00892500"/>
    <w:rsid w:val="00892B6C"/>
    <w:rsid w:val="00893F9D"/>
    <w:rsid w:val="00897519"/>
    <w:rsid w:val="00897623"/>
    <w:rsid w:val="008A0783"/>
    <w:rsid w:val="008A0E86"/>
    <w:rsid w:val="008A11AE"/>
    <w:rsid w:val="008A2890"/>
    <w:rsid w:val="008A5DE0"/>
    <w:rsid w:val="008A6DF0"/>
    <w:rsid w:val="008B3387"/>
    <w:rsid w:val="008B539A"/>
    <w:rsid w:val="008B61FC"/>
    <w:rsid w:val="008B6D20"/>
    <w:rsid w:val="008B7248"/>
    <w:rsid w:val="008B7734"/>
    <w:rsid w:val="008C05F9"/>
    <w:rsid w:val="008C09E8"/>
    <w:rsid w:val="008C0AEA"/>
    <w:rsid w:val="008C2265"/>
    <w:rsid w:val="008C2BF4"/>
    <w:rsid w:val="008C3038"/>
    <w:rsid w:val="008C5F35"/>
    <w:rsid w:val="008C78A0"/>
    <w:rsid w:val="008D156A"/>
    <w:rsid w:val="008D1BF5"/>
    <w:rsid w:val="008D2019"/>
    <w:rsid w:val="008D21F6"/>
    <w:rsid w:val="008D2C5F"/>
    <w:rsid w:val="008D2F35"/>
    <w:rsid w:val="008D37F2"/>
    <w:rsid w:val="008D53BE"/>
    <w:rsid w:val="008D5F62"/>
    <w:rsid w:val="008D60C0"/>
    <w:rsid w:val="008D624E"/>
    <w:rsid w:val="008D6E6C"/>
    <w:rsid w:val="008D709B"/>
    <w:rsid w:val="008D78E4"/>
    <w:rsid w:val="008E01D1"/>
    <w:rsid w:val="008E02ED"/>
    <w:rsid w:val="008E0C24"/>
    <w:rsid w:val="008E1C29"/>
    <w:rsid w:val="008E29B1"/>
    <w:rsid w:val="008E2CEB"/>
    <w:rsid w:val="008E463A"/>
    <w:rsid w:val="008E46E7"/>
    <w:rsid w:val="008E47BF"/>
    <w:rsid w:val="008E5D5B"/>
    <w:rsid w:val="008E6C00"/>
    <w:rsid w:val="008E6DD1"/>
    <w:rsid w:val="008E754F"/>
    <w:rsid w:val="008F0706"/>
    <w:rsid w:val="008F0ED9"/>
    <w:rsid w:val="008F1F5F"/>
    <w:rsid w:val="008F1F88"/>
    <w:rsid w:val="008F3A37"/>
    <w:rsid w:val="008F567B"/>
    <w:rsid w:val="008F5C75"/>
    <w:rsid w:val="008F64D7"/>
    <w:rsid w:val="008F6C57"/>
    <w:rsid w:val="008F7022"/>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56F9"/>
    <w:rsid w:val="00925996"/>
    <w:rsid w:val="00931E50"/>
    <w:rsid w:val="009320B2"/>
    <w:rsid w:val="009323DE"/>
    <w:rsid w:val="00932BBE"/>
    <w:rsid w:val="00933D37"/>
    <w:rsid w:val="00934356"/>
    <w:rsid w:val="00936407"/>
    <w:rsid w:val="0093667F"/>
    <w:rsid w:val="00936A67"/>
    <w:rsid w:val="0093777D"/>
    <w:rsid w:val="00937C65"/>
    <w:rsid w:val="00940530"/>
    <w:rsid w:val="009407E2"/>
    <w:rsid w:val="00940C54"/>
    <w:rsid w:val="00940F9C"/>
    <w:rsid w:val="009411BD"/>
    <w:rsid w:val="009426CD"/>
    <w:rsid w:val="0094748A"/>
    <w:rsid w:val="0094799A"/>
    <w:rsid w:val="0095182E"/>
    <w:rsid w:val="009534FC"/>
    <w:rsid w:val="00954440"/>
    <w:rsid w:val="00954700"/>
    <w:rsid w:val="00954C2E"/>
    <w:rsid w:val="00957046"/>
    <w:rsid w:val="00957287"/>
    <w:rsid w:val="00957571"/>
    <w:rsid w:val="009601DB"/>
    <w:rsid w:val="00961AEA"/>
    <w:rsid w:val="00963B8A"/>
    <w:rsid w:val="00964BC2"/>
    <w:rsid w:val="00964DD4"/>
    <w:rsid w:val="00965343"/>
    <w:rsid w:val="009655B3"/>
    <w:rsid w:val="009678B1"/>
    <w:rsid w:val="0097063D"/>
    <w:rsid w:val="009723A5"/>
    <w:rsid w:val="00973058"/>
    <w:rsid w:val="0097307E"/>
    <w:rsid w:val="009740D1"/>
    <w:rsid w:val="0097427D"/>
    <w:rsid w:val="00974286"/>
    <w:rsid w:val="009777CF"/>
    <w:rsid w:val="009818CE"/>
    <w:rsid w:val="00981AB0"/>
    <w:rsid w:val="0098230E"/>
    <w:rsid w:val="009834E2"/>
    <w:rsid w:val="00983B5E"/>
    <w:rsid w:val="0098476F"/>
    <w:rsid w:val="00984BD0"/>
    <w:rsid w:val="00986633"/>
    <w:rsid w:val="00986A72"/>
    <w:rsid w:val="00987364"/>
    <w:rsid w:val="00987961"/>
    <w:rsid w:val="0099025B"/>
    <w:rsid w:val="00991222"/>
    <w:rsid w:val="00991812"/>
    <w:rsid w:val="00993CA6"/>
    <w:rsid w:val="009943FD"/>
    <w:rsid w:val="009955ED"/>
    <w:rsid w:val="00995B47"/>
    <w:rsid w:val="00996DE8"/>
    <w:rsid w:val="009A00D3"/>
    <w:rsid w:val="009A0395"/>
    <w:rsid w:val="009A1CDF"/>
    <w:rsid w:val="009A1DF9"/>
    <w:rsid w:val="009A305F"/>
    <w:rsid w:val="009A3B8B"/>
    <w:rsid w:val="009A3DFD"/>
    <w:rsid w:val="009A40D6"/>
    <w:rsid w:val="009A7635"/>
    <w:rsid w:val="009B0A26"/>
    <w:rsid w:val="009B303C"/>
    <w:rsid w:val="009B3346"/>
    <w:rsid w:val="009B6E8D"/>
    <w:rsid w:val="009C0572"/>
    <w:rsid w:val="009C08B8"/>
    <w:rsid w:val="009C1839"/>
    <w:rsid w:val="009C1BE2"/>
    <w:rsid w:val="009C20DE"/>
    <w:rsid w:val="009C2832"/>
    <w:rsid w:val="009C2D9C"/>
    <w:rsid w:val="009C3CA9"/>
    <w:rsid w:val="009C4268"/>
    <w:rsid w:val="009C590D"/>
    <w:rsid w:val="009C7A89"/>
    <w:rsid w:val="009D3515"/>
    <w:rsid w:val="009D3C4D"/>
    <w:rsid w:val="009D59F8"/>
    <w:rsid w:val="009D6D94"/>
    <w:rsid w:val="009D6F92"/>
    <w:rsid w:val="009E0520"/>
    <w:rsid w:val="009E1F13"/>
    <w:rsid w:val="009E2187"/>
    <w:rsid w:val="009E3C76"/>
    <w:rsid w:val="009E4D7E"/>
    <w:rsid w:val="009F2046"/>
    <w:rsid w:val="009F3BE2"/>
    <w:rsid w:val="009F3C3B"/>
    <w:rsid w:val="009F3D07"/>
    <w:rsid w:val="009F6041"/>
    <w:rsid w:val="009F6D5D"/>
    <w:rsid w:val="009F78A1"/>
    <w:rsid w:val="00A02C45"/>
    <w:rsid w:val="00A06643"/>
    <w:rsid w:val="00A06BA2"/>
    <w:rsid w:val="00A06F59"/>
    <w:rsid w:val="00A07AD4"/>
    <w:rsid w:val="00A07F7E"/>
    <w:rsid w:val="00A109AE"/>
    <w:rsid w:val="00A109F5"/>
    <w:rsid w:val="00A12444"/>
    <w:rsid w:val="00A14584"/>
    <w:rsid w:val="00A15775"/>
    <w:rsid w:val="00A15A2B"/>
    <w:rsid w:val="00A164B1"/>
    <w:rsid w:val="00A1721F"/>
    <w:rsid w:val="00A17531"/>
    <w:rsid w:val="00A17FD9"/>
    <w:rsid w:val="00A208B5"/>
    <w:rsid w:val="00A22D0E"/>
    <w:rsid w:val="00A25901"/>
    <w:rsid w:val="00A25D6E"/>
    <w:rsid w:val="00A25EED"/>
    <w:rsid w:val="00A30227"/>
    <w:rsid w:val="00A30EBC"/>
    <w:rsid w:val="00A324E4"/>
    <w:rsid w:val="00A32706"/>
    <w:rsid w:val="00A32CA8"/>
    <w:rsid w:val="00A331FA"/>
    <w:rsid w:val="00A367C7"/>
    <w:rsid w:val="00A40443"/>
    <w:rsid w:val="00A42289"/>
    <w:rsid w:val="00A4257A"/>
    <w:rsid w:val="00A435BC"/>
    <w:rsid w:val="00A4367A"/>
    <w:rsid w:val="00A440F2"/>
    <w:rsid w:val="00A441B1"/>
    <w:rsid w:val="00A44203"/>
    <w:rsid w:val="00A44A8B"/>
    <w:rsid w:val="00A454A1"/>
    <w:rsid w:val="00A45B4E"/>
    <w:rsid w:val="00A46BC1"/>
    <w:rsid w:val="00A533C7"/>
    <w:rsid w:val="00A550F5"/>
    <w:rsid w:val="00A5563E"/>
    <w:rsid w:val="00A5746C"/>
    <w:rsid w:val="00A574A4"/>
    <w:rsid w:val="00A57B84"/>
    <w:rsid w:val="00A61DC4"/>
    <w:rsid w:val="00A62057"/>
    <w:rsid w:val="00A63429"/>
    <w:rsid w:val="00A64139"/>
    <w:rsid w:val="00A64223"/>
    <w:rsid w:val="00A6488A"/>
    <w:rsid w:val="00A64FCA"/>
    <w:rsid w:val="00A657C3"/>
    <w:rsid w:val="00A66FBB"/>
    <w:rsid w:val="00A706C1"/>
    <w:rsid w:val="00A70B9B"/>
    <w:rsid w:val="00A70FA7"/>
    <w:rsid w:val="00A71283"/>
    <w:rsid w:val="00A73784"/>
    <w:rsid w:val="00A740A2"/>
    <w:rsid w:val="00A740DE"/>
    <w:rsid w:val="00A741F1"/>
    <w:rsid w:val="00A7429B"/>
    <w:rsid w:val="00A7521B"/>
    <w:rsid w:val="00A76022"/>
    <w:rsid w:val="00A77A75"/>
    <w:rsid w:val="00A81401"/>
    <w:rsid w:val="00A81A30"/>
    <w:rsid w:val="00A84165"/>
    <w:rsid w:val="00A84ADD"/>
    <w:rsid w:val="00A87D40"/>
    <w:rsid w:val="00A87E46"/>
    <w:rsid w:val="00A90598"/>
    <w:rsid w:val="00A905DC"/>
    <w:rsid w:val="00A91207"/>
    <w:rsid w:val="00A91E39"/>
    <w:rsid w:val="00A922AC"/>
    <w:rsid w:val="00A92928"/>
    <w:rsid w:val="00A92A5B"/>
    <w:rsid w:val="00A93D1F"/>
    <w:rsid w:val="00A943EC"/>
    <w:rsid w:val="00A9441E"/>
    <w:rsid w:val="00A945AC"/>
    <w:rsid w:val="00A955A3"/>
    <w:rsid w:val="00A95631"/>
    <w:rsid w:val="00A95BFB"/>
    <w:rsid w:val="00A964E5"/>
    <w:rsid w:val="00AA01FE"/>
    <w:rsid w:val="00AA1533"/>
    <w:rsid w:val="00AA16EB"/>
    <w:rsid w:val="00AA22A5"/>
    <w:rsid w:val="00AA2734"/>
    <w:rsid w:val="00AA3097"/>
    <w:rsid w:val="00AA4153"/>
    <w:rsid w:val="00AA52E9"/>
    <w:rsid w:val="00AA5825"/>
    <w:rsid w:val="00AA6204"/>
    <w:rsid w:val="00AA63EA"/>
    <w:rsid w:val="00AA6521"/>
    <w:rsid w:val="00AA670D"/>
    <w:rsid w:val="00AA7006"/>
    <w:rsid w:val="00AA711B"/>
    <w:rsid w:val="00AB076A"/>
    <w:rsid w:val="00AB1539"/>
    <w:rsid w:val="00AB1F5A"/>
    <w:rsid w:val="00AB2D1E"/>
    <w:rsid w:val="00AB4ACA"/>
    <w:rsid w:val="00AB61A5"/>
    <w:rsid w:val="00AB65DC"/>
    <w:rsid w:val="00AB6AE6"/>
    <w:rsid w:val="00AB77FA"/>
    <w:rsid w:val="00AB7D48"/>
    <w:rsid w:val="00AC05FC"/>
    <w:rsid w:val="00AC135E"/>
    <w:rsid w:val="00AC264C"/>
    <w:rsid w:val="00AC2A06"/>
    <w:rsid w:val="00AC36B4"/>
    <w:rsid w:val="00AC3CDE"/>
    <w:rsid w:val="00AC7381"/>
    <w:rsid w:val="00AD03E0"/>
    <w:rsid w:val="00AD19C6"/>
    <w:rsid w:val="00AD566E"/>
    <w:rsid w:val="00AD68DC"/>
    <w:rsid w:val="00AD6D95"/>
    <w:rsid w:val="00AD71A1"/>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B2E"/>
    <w:rsid w:val="00AF6E56"/>
    <w:rsid w:val="00AF749A"/>
    <w:rsid w:val="00B003D2"/>
    <w:rsid w:val="00B00F2C"/>
    <w:rsid w:val="00B03EB7"/>
    <w:rsid w:val="00B04FCE"/>
    <w:rsid w:val="00B056E1"/>
    <w:rsid w:val="00B06949"/>
    <w:rsid w:val="00B07BFA"/>
    <w:rsid w:val="00B07F1D"/>
    <w:rsid w:val="00B10049"/>
    <w:rsid w:val="00B114FC"/>
    <w:rsid w:val="00B11609"/>
    <w:rsid w:val="00B14EB0"/>
    <w:rsid w:val="00B15298"/>
    <w:rsid w:val="00B20ACE"/>
    <w:rsid w:val="00B21776"/>
    <w:rsid w:val="00B22563"/>
    <w:rsid w:val="00B2261F"/>
    <w:rsid w:val="00B24045"/>
    <w:rsid w:val="00B24053"/>
    <w:rsid w:val="00B241EC"/>
    <w:rsid w:val="00B24D31"/>
    <w:rsid w:val="00B2571E"/>
    <w:rsid w:val="00B25C52"/>
    <w:rsid w:val="00B267F9"/>
    <w:rsid w:val="00B2686F"/>
    <w:rsid w:val="00B268AF"/>
    <w:rsid w:val="00B27588"/>
    <w:rsid w:val="00B27C30"/>
    <w:rsid w:val="00B30255"/>
    <w:rsid w:val="00B304C2"/>
    <w:rsid w:val="00B31538"/>
    <w:rsid w:val="00B31FA0"/>
    <w:rsid w:val="00B3204C"/>
    <w:rsid w:val="00B32126"/>
    <w:rsid w:val="00B33849"/>
    <w:rsid w:val="00B354CC"/>
    <w:rsid w:val="00B3643F"/>
    <w:rsid w:val="00B369D8"/>
    <w:rsid w:val="00B372CC"/>
    <w:rsid w:val="00B373FC"/>
    <w:rsid w:val="00B3752B"/>
    <w:rsid w:val="00B409F5"/>
    <w:rsid w:val="00B40E48"/>
    <w:rsid w:val="00B4114D"/>
    <w:rsid w:val="00B419BD"/>
    <w:rsid w:val="00B42AA0"/>
    <w:rsid w:val="00B43824"/>
    <w:rsid w:val="00B440DC"/>
    <w:rsid w:val="00B44761"/>
    <w:rsid w:val="00B4480C"/>
    <w:rsid w:val="00B45D07"/>
    <w:rsid w:val="00B45DDB"/>
    <w:rsid w:val="00B46EDC"/>
    <w:rsid w:val="00B46F02"/>
    <w:rsid w:val="00B47FAC"/>
    <w:rsid w:val="00B50948"/>
    <w:rsid w:val="00B51485"/>
    <w:rsid w:val="00B5338F"/>
    <w:rsid w:val="00B53AA3"/>
    <w:rsid w:val="00B54215"/>
    <w:rsid w:val="00B542D1"/>
    <w:rsid w:val="00B55632"/>
    <w:rsid w:val="00B56147"/>
    <w:rsid w:val="00B56766"/>
    <w:rsid w:val="00B57369"/>
    <w:rsid w:val="00B603D2"/>
    <w:rsid w:val="00B62DEE"/>
    <w:rsid w:val="00B632A6"/>
    <w:rsid w:val="00B64BD0"/>
    <w:rsid w:val="00B65960"/>
    <w:rsid w:val="00B65DC4"/>
    <w:rsid w:val="00B66D60"/>
    <w:rsid w:val="00B66D6A"/>
    <w:rsid w:val="00B67735"/>
    <w:rsid w:val="00B67CBC"/>
    <w:rsid w:val="00B714FB"/>
    <w:rsid w:val="00B71A69"/>
    <w:rsid w:val="00B72775"/>
    <w:rsid w:val="00B727C8"/>
    <w:rsid w:val="00B729A1"/>
    <w:rsid w:val="00B73B62"/>
    <w:rsid w:val="00B74131"/>
    <w:rsid w:val="00B74621"/>
    <w:rsid w:val="00B752EE"/>
    <w:rsid w:val="00B75A8C"/>
    <w:rsid w:val="00B763BE"/>
    <w:rsid w:val="00B778A4"/>
    <w:rsid w:val="00B81193"/>
    <w:rsid w:val="00B825D9"/>
    <w:rsid w:val="00B83170"/>
    <w:rsid w:val="00B8535F"/>
    <w:rsid w:val="00B86FAC"/>
    <w:rsid w:val="00B90EC0"/>
    <w:rsid w:val="00B91CFF"/>
    <w:rsid w:val="00B93014"/>
    <w:rsid w:val="00B93D8A"/>
    <w:rsid w:val="00B95489"/>
    <w:rsid w:val="00B9556E"/>
    <w:rsid w:val="00B9667B"/>
    <w:rsid w:val="00B967CE"/>
    <w:rsid w:val="00B97997"/>
    <w:rsid w:val="00BA0C5A"/>
    <w:rsid w:val="00BA1298"/>
    <w:rsid w:val="00BA12B5"/>
    <w:rsid w:val="00BA1E6D"/>
    <w:rsid w:val="00BA2812"/>
    <w:rsid w:val="00BA397E"/>
    <w:rsid w:val="00BA5678"/>
    <w:rsid w:val="00BA57A5"/>
    <w:rsid w:val="00BA6152"/>
    <w:rsid w:val="00BA74DA"/>
    <w:rsid w:val="00BB002F"/>
    <w:rsid w:val="00BB01AE"/>
    <w:rsid w:val="00BB0985"/>
    <w:rsid w:val="00BB0AF2"/>
    <w:rsid w:val="00BB0F9B"/>
    <w:rsid w:val="00BB1AFB"/>
    <w:rsid w:val="00BB2A50"/>
    <w:rsid w:val="00BB3F9C"/>
    <w:rsid w:val="00BB4529"/>
    <w:rsid w:val="00BB701E"/>
    <w:rsid w:val="00BB746C"/>
    <w:rsid w:val="00BC0B14"/>
    <w:rsid w:val="00BC5481"/>
    <w:rsid w:val="00BC6713"/>
    <w:rsid w:val="00BC7203"/>
    <w:rsid w:val="00BC7EB3"/>
    <w:rsid w:val="00BC7FAE"/>
    <w:rsid w:val="00BD004A"/>
    <w:rsid w:val="00BD1027"/>
    <w:rsid w:val="00BD1520"/>
    <w:rsid w:val="00BD1521"/>
    <w:rsid w:val="00BD3642"/>
    <w:rsid w:val="00BD39BB"/>
    <w:rsid w:val="00BD3C78"/>
    <w:rsid w:val="00BD43AC"/>
    <w:rsid w:val="00BD55F9"/>
    <w:rsid w:val="00BD5E37"/>
    <w:rsid w:val="00BD6230"/>
    <w:rsid w:val="00BE06E2"/>
    <w:rsid w:val="00BE0A43"/>
    <w:rsid w:val="00BE0D6B"/>
    <w:rsid w:val="00BE1C57"/>
    <w:rsid w:val="00BE21EF"/>
    <w:rsid w:val="00BE30AD"/>
    <w:rsid w:val="00BE3407"/>
    <w:rsid w:val="00BE375B"/>
    <w:rsid w:val="00BE4DFF"/>
    <w:rsid w:val="00BE66D7"/>
    <w:rsid w:val="00BE6848"/>
    <w:rsid w:val="00BE740F"/>
    <w:rsid w:val="00BF2066"/>
    <w:rsid w:val="00BF246E"/>
    <w:rsid w:val="00BF26F1"/>
    <w:rsid w:val="00BF2CF5"/>
    <w:rsid w:val="00BF3122"/>
    <w:rsid w:val="00BF4860"/>
    <w:rsid w:val="00BF551B"/>
    <w:rsid w:val="00BF6B3B"/>
    <w:rsid w:val="00BF6E07"/>
    <w:rsid w:val="00C0110C"/>
    <w:rsid w:val="00C0126A"/>
    <w:rsid w:val="00C02B8A"/>
    <w:rsid w:val="00C03CE4"/>
    <w:rsid w:val="00C05116"/>
    <w:rsid w:val="00C05136"/>
    <w:rsid w:val="00C05938"/>
    <w:rsid w:val="00C06C97"/>
    <w:rsid w:val="00C07515"/>
    <w:rsid w:val="00C1019D"/>
    <w:rsid w:val="00C111B6"/>
    <w:rsid w:val="00C11499"/>
    <w:rsid w:val="00C1309C"/>
    <w:rsid w:val="00C14BA1"/>
    <w:rsid w:val="00C14EE1"/>
    <w:rsid w:val="00C1546A"/>
    <w:rsid w:val="00C15500"/>
    <w:rsid w:val="00C159AF"/>
    <w:rsid w:val="00C16786"/>
    <w:rsid w:val="00C20666"/>
    <w:rsid w:val="00C215D7"/>
    <w:rsid w:val="00C21A25"/>
    <w:rsid w:val="00C22B66"/>
    <w:rsid w:val="00C234C5"/>
    <w:rsid w:val="00C23CF8"/>
    <w:rsid w:val="00C26951"/>
    <w:rsid w:val="00C27927"/>
    <w:rsid w:val="00C31424"/>
    <w:rsid w:val="00C348FA"/>
    <w:rsid w:val="00C36063"/>
    <w:rsid w:val="00C3628E"/>
    <w:rsid w:val="00C37705"/>
    <w:rsid w:val="00C4251A"/>
    <w:rsid w:val="00C43D14"/>
    <w:rsid w:val="00C43D79"/>
    <w:rsid w:val="00C44FA6"/>
    <w:rsid w:val="00C450E0"/>
    <w:rsid w:val="00C468DA"/>
    <w:rsid w:val="00C473A6"/>
    <w:rsid w:val="00C4779E"/>
    <w:rsid w:val="00C51B46"/>
    <w:rsid w:val="00C5312A"/>
    <w:rsid w:val="00C537DA"/>
    <w:rsid w:val="00C5394F"/>
    <w:rsid w:val="00C5481E"/>
    <w:rsid w:val="00C54EE1"/>
    <w:rsid w:val="00C5516A"/>
    <w:rsid w:val="00C577B1"/>
    <w:rsid w:val="00C6051C"/>
    <w:rsid w:val="00C605AC"/>
    <w:rsid w:val="00C60A41"/>
    <w:rsid w:val="00C621F6"/>
    <w:rsid w:val="00C62D18"/>
    <w:rsid w:val="00C63131"/>
    <w:rsid w:val="00C633A5"/>
    <w:rsid w:val="00C648CC"/>
    <w:rsid w:val="00C64FDA"/>
    <w:rsid w:val="00C6698C"/>
    <w:rsid w:val="00C70160"/>
    <w:rsid w:val="00C70346"/>
    <w:rsid w:val="00C7083C"/>
    <w:rsid w:val="00C70CAC"/>
    <w:rsid w:val="00C7237E"/>
    <w:rsid w:val="00C7265B"/>
    <w:rsid w:val="00C73B18"/>
    <w:rsid w:val="00C73EDC"/>
    <w:rsid w:val="00C74994"/>
    <w:rsid w:val="00C74E5B"/>
    <w:rsid w:val="00C75BA9"/>
    <w:rsid w:val="00C76DD0"/>
    <w:rsid w:val="00C77F23"/>
    <w:rsid w:val="00C77F51"/>
    <w:rsid w:val="00C80B59"/>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B2"/>
    <w:rsid w:val="00CA4EFE"/>
    <w:rsid w:val="00CA59AE"/>
    <w:rsid w:val="00CA75B5"/>
    <w:rsid w:val="00CA7ADC"/>
    <w:rsid w:val="00CA7C91"/>
    <w:rsid w:val="00CB06F2"/>
    <w:rsid w:val="00CB163C"/>
    <w:rsid w:val="00CB5749"/>
    <w:rsid w:val="00CB6DA5"/>
    <w:rsid w:val="00CC0A5A"/>
    <w:rsid w:val="00CC2BFC"/>
    <w:rsid w:val="00CC339F"/>
    <w:rsid w:val="00CC5223"/>
    <w:rsid w:val="00CC5B1E"/>
    <w:rsid w:val="00CC61D9"/>
    <w:rsid w:val="00CC68C3"/>
    <w:rsid w:val="00CC736D"/>
    <w:rsid w:val="00CC741A"/>
    <w:rsid w:val="00CC7537"/>
    <w:rsid w:val="00CC7AC6"/>
    <w:rsid w:val="00CD3E56"/>
    <w:rsid w:val="00CD4212"/>
    <w:rsid w:val="00CD48DD"/>
    <w:rsid w:val="00CD6D29"/>
    <w:rsid w:val="00CD7119"/>
    <w:rsid w:val="00CD7641"/>
    <w:rsid w:val="00CD77D5"/>
    <w:rsid w:val="00CF04B4"/>
    <w:rsid w:val="00CF0C69"/>
    <w:rsid w:val="00CF1483"/>
    <w:rsid w:val="00CF3BA7"/>
    <w:rsid w:val="00CF3C05"/>
    <w:rsid w:val="00CF3D24"/>
    <w:rsid w:val="00CF49F0"/>
    <w:rsid w:val="00D005BC"/>
    <w:rsid w:val="00D01372"/>
    <w:rsid w:val="00D02A8D"/>
    <w:rsid w:val="00D02C6A"/>
    <w:rsid w:val="00D0309A"/>
    <w:rsid w:val="00D04629"/>
    <w:rsid w:val="00D10B93"/>
    <w:rsid w:val="00D125B4"/>
    <w:rsid w:val="00D128C9"/>
    <w:rsid w:val="00D13D72"/>
    <w:rsid w:val="00D14BCD"/>
    <w:rsid w:val="00D160BB"/>
    <w:rsid w:val="00D1633D"/>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39"/>
    <w:rsid w:val="00D46448"/>
    <w:rsid w:val="00D47872"/>
    <w:rsid w:val="00D5077B"/>
    <w:rsid w:val="00D507A7"/>
    <w:rsid w:val="00D5096C"/>
    <w:rsid w:val="00D51E45"/>
    <w:rsid w:val="00D5211F"/>
    <w:rsid w:val="00D52AFB"/>
    <w:rsid w:val="00D5355E"/>
    <w:rsid w:val="00D55371"/>
    <w:rsid w:val="00D567EB"/>
    <w:rsid w:val="00D56ACA"/>
    <w:rsid w:val="00D61448"/>
    <w:rsid w:val="00D62C4E"/>
    <w:rsid w:val="00D644BC"/>
    <w:rsid w:val="00D6491B"/>
    <w:rsid w:val="00D64FD9"/>
    <w:rsid w:val="00D66D82"/>
    <w:rsid w:val="00D67280"/>
    <w:rsid w:val="00D705F5"/>
    <w:rsid w:val="00D70EF4"/>
    <w:rsid w:val="00D73E26"/>
    <w:rsid w:val="00D743C4"/>
    <w:rsid w:val="00D74E67"/>
    <w:rsid w:val="00D765CC"/>
    <w:rsid w:val="00D7672D"/>
    <w:rsid w:val="00D76FC2"/>
    <w:rsid w:val="00D77568"/>
    <w:rsid w:val="00D77583"/>
    <w:rsid w:val="00D80236"/>
    <w:rsid w:val="00D8032A"/>
    <w:rsid w:val="00D822E1"/>
    <w:rsid w:val="00D82EDA"/>
    <w:rsid w:val="00D83A92"/>
    <w:rsid w:val="00D84A11"/>
    <w:rsid w:val="00D85329"/>
    <w:rsid w:val="00D85F8D"/>
    <w:rsid w:val="00D86190"/>
    <w:rsid w:val="00D868E9"/>
    <w:rsid w:val="00D86DA3"/>
    <w:rsid w:val="00D906F4"/>
    <w:rsid w:val="00D90981"/>
    <w:rsid w:val="00D9180B"/>
    <w:rsid w:val="00D92305"/>
    <w:rsid w:val="00D94DCA"/>
    <w:rsid w:val="00D95ACE"/>
    <w:rsid w:val="00D95D25"/>
    <w:rsid w:val="00D977F6"/>
    <w:rsid w:val="00DA0B43"/>
    <w:rsid w:val="00DA13C0"/>
    <w:rsid w:val="00DA15E5"/>
    <w:rsid w:val="00DA1716"/>
    <w:rsid w:val="00DA2BF7"/>
    <w:rsid w:val="00DA2FB9"/>
    <w:rsid w:val="00DA34A9"/>
    <w:rsid w:val="00DA455D"/>
    <w:rsid w:val="00DA47BE"/>
    <w:rsid w:val="00DA4D2D"/>
    <w:rsid w:val="00DA51F2"/>
    <w:rsid w:val="00DA5F61"/>
    <w:rsid w:val="00DA614F"/>
    <w:rsid w:val="00DA65CA"/>
    <w:rsid w:val="00DA704D"/>
    <w:rsid w:val="00DB01F6"/>
    <w:rsid w:val="00DB113B"/>
    <w:rsid w:val="00DB307C"/>
    <w:rsid w:val="00DB3E72"/>
    <w:rsid w:val="00DB5521"/>
    <w:rsid w:val="00DB56E4"/>
    <w:rsid w:val="00DB5A48"/>
    <w:rsid w:val="00DB627A"/>
    <w:rsid w:val="00DB6B4B"/>
    <w:rsid w:val="00DB6CB4"/>
    <w:rsid w:val="00DB76A5"/>
    <w:rsid w:val="00DB7D1F"/>
    <w:rsid w:val="00DC16C3"/>
    <w:rsid w:val="00DC3499"/>
    <w:rsid w:val="00DC416E"/>
    <w:rsid w:val="00DC574F"/>
    <w:rsid w:val="00DC67BC"/>
    <w:rsid w:val="00DD218D"/>
    <w:rsid w:val="00DD2C1E"/>
    <w:rsid w:val="00DD38E6"/>
    <w:rsid w:val="00DD40E7"/>
    <w:rsid w:val="00DD421B"/>
    <w:rsid w:val="00DD438E"/>
    <w:rsid w:val="00DD4EAB"/>
    <w:rsid w:val="00DD69FD"/>
    <w:rsid w:val="00DD6BA6"/>
    <w:rsid w:val="00DD6ECB"/>
    <w:rsid w:val="00DE2FCD"/>
    <w:rsid w:val="00DE3DEF"/>
    <w:rsid w:val="00DE4D05"/>
    <w:rsid w:val="00DE53BA"/>
    <w:rsid w:val="00DE56A3"/>
    <w:rsid w:val="00DE578B"/>
    <w:rsid w:val="00DE5AE1"/>
    <w:rsid w:val="00DE72BA"/>
    <w:rsid w:val="00DE7A98"/>
    <w:rsid w:val="00DF0119"/>
    <w:rsid w:val="00DF09A3"/>
    <w:rsid w:val="00DF1B78"/>
    <w:rsid w:val="00DF1F1C"/>
    <w:rsid w:val="00DF20B6"/>
    <w:rsid w:val="00DF2AA6"/>
    <w:rsid w:val="00DF402A"/>
    <w:rsid w:val="00DF5062"/>
    <w:rsid w:val="00DF590A"/>
    <w:rsid w:val="00DF5F8B"/>
    <w:rsid w:val="00DF6E70"/>
    <w:rsid w:val="00DF6E87"/>
    <w:rsid w:val="00DF7D62"/>
    <w:rsid w:val="00DF7DF1"/>
    <w:rsid w:val="00E02629"/>
    <w:rsid w:val="00E02A7E"/>
    <w:rsid w:val="00E03FAD"/>
    <w:rsid w:val="00E061E9"/>
    <w:rsid w:val="00E0643B"/>
    <w:rsid w:val="00E07516"/>
    <w:rsid w:val="00E07BD0"/>
    <w:rsid w:val="00E111A5"/>
    <w:rsid w:val="00E11B14"/>
    <w:rsid w:val="00E13911"/>
    <w:rsid w:val="00E14AB5"/>
    <w:rsid w:val="00E15A49"/>
    <w:rsid w:val="00E2000E"/>
    <w:rsid w:val="00E202B0"/>
    <w:rsid w:val="00E23886"/>
    <w:rsid w:val="00E2426A"/>
    <w:rsid w:val="00E24B34"/>
    <w:rsid w:val="00E259C1"/>
    <w:rsid w:val="00E259C4"/>
    <w:rsid w:val="00E26AE6"/>
    <w:rsid w:val="00E303BD"/>
    <w:rsid w:val="00E30A8A"/>
    <w:rsid w:val="00E30F5E"/>
    <w:rsid w:val="00E31CF5"/>
    <w:rsid w:val="00E3220E"/>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6F9"/>
    <w:rsid w:val="00E46F7B"/>
    <w:rsid w:val="00E476D2"/>
    <w:rsid w:val="00E50262"/>
    <w:rsid w:val="00E5070B"/>
    <w:rsid w:val="00E5113E"/>
    <w:rsid w:val="00E525F4"/>
    <w:rsid w:val="00E5407F"/>
    <w:rsid w:val="00E55073"/>
    <w:rsid w:val="00E55328"/>
    <w:rsid w:val="00E55FEE"/>
    <w:rsid w:val="00E56379"/>
    <w:rsid w:val="00E57025"/>
    <w:rsid w:val="00E5746E"/>
    <w:rsid w:val="00E576BC"/>
    <w:rsid w:val="00E57F2F"/>
    <w:rsid w:val="00E60E7B"/>
    <w:rsid w:val="00E62323"/>
    <w:rsid w:val="00E62876"/>
    <w:rsid w:val="00E642D7"/>
    <w:rsid w:val="00E65BC3"/>
    <w:rsid w:val="00E65E20"/>
    <w:rsid w:val="00E668F8"/>
    <w:rsid w:val="00E7208E"/>
    <w:rsid w:val="00E726BF"/>
    <w:rsid w:val="00E73252"/>
    <w:rsid w:val="00E755DC"/>
    <w:rsid w:val="00E760D9"/>
    <w:rsid w:val="00E77C17"/>
    <w:rsid w:val="00E77C27"/>
    <w:rsid w:val="00E77D41"/>
    <w:rsid w:val="00E803AD"/>
    <w:rsid w:val="00E81065"/>
    <w:rsid w:val="00E81F27"/>
    <w:rsid w:val="00E83DE9"/>
    <w:rsid w:val="00E84680"/>
    <w:rsid w:val="00E8553F"/>
    <w:rsid w:val="00E859BF"/>
    <w:rsid w:val="00E859F7"/>
    <w:rsid w:val="00E86318"/>
    <w:rsid w:val="00E8710E"/>
    <w:rsid w:val="00E87D46"/>
    <w:rsid w:val="00E91965"/>
    <w:rsid w:val="00E93A7D"/>
    <w:rsid w:val="00E94612"/>
    <w:rsid w:val="00E95BD9"/>
    <w:rsid w:val="00E97EB4"/>
    <w:rsid w:val="00EA34F7"/>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7C2"/>
    <w:rsid w:val="00EC199A"/>
    <w:rsid w:val="00EC19DE"/>
    <w:rsid w:val="00EC47E2"/>
    <w:rsid w:val="00EC6C91"/>
    <w:rsid w:val="00EC7FC2"/>
    <w:rsid w:val="00ED0D9A"/>
    <w:rsid w:val="00ED2F6E"/>
    <w:rsid w:val="00ED3C8F"/>
    <w:rsid w:val="00ED54B6"/>
    <w:rsid w:val="00ED631B"/>
    <w:rsid w:val="00EE00DC"/>
    <w:rsid w:val="00EE0D28"/>
    <w:rsid w:val="00EE102F"/>
    <w:rsid w:val="00EE142B"/>
    <w:rsid w:val="00EE1F42"/>
    <w:rsid w:val="00EE2CC0"/>
    <w:rsid w:val="00EE2E14"/>
    <w:rsid w:val="00EE2E7B"/>
    <w:rsid w:val="00EE4500"/>
    <w:rsid w:val="00EE475E"/>
    <w:rsid w:val="00EE58EB"/>
    <w:rsid w:val="00EE6811"/>
    <w:rsid w:val="00EE6E21"/>
    <w:rsid w:val="00EE70AB"/>
    <w:rsid w:val="00EE7672"/>
    <w:rsid w:val="00EE7B6F"/>
    <w:rsid w:val="00EF0A25"/>
    <w:rsid w:val="00EF1DF4"/>
    <w:rsid w:val="00EF20B6"/>
    <w:rsid w:val="00EF2420"/>
    <w:rsid w:val="00EF5704"/>
    <w:rsid w:val="00EF5ADE"/>
    <w:rsid w:val="00EF6DBD"/>
    <w:rsid w:val="00F00416"/>
    <w:rsid w:val="00F008CA"/>
    <w:rsid w:val="00F01B0C"/>
    <w:rsid w:val="00F01FEE"/>
    <w:rsid w:val="00F0248E"/>
    <w:rsid w:val="00F025DF"/>
    <w:rsid w:val="00F02B96"/>
    <w:rsid w:val="00F030C5"/>
    <w:rsid w:val="00F103B3"/>
    <w:rsid w:val="00F10F7C"/>
    <w:rsid w:val="00F11260"/>
    <w:rsid w:val="00F115AD"/>
    <w:rsid w:val="00F11A4C"/>
    <w:rsid w:val="00F12963"/>
    <w:rsid w:val="00F12AFA"/>
    <w:rsid w:val="00F14D15"/>
    <w:rsid w:val="00F156C8"/>
    <w:rsid w:val="00F1787D"/>
    <w:rsid w:val="00F217A1"/>
    <w:rsid w:val="00F2202D"/>
    <w:rsid w:val="00F22CED"/>
    <w:rsid w:val="00F23474"/>
    <w:rsid w:val="00F23EB3"/>
    <w:rsid w:val="00F23F87"/>
    <w:rsid w:val="00F263FE"/>
    <w:rsid w:val="00F26481"/>
    <w:rsid w:val="00F26C12"/>
    <w:rsid w:val="00F30569"/>
    <w:rsid w:val="00F31BB4"/>
    <w:rsid w:val="00F330A6"/>
    <w:rsid w:val="00F357BA"/>
    <w:rsid w:val="00F357CF"/>
    <w:rsid w:val="00F36F11"/>
    <w:rsid w:val="00F40EE6"/>
    <w:rsid w:val="00F41C4B"/>
    <w:rsid w:val="00F420F6"/>
    <w:rsid w:val="00F43628"/>
    <w:rsid w:val="00F43642"/>
    <w:rsid w:val="00F46A0D"/>
    <w:rsid w:val="00F46AF0"/>
    <w:rsid w:val="00F47F17"/>
    <w:rsid w:val="00F52072"/>
    <w:rsid w:val="00F5338C"/>
    <w:rsid w:val="00F53866"/>
    <w:rsid w:val="00F53FC3"/>
    <w:rsid w:val="00F55144"/>
    <w:rsid w:val="00F55985"/>
    <w:rsid w:val="00F55AE0"/>
    <w:rsid w:val="00F56833"/>
    <w:rsid w:val="00F56B7C"/>
    <w:rsid w:val="00F5781D"/>
    <w:rsid w:val="00F602E6"/>
    <w:rsid w:val="00F6377E"/>
    <w:rsid w:val="00F647C7"/>
    <w:rsid w:val="00F6489A"/>
    <w:rsid w:val="00F64AB0"/>
    <w:rsid w:val="00F65662"/>
    <w:rsid w:val="00F67F39"/>
    <w:rsid w:val="00F723B4"/>
    <w:rsid w:val="00F72C1B"/>
    <w:rsid w:val="00F72FAE"/>
    <w:rsid w:val="00F737AA"/>
    <w:rsid w:val="00F73958"/>
    <w:rsid w:val="00F753E0"/>
    <w:rsid w:val="00F75F06"/>
    <w:rsid w:val="00F776DF"/>
    <w:rsid w:val="00F77E91"/>
    <w:rsid w:val="00F81571"/>
    <w:rsid w:val="00F829E2"/>
    <w:rsid w:val="00F832D5"/>
    <w:rsid w:val="00F83313"/>
    <w:rsid w:val="00F86A3A"/>
    <w:rsid w:val="00F86E73"/>
    <w:rsid w:val="00F9153A"/>
    <w:rsid w:val="00F91846"/>
    <w:rsid w:val="00F918CC"/>
    <w:rsid w:val="00F9221B"/>
    <w:rsid w:val="00F9291E"/>
    <w:rsid w:val="00F938B2"/>
    <w:rsid w:val="00F94DA4"/>
    <w:rsid w:val="00F96996"/>
    <w:rsid w:val="00F97AD8"/>
    <w:rsid w:val="00FA03AE"/>
    <w:rsid w:val="00FA350C"/>
    <w:rsid w:val="00FA384A"/>
    <w:rsid w:val="00FA6806"/>
    <w:rsid w:val="00FA6D19"/>
    <w:rsid w:val="00FA6E67"/>
    <w:rsid w:val="00FB06D6"/>
    <w:rsid w:val="00FB2E36"/>
    <w:rsid w:val="00FB328C"/>
    <w:rsid w:val="00FB3BA5"/>
    <w:rsid w:val="00FB5F80"/>
    <w:rsid w:val="00FB67BF"/>
    <w:rsid w:val="00FC0826"/>
    <w:rsid w:val="00FC1097"/>
    <w:rsid w:val="00FC1E6F"/>
    <w:rsid w:val="00FC363A"/>
    <w:rsid w:val="00FC4A69"/>
    <w:rsid w:val="00FC4C35"/>
    <w:rsid w:val="00FC56CF"/>
    <w:rsid w:val="00FC5969"/>
    <w:rsid w:val="00FC5CB6"/>
    <w:rsid w:val="00FC6BC2"/>
    <w:rsid w:val="00FD056C"/>
    <w:rsid w:val="00FD1619"/>
    <w:rsid w:val="00FD2B67"/>
    <w:rsid w:val="00FD3520"/>
    <w:rsid w:val="00FD39CA"/>
    <w:rsid w:val="00FD4777"/>
    <w:rsid w:val="00FD5B0C"/>
    <w:rsid w:val="00FD5DDA"/>
    <w:rsid w:val="00FD6EC9"/>
    <w:rsid w:val="00FD741C"/>
    <w:rsid w:val="00FD7DD1"/>
    <w:rsid w:val="00FE16FF"/>
    <w:rsid w:val="00FE21CF"/>
    <w:rsid w:val="00FE37C4"/>
    <w:rsid w:val="00FE4305"/>
    <w:rsid w:val="00FE6F0F"/>
    <w:rsid w:val="00FE70DC"/>
    <w:rsid w:val="00FF3532"/>
    <w:rsid w:val="00FF39F3"/>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303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link w:val="HeaderChar"/>
    <w:uiPriority w:val="99"/>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991222"/>
    <w:pPr>
      <w:tabs>
        <w:tab w:val="left" w:pos="851"/>
        <w:tab w:val="right" w:pos="8363"/>
      </w:tabs>
      <w:spacing w:before="40"/>
      <w:ind w:left="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paragraph" w:customStyle="1" w:styleId="ActHead6">
    <w:name w:val="ActHead 6"/>
    <w:aliases w:val="as"/>
    <w:basedOn w:val="Normal"/>
    <w:next w:val="Normal"/>
    <w:qFormat/>
    <w:rsid w:val="00581818"/>
    <w:pPr>
      <w:keepNext/>
      <w:keepLines/>
      <w:autoSpaceDE/>
      <w:autoSpaceDN/>
      <w:ind w:left="1134" w:hanging="1134"/>
      <w:outlineLvl w:val="5"/>
    </w:pPr>
    <w:rPr>
      <w:rFonts w:ascii="Arial" w:hAnsi="Arial"/>
      <w:b/>
      <w:kern w:val="28"/>
      <w:sz w:val="32"/>
      <w:szCs w:val="20"/>
      <w:lang w:eastAsia="en-AU"/>
    </w:rPr>
  </w:style>
  <w:style w:type="character" w:customStyle="1" w:styleId="CharAmSchNo">
    <w:name w:val="CharAmSchNo"/>
    <w:basedOn w:val="DefaultParagraphFont"/>
    <w:qFormat/>
    <w:rsid w:val="00581818"/>
  </w:style>
  <w:style w:type="paragraph" w:customStyle="1" w:styleId="Tabletext1">
    <w:name w:val="Table text"/>
    <w:basedOn w:val="Normal"/>
    <w:link w:val="TabletextChar"/>
    <w:qFormat/>
    <w:rsid w:val="00C234C5"/>
    <w:pPr>
      <w:keepLines/>
      <w:autoSpaceDE/>
      <w:autoSpaceDN/>
      <w:spacing w:before="40" w:after="40"/>
    </w:pPr>
    <w:rPr>
      <w:rFonts w:ascii="Arial Narrow" w:hAnsi="Arial Narrow" w:cs="Tahoma"/>
      <w:sz w:val="20"/>
      <w:szCs w:val="20"/>
      <w:lang w:val="en-GB"/>
    </w:rPr>
  </w:style>
  <w:style w:type="character" w:customStyle="1" w:styleId="TabletextChar">
    <w:name w:val="Table text Char"/>
    <w:link w:val="Tabletext1"/>
    <w:rsid w:val="00C234C5"/>
    <w:rPr>
      <w:rFonts w:ascii="Arial Narrow" w:hAnsi="Arial Narrow" w:cs="Tahoma"/>
      <w:lang w:val="en-GB" w:eastAsia="en-US"/>
    </w:rPr>
  </w:style>
  <w:style w:type="paragraph" w:customStyle="1" w:styleId="tablei0">
    <w:name w:val="tablei"/>
    <w:basedOn w:val="Normal"/>
    <w:rsid w:val="003C5383"/>
    <w:pPr>
      <w:autoSpaceDE/>
      <w:autoSpaceDN/>
      <w:spacing w:before="100" w:beforeAutospacing="1" w:after="100" w:afterAutospacing="1"/>
    </w:pPr>
    <w:rPr>
      <w:lang w:eastAsia="en-AU"/>
    </w:rPr>
  </w:style>
  <w:style w:type="paragraph" w:customStyle="1" w:styleId="TLPNotebullet">
    <w:name w:val="TLPNote(bullet)"/>
    <w:basedOn w:val="Normal"/>
    <w:rsid w:val="00C7265B"/>
    <w:pPr>
      <w:numPr>
        <w:numId w:val="2"/>
      </w:numPr>
      <w:tabs>
        <w:tab w:val="clear" w:pos="2517"/>
        <w:tab w:val="left" w:pos="357"/>
      </w:tabs>
      <w:autoSpaceDE/>
      <w:autoSpaceDN/>
      <w:spacing w:before="60" w:line="198" w:lineRule="exact"/>
      <w:ind w:left="0" w:firstLine="0"/>
    </w:pPr>
    <w:rPr>
      <w:sz w:val="18"/>
      <w:szCs w:val="20"/>
      <w:lang w:eastAsia="en-AU"/>
    </w:rPr>
  </w:style>
  <w:style w:type="paragraph" w:customStyle="1" w:styleId="ActHead7">
    <w:name w:val="ActHead 7"/>
    <w:aliases w:val="ap"/>
    <w:basedOn w:val="Normal"/>
    <w:next w:val="ItemHead"/>
    <w:qFormat/>
    <w:rsid w:val="00C7265B"/>
    <w:pPr>
      <w:keepNext/>
      <w:keepLines/>
      <w:autoSpaceDE/>
      <w:autoSpaceDN/>
      <w:spacing w:before="280"/>
      <w:ind w:left="1134" w:hanging="1134"/>
      <w:outlineLvl w:val="6"/>
    </w:pPr>
    <w:rPr>
      <w:rFonts w:ascii="Arial" w:hAnsi="Arial"/>
      <w:b/>
      <w:kern w:val="28"/>
      <w:sz w:val="28"/>
      <w:szCs w:val="20"/>
      <w:lang w:eastAsia="en-AU"/>
    </w:rPr>
  </w:style>
  <w:style w:type="paragraph" w:customStyle="1" w:styleId="Blocks">
    <w:name w:val="Blocks"/>
    <w:aliases w:val="bb"/>
    <w:basedOn w:val="Normal"/>
    <w:qFormat/>
    <w:rsid w:val="00C7265B"/>
    <w:pPr>
      <w:autoSpaceDE/>
      <w:autoSpaceDN/>
    </w:pPr>
    <w:rPr>
      <w:szCs w:val="20"/>
      <w:lang w:eastAsia="en-AU"/>
    </w:rPr>
  </w:style>
  <w:style w:type="character" w:customStyle="1" w:styleId="CharAmPartNo">
    <w:name w:val="CharAmPartNo"/>
    <w:basedOn w:val="DefaultParagraphFont"/>
    <w:qFormat/>
    <w:rsid w:val="00C7265B"/>
  </w:style>
  <w:style w:type="character" w:customStyle="1" w:styleId="CharAmPartText">
    <w:name w:val="CharAmPartText"/>
    <w:basedOn w:val="DefaultParagraphFont"/>
    <w:qFormat/>
    <w:rsid w:val="00C7265B"/>
  </w:style>
  <w:style w:type="character" w:customStyle="1" w:styleId="HeaderChar">
    <w:name w:val="Header Char"/>
    <w:basedOn w:val="DefaultParagraphFont"/>
    <w:link w:val="Header"/>
    <w:uiPriority w:val="99"/>
    <w:rsid w:val="00C7265B"/>
    <w:rPr>
      <w:rFonts w:ascii="Arial" w:hAnsi="Arial"/>
      <w:b/>
      <w:sz w:val="18"/>
      <w:szCs w:val="24"/>
      <w:lang w:eastAsia="en-US"/>
    </w:rPr>
  </w:style>
  <w:style w:type="paragraph" w:customStyle="1" w:styleId="Item">
    <w:name w:val="Item"/>
    <w:aliases w:val="i"/>
    <w:basedOn w:val="Normal"/>
    <w:next w:val="ItemHead"/>
    <w:rsid w:val="00C7265B"/>
    <w:pPr>
      <w:keepLines/>
      <w:autoSpaceDE/>
      <w:autoSpaceDN/>
      <w:spacing w:before="80"/>
      <w:ind w:left="709"/>
    </w:pPr>
    <w:rPr>
      <w:sz w:val="22"/>
      <w:szCs w:val="20"/>
      <w:lang w:eastAsia="en-AU"/>
    </w:rPr>
  </w:style>
  <w:style w:type="paragraph" w:customStyle="1" w:styleId="ItemHead">
    <w:name w:val="ItemHead"/>
    <w:aliases w:val="ih"/>
    <w:basedOn w:val="Normal"/>
    <w:next w:val="Item"/>
    <w:rsid w:val="00C7265B"/>
    <w:pPr>
      <w:keepNext/>
      <w:keepLines/>
      <w:autoSpaceDE/>
      <w:autoSpaceDN/>
      <w:spacing w:before="220"/>
      <w:ind w:left="709" w:hanging="709"/>
    </w:pPr>
    <w:rPr>
      <w:rFonts w:ascii="Arial"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74784118">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0044009">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69992123">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E8293449-B82A-4C3D-9D75-F40A206E23BB}">
  <ds:schemaRefs>
    <ds:schemaRef ds:uri="http://schemas.openxmlformats.org/package/2006/metadata/core-properties"/>
    <ds:schemaRef ds:uri="8bd9498f-fa43-4ae2-8bb2-4c55a71680ad"/>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FB66E49-03D0-4854-9C39-4D3A7243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10290</CharactersWithSpaces>
  <SharedDoc>false</SharedDoc>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2010-03-31T05:18:00Z</cp:lastPrinted>
  <dcterms:created xsi:type="dcterms:W3CDTF">2019-04-08T00:17:00Z</dcterms:created>
  <dcterms:modified xsi:type="dcterms:W3CDTF">2019-04-10T06:42:00Z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