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F2CDB" w14:textId="77777777" w:rsidR="00667B70" w:rsidRPr="00641906" w:rsidRDefault="00667B70" w:rsidP="00923579">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24DF2CDC" w14:textId="77777777" w:rsidR="00667B70" w:rsidRDefault="00667B70">
      <w:pPr>
        <w:jc w:val="center"/>
        <w:rPr>
          <w:rFonts w:ascii="Times New Roman" w:hAnsi="Times New Roman" w:cs="Times New Roman"/>
        </w:rPr>
      </w:pPr>
      <w:r>
        <w:rPr>
          <w:rFonts w:ascii="Times New Roman" w:hAnsi="Times New Roman" w:cs="Times New Roman"/>
        </w:rPr>
        <w:t xml:space="preserve">Issued by Authority of the Attorney-General </w:t>
      </w:r>
    </w:p>
    <w:p w14:paraId="24DF2CDD" w14:textId="77777777" w:rsidR="00667B70" w:rsidRDefault="00667B70" w:rsidP="00734AED">
      <w:pPr>
        <w:jc w:val="center"/>
        <w:rPr>
          <w:rFonts w:ascii="Times New Roman" w:hAnsi="Times New Roman" w:cs="Times New Roman"/>
          <w:i/>
        </w:rPr>
      </w:pPr>
      <w:r>
        <w:rPr>
          <w:rFonts w:ascii="Times New Roman" w:hAnsi="Times New Roman" w:cs="Times New Roman"/>
          <w:i/>
        </w:rPr>
        <w:t xml:space="preserve">Foreign Influence Transparency Scheme Act 2018 </w:t>
      </w:r>
    </w:p>
    <w:p w14:paraId="24DF2CDE" w14:textId="77777777" w:rsidR="00667B70" w:rsidRDefault="00667B70" w:rsidP="00734AED">
      <w:pPr>
        <w:jc w:val="center"/>
        <w:rPr>
          <w:rFonts w:ascii="Times New Roman" w:hAnsi="Times New Roman" w:cs="Times New Roman"/>
          <w:b/>
          <w:i/>
        </w:rPr>
      </w:pPr>
      <w:r w:rsidRPr="00667B70">
        <w:rPr>
          <w:rFonts w:ascii="Times New Roman" w:hAnsi="Times New Roman" w:cs="Times New Roman"/>
          <w:b/>
          <w:i/>
        </w:rPr>
        <w:t>Foreign Influence Transparency Scheme</w:t>
      </w:r>
      <w:r w:rsidR="001D12EB">
        <w:rPr>
          <w:rFonts w:ascii="Times New Roman" w:hAnsi="Times New Roman" w:cs="Times New Roman"/>
          <w:b/>
          <w:i/>
        </w:rPr>
        <w:t xml:space="preserve"> Amendment (2019 Measures No. 1)</w:t>
      </w:r>
      <w:r w:rsidRPr="00667B70">
        <w:rPr>
          <w:rFonts w:ascii="Times New Roman" w:hAnsi="Times New Roman" w:cs="Times New Roman"/>
          <w:b/>
          <w:i/>
        </w:rPr>
        <w:t xml:space="preserve"> Rules 201</w:t>
      </w:r>
      <w:r w:rsidR="001D12EB">
        <w:rPr>
          <w:rFonts w:ascii="Times New Roman" w:hAnsi="Times New Roman" w:cs="Times New Roman"/>
          <w:b/>
          <w:i/>
        </w:rPr>
        <w:t>9</w:t>
      </w:r>
    </w:p>
    <w:p w14:paraId="24DF2CDF" w14:textId="77777777" w:rsidR="00B44B5D" w:rsidRPr="007D698E" w:rsidRDefault="00B44B5D" w:rsidP="00734AED">
      <w:pPr>
        <w:pBdr>
          <w:bottom w:val="single" w:sz="4" w:space="1" w:color="auto"/>
        </w:pBdr>
        <w:spacing w:after="240"/>
        <w:jc w:val="center"/>
        <w:rPr>
          <w:rFonts w:ascii="Times New Roman" w:eastAsia="Calibri" w:hAnsi="Times New Roman" w:cs="Times New Roman"/>
          <w:szCs w:val="24"/>
        </w:rPr>
      </w:pPr>
    </w:p>
    <w:p w14:paraId="24DF2CE0" w14:textId="77777777" w:rsidR="00667B70" w:rsidRDefault="00667B70" w:rsidP="009359BB">
      <w:pPr>
        <w:rPr>
          <w:rFonts w:ascii="Times New Roman" w:hAnsi="Times New Roman" w:cs="Times New Roman"/>
          <w:b/>
        </w:rPr>
      </w:pPr>
      <w:r w:rsidRPr="004D2843">
        <w:rPr>
          <w:rFonts w:ascii="Times New Roman" w:hAnsi="Times New Roman" w:cs="Times New Roman"/>
          <w:b/>
        </w:rPr>
        <w:t>Authority</w:t>
      </w:r>
    </w:p>
    <w:p w14:paraId="01FCEEF5" w14:textId="43C5EA0D" w:rsidR="009A033C" w:rsidRDefault="00B44B5D" w:rsidP="009359BB">
      <w:pPr>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 xml:space="preserve">Foreign Influence Transparency Scheme </w:t>
      </w:r>
      <w:r w:rsidR="001D12EB">
        <w:rPr>
          <w:rFonts w:ascii="Times New Roman" w:hAnsi="Times New Roman" w:cs="Times New Roman"/>
          <w:i/>
          <w:szCs w:val="20"/>
        </w:rPr>
        <w:t xml:space="preserve">Amendment (2019 Measures No. 1) </w:t>
      </w:r>
      <w:r w:rsidRPr="003A29C3">
        <w:rPr>
          <w:rFonts w:ascii="Times New Roman" w:hAnsi="Times New Roman" w:cs="Times New Roman"/>
          <w:i/>
          <w:szCs w:val="20"/>
        </w:rPr>
        <w:t>Rules</w:t>
      </w:r>
      <w:r w:rsidRPr="003A29C3">
        <w:rPr>
          <w:rFonts w:ascii="Times New Roman" w:hAnsi="Times New Roman" w:cs="Times New Roman"/>
          <w:szCs w:val="20"/>
        </w:rPr>
        <w:t xml:space="preserve"> </w:t>
      </w:r>
      <w:r w:rsidRPr="009A033C">
        <w:rPr>
          <w:rFonts w:ascii="Times New Roman" w:hAnsi="Times New Roman" w:cs="Times New Roman"/>
          <w:i/>
          <w:szCs w:val="20"/>
        </w:rPr>
        <w:t>201</w:t>
      </w:r>
      <w:r w:rsidR="001D12EB" w:rsidRPr="009A033C">
        <w:rPr>
          <w:rFonts w:ascii="Times New Roman" w:hAnsi="Times New Roman" w:cs="Times New Roman"/>
          <w:i/>
          <w:szCs w:val="20"/>
        </w:rPr>
        <w:t>9</w:t>
      </w:r>
      <w:r w:rsidRPr="003A29C3">
        <w:rPr>
          <w:rFonts w:ascii="Times New Roman" w:hAnsi="Times New Roman" w:cs="Times New Roman"/>
          <w:szCs w:val="20"/>
        </w:rPr>
        <w:t xml:space="preserve"> (the</w:t>
      </w:r>
      <w:r w:rsidR="001D12EB">
        <w:rPr>
          <w:rFonts w:ascii="Times New Roman" w:hAnsi="Times New Roman" w:cs="Times New Roman"/>
          <w:szCs w:val="20"/>
        </w:rPr>
        <w:t xml:space="preserve"> </w:t>
      </w:r>
      <w:r w:rsidR="009B5C6E">
        <w:rPr>
          <w:rFonts w:ascii="Times New Roman" w:hAnsi="Times New Roman" w:cs="Times New Roman"/>
          <w:szCs w:val="20"/>
        </w:rPr>
        <w:t>Rules</w:t>
      </w:r>
      <w:r>
        <w:rPr>
          <w:rFonts w:ascii="Times New Roman" w:hAnsi="Times New Roman" w:cs="Times New Roman"/>
          <w:szCs w:val="20"/>
        </w:rPr>
        <w:t xml:space="preserve">) </w:t>
      </w:r>
      <w:r w:rsidR="00D25900">
        <w:rPr>
          <w:rFonts w:ascii="Times New Roman" w:hAnsi="Times New Roman" w:cs="Times New Roman"/>
          <w:szCs w:val="20"/>
        </w:rPr>
        <w:t xml:space="preserve">amend the </w:t>
      </w:r>
      <w:r w:rsidR="00D25900">
        <w:rPr>
          <w:rFonts w:ascii="Times New Roman" w:hAnsi="Times New Roman" w:cs="Times New Roman"/>
          <w:i/>
          <w:szCs w:val="20"/>
        </w:rPr>
        <w:t>Foreign Influence Transparency Scheme Rules 2018</w:t>
      </w:r>
      <w:r w:rsidR="009B5C6E">
        <w:rPr>
          <w:rFonts w:ascii="Times New Roman" w:hAnsi="Times New Roman" w:cs="Times New Roman"/>
          <w:i/>
          <w:szCs w:val="20"/>
        </w:rPr>
        <w:t xml:space="preserve"> </w:t>
      </w:r>
      <w:r w:rsidR="009B5C6E">
        <w:rPr>
          <w:rFonts w:ascii="Times New Roman" w:hAnsi="Times New Roman" w:cs="Times New Roman"/>
          <w:szCs w:val="20"/>
        </w:rPr>
        <w:t>(the FITS Rules). The Rules</w:t>
      </w:r>
      <w:r w:rsidR="00D25900">
        <w:rPr>
          <w:rFonts w:ascii="Times New Roman" w:hAnsi="Times New Roman" w:cs="Times New Roman"/>
          <w:szCs w:val="20"/>
        </w:rPr>
        <w:t xml:space="preserve"> </w:t>
      </w:r>
      <w:r>
        <w:rPr>
          <w:rFonts w:ascii="Times New Roman" w:hAnsi="Times New Roman" w:cs="Times New Roman"/>
          <w:szCs w:val="20"/>
        </w:rPr>
        <w:t xml:space="preserve">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sidR="0019196F">
        <w:rPr>
          <w:rFonts w:ascii="Times New Roman" w:hAnsi="Times New Roman" w:cs="Times New Roman"/>
          <w:szCs w:val="20"/>
        </w:rPr>
        <w:t xml:space="preserve">, for </w:t>
      </w:r>
      <w:r>
        <w:rPr>
          <w:rFonts w:ascii="Times New Roman" w:hAnsi="Times New Roman" w:cs="Times New Roman"/>
          <w:szCs w:val="20"/>
        </w:rPr>
        <w:t xml:space="preserve">the purposes of </w:t>
      </w:r>
      <w:r w:rsidRPr="003A29C3">
        <w:rPr>
          <w:rFonts w:ascii="Times New Roman" w:hAnsi="Times New Roman" w:cs="Times New Roman"/>
          <w:szCs w:val="20"/>
        </w:rPr>
        <w:t>section</w:t>
      </w:r>
      <w:r w:rsidR="009A033C">
        <w:rPr>
          <w:rFonts w:ascii="Times New Roman" w:hAnsi="Times New Roman" w:cs="Times New Roman"/>
          <w:szCs w:val="20"/>
        </w:rPr>
        <w:t>s</w:t>
      </w:r>
      <w:r w:rsidRPr="003A29C3">
        <w:rPr>
          <w:rFonts w:ascii="Times New Roman" w:hAnsi="Times New Roman" w:cs="Times New Roman"/>
          <w:szCs w:val="20"/>
        </w:rPr>
        <w:t xml:space="preserve"> </w:t>
      </w:r>
      <w:r w:rsidR="00A95C4B">
        <w:rPr>
          <w:rFonts w:ascii="Times New Roman" w:hAnsi="Times New Roman" w:cs="Times New Roman"/>
          <w:szCs w:val="20"/>
        </w:rPr>
        <w:t>30 and</w:t>
      </w:r>
      <w:r w:rsidR="009A033C">
        <w:rPr>
          <w:rFonts w:ascii="Times New Roman" w:hAnsi="Times New Roman" w:cs="Times New Roman"/>
          <w:szCs w:val="20"/>
        </w:rPr>
        <w:t xml:space="preserve"> 43</w:t>
      </w:r>
      <w:r w:rsidRPr="003A29C3">
        <w:rPr>
          <w:rFonts w:ascii="Times New Roman" w:hAnsi="Times New Roman" w:cs="Times New Roman"/>
          <w:szCs w:val="20"/>
        </w:rPr>
        <w:t xml:space="preserve"> of the Act</w:t>
      </w:r>
      <w:r>
        <w:rPr>
          <w:rFonts w:ascii="Times New Roman" w:hAnsi="Times New Roman" w:cs="Times New Roman"/>
          <w:szCs w:val="20"/>
        </w:rPr>
        <w:t>.</w:t>
      </w:r>
      <w:r w:rsidR="00AB37F5">
        <w:rPr>
          <w:rFonts w:ascii="Times New Roman" w:hAnsi="Times New Roman" w:cs="Times New Roman"/>
          <w:szCs w:val="20"/>
        </w:rPr>
        <w:t xml:space="preserve"> </w:t>
      </w:r>
    </w:p>
    <w:p w14:paraId="24DF2CE1" w14:textId="5F67D9E2" w:rsidR="00B44B5D" w:rsidRDefault="00AB37F5" w:rsidP="009359BB">
      <w:pPr>
        <w:rPr>
          <w:rFonts w:ascii="Times New Roman" w:hAnsi="Times New Roman" w:cs="Times New Roman"/>
          <w:szCs w:val="20"/>
        </w:rPr>
      </w:pPr>
      <w:r>
        <w:rPr>
          <w:rFonts w:ascii="Times New Roman" w:hAnsi="Times New Roman" w:cs="Times New Roman"/>
          <w:szCs w:val="20"/>
        </w:rPr>
        <w:t>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14:paraId="24DF2CE2" w14:textId="77777777" w:rsidR="00ED0789" w:rsidRDefault="00B44B5D" w:rsidP="009359BB">
      <w:pPr>
        <w:rPr>
          <w:rFonts w:ascii="Times New Roman" w:hAnsi="Times New Roman" w:cs="Times New Roman"/>
          <w:szCs w:val="20"/>
        </w:rPr>
      </w:pPr>
      <w:r>
        <w:rPr>
          <w:rFonts w:ascii="Times New Roman" w:hAnsi="Times New Roman" w:cs="Times New Roman"/>
          <w:szCs w:val="20"/>
        </w:rPr>
        <w:t>Section 71 of the Act provides tha</w:t>
      </w:r>
      <w:r w:rsidR="005D02C9">
        <w:rPr>
          <w:rFonts w:ascii="Times New Roman" w:hAnsi="Times New Roman" w:cs="Times New Roman"/>
          <w:szCs w:val="20"/>
        </w:rPr>
        <w:t>t the Minister may</w:t>
      </w:r>
      <w:r w:rsidR="00ED0789">
        <w:rPr>
          <w:rFonts w:ascii="Times New Roman" w:hAnsi="Times New Roman" w:cs="Times New Roman"/>
          <w:szCs w:val="20"/>
        </w:rPr>
        <w:t>, by legislative instrument, make rules prescribing matters that are required or permitted by the Act to be prescribed by the rules, or that are necessary or convenient to be prescribed for carrying out or giving effect to the Act.</w:t>
      </w:r>
    </w:p>
    <w:p w14:paraId="24DF2CE3" w14:textId="77777777" w:rsidR="00A95C4B" w:rsidRDefault="00A95C4B" w:rsidP="00A95C4B">
      <w:pPr>
        <w:rPr>
          <w:rFonts w:ascii="Times New Roman" w:hAnsi="Times New Roman" w:cs="Times New Roman"/>
          <w:szCs w:val="20"/>
        </w:rPr>
      </w:pPr>
      <w:r>
        <w:rPr>
          <w:rFonts w:ascii="Times New Roman" w:hAnsi="Times New Roman" w:cs="Times New Roman"/>
          <w:szCs w:val="20"/>
        </w:rPr>
        <w:t xml:space="preserve">Division 4 of Part 2 of the Act sets out a number of exemptions </w:t>
      </w:r>
      <w:r w:rsidR="00715A5D">
        <w:rPr>
          <w:rFonts w:ascii="Times New Roman" w:hAnsi="Times New Roman" w:cs="Times New Roman"/>
          <w:szCs w:val="20"/>
        </w:rPr>
        <w:t>from</w:t>
      </w:r>
      <w:r>
        <w:rPr>
          <w:rFonts w:ascii="Times New Roman" w:hAnsi="Times New Roman" w:cs="Times New Roman"/>
          <w:szCs w:val="20"/>
        </w:rPr>
        <w:t xml:space="preserve"> registering under the scheme. If any of the exemptions apply</w:t>
      </w:r>
      <w:r w:rsidR="001E3AD6">
        <w:rPr>
          <w:rFonts w:ascii="Times New Roman" w:hAnsi="Times New Roman" w:cs="Times New Roman"/>
          <w:szCs w:val="20"/>
        </w:rPr>
        <w:t xml:space="preserve"> to an activity</w:t>
      </w:r>
      <w:r>
        <w:rPr>
          <w:rFonts w:ascii="Times New Roman" w:hAnsi="Times New Roman" w:cs="Times New Roman"/>
          <w:szCs w:val="20"/>
        </w:rPr>
        <w:t xml:space="preserve">, then a person </w:t>
      </w:r>
      <w:r w:rsidR="001E3AD6">
        <w:rPr>
          <w:rFonts w:ascii="Times New Roman" w:hAnsi="Times New Roman" w:cs="Times New Roman"/>
          <w:szCs w:val="20"/>
        </w:rPr>
        <w:t>is</w:t>
      </w:r>
      <w:r>
        <w:rPr>
          <w:rFonts w:ascii="Times New Roman" w:hAnsi="Times New Roman" w:cs="Times New Roman"/>
          <w:szCs w:val="20"/>
        </w:rPr>
        <w:t xml:space="preserve"> not required to register under the scheme</w:t>
      </w:r>
      <w:r w:rsidR="001E3AD6">
        <w:rPr>
          <w:rFonts w:ascii="Times New Roman" w:hAnsi="Times New Roman" w:cs="Times New Roman"/>
          <w:szCs w:val="20"/>
        </w:rPr>
        <w:t xml:space="preserve"> in relation to that activity</w:t>
      </w:r>
      <w:r>
        <w:rPr>
          <w:rFonts w:ascii="Times New Roman" w:hAnsi="Times New Roman" w:cs="Times New Roman"/>
          <w:szCs w:val="20"/>
        </w:rPr>
        <w:t xml:space="preserve">, even if </w:t>
      </w:r>
      <w:r w:rsidR="001E3AD6">
        <w:rPr>
          <w:rFonts w:ascii="Times New Roman" w:hAnsi="Times New Roman" w:cs="Times New Roman"/>
          <w:szCs w:val="20"/>
        </w:rPr>
        <w:t>the activity would otherwise</w:t>
      </w:r>
      <w:r>
        <w:rPr>
          <w:rFonts w:ascii="Times New Roman" w:hAnsi="Times New Roman" w:cs="Times New Roman"/>
          <w:szCs w:val="20"/>
        </w:rPr>
        <w:t xml:space="preserve"> fall within one of the categories of registrable activities set out in Division 3 of Part 2 of the Act.</w:t>
      </w:r>
    </w:p>
    <w:p w14:paraId="24DF2CE4" w14:textId="5958495B" w:rsidR="00A95C4B" w:rsidRDefault="00A95C4B" w:rsidP="00A95C4B">
      <w:pPr>
        <w:rPr>
          <w:rFonts w:ascii="Times New Roman" w:hAnsi="Times New Roman" w:cs="Times New Roman"/>
          <w:szCs w:val="20"/>
        </w:rPr>
      </w:pPr>
      <w:r>
        <w:rPr>
          <w:rFonts w:ascii="Times New Roman" w:hAnsi="Times New Roman" w:cs="Times New Roman"/>
          <w:szCs w:val="20"/>
        </w:rPr>
        <w:t xml:space="preserve">The categories of exemptions are set out in sections 24 to 29F of the Act. </w:t>
      </w:r>
      <w:r w:rsidR="0025525F">
        <w:rPr>
          <w:rFonts w:ascii="Times New Roman" w:hAnsi="Times New Roman" w:cs="Times New Roman"/>
          <w:szCs w:val="20"/>
        </w:rPr>
        <w:t>S</w:t>
      </w:r>
      <w:r>
        <w:rPr>
          <w:rFonts w:ascii="Times New Roman" w:hAnsi="Times New Roman" w:cs="Times New Roman"/>
          <w:szCs w:val="20"/>
        </w:rPr>
        <w:t xml:space="preserve">ection 30 </w:t>
      </w:r>
      <w:r w:rsidR="009A033C">
        <w:rPr>
          <w:rFonts w:ascii="Times New Roman" w:hAnsi="Times New Roman" w:cs="Times New Roman"/>
          <w:szCs w:val="20"/>
        </w:rPr>
        <w:t xml:space="preserve">also </w:t>
      </w:r>
      <w:r w:rsidR="001E3AD6">
        <w:rPr>
          <w:rFonts w:ascii="Times New Roman" w:hAnsi="Times New Roman" w:cs="Times New Roman"/>
          <w:szCs w:val="20"/>
        </w:rPr>
        <w:t>provides that a person is exempt in relation to an activity the person undertakes on behalf of a foreign principal in the circumstances prescribed by the rules for the purposes of section 30.</w:t>
      </w:r>
      <w:r>
        <w:rPr>
          <w:rFonts w:ascii="Times New Roman" w:hAnsi="Times New Roman" w:cs="Times New Roman"/>
          <w:szCs w:val="20"/>
        </w:rPr>
        <w:t xml:space="preserve">  This provides for flexibility in the operation of the scheme, and ensures that the scheme can adapt and be responsive to new scenarios in which an exemption may be justified.  </w:t>
      </w:r>
    </w:p>
    <w:p w14:paraId="24DF2CE5" w14:textId="103D542B" w:rsidR="00ED0789" w:rsidRDefault="00ED0789" w:rsidP="009359BB">
      <w:pPr>
        <w:rPr>
          <w:rFonts w:ascii="Times New Roman" w:hAnsi="Times New Roman" w:cs="Times New Roman"/>
          <w:szCs w:val="20"/>
        </w:rPr>
      </w:pPr>
      <w:r>
        <w:rPr>
          <w:rFonts w:ascii="Times New Roman" w:hAnsi="Times New Roman" w:cs="Times New Roman"/>
          <w:szCs w:val="20"/>
        </w:rPr>
        <w:t xml:space="preserve">Section 43 of the Act relates to information about the </w:t>
      </w:r>
      <w:r w:rsidR="00AB37F5">
        <w:rPr>
          <w:rFonts w:ascii="Times New Roman" w:hAnsi="Times New Roman" w:cs="Times New Roman"/>
          <w:szCs w:val="20"/>
        </w:rPr>
        <w:t xml:space="preserve">scheme </w:t>
      </w:r>
      <w:r>
        <w:rPr>
          <w:rFonts w:ascii="Times New Roman" w:hAnsi="Times New Roman" w:cs="Times New Roman"/>
          <w:szCs w:val="20"/>
        </w:rPr>
        <w:t>that is to be made publically available</w:t>
      </w:r>
      <w:r w:rsidR="009A033C">
        <w:rPr>
          <w:rFonts w:ascii="Times New Roman" w:hAnsi="Times New Roman" w:cs="Times New Roman"/>
          <w:szCs w:val="20"/>
        </w:rPr>
        <w:t xml:space="preserve"> on a website</w:t>
      </w:r>
      <w:r>
        <w:rPr>
          <w:rFonts w:ascii="Times New Roman" w:hAnsi="Times New Roman" w:cs="Times New Roman"/>
          <w:szCs w:val="20"/>
        </w:rPr>
        <w:t>.</w:t>
      </w:r>
      <w:r w:rsidR="00AB37F5">
        <w:rPr>
          <w:rFonts w:ascii="Times New Roman" w:hAnsi="Times New Roman" w:cs="Times New Roman"/>
          <w:szCs w:val="20"/>
        </w:rPr>
        <w:t xml:space="preserve"> </w:t>
      </w:r>
      <w:r>
        <w:rPr>
          <w:rFonts w:ascii="Times New Roman" w:hAnsi="Times New Roman" w:cs="Times New Roman"/>
          <w:szCs w:val="20"/>
        </w:rPr>
        <w:t>Subsection 43(</w:t>
      </w:r>
      <w:r w:rsidR="00684DD3">
        <w:rPr>
          <w:rFonts w:ascii="Times New Roman" w:hAnsi="Times New Roman" w:cs="Times New Roman"/>
          <w:szCs w:val="20"/>
        </w:rPr>
        <w:t>2</w:t>
      </w:r>
      <w:r>
        <w:rPr>
          <w:rFonts w:ascii="Times New Roman" w:hAnsi="Times New Roman" w:cs="Times New Roman"/>
          <w:szCs w:val="20"/>
        </w:rPr>
        <w:t xml:space="preserve">) </w:t>
      </w:r>
      <w:r w:rsidRPr="005D49F0">
        <w:rPr>
          <w:rFonts w:ascii="Times New Roman" w:hAnsi="Times New Roman" w:cs="Times New Roman"/>
          <w:szCs w:val="20"/>
        </w:rPr>
        <w:t xml:space="preserve">requires that the </w:t>
      </w:r>
      <w:r w:rsidR="009A033C">
        <w:rPr>
          <w:rFonts w:ascii="Times New Roman" w:hAnsi="Times New Roman" w:cs="Times New Roman"/>
          <w:szCs w:val="20"/>
        </w:rPr>
        <w:t xml:space="preserve">website must not include information that the </w:t>
      </w:r>
      <w:r w:rsidR="00684DD3">
        <w:rPr>
          <w:rFonts w:ascii="Times New Roman" w:hAnsi="Times New Roman" w:cs="Times New Roman"/>
          <w:szCs w:val="20"/>
        </w:rPr>
        <w:t xml:space="preserve">Secretary is satisfied: </w:t>
      </w:r>
    </w:p>
    <w:p w14:paraId="24DF2CE6" w14:textId="77777777" w:rsidR="00ED0789" w:rsidRDefault="00684DD3"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is commercially sensitive; or</w:t>
      </w:r>
    </w:p>
    <w:p w14:paraId="24DF2CE7" w14:textId="77777777" w:rsidR="00ED0789" w:rsidRDefault="00684DD3"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 xml:space="preserve">affects national security; or </w:t>
      </w:r>
    </w:p>
    <w:p w14:paraId="24DF2CE8" w14:textId="0258E588" w:rsidR="00ED0789" w:rsidRDefault="00684DD3"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a</w:t>
      </w:r>
      <w:r w:rsidR="00ED0789">
        <w:rPr>
          <w:rFonts w:ascii="Times New Roman" w:hAnsi="Times New Roman" w:cs="Times New Roman"/>
          <w:szCs w:val="20"/>
        </w:rPr>
        <w:t xml:space="preserve">ny other information prescribed by the rules for the purposes of </w:t>
      </w:r>
      <w:r w:rsidR="009A033C">
        <w:rPr>
          <w:rFonts w:ascii="Times New Roman" w:hAnsi="Times New Roman" w:cs="Times New Roman"/>
          <w:szCs w:val="20"/>
        </w:rPr>
        <w:t>subsection</w:t>
      </w:r>
      <w:r w:rsidR="00ED0789">
        <w:rPr>
          <w:rFonts w:ascii="Times New Roman" w:hAnsi="Times New Roman" w:cs="Times New Roman"/>
          <w:szCs w:val="20"/>
        </w:rPr>
        <w:t xml:space="preserve"> 43(</w:t>
      </w:r>
      <w:r>
        <w:rPr>
          <w:rFonts w:ascii="Times New Roman" w:hAnsi="Times New Roman" w:cs="Times New Roman"/>
          <w:szCs w:val="20"/>
        </w:rPr>
        <w:t>2)</w:t>
      </w:r>
      <w:r w:rsidR="00ED0789">
        <w:rPr>
          <w:rFonts w:ascii="Times New Roman" w:hAnsi="Times New Roman" w:cs="Times New Roman"/>
          <w:szCs w:val="20"/>
        </w:rPr>
        <w:t>.</w:t>
      </w:r>
    </w:p>
    <w:p w14:paraId="24DF2CE9" w14:textId="77777777" w:rsidR="00D53F23" w:rsidRPr="003A29C3" w:rsidRDefault="00D53F23" w:rsidP="009359BB">
      <w:pPr>
        <w:rPr>
          <w:rFonts w:ascii="Times New Roman" w:hAnsi="Times New Roman" w:cs="Times New Roman"/>
          <w:b/>
          <w:szCs w:val="20"/>
        </w:rPr>
      </w:pPr>
      <w:r w:rsidRPr="003A29C3">
        <w:rPr>
          <w:rFonts w:ascii="Times New Roman" w:hAnsi="Times New Roman" w:cs="Times New Roman"/>
          <w:b/>
          <w:szCs w:val="20"/>
        </w:rPr>
        <w:t xml:space="preserve">Purpose </w:t>
      </w:r>
      <w:r w:rsidR="00B44B5D">
        <w:rPr>
          <w:rFonts w:ascii="Times New Roman" w:hAnsi="Times New Roman" w:cs="Times New Roman"/>
          <w:b/>
          <w:szCs w:val="20"/>
        </w:rPr>
        <w:t xml:space="preserve">and operation of the </w:t>
      </w:r>
      <w:r w:rsidR="00923579">
        <w:rPr>
          <w:rFonts w:ascii="Times New Roman" w:hAnsi="Times New Roman" w:cs="Times New Roman"/>
          <w:b/>
          <w:szCs w:val="20"/>
        </w:rPr>
        <w:t>R</w:t>
      </w:r>
      <w:r w:rsidRPr="003A29C3">
        <w:rPr>
          <w:rFonts w:ascii="Times New Roman" w:hAnsi="Times New Roman" w:cs="Times New Roman"/>
          <w:b/>
          <w:szCs w:val="20"/>
        </w:rPr>
        <w:t xml:space="preserve">ules </w:t>
      </w:r>
    </w:p>
    <w:p w14:paraId="24DF2CEA" w14:textId="06817DDF" w:rsidR="00A95C4B" w:rsidRDefault="00A95C4B" w:rsidP="00A95C4B">
      <w:pPr>
        <w:rPr>
          <w:rFonts w:ascii="Times New Roman" w:hAnsi="Times New Roman" w:cs="Times New Roman"/>
          <w:szCs w:val="20"/>
        </w:rPr>
      </w:pPr>
      <w:r>
        <w:rPr>
          <w:rFonts w:ascii="Times New Roman" w:hAnsi="Times New Roman" w:cs="Times New Roman"/>
          <w:szCs w:val="20"/>
        </w:rPr>
        <w:t xml:space="preserve">The </w:t>
      </w:r>
      <w:r w:rsidR="009B5C6E">
        <w:rPr>
          <w:rFonts w:ascii="Times New Roman" w:hAnsi="Times New Roman" w:cs="Times New Roman"/>
          <w:szCs w:val="20"/>
        </w:rPr>
        <w:t>Rules</w:t>
      </w:r>
      <w:r>
        <w:rPr>
          <w:rFonts w:ascii="Times New Roman" w:hAnsi="Times New Roman" w:cs="Times New Roman"/>
          <w:szCs w:val="20"/>
        </w:rPr>
        <w:t xml:space="preserve"> will prescribe matters for the purposes of section</w:t>
      </w:r>
      <w:r w:rsidR="009A033C">
        <w:rPr>
          <w:rFonts w:ascii="Times New Roman" w:hAnsi="Times New Roman" w:cs="Times New Roman"/>
          <w:szCs w:val="20"/>
        </w:rPr>
        <w:t>s</w:t>
      </w:r>
      <w:r>
        <w:rPr>
          <w:rFonts w:ascii="Times New Roman" w:hAnsi="Times New Roman" w:cs="Times New Roman"/>
          <w:szCs w:val="20"/>
        </w:rPr>
        <w:t xml:space="preserve"> 30 and</w:t>
      </w:r>
      <w:r w:rsidR="009A033C">
        <w:rPr>
          <w:rFonts w:ascii="Times New Roman" w:hAnsi="Times New Roman" w:cs="Times New Roman"/>
          <w:szCs w:val="20"/>
        </w:rPr>
        <w:t xml:space="preserve"> 43</w:t>
      </w:r>
      <w:r>
        <w:rPr>
          <w:rFonts w:ascii="Times New Roman" w:hAnsi="Times New Roman" w:cs="Times New Roman"/>
          <w:szCs w:val="20"/>
        </w:rPr>
        <w:t xml:space="preserve"> of the Act.</w:t>
      </w:r>
    </w:p>
    <w:p w14:paraId="24DF2CEB" w14:textId="77777777" w:rsidR="00A95C4B" w:rsidRPr="00D957F4" w:rsidRDefault="00A95C4B" w:rsidP="00A95C4B">
      <w:pPr>
        <w:rPr>
          <w:rFonts w:ascii="Times New Roman" w:hAnsi="Times New Roman" w:cs="Times New Roman"/>
          <w:szCs w:val="20"/>
          <w:u w:val="single"/>
        </w:rPr>
      </w:pPr>
      <w:r>
        <w:rPr>
          <w:rFonts w:ascii="Times New Roman" w:hAnsi="Times New Roman" w:cs="Times New Roman"/>
          <w:szCs w:val="20"/>
          <w:u w:val="single"/>
        </w:rPr>
        <w:t>Section 30</w:t>
      </w:r>
    </w:p>
    <w:p w14:paraId="3F465A46" w14:textId="77777777" w:rsidR="009A033C" w:rsidRDefault="009A033C" w:rsidP="00A95C4B">
      <w:pPr>
        <w:rPr>
          <w:rFonts w:ascii="Times New Roman" w:hAnsi="Times New Roman" w:cs="Times New Roman"/>
          <w:szCs w:val="20"/>
        </w:rPr>
      </w:pPr>
      <w:r>
        <w:rPr>
          <w:rFonts w:ascii="Times New Roman" w:hAnsi="Times New Roman" w:cs="Times New Roman"/>
          <w:szCs w:val="20"/>
        </w:rPr>
        <w:t>The Rules prescribe an exemption in relation to an activity a person undertakes on behalf of a foreign principal when the following circumstances apply:</w:t>
      </w:r>
    </w:p>
    <w:p w14:paraId="6BEE80C6" w14:textId="6B96FC07" w:rsidR="009A033C" w:rsidRDefault="009A033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lastRenderedPageBreak/>
        <w:t>The activity is covered by item 2 of the table in subsection 21(1) of the Act (about general political lobbying in Australia for the purpose of political or governmental influence); and</w:t>
      </w:r>
    </w:p>
    <w:p w14:paraId="1C29DE9E" w14:textId="77777777" w:rsidR="00DA26FC" w:rsidRDefault="009A033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w:t>
      </w:r>
      <w:r w:rsidR="00DA26FC">
        <w:rPr>
          <w:rFonts w:ascii="Times New Roman" w:hAnsi="Times New Roman" w:cs="Times New Roman"/>
          <w:szCs w:val="20"/>
        </w:rPr>
        <w:t>foreign principal or the person is taking part in a process relating to a federal government decision within the meaning of paragraph 12(1)(b) of the Act in order to comply with a law of the Commonwealth; and</w:t>
      </w:r>
    </w:p>
    <w:p w14:paraId="43EB6D7B" w14:textId="77777777" w:rsidR="00DA26FC" w:rsidRDefault="00DA26F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t>The process involves the foreign principal or the person providing information in accordance with that law to the maker of the decision or another person assisting the maker of the decision, for the purposes of making the decision; and</w:t>
      </w:r>
    </w:p>
    <w:p w14:paraId="445F0915" w14:textId="77777777" w:rsidR="00DA26FC" w:rsidRDefault="00DA26FC"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t>At the time the activity is undertaken, the identity of the foreign principal is either apparent to all persons with whom the person is dealing or disclosed to them.</w:t>
      </w:r>
    </w:p>
    <w:p w14:paraId="3D74BE5D" w14:textId="22EBEA7A" w:rsidR="00DA26FC" w:rsidRDefault="00C30E1A" w:rsidP="00DA26FC">
      <w:pPr>
        <w:rPr>
          <w:rFonts w:ascii="Times New Roman" w:hAnsi="Times New Roman" w:cs="Times New Roman"/>
          <w:szCs w:val="20"/>
        </w:rPr>
      </w:pPr>
      <w:r>
        <w:rPr>
          <w:rFonts w:ascii="Times New Roman" w:hAnsi="Times New Roman" w:cs="Times New Roman"/>
          <w:szCs w:val="20"/>
        </w:rPr>
        <w:t xml:space="preserve">The exemption </w:t>
      </w:r>
      <w:r w:rsidR="00684DD3">
        <w:rPr>
          <w:rFonts w:ascii="Times New Roman" w:hAnsi="Times New Roman" w:cs="Times New Roman"/>
          <w:szCs w:val="20"/>
        </w:rPr>
        <w:t>applies</w:t>
      </w:r>
      <w:r w:rsidR="00DA26FC">
        <w:rPr>
          <w:rFonts w:ascii="Times New Roman" w:hAnsi="Times New Roman" w:cs="Times New Roman"/>
          <w:szCs w:val="20"/>
        </w:rPr>
        <w:t xml:space="preserve"> only in relation</w:t>
      </w:r>
      <w:r>
        <w:rPr>
          <w:rFonts w:ascii="Times New Roman" w:hAnsi="Times New Roman" w:cs="Times New Roman"/>
          <w:szCs w:val="20"/>
        </w:rPr>
        <w:t xml:space="preserve"> to general political lobbying activities</w:t>
      </w:r>
      <w:r w:rsidR="00DA26FC">
        <w:rPr>
          <w:rFonts w:ascii="Times New Roman" w:hAnsi="Times New Roman" w:cs="Times New Roman"/>
          <w:szCs w:val="20"/>
        </w:rPr>
        <w:t>, and not to other registrable activities under the scheme. Further, for the exemption to apply it is necessary for the identity of the relevant foreign principal to be apparent o</w:t>
      </w:r>
      <w:r w:rsidR="0099521E">
        <w:rPr>
          <w:rFonts w:ascii="Times New Roman" w:hAnsi="Times New Roman" w:cs="Times New Roman"/>
          <w:szCs w:val="20"/>
        </w:rPr>
        <w:t>r disclosed to all persons with</w:t>
      </w:r>
      <w:r w:rsidR="00DA26FC">
        <w:rPr>
          <w:rFonts w:ascii="Times New Roman" w:hAnsi="Times New Roman" w:cs="Times New Roman"/>
          <w:szCs w:val="20"/>
        </w:rPr>
        <w:t xml:space="preserve"> whom the person is dealing.</w:t>
      </w:r>
    </w:p>
    <w:p w14:paraId="24DF2CF2" w14:textId="2F194734" w:rsidR="00C30E1A" w:rsidRDefault="00DA26FC" w:rsidP="0099521E">
      <w:pPr>
        <w:rPr>
          <w:rFonts w:ascii="Times New Roman" w:hAnsi="Times New Roman" w:cs="Times New Roman"/>
          <w:szCs w:val="20"/>
        </w:rPr>
      </w:pPr>
      <w:r>
        <w:rPr>
          <w:rFonts w:ascii="Times New Roman" w:hAnsi="Times New Roman" w:cs="Times New Roman"/>
          <w:szCs w:val="20"/>
        </w:rPr>
        <w:t>This exemption ensures that where a person is required to provide information to a government decision maker</w:t>
      </w:r>
      <w:r w:rsidR="002165CE">
        <w:rPr>
          <w:rFonts w:ascii="Times New Roman" w:hAnsi="Times New Roman" w:cs="Times New Roman"/>
          <w:szCs w:val="20"/>
        </w:rPr>
        <w:t xml:space="preserve"> </w:t>
      </w:r>
      <w:r w:rsidR="00681E68">
        <w:rPr>
          <w:rFonts w:ascii="Times New Roman" w:hAnsi="Times New Roman" w:cs="Times New Roman"/>
          <w:szCs w:val="20"/>
        </w:rPr>
        <w:t xml:space="preserve">or person assisting the decision maker </w:t>
      </w:r>
      <w:r w:rsidR="002165CE">
        <w:rPr>
          <w:rFonts w:ascii="Times New Roman" w:hAnsi="Times New Roman" w:cs="Times New Roman"/>
          <w:szCs w:val="20"/>
        </w:rPr>
        <w:t>as part of a process relating to a government decision,</w:t>
      </w:r>
      <w:r>
        <w:rPr>
          <w:rFonts w:ascii="Times New Roman" w:hAnsi="Times New Roman" w:cs="Times New Roman"/>
          <w:szCs w:val="20"/>
        </w:rPr>
        <w:t xml:space="preserve"> </w:t>
      </w:r>
      <w:r w:rsidR="002165CE">
        <w:rPr>
          <w:rFonts w:ascii="Times New Roman" w:hAnsi="Times New Roman" w:cs="Times New Roman"/>
          <w:szCs w:val="20"/>
        </w:rPr>
        <w:t xml:space="preserve">in order to comply with a law of the Commonwealth, </w:t>
      </w:r>
      <w:r w:rsidR="0099521E">
        <w:rPr>
          <w:rFonts w:ascii="Times New Roman" w:hAnsi="Times New Roman" w:cs="Times New Roman"/>
          <w:szCs w:val="20"/>
        </w:rPr>
        <w:t xml:space="preserve">and the identity of the foreign principal is apparent or disclosed to the government decision maker with whom they are interacting, </w:t>
      </w:r>
      <w:r w:rsidR="002165CE">
        <w:rPr>
          <w:rFonts w:ascii="Times New Roman" w:hAnsi="Times New Roman" w:cs="Times New Roman"/>
          <w:szCs w:val="20"/>
        </w:rPr>
        <w:t xml:space="preserve">that activity </w:t>
      </w:r>
      <w:r w:rsidR="0099521E">
        <w:rPr>
          <w:rFonts w:ascii="Times New Roman" w:hAnsi="Times New Roman" w:cs="Times New Roman"/>
          <w:szCs w:val="20"/>
        </w:rPr>
        <w:t>will</w:t>
      </w:r>
      <w:r w:rsidR="002165CE">
        <w:rPr>
          <w:rFonts w:ascii="Times New Roman" w:hAnsi="Times New Roman" w:cs="Times New Roman"/>
          <w:szCs w:val="20"/>
        </w:rPr>
        <w:t xml:space="preserve"> not</w:t>
      </w:r>
      <w:r w:rsidR="0099521E">
        <w:rPr>
          <w:rFonts w:ascii="Times New Roman" w:hAnsi="Times New Roman" w:cs="Times New Roman"/>
          <w:szCs w:val="20"/>
        </w:rPr>
        <w:t xml:space="preserve"> be</w:t>
      </w:r>
      <w:r w:rsidR="002165CE">
        <w:rPr>
          <w:rFonts w:ascii="Times New Roman" w:hAnsi="Times New Roman" w:cs="Times New Roman"/>
          <w:szCs w:val="20"/>
        </w:rPr>
        <w:t xml:space="preserve"> registrable. This ensures that the scheme does not impose an unnecessary administrative burden in circumstances where a person is </w:t>
      </w:r>
      <w:r w:rsidR="0099521E">
        <w:rPr>
          <w:rFonts w:ascii="Times New Roman" w:hAnsi="Times New Roman" w:cs="Times New Roman"/>
          <w:szCs w:val="20"/>
        </w:rPr>
        <w:t xml:space="preserve">complying with legislative requirements and is interacting with government in a transparent manner. Where the activity is not a requirement of the law of the Commonwealth, the exemption does not apply.  </w:t>
      </w:r>
    </w:p>
    <w:p w14:paraId="24DF2CF3" w14:textId="77777777" w:rsidR="00A95C4B" w:rsidRPr="00D957F4" w:rsidRDefault="00A95C4B" w:rsidP="00A95C4B">
      <w:pPr>
        <w:rPr>
          <w:rFonts w:ascii="Times New Roman" w:hAnsi="Times New Roman" w:cs="Times New Roman"/>
          <w:szCs w:val="20"/>
          <w:u w:val="single"/>
        </w:rPr>
      </w:pPr>
      <w:r>
        <w:rPr>
          <w:rFonts w:ascii="Times New Roman" w:hAnsi="Times New Roman" w:cs="Times New Roman"/>
          <w:szCs w:val="20"/>
          <w:u w:val="single"/>
        </w:rPr>
        <w:t>Section 43</w:t>
      </w:r>
    </w:p>
    <w:p w14:paraId="11A8A4B7" w14:textId="74D9CAFF" w:rsidR="00F84E84" w:rsidRDefault="00B26FF6" w:rsidP="009359BB">
      <w:pPr>
        <w:rPr>
          <w:rFonts w:ascii="Times New Roman" w:hAnsi="Times New Roman" w:cs="Times New Roman"/>
          <w:szCs w:val="20"/>
        </w:rPr>
      </w:pPr>
      <w:r>
        <w:rPr>
          <w:rFonts w:ascii="Times New Roman" w:hAnsi="Times New Roman" w:cs="Times New Roman"/>
          <w:szCs w:val="20"/>
        </w:rPr>
        <w:t xml:space="preserve">The </w:t>
      </w:r>
      <w:r w:rsidR="009B5C6E">
        <w:rPr>
          <w:rFonts w:ascii="Times New Roman" w:hAnsi="Times New Roman" w:cs="Times New Roman"/>
          <w:szCs w:val="20"/>
        </w:rPr>
        <w:t>Rules</w:t>
      </w:r>
      <w:r w:rsidR="00923579" w:rsidRPr="003A29C3">
        <w:rPr>
          <w:rFonts w:ascii="Times New Roman" w:hAnsi="Times New Roman" w:cs="Times New Roman"/>
          <w:szCs w:val="20"/>
        </w:rPr>
        <w:t xml:space="preserve"> </w:t>
      </w:r>
      <w:r w:rsidR="003F2CB2">
        <w:rPr>
          <w:rFonts w:ascii="Times New Roman" w:hAnsi="Times New Roman" w:cs="Times New Roman"/>
          <w:szCs w:val="20"/>
        </w:rPr>
        <w:t xml:space="preserve">prescribe, for the purposes of paragraph 43(2)(c) of the Act, that information provided </w:t>
      </w:r>
      <w:r w:rsidR="0099521E">
        <w:rPr>
          <w:rFonts w:ascii="Times New Roman" w:hAnsi="Times New Roman" w:cs="Times New Roman"/>
          <w:szCs w:val="20"/>
        </w:rPr>
        <w:t>by a scheme registrant must not be published if</w:t>
      </w:r>
      <w:r w:rsidR="006B30A5">
        <w:rPr>
          <w:rFonts w:ascii="Times New Roman" w:hAnsi="Times New Roman" w:cs="Times New Roman"/>
          <w:szCs w:val="20"/>
        </w:rPr>
        <w:t xml:space="preserve"> the Secretary is satisfied that</w:t>
      </w:r>
      <w:r w:rsidR="00F84E84">
        <w:rPr>
          <w:rFonts w:ascii="Times New Roman" w:hAnsi="Times New Roman" w:cs="Times New Roman"/>
          <w:szCs w:val="20"/>
        </w:rPr>
        <w:t>:</w:t>
      </w:r>
    </w:p>
    <w:p w14:paraId="51B633C1" w14:textId="77777777" w:rsidR="00F84E84" w:rsidRDefault="00F84E84" w:rsidP="00F84E84">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information is sensitive</w:t>
      </w:r>
      <w:r>
        <w:rPr>
          <w:rFonts w:ascii="Times New Roman" w:hAnsi="Times New Roman" w:cs="Times New Roman"/>
          <w:szCs w:val="20"/>
        </w:rPr>
        <w:t>; and</w:t>
      </w:r>
    </w:p>
    <w:p w14:paraId="2CDC44A8" w14:textId="3CD44CE4" w:rsidR="00F84E84" w:rsidRDefault="00F84E84" w:rsidP="00F84E84">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activity is or was </w:t>
      </w:r>
      <w:r w:rsidRPr="00F84E84">
        <w:rPr>
          <w:rFonts w:ascii="Times New Roman" w:hAnsi="Times New Roman" w:cs="Times New Roman"/>
          <w:szCs w:val="20"/>
        </w:rPr>
        <w:t>undertaken in the context of a confidential consultation of the foreign principal or person by a Commonwealth public official, Commonwealth entity or Commonwealth company (or person undertaking functions relating to such a person or body</w:t>
      </w:r>
      <w:r>
        <w:rPr>
          <w:rFonts w:ascii="Times New Roman" w:hAnsi="Times New Roman" w:cs="Times New Roman"/>
          <w:szCs w:val="20"/>
        </w:rPr>
        <w:t>); and</w:t>
      </w:r>
    </w:p>
    <w:p w14:paraId="738E8013" w14:textId="5CE97E89" w:rsidR="00F84E84" w:rsidRDefault="00F84E84" w:rsidP="00F84E84">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consultation was initiated by the Commonwealth person or body and relates or related to a proposed policy or proposed change to an existing policy; and</w:t>
      </w:r>
    </w:p>
    <w:p w14:paraId="6B8E18EF" w14:textId="4AB737F0" w:rsidR="00F84E84" w:rsidRDefault="00F84E84" w:rsidP="00F84E84">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At the time the activity is or was undertaken the identity of the foreign principal was apparent or disclosed</w:t>
      </w:r>
      <w:r>
        <w:rPr>
          <w:rFonts w:ascii="Times New Roman" w:hAnsi="Times New Roman" w:cs="Times New Roman"/>
          <w:szCs w:val="20"/>
        </w:rPr>
        <w:t>.</w:t>
      </w:r>
    </w:p>
    <w:p w14:paraId="265D802B" w14:textId="161AAD5D" w:rsidR="00F84E84" w:rsidRDefault="00F84E84" w:rsidP="00F84E84">
      <w:pPr>
        <w:pStyle w:val="Celltext"/>
        <w:spacing w:after="120"/>
        <w:rPr>
          <w:szCs w:val="24"/>
        </w:rPr>
      </w:pPr>
      <w:r>
        <w:rPr>
          <w:szCs w:val="24"/>
        </w:rPr>
        <w:t>Section 43 of the Act imposes a continuing obligation on the Secretary to publish scheme information in relation to both past and current registrants. This means that once the Secretary is satisfied that the information is no longer sensitive, the Secretary would be required to publish the information.</w:t>
      </w:r>
    </w:p>
    <w:p w14:paraId="1E57019F" w14:textId="00E66EAD" w:rsidR="00F84E84" w:rsidRDefault="00AF5D54" w:rsidP="003F2CB2">
      <w:pPr>
        <w:rPr>
          <w:rFonts w:ascii="Times New Roman" w:hAnsi="Times New Roman" w:cs="Times New Roman"/>
          <w:szCs w:val="20"/>
        </w:rPr>
      </w:pPr>
      <w:r>
        <w:rPr>
          <w:rFonts w:ascii="Times New Roman" w:hAnsi="Times New Roman" w:cs="Times New Roman"/>
          <w:szCs w:val="20"/>
        </w:rPr>
        <w:t xml:space="preserve">This </w:t>
      </w:r>
      <w:r w:rsidR="00F84E84">
        <w:rPr>
          <w:rFonts w:ascii="Times New Roman" w:hAnsi="Times New Roman" w:cs="Times New Roman"/>
          <w:szCs w:val="20"/>
        </w:rPr>
        <w:t xml:space="preserve">limitation on the requirement to publish scheme information ensures that where the government is actively seeking the views of stakeholders on proposed new policies or changes to existing policies, and the participation by stakeholders is a registrable activity under the scheme, stakeholders can be reassured that the information will not be published for as long as the Secretary is satisfied that it is sensitive. </w:t>
      </w:r>
    </w:p>
    <w:p w14:paraId="24DF2CF9" w14:textId="77777777" w:rsidR="00923579" w:rsidRDefault="00B26FF6" w:rsidP="009359BB">
      <w:pPr>
        <w:rPr>
          <w:rFonts w:ascii="Times New Roman" w:hAnsi="Times New Roman" w:cs="Times New Roman"/>
          <w:szCs w:val="20"/>
        </w:rPr>
      </w:pPr>
      <w:r w:rsidRPr="007D698E">
        <w:rPr>
          <w:rFonts w:ascii="Times New Roman" w:eastAsia="Calibri" w:hAnsi="Times New Roman" w:cs="Times New Roman"/>
          <w:b/>
          <w:szCs w:val="24"/>
        </w:rPr>
        <w:lastRenderedPageBreak/>
        <w:t xml:space="preserve">OTHER ISSUES </w:t>
      </w:r>
    </w:p>
    <w:p w14:paraId="24DF2CFA" w14:textId="77777777" w:rsidR="00923579" w:rsidRDefault="00B26FF6" w:rsidP="009359BB">
      <w:pPr>
        <w:rPr>
          <w:rFonts w:ascii="Times New Roman" w:hAnsi="Times New Roman" w:cs="Times New Roman"/>
          <w:szCs w:val="20"/>
        </w:rPr>
      </w:pPr>
      <w:r w:rsidRPr="007D698E">
        <w:rPr>
          <w:rFonts w:ascii="Times New Roman" w:eastAsia="Calibri" w:hAnsi="Times New Roman" w:cs="Times New Roman"/>
          <w:b/>
          <w:szCs w:val="24"/>
        </w:rPr>
        <w:t xml:space="preserve">More information </w:t>
      </w:r>
    </w:p>
    <w:p w14:paraId="24DF2CFB" w14:textId="77777777" w:rsidR="00923579" w:rsidRDefault="00B26FF6" w:rsidP="009359BB">
      <w:pPr>
        <w:rPr>
          <w:rFonts w:ascii="Times New Roman" w:hAnsi="Times New Roman" w:cs="Times New Roman"/>
          <w:szCs w:val="20"/>
        </w:rPr>
      </w:pPr>
      <w:r w:rsidRPr="007D698E">
        <w:rPr>
          <w:rFonts w:ascii="Times New Roman" w:eastAsia="Calibri" w:hAnsi="Times New Roman" w:cs="Times New Roman"/>
          <w:szCs w:val="24"/>
        </w:rPr>
        <w:t xml:space="preserve">An explanation of the provisions </w:t>
      </w:r>
      <w:r w:rsidR="00923579">
        <w:rPr>
          <w:rFonts w:ascii="Times New Roman" w:eastAsia="Calibri" w:hAnsi="Times New Roman" w:cs="Times New Roman"/>
          <w:szCs w:val="24"/>
        </w:rPr>
        <w:t xml:space="preserve">of the </w:t>
      </w:r>
      <w:r w:rsidR="009B5C6E">
        <w:rPr>
          <w:rFonts w:ascii="Times New Roman" w:eastAsia="Calibri" w:hAnsi="Times New Roman" w:cs="Times New Roman"/>
          <w:szCs w:val="24"/>
        </w:rPr>
        <w:t>Rules</w:t>
      </w:r>
      <w:r w:rsidRPr="007D698E">
        <w:rPr>
          <w:rFonts w:ascii="Times New Roman" w:eastAsia="Calibri" w:hAnsi="Times New Roman" w:cs="Times New Roman"/>
          <w:szCs w:val="24"/>
        </w:rPr>
        <w:t xml:space="preserve"> is provided in </w:t>
      </w:r>
      <w:r>
        <w:rPr>
          <w:rFonts w:ascii="Times New Roman" w:eastAsia="Calibri" w:hAnsi="Times New Roman" w:cs="Times New Roman"/>
          <w:szCs w:val="24"/>
          <w:u w:val="single"/>
        </w:rPr>
        <w:t>Attachment A</w:t>
      </w:r>
      <w:r w:rsidRPr="007D698E">
        <w:rPr>
          <w:rFonts w:ascii="Times New Roman" w:eastAsia="Calibri" w:hAnsi="Times New Roman" w:cs="Times New Roman"/>
          <w:szCs w:val="24"/>
        </w:rPr>
        <w:t>.</w:t>
      </w:r>
    </w:p>
    <w:p w14:paraId="24DF2CFC" w14:textId="77777777" w:rsidR="00923579" w:rsidRPr="00BF79BB" w:rsidRDefault="00411660" w:rsidP="009359BB">
      <w:pPr>
        <w:rPr>
          <w:rFonts w:ascii="Times New Roman" w:hAnsi="Times New Roman" w:cs="Times New Roman"/>
          <w:b/>
          <w:szCs w:val="24"/>
        </w:rPr>
      </w:pPr>
      <w:r w:rsidRPr="00BF79BB">
        <w:rPr>
          <w:rFonts w:ascii="Times New Roman" w:hAnsi="Times New Roman" w:cs="Times New Roman"/>
          <w:b/>
          <w:szCs w:val="24"/>
        </w:rPr>
        <w:t xml:space="preserve">Regulatory </w:t>
      </w:r>
      <w:r w:rsidR="00C36320">
        <w:rPr>
          <w:rFonts w:ascii="Times New Roman" w:hAnsi="Times New Roman" w:cs="Times New Roman"/>
          <w:b/>
          <w:szCs w:val="24"/>
        </w:rPr>
        <w:t>i</w:t>
      </w:r>
      <w:r w:rsidRPr="00BF79BB">
        <w:rPr>
          <w:rFonts w:ascii="Times New Roman" w:hAnsi="Times New Roman" w:cs="Times New Roman"/>
          <w:b/>
          <w:szCs w:val="24"/>
        </w:rPr>
        <w:t xml:space="preserve">mpact </w:t>
      </w:r>
      <w:r w:rsidR="00C36320">
        <w:rPr>
          <w:rFonts w:ascii="Times New Roman" w:hAnsi="Times New Roman" w:cs="Times New Roman"/>
          <w:b/>
          <w:szCs w:val="24"/>
        </w:rPr>
        <w:t>analysis</w:t>
      </w:r>
    </w:p>
    <w:p w14:paraId="24DF2CFD" w14:textId="77777777" w:rsidR="00923579" w:rsidRDefault="00BF79BB" w:rsidP="009359BB">
      <w:pPr>
        <w:rPr>
          <w:rFonts w:ascii="Times New Roman" w:hAnsi="Times New Roman" w:cs="Times New Roman"/>
          <w:b/>
          <w:bCs/>
          <w:szCs w:val="24"/>
        </w:rPr>
      </w:pPr>
      <w:r>
        <w:rPr>
          <w:rFonts w:ascii="Times New Roman" w:hAnsi="Times New Roman" w:cs="Times New Roman"/>
          <w:szCs w:val="24"/>
        </w:rPr>
        <w:t xml:space="preserve">The </w:t>
      </w:r>
      <w:r w:rsidRPr="00BF79BB">
        <w:rPr>
          <w:rFonts w:ascii="Times New Roman" w:hAnsi="Times New Roman" w:cs="Times New Roman"/>
          <w:szCs w:val="24"/>
        </w:rPr>
        <w:t>Offic</w:t>
      </w:r>
      <w:r>
        <w:rPr>
          <w:rFonts w:ascii="Times New Roman" w:hAnsi="Times New Roman" w:cs="Times New Roman"/>
          <w:szCs w:val="24"/>
        </w:rPr>
        <w:t xml:space="preserve">e of Best Practice Regulation (OBPR) in the </w:t>
      </w:r>
      <w:r w:rsidRPr="00BF79BB">
        <w:rPr>
          <w:rFonts w:ascii="Times New Roman" w:hAnsi="Times New Roman" w:cs="Times New Roman"/>
          <w:szCs w:val="24"/>
        </w:rPr>
        <w:t>Department of the Prime Minister and Cabinet</w:t>
      </w:r>
      <w:r w:rsidR="001E309B">
        <w:rPr>
          <w:rFonts w:ascii="Times New Roman" w:hAnsi="Times New Roman" w:cs="Times New Roman"/>
          <w:szCs w:val="24"/>
        </w:rPr>
        <w:t xml:space="preserve"> </w:t>
      </w:r>
      <w:r w:rsidR="00411660" w:rsidRPr="00BF79BB">
        <w:rPr>
          <w:rFonts w:ascii="Times New Roman" w:hAnsi="Times New Roman" w:cs="Times New Roman"/>
          <w:szCs w:val="24"/>
        </w:rPr>
        <w:t xml:space="preserve">considers </w:t>
      </w:r>
      <w:r w:rsidR="001E309B">
        <w:rPr>
          <w:rFonts w:ascii="Times New Roman" w:hAnsi="Times New Roman" w:cs="Times New Roman"/>
          <w:szCs w:val="24"/>
        </w:rPr>
        <w:t>this</w:t>
      </w:r>
      <w:r w:rsidR="001E309B" w:rsidRPr="00BF79BB">
        <w:rPr>
          <w:rFonts w:ascii="Times New Roman" w:hAnsi="Times New Roman" w:cs="Times New Roman"/>
          <w:szCs w:val="24"/>
        </w:rPr>
        <w:t xml:space="preserve"> </w:t>
      </w:r>
      <w:r w:rsidR="00411660" w:rsidRPr="00BF79BB">
        <w:rPr>
          <w:rFonts w:ascii="Times New Roman" w:hAnsi="Times New Roman" w:cs="Times New Roman"/>
          <w:szCs w:val="24"/>
        </w:rPr>
        <w:t xml:space="preserve">proposal </w:t>
      </w:r>
      <w:r w:rsidR="001E309B">
        <w:rPr>
          <w:rFonts w:ascii="Times New Roman" w:hAnsi="Times New Roman" w:cs="Times New Roman"/>
          <w:szCs w:val="24"/>
        </w:rPr>
        <w:t xml:space="preserve">to be </w:t>
      </w:r>
      <w:r>
        <w:rPr>
          <w:rFonts w:ascii="Times New Roman" w:hAnsi="Times New Roman" w:cs="Times New Roman"/>
          <w:szCs w:val="24"/>
        </w:rPr>
        <w:t>machinery in nature</w:t>
      </w:r>
      <w:r w:rsidR="001E309B">
        <w:rPr>
          <w:rFonts w:ascii="Times New Roman" w:hAnsi="Times New Roman" w:cs="Times New Roman"/>
          <w:szCs w:val="24"/>
        </w:rPr>
        <w:t xml:space="preserve"> and has confirmed that a Reg</w:t>
      </w:r>
      <w:r w:rsidR="00411660" w:rsidRPr="00BF79BB">
        <w:rPr>
          <w:rFonts w:ascii="Times New Roman" w:hAnsi="Times New Roman" w:cs="Times New Roman"/>
          <w:szCs w:val="24"/>
        </w:rPr>
        <w:t xml:space="preserve">ulation Impact Statement is not </w:t>
      </w:r>
      <w:r w:rsidR="00411660" w:rsidRPr="00A44370">
        <w:rPr>
          <w:rFonts w:ascii="Times New Roman" w:hAnsi="Times New Roman" w:cs="Times New Roman"/>
          <w:szCs w:val="24"/>
        </w:rPr>
        <w:t>required.</w:t>
      </w:r>
      <w:r w:rsidR="001E309B" w:rsidRPr="00A44370">
        <w:rPr>
          <w:rFonts w:ascii="Times New Roman" w:hAnsi="Times New Roman" w:cs="Times New Roman"/>
          <w:szCs w:val="24"/>
        </w:rPr>
        <w:t xml:space="preserve"> The </w:t>
      </w:r>
      <w:r w:rsidR="00411660" w:rsidRPr="00A44370">
        <w:rPr>
          <w:rFonts w:ascii="Times New Roman" w:hAnsi="Times New Roman" w:cs="Times New Roman"/>
          <w:szCs w:val="24"/>
        </w:rPr>
        <w:t xml:space="preserve">OBPR ID is </w:t>
      </w:r>
      <w:r w:rsidR="00411660" w:rsidRPr="00A44370">
        <w:rPr>
          <w:rFonts w:ascii="Times New Roman" w:hAnsi="Times New Roman" w:cs="Times New Roman"/>
          <w:bCs/>
          <w:szCs w:val="24"/>
        </w:rPr>
        <w:t>24619</w:t>
      </w:r>
      <w:r w:rsidRPr="00A44370">
        <w:rPr>
          <w:rFonts w:ascii="Times New Roman" w:hAnsi="Times New Roman" w:cs="Times New Roman"/>
          <w:b/>
          <w:bCs/>
          <w:szCs w:val="24"/>
        </w:rPr>
        <w:t>.</w:t>
      </w:r>
      <w:r>
        <w:rPr>
          <w:rFonts w:ascii="Times New Roman" w:hAnsi="Times New Roman" w:cs="Times New Roman"/>
          <w:b/>
          <w:bCs/>
          <w:szCs w:val="24"/>
        </w:rPr>
        <w:t xml:space="preserve"> </w:t>
      </w:r>
    </w:p>
    <w:p w14:paraId="24DF2CFE" w14:textId="77777777" w:rsidR="00923579" w:rsidRDefault="001E309B" w:rsidP="009359BB">
      <w:pPr>
        <w:rPr>
          <w:rFonts w:ascii="Times New Roman" w:hAnsi="Times New Roman" w:cs="Times New Roman"/>
          <w:b/>
          <w:bCs/>
          <w:szCs w:val="24"/>
        </w:rPr>
      </w:pPr>
      <w:r>
        <w:rPr>
          <w:rFonts w:ascii="Times New Roman" w:hAnsi="Times New Roman" w:cs="Times New Roman"/>
          <w:b/>
          <w:bCs/>
          <w:szCs w:val="24"/>
        </w:rPr>
        <w:t>Statement of compatibility with human rights</w:t>
      </w:r>
      <w:r w:rsidR="00C36320">
        <w:rPr>
          <w:rFonts w:ascii="Times New Roman" w:hAnsi="Times New Roman" w:cs="Times New Roman"/>
          <w:b/>
          <w:bCs/>
          <w:szCs w:val="24"/>
        </w:rPr>
        <w:t xml:space="preserve"> </w:t>
      </w:r>
    </w:p>
    <w:p w14:paraId="24DF2CFF" w14:textId="77777777" w:rsidR="00B26FF6" w:rsidRPr="00734AED" w:rsidRDefault="001E309B" w:rsidP="009359BB">
      <w:pPr>
        <w:rPr>
          <w:rFonts w:ascii="Times New Roman" w:hAnsi="Times New Roman" w:cs="Times New Roman"/>
          <w:b/>
          <w:bCs/>
          <w:szCs w:val="24"/>
        </w:rPr>
      </w:pPr>
      <w:r>
        <w:rPr>
          <w:rFonts w:ascii="Times New Roman" w:hAnsi="Times New Roman" w:cs="Times New Roman"/>
          <w:bCs/>
          <w:szCs w:val="24"/>
        </w:rPr>
        <w:t xml:space="preserve">A statement of compatibility with human rights has been prepared for </w:t>
      </w:r>
      <w:r w:rsidR="00923579">
        <w:rPr>
          <w:rFonts w:ascii="Times New Roman" w:hAnsi="Times New Roman" w:cs="Times New Roman"/>
          <w:bCs/>
          <w:szCs w:val="24"/>
        </w:rPr>
        <w:t xml:space="preserve">the </w:t>
      </w:r>
      <w:r w:rsidR="009B5C6E">
        <w:rPr>
          <w:rFonts w:ascii="Times New Roman" w:hAnsi="Times New Roman" w:cs="Times New Roman"/>
          <w:bCs/>
          <w:szCs w:val="24"/>
        </w:rPr>
        <w:t>Rules</w:t>
      </w:r>
      <w:r>
        <w:rPr>
          <w:rFonts w:ascii="Times New Roman" w:hAnsi="Times New Roman" w:cs="Times New Roman"/>
          <w:bCs/>
          <w:szCs w:val="24"/>
        </w:rPr>
        <w:t xml:space="preserve"> and is provided in </w:t>
      </w:r>
      <w:r w:rsidRPr="00734AED">
        <w:rPr>
          <w:rFonts w:ascii="Times New Roman" w:hAnsi="Times New Roman" w:cs="Times New Roman"/>
          <w:bCs/>
          <w:szCs w:val="24"/>
          <w:u w:val="single"/>
        </w:rPr>
        <w:t xml:space="preserve">Attachment </w:t>
      </w:r>
      <w:r w:rsidR="005D02C9">
        <w:rPr>
          <w:rFonts w:ascii="Times New Roman" w:hAnsi="Times New Roman" w:cs="Times New Roman"/>
          <w:bCs/>
          <w:szCs w:val="24"/>
          <w:u w:val="single"/>
        </w:rPr>
        <w:t>B</w:t>
      </w:r>
      <w:r>
        <w:rPr>
          <w:rFonts w:ascii="Times New Roman" w:hAnsi="Times New Roman" w:cs="Times New Roman"/>
          <w:bCs/>
          <w:szCs w:val="24"/>
        </w:rPr>
        <w:t xml:space="preserve">. </w:t>
      </w:r>
    </w:p>
    <w:p w14:paraId="24DF2D00" w14:textId="77777777" w:rsidR="006A69BB" w:rsidRPr="00734AED" w:rsidRDefault="006A69BB" w:rsidP="009359BB">
      <w:pPr>
        <w:rPr>
          <w:rFonts w:ascii="Times New Roman" w:hAnsi="Times New Roman" w:cs="Times New Roman"/>
          <w:bCs/>
          <w:szCs w:val="24"/>
        </w:rPr>
      </w:pPr>
      <w:r w:rsidRPr="007D698E">
        <w:rPr>
          <w:rFonts w:ascii="Times New Roman" w:eastAsia="Calibri" w:hAnsi="Times New Roman" w:cs="Times New Roman"/>
          <w:b/>
          <w:szCs w:val="24"/>
        </w:rPr>
        <w:t>Matter incorporated by reference</w:t>
      </w:r>
    </w:p>
    <w:p w14:paraId="24DF2D01" w14:textId="77777777" w:rsidR="00923579" w:rsidRDefault="006A69BB" w:rsidP="009359BB">
      <w:pPr>
        <w:rPr>
          <w:rFonts w:ascii="Times New Roman" w:eastAsia="Calibri" w:hAnsi="Times New Roman" w:cs="Times New Roman"/>
          <w:szCs w:val="24"/>
        </w:rPr>
      </w:pPr>
      <w:r w:rsidRPr="007D698E">
        <w:rPr>
          <w:rFonts w:ascii="Times New Roman" w:eastAsia="Calibri" w:hAnsi="Times New Roman" w:cs="Times New Roman"/>
          <w:szCs w:val="24"/>
        </w:rPr>
        <w:t xml:space="preserve">These </w:t>
      </w:r>
      <w:r w:rsidR="009B5C6E">
        <w:rPr>
          <w:rFonts w:ascii="Times New Roman" w:eastAsia="Calibri" w:hAnsi="Times New Roman" w:cs="Times New Roman"/>
          <w:szCs w:val="24"/>
        </w:rPr>
        <w:t>Rules</w:t>
      </w:r>
      <w:r w:rsidRPr="007D698E">
        <w:rPr>
          <w:rFonts w:ascii="Times New Roman" w:eastAsia="Calibri" w:hAnsi="Times New Roman" w:cs="Times New Roman"/>
          <w:szCs w:val="24"/>
        </w:rPr>
        <w:t xml:space="preserve"> do not apply, adopt or incorporate other matters by reference. </w:t>
      </w:r>
    </w:p>
    <w:p w14:paraId="24DF2D02" w14:textId="77777777" w:rsidR="00923579" w:rsidRDefault="006A69BB" w:rsidP="009359BB">
      <w:pPr>
        <w:rPr>
          <w:rFonts w:ascii="Times New Roman" w:hAnsi="Times New Roman" w:cs="Times New Roman"/>
          <w:b/>
          <w:bCs/>
          <w:szCs w:val="24"/>
        </w:rPr>
      </w:pPr>
      <w:r w:rsidRPr="00734AED">
        <w:rPr>
          <w:rFonts w:ascii="Times New Roman" w:hAnsi="Times New Roman" w:cs="Times New Roman"/>
          <w:b/>
          <w:bCs/>
          <w:szCs w:val="24"/>
        </w:rPr>
        <w:t>Consultation</w:t>
      </w:r>
      <w:r w:rsidR="00923579">
        <w:rPr>
          <w:rFonts w:ascii="Times New Roman" w:hAnsi="Times New Roman" w:cs="Times New Roman"/>
          <w:b/>
          <w:bCs/>
          <w:szCs w:val="24"/>
        </w:rPr>
        <w:t xml:space="preserve"> </w:t>
      </w:r>
    </w:p>
    <w:p w14:paraId="24DF2D03" w14:textId="42454903" w:rsidR="00923579" w:rsidRDefault="00923579" w:rsidP="009359BB">
      <w:pPr>
        <w:rPr>
          <w:rFonts w:ascii="Times New Roman" w:hAnsi="Times New Roman" w:cs="Times New Roman"/>
          <w:bCs/>
          <w:szCs w:val="24"/>
        </w:rPr>
      </w:pPr>
      <w:r>
        <w:rPr>
          <w:rFonts w:ascii="Times New Roman" w:hAnsi="Times New Roman" w:cs="Times New Roman"/>
          <w:bCs/>
          <w:szCs w:val="24"/>
        </w:rPr>
        <w:t xml:space="preserve">Before the </w:t>
      </w:r>
      <w:r w:rsidR="009B5C6E">
        <w:rPr>
          <w:rFonts w:ascii="Times New Roman" w:hAnsi="Times New Roman" w:cs="Times New Roman"/>
          <w:bCs/>
          <w:szCs w:val="24"/>
        </w:rPr>
        <w:t>Rules</w:t>
      </w:r>
      <w:r w:rsidR="006A69BB">
        <w:rPr>
          <w:rFonts w:ascii="Times New Roman" w:hAnsi="Times New Roman" w:cs="Times New Roman"/>
          <w:bCs/>
          <w:szCs w:val="24"/>
        </w:rPr>
        <w:t xml:space="preserve"> were made, the Attorney-General considered the general obligation to consult imposed by section 17 of the </w:t>
      </w:r>
      <w:r w:rsidR="001E309B">
        <w:rPr>
          <w:rFonts w:ascii="Times New Roman" w:hAnsi="Times New Roman" w:cs="Times New Roman"/>
          <w:bCs/>
          <w:i/>
          <w:szCs w:val="24"/>
        </w:rPr>
        <w:t>L</w:t>
      </w:r>
      <w:r w:rsidR="006A69BB">
        <w:rPr>
          <w:rFonts w:ascii="Times New Roman" w:hAnsi="Times New Roman" w:cs="Times New Roman"/>
          <w:bCs/>
          <w:i/>
          <w:szCs w:val="24"/>
        </w:rPr>
        <w:t xml:space="preserve">egislation Act 2003 </w:t>
      </w:r>
      <w:r w:rsidR="001E309B">
        <w:rPr>
          <w:rFonts w:ascii="Times New Roman" w:hAnsi="Times New Roman" w:cs="Times New Roman"/>
          <w:bCs/>
          <w:szCs w:val="24"/>
        </w:rPr>
        <w:t>(the Legislation A</w:t>
      </w:r>
      <w:r w:rsidR="006A69BB">
        <w:rPr>
          <w:rFonts w:ascii="Times New Roman" w:hAnsi="Times New Roman" w:cs="Times New Roman"/>
          <w:bCs/>
          <w:szCs w:val="24"/>
        </w:rPr>
        <w:t>ct). The Attorney</w:t>
      </w:r>
      <w:r w:rsidR="001E309B">
        <w:rPr>
          <w:rFonts w:ascii="Times New Roman" w:hAnsi="Times New Roman" w:cs="Times New Roman"/>
          <w:bCs/>
          <w:szCs w:val="24"/>
        </w:rPr>
        <w:t>-General was satisfied that consultation was appropriate and reasonably practicable to be undertaken.</w:t>
      </w:r>
      <w:r w:rsidR="00A44370">
        <w:rPr>
          <w:rFonts w:ascii="Times New Roman" w:hAnsi="Times New Roman" w:cs="Times New Roman"/>
          <w:bCs/>
          <w:szCs w:val="24"/>
        </w:rPr>
        <w:t xml:space="preserve"> The Rules have been developed following extensive consultation with relevant government and non-government stakeholders on the scope and operation of the scheme both prior to the commencement of the FITS Act and during its implementation. </w:t>
      </w:r>
      <w:r w:rsidR="000A506A">
        <w:rPr>
          <w:rFonts w:ascii="Times New Roman" w:hAnsi="Times New Roman" w:cs="Times New Roman"/>
          <w:bCs/>
          <w:szCs w:val="24"/>
        </w:rPr>
        <w:t xml:space="preserve"> </w:t>
      </w:r>
    </w:p>
    <w:p w14:paraId="24DF2D04" w14:textId="77777777" w:rsidR="00923579" w:rsidRDefault="00923579" w:rsidP="00734AED">
      <w:pPr>
        <w:rPr>
          <w:rFonts w:ascii="Times New Roman" w:hAnsi="Times New Roman" w:cs="Times New Roman"/>
          <w:bCs/>
          <w:szCs w:val="24"/>
        </w:rPr>
      </w:pPr>
    </w:p>
    <w:p w14:paraId="24DF2D05" w14:textId="77777777" w:rsidR="00923579" w:rsidRDefault="00923579">
      <w:pPr>
        <w:spacing w:line="276" w:lineRule="auto"/>
        <w:rPr>
          <w:rFonts w:ascii="Times New Roman" w:hAnsi="Times New Roman" w:cs="Times New Roman"/>
          <w:bCs/>
          <w:szCs w:val="24"/>
        </w:rPr>
      </w:pPr>
    </w:p>
    <w:p w14:paraId="24DF2D06" w14:textId="77777777" w:rsidR="006A69BB" w:rsidRDefault="006A69BB">
      <w:pPr>
        <w:spacing w:line="276" w:lineRule="auto"/>
        <w:rPr>
          <w:rFonts w:ascii="Times New Roman" w:hAnsi="Times New Roman" w:cs="Times New Roman"/>
          <w:color w:val="000000"/>
          <w:szCs w:val="20"/>
        </w:rPr>
      </w:pPr>
    </w:p>
    <w:p w14:paraId="24DF2D07" w14:textId="77777777" w:rsidR="00923579" w:rsidRDefault="00923579">
      <w:pPr>
        <w:spacing w:line="276" w:lineRule="auto"/>
        <w:rPr>
          <w:rFonts w:ascii="Times New Roman" w:hAnsi="Times New Roman" w:cs="Times New Roman"/>
          <w:b/>
          <w:color w:val="000000"/>
          <w:szCs w:val="20"/>
        </w:rPr>
      </w:pPr>
      <w:r>
        <w:rPr>
          <w:b/>
          <w:szCs w:val="20"/>
        </w:rPr>
        <w:br w:type="page"/>
      </w:r>
    </w:p>
    <w:p w14:paraId="24DF2D08" w14:textId="77777777" w:rsidR="006A69BB" w:rsidRDefault="006A69BB" w:rsidP="00734AED">
      <w:pPr>
        <w:pStyle w:val="Default"/>
        <w:jc w:val="right"/>
        <w:rPr>
          <w:b/>
          <w:szCs w:val="20"/>
        </w:rPr>
      </w:pPr>
      <w:r>
        <w:rPr>
          <w:b/>
          <w:szCs w:val="20"/>
        </w:rPr>
        <w:lastRenderedPageBreak/>
        <w:t>Attachment A</w:t>
      </w:r>
    </w:p>
    <w:p w14:paraId="24DF2D09" w14:textId="77777777" w:rsidR="00DF77E2" w:rsidRPr="007D698E" w:rsidRDefault="00DF77E2" w:rsidP="009359BB">
      <w:pPr>
        <w:ind w:left="1452" w:hanging="1452"/>
        <w:outlineLvl w:val="1"/>
        <w:rPr>
          <w:rFonts w:ascii="Times New Roman" w:eastAsia="Calibri" w:hAnsi="Times New Roman" w:cs="Times New Roman"/>
          <w:b/>
          <w:szCs w:val="24"/>
        </w:rPr>
      </w:pPr>
      <w:r w:rsidRPr="007D698E">
        <w:rPr>
          <w:rFonts w:ascii="Times New Roman" w:eastAsia="Calibri" w:hAnsi="Times New Roman" w:cs="Times New Roman"/>
          <w:b/>
          <w:szCs w:val="24"/>
        </w:rPr>
        <w:t xml:space="preserve">NOTES ON PROVISIONS </w:t>
      </w:r>
    </w:p>
    <w:p w14:paraId="24DF2D0A" w14:textId="77777777" w:rsidR="00DF77E2" w:rsidRDefault="00DF77E2" w:rsidP="009359BB">
      <w:pPr>
        <w:rPr>
          <w:rFonts w:ascii="Times New Roman" w:eastAsia="Calibri" w:hAnsi="Times New Roman" w:cs="Times New Roman"/>
          <w:b/>
          <w:szCs w:val="24"/>
        </w:rPr>
      </w:pPr>
      <w:r>
        <w:rPr>
          <w:rFonts w:ascii="Times New Roman" w:eastAsia="Calibri" w:hAnsi="Times New Roman" w:cs="Times New Roman"/>
          <w:b/>
          <w:szCs w:val="24"/>
        </w:rPr>
        <w:t>Part 1 – Preliminary</w:t>
      </w:r>
    </w:p>
    <w:p w14:paraId="24DF2D0B" w14:textId="77777777" w:rsidR="008365F6" w:rsidRDefault="00DF77E2" w:rsidP="009359BB">
      <w:pPr>
        <w:rPr>
          <w:rFonts w:ascii="Times New Roman" w:eastAsia="Calibri" w:hAnsi="Times New Roman" w:cs="Times New Roman"/>
          <w:b/>
          <w:szCs w:val="24"/>
        </w:rPr>
      </w:pPr>
      <w:r>
        <w:rPr>
          <w:rFonts w:ascii="Times New Roman" w:eastAsia="Calibri" w:hAnsi="Times New Roman" w:cs="Times New Roman"/>
          <w:b/>
          <w:szCs w:val="24"/>
        </w:rPr>
        <w:t>Section 1 – Name</w:t>
      </w:r>
    </w:p>
    <w:p w14:paraId="24DF2D0C" w14:textId="45190BF4" w:rsidR="008365F6" w:rsidRDefault="00DF77E2" w:rsidP="009359BB">
      <w:pPr>
        <w:rPr>
          <w:rFonts w:ascii="Times New Roman" w:eastAsia="Calibri" w:hAnsi="Times New Roman" w:cs="Times New Roman"/>
          <w:b/>
          <w:szCs w:val="24"/>
        </w:rPr>
      </w:pPr>
      <w:r>
        <w:rPr>
          <w:rFonts w:ascii="Times New Roman" w:eastAsia="Calibri" w:hAnsi="Times New Roman" w:cs="Times New Roman"/>
          <w:szCs w:val="24"/>
        </w:rPr>
        <w:t xml:space="preserve">This section provides that the name of this instrument is the </w:t>
      </w:r>
      <w:r>
        <w:rPr>
          <w:rFonts w:ascii="Times New Roman" w:eastAsia="Calibri" w:hAnsi="Times New Roman" w:cs="Times New Roman"/>
          <w:i/>
          <w:szCs w:val="24"/>
        </w:rPr>
        <w:t>Foreign Influence Transparency Scheme</w:t>
      </w:r>
      <w:r w:rsidR="00AF5D54">
        <w:rPr>
          <w:rFonts w:ascii="Times New Roman" w:eastAsia="Calibri" w:hAnsi="Times New Roman" w:cs="Times New Roman"/>
          <w:i/>
          <w:szCs w:val="24"/>
        </w:rPr>
        <w:t xml:space="preserve"> Amendment (2019 Measures No. 1)</w:t>
      </w:r>
      <w:r>
        <w:rPr>
          <w:rFonts w:ascii="Times New Roman" w:eastAsia="Calibri" w:hAnsi="Times New Roman" w:cs="Times New Roman"/>
          <w:i/>
          <w:szCs w:val="24"/>
        </w:rPr>
        <w:t xml:space="preserve"> Rules </w:t>
      </w:r>
      <w:r w:rsidRPr="00DF77E2">
        <w:rPr>
          <w:rFonts w:ascii="Times New Roman" w:eastAsia="Calibri" w:hAnsi="Times New Roman" w:cs="Times New Roman"/>
          <w:i/>
          <w:szCs w:val="24"/>
        </w:rPr>
        <w:t>201</w:t>
      </w:r>
      <w:r w:rsidR="00AF5D54">
        <w:rPr>
          <w:rFonts w:ascii="Times New Roman" w:eastAsia="Calibri" w:hAnsi="Times New Roman" w:cs="Times New Roman"/>
          <w:i/>
          <w:szCs w:val="24"/>
        </w:rPr>
        <w:t>9</w:t>
      </w:r>
      <w:r w:rsidR="00A44370">
        <w:rPr>
          <w:rFonts w:ascii="Times New Roman" w:eastAsia="Calibri" w:hAnsi="Times New Roman" w:cs="Times New Roman"/>
          <w:i/>
          <w:szCs w:val="24"/>
        </w:rPr>
        <w:t xml:space="preserve"> </w:t>
      </w:r>
      <w:r w:rsidR="00A44370">
        <w:rPr>
          <w:rFonts w:ascii="Times New Roman" w:eastAsia="Calibri" w:hAnsi="Times New Roman" w:cs="Times New Roman"/>
          <w:szCs w:val="24"/>
        </w:rPr>
        <w:t>(the Rules)</w:t>
      </w:r>
      <w:r>
        <w:rPr>
          <w:rFonts w:ascii="Times New Roman" w:eastAsia="Calibri" w:hAnsi="Times New Roman" w:cs="Times New Roman"/>
          <w:szCs w:val="24"/>
        </w:rPr>
        <w:t>.</w:t>
      </w:r>
    </w:p>
    <w:p w14:paraId="24DF2D0D" w14:textId="77777777" w:rsidR="008365F6" w:rsidRDefault="00DF77E2" w:rsidP="009359BB">
      <w:pPr>
        <w:rPr>
          <w:rFonts w:eastAsia="Calibri"/>
          <w:b/>
        </w:rPr>
      </w:pPr>
      <w:r w:rsidRPr="00734AED">
        <w:rPr>
          <w:rFonts w:ascii="Times New Roman" w:eastAsia="Calibri" w:hAnsi="Times New Roman" w:cs="Times New Roman"/>
          <w:b/>
          <w:szCs w:val="24"/>
        </w:rPr>
        <w:t>Section</w:t>
      </w:r>
      <w:r w:rsidRPr="007D698E">
        <w:rPr>
          <w:rFonts w:ascii="Times New Roman" w:eastAsia="Calibri" w:hAnsi="Times New Roman" w:cs="Times New Roman"/>
          <w:b/>
          <w:szCs w:val="24"/>
        </w:rPr>
        <w:t xml:space="preserve"> </w:t>
      </w:r>
      <w:r>
        <w:rPr>
          <w:rFonts w:ascii="Times New Roman" w:eastAsia="Calibri" w:hAnsi="Times New Roman" w:cs="Times New Roman"/>
          <w:b/>
          <w:szCs w:val="24"/>
        </w:rPr>
        <w:t>2 – Commencement</w:t>
      </w:r>
    </w:p>
    <w:p w14:paraId="24DF2D0E" w14:textId="77777777" w:rsidR="00DF77E2" w:rsidRPr="00734AED" w:rsidRDefault="00DF77E2" w:rsidP="009359BB">
      <w:pPr>
        <w:rPr>
          <w:rFonts w:eastAsia="Calibri"/>
          <w:szCs w:val="24"/>
        </w:rPr>
      </w:pPr>
      <w:r>
        <w:rPr>
          <w:rFonts w:ascii="Times New Roman" w:eastAsia="Calibri" w:hAnsi="Times New Roman" w:cs="Times New Roman"/>
          <w:szCs w:val="24"/>
        </w:rPr>
        <w:t xml:space="preserve">This section provides for the whole of the </w:t>
      </w:r>
      <w:r w:rsidR="009B5C6E">
        <w:rPr>
          <w:rFonts w:ascii="Times New Roman" w:eastAsia="Calibri" w:hAnsi="Times New Roman" w:cs="Times New Roman"/>
          <w:szCs w:val="24"/>
        </w:rPr>
        <w:t>Rules</w:t>
      </w:r>
      <w:r>
        <w:rPr>
          <w:rFonts w:ascii="Times New Roman" w:eastAsia="Calibri" w:hAnsi="Times New Roman" w:cs="Times New Roman"/>
          <w:szCs w:val="24"/>
        </w:rPr>
        <w:t xml:space="preserve"> to commence</w:t>
      </w:r>
      <w:r w:rsidR="00BC1934">
        <w:rPr>
          <w:rFonts w:ascii="Times New Roman" w:eastAsia="Calibri" w:hAnsi="Times New Roman" w:cs="Times New Roman"/>
          <w:szCs w:val="24"/>
        </w:rPr>
        <w:t xml:space="preserve"> </w:t>
      </w:r>
      <w:r w:rsidR="00AF5D54">
        <w:rPr>
          <w:rFonts w:ascii="Times New Roman" w:eastAsia="Calibri" w:hAnsi="Times New Roman" w:cs="Times New Roman"/>
          <w:szCs w:val="24"/>
        </w:rPr>
        <w:t xml:space="preserve">the day after the </w:t>
      </w:r>
      <w:r w:rsidR="009B5C6E">
        <w:rPr>
          <w:rFonts w:ascii="Times New Roman" w:eastAsia="Calibri" w:hAnsi="Times New Roman" w:cs="Times New Roman"/>
          <w:szCs w:val="24"/>
        </w:rPr>
        <w:t>Rules</w:t>
      </w:r>
      <w:r w:rsidR="00AF5D54">
        <w:rPr>
          <w:rFonts w:ascii="Times New Roman" w:eastAsia="Calibri" w:hAnsi="Times New Roman" w:cs="Times New Roman"/>
          <w:szCs w:val="24"/>
        </w:rPr>
        <w:t xml:space="preserve"> are registered</w:t>
      </w:r>
      <w:r w:rsidR="00BC1934">
        <w:rPr>
          <w:rFonts w:ascii="Times New Roman" w:eastAsia="Calibri" w:hAnsi="Times New Roman" w:cs="Times New Roman"/>
          <w:szCs w:val="24"/>
        </w:rPr>
        <w:t>.</w:t>
      </w:r>
    </w:p>
    <w:p w14:paraId="24DF2D0F" w14:textId="77777777" w:rsidR="00EE6A37" w:rsidRPr="00C60227" w:rsidRDefault="00EE6A37" w:rsidP="009359BB">
      <w:pPr>
        <w:rPr>
          <w:b/>
        </w:rPr>
      </w:pPr>
      <w:r w:rsidRPr="00734AED">
        <w:rPr>
          <w:rFonts w:ascii="Times New Roman" w:hAnsi="Times New Roman" w:cs="Times New Roman"/>
          <w:b/>
          <w:szCs w:val="24"/>
        </w:rPr>
        <w:t xml:space="preserve">Section 3 – Authority </w:t>
      </w:r>
    </w:p>
    <w:p w14:paraId="24DF2D10" w14:textId="1DD46352" w:rsidR="00DF77E2" w:rsidRDefault="00EE6A37" w:rsidP="009359BB">
      <w:pPr>
        <w:pStyle w:val="Default"/>
        <w:spacing w:after="200"/>
        <w:rPr>
          <w:b/>
        </w:rPr>
      </w:pPr>
      <w:r w:rsidRPr="00B4389D">
        <w:t>This section provides that the</w:t>
      </w:r>
      <w:r w:rsidR="00C70011">
        <w:t xml:space="preserve"> </w:t>
      </w:r>
      <w:r w:rsidR="009B5C6E">
        <w:t>Rules</w:t>
      </w:r>
      <w:r w:rsidRPr="00B4389D">
        <w:t xml:space="preserve"> are made under the </w:t>
      </w:r>
      <w:r w:rsidRPr="00734AED">
        <w:rPr>
          <w:i/>
        </w:rPr>
        <w:t>Foreign Influence Transparency Scheme Act 201</w:t>
      </w:r>
      <w:r w:rsidR="00DF77E2">
        <w:rPr>
          <w:i/>
        </w:rPr>
        <w:t>8</w:t>
      </w:r>
      <w:r w:rsidR="00A44370">
        <w:rPr>
          <w:i/>
        </w:rPr>
        <w:t xml:space="preserve"> </w:t>
      </w:r>
      <w:r w:rsidR="00A44370">
        <w:t>(the FITS Rules)</w:t>
      </w:r>
      <w:r w:rsidRPr="00734AED">
        <w:rPr>
          <w:i/>
        </w:rPr>
        <w:t>.</w:t>
      </w:r>
      <w:r w:rsidRPr="00734AED">
        <w:t xml:space="preserve"> </w:t>
      </w:r>
    </w:p>
    <w:p w14:paraId="24DF2D11" w14:textId="77777777" w:rsidR="00EE6A37" w:rsidRPr="00B4389D" w:rsidRDefault="00EE6A37" w:rsidP="009359BB">
      <w:pPr>
        <w:pStyle w:val="Default"/>
        <w:spacing w:after="200"/>
        <w:rPr>
          <w:b/>
        </w:rPr>
      </w:pPr>
      <w:r w:rsidRPr="00C60227">
        <w:rPr>
          <w:b/>
        </w:rPr>
        <w:t xml:space="preserve">Section 4 – </w:t>
      </w:r>
      <w:r w:rsidR="00AF5D54">
        <w:rPr>
          <w:b/>
        </w:rPr>
        <w:t>Schedules</w:t>
      </w:r>
    </w:p>
    <w:p w14:paraId="24DF2D12" w14:textId="2AAD0132" w:rsidR="00BF616D" w:rsidRDefault="00AF5D54" w:rsidP="00D25900">
      <w:pPr>
        <w:pStyle w:val="Default"/>
        <w:spacing w:after="200"/>
        <w:rPr>
          <w:u w:val="single"/>
        </w:rPr>
      </w:pPr>
      <w:r>
        <w:t xml:space="preserve">This section provides </w:t>
      </w:r>
      <w:r w:rsidR="00D25900">
        <w:t>that each instrument that is specified in a Schedule to the</w:t>
      </w:r>
      <w:r w:rsidR="00C70011">
        <w:t xml:space="preserve"> </w:t>
      </w:r>
      <w:r w:rsidR="009B5C6E">
        <w:t>Rules</w:t>
      </w:r>
      <w:r w:rsidR="00D25900">
        <w:t xml:space="preserve"> is amended or repealed as set out in the applicable items in the Schedule concerned</w:t>
      </w:r>
      <w:r w:rsidR="00A44370">
        <w:t>,</w:t>
      </w:r>
      <w:r w:rsidR="00D25900">
        <w:t xml:space="preserve"> and that any other item in a Schedule to the </w:t>
      </w:r>
      <w:r w:rsidR="009B5C6E">
        <w:t>Rules</w:t>
      </w:r>
      <w:r w:rsidR="00D25900">
        <w:t xml:space="preserve"> has effect according to its terms.</w:t>
      </w:r>
    </w:p>
    <w:p w14:paraId="24DF2D13" w14:textId="77777777" w:rsidR="00BD292A" w:rsidRDefault="00D25900" w:rsidP="00BD292A">
      <w:pPr>
        <w:pStyle w:val="Default"/>
        <w:spacing w:after="200"/>
        <w:rPr>
          <w:b/>
        </w:rPr>
      </w:pPr>
      <w:r>
        <w:rPr>
          <w:b/>
        </w:rPr>
        <w:t xml:space="preserve">Schedule 1 </w:t>
      </w:r>
      <w:r w:rsidR="00BD292A">
        <w:rPr>
          <w:b/>
        </w:rPr>
        <w:t xml:space="preserve">– </w:t>
      </w:r>
      <w:r>
        <w:rPr>
          <w:b/>
        </w:rPr>
        <w:t>Amendments</w:t>
      </w:r>
    </w:p>
    <w:p w14:paraId="24DF2D14" w14:textId="77777777" w:rsidR="00BD292A" w:rsidRDefault="00D25900" w:rsidP="00BD292A">
      <w:pPr>
        <w:pStyle w:val="Default"/>
        <w:spacing w:after="200"/>
        <w:rPr>
          <w:b/>
        </w:rPr>
      </w:pPr>
      <w:r>
        <w:rPr>
          <w:b/>
        </w:rPr>
        <w:t>Clause 1</w:t>
      </w:r>
      <w:r w:rsidR="00BD292A">
        <w:rPr>
          <w:b/>
        </w:rPr>
        <w:t xml:space="preserve"> – </w:t>
      </w:r>
      <w:r>
        <w:rPr>
          <w:b/>
        </w:rPr>
        <w:t>Amendment to Section 5</w:t>
      </w:r>
    </w:p>
    <w:p w14:paraId="24DF2D15" w14:textId="2F3FA0EC" w:rsidR="00D25900" w:rsidRDefault="00A44370" w:rsidP="00BD292A">
      <w:pPr>
        <w:pStyle w:val="Default"/>
        <w:spacing w:after="200"/>
      </w:pPr>
      <w:r>
        <w:t>This clause amends s</w:t>
      </w:r>
      <w:r w:rsidR="00D25900">
        <w:t xml:space="preserve">ection 5 </w:t>
      </w:r>
      <w:r>
        <w:t xml:space="preserve">of the FITS Rules to </w:t>
      </w:r>
      <w:r w:rsidR="00D25900">
        <w:t xml:space="preserve">provide that “(1)” be inserted before the word “For”. </w:t>
      </w:r>
      <w:r w:rsidR="00681E68">
        <w:t>This facilitates the insertion of subsection 5(2) (at clause 2, detailed below).</w:t>
      </w:r>
    </w:p>
    <w:p w14:paraId="24DF2D16" w14:textId="77777777" w:rsidR="00D25900" w:rsidRPr="00D25900" w:rsidRDefault="00D25900" w:rsidP="00BD292A">
      <w:pPr>
        <w:pStyle w:val="Default"/>
        <w:spacing w:after="200"/>
        <w:rPr>
          <w:b/>
        </w:rPr>
      </w:pPr>
      <w:r>
        <w:rPr>
          <w:b/>
        </w:rPr>
        <w:t>Clause 2 – At the end of section 5</w:t>
      </w:r>
    </w:p>
    <w:p w14:paraId="24DF2D17" w14:textId="53E9110A" w:rsidR="00C70011" w:rsidRDefault="00C70011" w:rsidP="00BD292A">
      <w:pPr>
        <w:pStyle w:val="Default"/>
        <w:spacing w:after="200"/>
      </w:pPr>
      <w:r>
        <w:t xml:space="preserve">This </w:t>
      </w:r>
      <w:r w:rsidR="00A44370">
        <w:t>clause</w:t>
      </w:r>
      <w:r>
        <w:t xml:space="preserve"> </w:t>
      </w:r>
      <w:r w:rsidR="006B30A5">
        <w:t>adds new subsection 5(2) to section 5 of the FITS Rules, to prescribe</w:t>
      </w:r>
      <w:r>
        <w:t xml:space="preserve"> an additional exemption </w:t>
      </w:r>
      <w:r w:rsidR="00A44370">
        <w:t>for the purpose</w:t>
      </w:r>
      <w:r w:rsidR="006B30A5">
        <w:t xml:space="preserve">s of section 30 of the Act. </w:t>
      </w:r>
      <w:r w:rsidR="00681E68">
        <w:t>Subsection 5(2)</w:t>
      </w:r>
      <w:r w:rsidR="00A44370">
        <w:t xml:space="preserve"> provides that a person is exempt in relation to an activity the person undertakes on behalf of a foreign principal if: </w:t>
      </w:r>
      <w:r w:rsidR="00EF2DB7">
        <w:t xml:space="preserve"> </w:t>
      </w:r>
    </w:p>
    <w:p w14:paraId="24DF2D18" w14:textId="485B03C2"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the activity is</w:t>
      </w:r>
      <w:r w:rsidR="00A44370">
        <w:rPr>
          <w:rFonts w:ascii="Times New Roman" w:hAnsi="Times New Roman" w:cs="Times New Roman"/>
          <w:szCs w:val="20"/>
        </w:rPr>
        <w:t xml:space="preserve"> covered by item 2 of the table in subsection 21(1) of the Act (about </w:t>
      </w:r>
      <w:r>
        <w:rPr>
          <w:rFonts w:ascii="Times New Roman" w:hAnsi="Times New Roman" w:cs="Times New Roman"/>
          <w:szCs w:val="20"/>
        </w:rPr>
        <w:t>general political lobbying in Australia for the purpose of political or governmental influence</w:t>
      </w:r>
      <w:r w:rsidR="00A44370">
        <w:rPr>
          <w:rFonts w:ascii="Times New Roman" w:hAnsi="Times New Roman" w:cs="Times New Roman"/>
          <w:szCs w:val="20"/>
        </w:rPr>
        <w:t>)</w:t>
      </w:r>
      <w:r>
        <w:rPr>
          <w:rFonts w:ascii="Times New Roman" w:hAnsi="Times New Roman" w:cs="Times New Roman"/>
          <w:szCs w:val="20"/>
        </w:rPr>
        <w:t>;</w:t>
      </w:r>
      <w:r w:rsidR="00A44370">
        <w:rPr>
          <w:rFonts w:ascii="Times New Roman" w:hAnsi="Times New Roman" w:cs="Times New Roman"/>
          <w:szCs w:val="20"/>
        </w:rPr>
        <w:t xml:space="preserve"> and</w:t>
      </w:r>
      <w:r>
        <w:rPr>
          <w:rFonts w:ascii="Times New Roman" w:hAnsi="Times New Roman" w:cs="Times New Roman"/>
          <w:szCs w:val="20"/>
        </w:rPr>
        <w:t xml:space="preserve"> </w:t>
      </w:r>
    </w:p>
    <w:p w14:paraId="24DF2D19" w14:textId="73272824"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foreign principal or the person is taking part in a process relating to a federal government decision within the meaning of paragraph 12(1)(b) of the Act in order to comply with a law of the Commonwealth; </w:t>
      </w:r>
      <w:r w:rsidR="00A44370">
        <w:rPr>
          <w:rFonts w:ascii="Times New Roman" w:hAnsi="Times New Roman" w:cs="Times New Roman"/>
          <w:szCs w:val="20"/>
        </w:rPr>
        <w:t>and</w:t>
      </w:r>
    </w:p>
    <w:p w14:paraId="24DF2D1A" w14:textId="77777777"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process involves the foreign principal or the person providing information in accordance with that law to the maker of the decision or another person assisting the maker of the decision, for the purposes of making the decision; and </w:t>
      </w:r>
    </w:p>
    <w:p w14:paraId="24DF2D1B" w14:textId="77777777" w:rsidR="00C70011" w:rsidRDefault="00EF2DB7" w:rsidP="00C70011">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at the time the activity is undertaken, the identity of the foreign principal is either apparent or disclosed to all person with whom the person is dealing. </w:t>
      </w:r>
    </w:p>
    <w:p w14:paraId="24DF2D1D" w14:textId="77777777" w:rsidR="00BF616D" w:rsidRDefault="00C70011" w:rsidP="009359BB">
      <w:pPr>
        <w:pStyle w:val="Default"/>
        <w:spacing w:after="200"/>
        <w:rPr>
          <w:b/>
        </w:rPr>
      </w:pPr>
      <w:r>
        <w:rPr>
          <w:b/>
        </w:rPr>
        <w:t>Clause 3</w:t>
      </w:r>
      <w:r w:rsidR="00BF616D">
        <w:rPr>
          <w:b/>
        </w:rPr>
        <w:t xml:space="preserve"> – </w:t>
      </w:r>
      <w:r>
        <w:rPr>
          <w:b/>
        </w:rPr>
        <w:t>After section 6</w:t>
      </w:r>
    </w:p>
    <w:p w14:paraId="1EA92A75" w14:textId="362C9100" w:rsidR="006B30A5" w:rsidRDefault="00717790" w:rsidP="009359BB">
      <w:pPr>
        <w:pStyle w:val="Default"/>
        <w:spacing w:after="200"/>
      </w:pPr>
      <w:r>
        <w:lastRenderedPageBreak/>
        <w:t xml:space="preserve">This </w:t>
      </w:r>
      <w:r w:rsidR="00684DD3">
        <w:t>clause</w:t>
      </w:r>
      <w:r>
        <w:t xml:space="preserve"> </w:t>
      </w:r>
      <w:r w:rsidR="006B30A5">
        <w:t xml:space="preserve">amends section 6 of the FITS Rules to insert new section 6A into the FITS Rules. </w:t>
      </w:r>
      <w:r w:rsidR="00681E68">
        <w:t>S</w:t>
      </w:r>
      <w:r w:rsidR="006B30A5">
        <w:t>ection 6A prescribes information for the purposes of paragraph 43(2)(c) of the Act (about information not to be included on the website providing information on persons who are or have been registered in relation to a foreign principal)</w:t>
      </w:r>
      <w:r w:rsidR="00681E68">
        <w:t xml:space="preserve">. Subsection 43(2) of the Act provides that the website must not include information that the Secretary is satisfied is commercially sensitive, affects national security, or is prescribed by the rules for the purposes of that subsection. </w:t>
      </w:r>
    </w:p>
    <w:p w14:paraId="4E74185D" w14:textId="024B90E0" w:rsidR="006B30A5" w:rsidRDefault="002365BE" w:rsidP="009359BB">
      <w:pPr>
        <w:pStyle w:val="Default"/>
        <w:spacing w:after="200"/>
      </w:pPr>
      <w:r>
        <w:t>Subsection</w:t>
      </w:r>
      <w:r w:rsidR="006B30A5">
        <w:t xml:space="preserve"> 6A(1) prescribes</w:t>
      </w:r>
      <w:r w:rsidR="00681E68">
        <w:t>, for the purposes of paragraph 43(2)(c)</w:t>
      </w:r>
      <w:r>
        <w:t xml:space="preserve"> of the Act</w:t>
      </w:r>
      <w:r w:rsidR="00681E68">
        <w:t>,</w:t>
      </w:r>
      <w:r w:rsidR="006B30A5">
        <w:t xml:space="preserve"> information: </w:t>
      </w:r>
    </w:p>
    <w:p w14:paraId="25B6FBBD" w14:textId="5DF51811" w:rsidR="006B30A5" w:rsidRDefault="006B30A5" w:rsidP="002365BE">
      <w:pPr>
        <w:pStyle w:val="Default"/>
        <w:numPr>
          <w:ilvl w:val="0"/>
          <w:numId w:val="47"/>
        </w:numPr>
        <w:ind w:hanging="357"/>
      </w:pPr>
      <w:r>
        <w:t xml:space="preserve">that is sensitive; and </w:t>
      </w:r>
    </w:p>
    <w:p w14:paraId="24DF2D20" w14:textId="77777777" w:rsidR="002A7687" w:rsidRDefault="002A7687" w:rsidP="002365BE">
      <w:pPr>
        <w:pStyle w:val="Default"/>
        <w:numPr>
          <w:ilvl w:val="0"/>
          <w:numId w:val="42"/>
        </w:numPr>
        <w:ind w:hanging="357"/>
      </w:pPr>
      <w:r>
        <w:t>that:</w:t>
      </w:r>
    </w:p>
    <w:p w14:paraId="24DF2D21" w14:textId="66156BF9" w:rsidR="002A7687" w:rsidRDefault="002A7687" w:rsidP="002365BE">
      <w:pPr>
        <w:pStyle w:val="Default"/>
        <w:numPr>
          <w:ilvl w:val="1"/>
          <w:numId w:val="42"/>
        </w:numPr>
        <w:ind w:hanging="357"/>
      </w:pPr>
      <w:r>
        <w:t xml:space="preserve">was contained in </w:t>
      </w:r>
      <w:r w:rsidR="00A90694">
        <w:t>an application for registration of a person, or a notice given by a person under section 31, 34, 35, 36 or 37 of the Act</w:t>
      </w:r>
      <w:r>
        <w:t xml:space="preserve"> in connection with registration of a person, or a renewal of registration of a person, </w:t>
      </w:r>
      <w:r w:rsidR="00681E68">
        <w:t>relating to a foreign principal and an activity described in subsection 6A(2)</w:t>
      </w:r>
      <w:r>
        <w:t>; or</w:t>
      </w:r>
    </w:p>
    <w:p w14:paraId="24DF2D22" w14:textId="77777777" w:rsidR="002A7687" w:rsidRDefault="002A7687" w:rsidP="002365BE">
      <w:pPr>
        <w:pStyle w:val="Default"/>
        <w:numPr>
          <w:ilvl w:val="1"/>
          <w:numId w:val="42"/>
        </w:numPr>
        <w:ind w:hanging="357"/>
      </w:pPr>
      <w:r>
        <w:t xml:space="preserve">accompanied such an application, notice, or renewal; or </w:t>
      </w:r>
    </w:p>
    <w:p w14:paraId="24DF2D23" w14:textId="2CEE70BB" w:rsidR="002A7687" w:rsidRDefault="002A7687" w:rsidP="002A7687">
      <w:pPr>
        <w:pStyle w:val="Default"/>
        <w:numPr>
          <w:ilvl w:val="1"/>
          <w:numId w:val="42"/>
        </w:numPr>
        <w:spacing w:after="200"/>
      </w:pPr>
      <w:r>
        <w:t xml:space="preserve">was contained in a document accompanying such an </w:t>
      </w:r>
      <w:r w:rsidR="00681E68">
        <w:t>application, notice or renewal.</w:t>
      </w:r>
    </w:p>
    <w:p w14:paraId="5226500A" w14:textId="77777777" w:rsidR="002365BE" w:rsidRDefault="002365BE" w:rsidP="00681E68">
      <w:pPr>
        <w:pStyle w:val="Default"/>
        <w:spacing w:after="200"/>
      </w:pPr>
      <w:r>
        <w:t>Subsection 6A(2) provides that subparagraph 6A(1)(b)(i) applies in relation to an activity for which all the following conditions are met:</w:t>
      </w:r>
    </w:p>
    <w:p w14:paraId="2B6DC36A" w14:textId="73D6A105" w:rsidR="00681E68" w:rsidRDefault="002365BE" w:rsidP="002365BE">
      <w:pPr>
        <w:pStyle w:val="Default"/>
        <w:numPr>
          <w:ilvl w:val="0"/>
          <w:numId w:val="42"/>
        </w:numPr>
        <w:ind w:hanging="357"/>
      </w:pPr>
      <w:r>
        <w:t>the activity is or was undertaken on behalf of the foreign principal by the person;</w:t>
      </w:r>
    </w:p>
    <w:p w14:paraId="568B37F9" w14:textId="77777777" w:rsidR="002365BE" w:rsidRDefault="002365BE" w:rsidP="002365BE">
      <w:pPr>
        <w:pStyle w:val="Default"/>
        <w:numPr>
          <w:ilvl w:val="0"/>
          <w:numId w:val="42"/>
        </w:numPr>
        <w:ind w:hanging="357"/>
      </w:pPr>
      <w:r>
        <w:t xml:space="preserve">the activity is or was undertaken in the context of confidential consultation of the foreign principal or the person by the person (the </w:t>
      </w:r>
      <w:r w:rsidRPr="002365BE">
        <w:rPr>
          <w:i/>
        </w:rPr>
        <w:t>consulter</w:t>
      </w:r>
      <w:r>
        <w:t>) described in subsection 6A(3) that:</w:t>
      </w:r>
    </w:p>
    <w:p w14:paraId="3508E8AB" w14:textId="77777777" w:rsidR="002365BE" w:rsidRDefault="002365BE" w:rsidP="002365BE">
      <w:pPr>
        <w:pStyle w:val="Default"/>
        <w:numPr>
          <w:ilvl w:val="1"/>
          <w:numId w:val="42"/>
        </w:numPr>
        <w:ind w:hanging="357"/>
      </w:pPr>
      <w:r>
        <w:t>was initiated by the consulter; and</w:t>
      </w:r>
    </w:p>
    <w:p w14:paraId="3121AC2A" w14:textId="3DF3FD3F" w:rsidR="002365BE" w:rsidRDefault="002365BE" w:rsidP="002365BE">
      <w:pPr>
        <w:pStyle w:val="Default"/>
        <w:numPr>
          <w:ilvl w:val="1"/>
          <w:numId w:val="42"/>
        </w:numPr>
        <w:ind w:hanging="357"/>
      </w:pPr>
      <w:r>
        <w:t>relates or related to a proposed policy or proposed change to an existing policy;</w:t>
      </w:r>
    </w:p>
    <w:p w14:paraId="2498B655" w14:textId="062F596B" w:rsidR="002365BE" w:rsidRDefault="002365BE" w:rsidP="002365BE">
      <w:pPr>
        <w:pStyle w:val="Default"/>
        <w:numPr>
          <w:ilvl w:val="0"/>
          <w:numId w:val="42"/>
        </w:numPr>
        <w:spacing w:after="200"/>
      </w:pPr>
      <w:r>
        <w:t>at the time the activity is or was undertaken, the identity of the foreign principal is or was either apparent to all persons with whom the person is or was dealing, or disclosed to them.</w:t>
      </w:r>
    </w:p>
    <w:p w14:paraId="14EA93A8" w14:textId="26F586B5" w:rsidR="002365BE" w:rsidRDefault="002365BE" w:rsidP="002365BE">
      <w:pPr>
        <w:pStyle w:val="Default"/>
        <w:spacing w:after="200"/>
      </w:pPr>
      <w:r>
        <w:t>Subsection 6A(3) provides that for the purposes of paragraph 6A(2)(b), each of the following is a consulter:</w:t>
      </w:r>
    </w:p>
    <w:p w14:paraId="737F4D54" w14:textId="77777777" w:rsidR="002365BE" w:rsidRDefault="002365BE" w:rsidP="002365BE">
      <w:pPr>
        <w:pStyle w:val="Default"/>
        <w:numPr>
          <w:ilvl w:val="0"/>
          <w:numId w:val="48"/>
        </w:numPr>
        <w:ind w:left="714" w:hanging="357"/>
      </w:pPr>
      <w:r>
        <w:t>a Commonwealth public official;</w:t>
      </w:r>
    </w:p>
    <w:p w14:paraId="75C67950" w14:textId="77777777" w:rsidR="002365BE" w:rsidRDefault="002365BE" w:rsidP="002365BE">
      <w:pPr>
        <w:pStyle w:val="Default"/>
        <w:numPr>
          <w:ilvl w:val="0"/>
          <w:numId w:val="48"/>
        </w:numPr>
        <w:ind w:left="714" w:hanging="357"/>
      </w:pPr>
      <w:r>
        <w:t xml:space="preserve">a Commonwealth entity (within the meaning of the </w:t>
      </w:r>
      <w:r>
        <w:rPr>
          <w:i/>
        </w:rPr>
        <w:t>Public Governance, Performance and Accountability Act 2013</w:t>
      </w:r>
      <w:r>
        <w:t>) or a subsidiary of a Commonwealth entity (within the meaning of that Act);</w:t>
      </w:r>
    </w:p>
    <w:p w14:paraId="5A28DE2F" w14:textId="77777777" w:rsidR="002365BE" w:rsidRDefault="002365BE" w:rsidP="002365BE">
      <w:pPr>
        <w:pStyle w:val="Default"/>
        <w:numPr>
          <w:ilvl w:val="0"/>
          <w:numId w:val="48"/>
        </w:numPr>
        <w:ind w:left="714" w:hanging="357"/>
      </w:pPr>
      <w:r>
        <w:t xml:space="preserve">a Commonwealth company (within the meaning of the </w:t>
      </w:r>
      <w:r>
        <w:rPr>
          <w:i/>
        </w:rPr>
        <w:t>Public Governance, Performance and Accountability Act 2013</w:t>
      </w:r>
      <w:r>
        <w:t xml:space="preserve">); </w:t>
      </w:r>
    </w:p>
    <w:p w14:paraId="6CE08F1B" w14:textId="77777777" w:rsidR="002365BE" w:rsidRDefault="002365BE" w:rsidP="002365BE">
      <w:pPr>
        <w:pStyle w:val="Default"/>
        <w:numPr>
          <w:ilvl w:val="0"/>
          <w:numId w:val="48"/>
        </w:numPr>
        <w:spacing w:after="200"/>
      </w:pPr>
      <w:r>
        <w:t xml:space="preserve">an individual in the course of performing the individual’s functions in relation to a person or body mentioned above. </w:t>
      </w:r>
    </w:p>
    <w:p w14:paraId="24DF2D2D" w14:textId="3EA8A80D" w:rsidR="0037478D" w:rsidRDefault="0037478D" w:rsidP="009359BB">
      <w:pPr>
        <w:rPr>
          <w:rFonts w:ascii="Times New Roman" w:hAnsi="Times New Roman" w:cs="Times New Roman"/>
          <w:szCs w:val="24"/>
        </w:rPr>
      </w:pPr>
      <w:r>
        <w:rPr>
          <w:rFonts w:ascii="Times New Roman" w:hAnsi="Times New Roman" w:cs="Times New Roman"/>
          <w:szCs w:val="24"/>
        </w:rPr>
        <w:br w:type="page"/>
      </w:r>
    </w:p>
    <w:p w14:paraId="24DF2D2E" w14:textId="77777777" w:rsidR="00B26FF6" w:rsidRDefault="00B26FF6" w:rsidP="009359BB">
      <w:pPr>
        <w:spacing w:afterLines="100" w:after="240"/>
        <w:jc w:val="right"/>
        <w:rPr>
          <w:rFonts w:ascii="Times New Roman" w:hAnsi="Times New Roman" w:cs="Times New Roman"/>
          <w:b/>
          <w:szCs w:val="20"/>
        </w:rPr>
      </w:pPr>
      <w:r>
        <w:rPr>
          <w:rFonts w:ascii="Times New Roman" w:hAnsi="Times New Roman" w:cs="Times New Roman"/>
          <w:b/>
          <w:szCs w:val="20"/>
        </w:rPr>
        <w:lastRenderedPageBreak/>
        <w:t>Attachment B</w:t>
      </w:r>
    </w:p>
    <w:p w14:paraId="24DF2D2F" w14:textId="77777777" w:rsidR="00B26FF6" w:rsidRPr="004E049D" w:rsidRDefault="00B26FF6" w:rsidP="009359BB">
      <w:pPr>
        <w:spacing w:afterLines="100" w:after="240"/>
        <w:jc w:val="center"/>
        <w:rPr>
          <w:rFonts w:ascii="Times New Roman" w:hAnsi="Times New Roman" w:cs="Times New Roman"/>
          <w:b/>
          <w:szCs w:val="20"/>
          <w:u w:val="single"/>
        </w:rPr>
      </w:pPr>
      <w:r w:rsidRPr="004E049D">
        <w:rPr>
          <w:rFonts w:ascii="Times New Roman" w:hAnsi="Times New Roman" w:cs="Times New Roman"/>
          <w:b/>
          <w:szCs w:val="20"/>
          <w:u w:val="single"/>
        </w:rPr>
        <w:t>Statement of Compatibility with Human Rights</w:t>
      </w:r>
    </w:p>
    <w:p w14:paraId="24DF2D30" w14:textId="77777777" w:rsidR="0037478D" w:rsidRDefault="00B26FF6" w:rsidP="009359BB">
      <w:pPr>
        <w:pStyle w:val="Default"/>
        <w:spacing w:afterLines="100" w:after="240"/>
        <w:jc w:val="center"/>
        <w:rPr>
          <w:i/>
          <w:szCs w:val="20"/>
        </w:rPr>
      </w:pPr>
      <w:r w:rsidRPr="003A29C3">
        <w:rPr>
          <w:i/>
          <w:szCs w:val="20"/>
        </w:rPr>
        <w:t>Prepared in accordance with Part 3 of the Human Rights (P</w:t>
      </w:r>
      <w:r w:rsidR="0037478D">
        <w:rPr>
          <w:i/>
          <w:szCs w:val="20"/>
        </w:rPr>
        <w:t>arliamentary Scrutiny) Act 2011</w:t>
      </w:r>
    </w:p>
    <w:p w14:paraId="24DF2D31" w14:textId="77777777" w:rsidR="00B26FF6" w:rsidRPr="003A29C3" w:rsidRDefault="00B26FF6" w:rsidP="009359BB">
      <w:pPr>
        <w:pStyle w:val="Default"/>
        <w:spacing w:afterLines="100" w:after="240"/>
        <w:jc w:val="center"/>
        <w:rPr>
          <w:b/>
          <w:szCs w:val="20"/>
        </w:rPr>
      </w:pPr>
      <w:r w:rsidRPr="003A29C3">
        <w:rPr>
          <w:b/>
          <w:szCs w:val="20"/>
        </w:rPr>
        <w:t>Foreign Influence Transparency Scheme</w:t>
      </w:r>
      <w:r w:rsidR="00684DD3">
        <w:rPr>
          <w:b/>
          <w:szCs w:val="20"/>
        </w:rPr>
        <w:t xml:space="preserve"> Amendment (2019 Measures No. 1) Rules 2019</w:t>
      </w:r>
    </w:p>
    <w:p w14:paraId="24DF2D32" w14:textId="77777777" w:rsidR="00B26FF6" w:rsidRPr="003A29C3" w:rsidRDefault="00B26FF6" w:rsidP="009359BB">
      <w:pPr>
        <w:pStyle w:val="Default"/>
        <w:spacing w:afterLines="100" w:after="240"/>
        <w:rPr>
          <w:szCs w:val="20"/>
        </w:rPr>
      </w:pPr>
      <w:r w:rsidRPr="003A29C3">
        <w:rPr>
          <w:szCs w:val="20"/>
        </w:rPr>
        <w:t xml:space="preserve">The </w:t>
      </w:r>
      <w:r w:rsidR="009B5C6E">
        <w:rPr>
          <w:szCs w:val="20"/>
        </w:rPr>
        <w:t>Rules</w:t>
      </w:r>
      <w:r w:rsidRPr="003A29C3">
        <w:rPr>
          <w:szCs w:val="20"/>
        </w:rPr>
        <w:t xml:space="preserve"> are compatible with the human rights and freedoms recognised or declared in the international instruments listed in section 3 of the </w:t>
      </w:r>
      <w:r w:rsidRPr="003A29C3">
        <w:rPr>
          <w:i/>
          <w:iCs/>
          <w:szCs w:val="20"/>
        </w:rPr>
        <w:t>Human Rights (Parliamentary Scrutiny) Act 2011</w:t>
      </w:r>
      <w:r w:rsidRPr="003A29C3">
        <w:rPr>
          <w:szCs w:val="20"/>
        </w:rPr>
        <w:t xml:space="preserve">. </w:t>
      </w:r>
    </w:p>
    <w:p w14:paraId="24DF2D33" w14:textId="77777777" w:rsidR="007817D6" w:rsidRDefault="0019196F" w:rsidP="009359BB">
      <w:pPr>
        <w:pStyle w:val="Default"/>
        <w:spacing w:afterLines="100" w:after="240"/>
        <w:rPr>
          <w:szCs w:val="20"/>
        </w:rPr>
      </w:pPr>
      <w:r>
        <w:rPr>
          <w:b/>
          <w:szCs w:val="20"/>
        </w:rPr>
        <w:t xml:space="preserve">Overview of the </w:t>
      </w:r>
      <w:r w:rsidR="009B5C6E">
        <w:rPr>
          <w:b/>
          <w:szCs w:val="20"/>
        </w:rPr>
        <w:t>Rules</w:t>
      </w:r>
    </w:p>
    <w:p w14:paraId="24DF2D34" w14:textId="49BB0469" w:rsidR="007817D6" w:rsidRDefault="007817D6" w:rsidP="009359BB">
      <w:pPr>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 xml:space="preserve">Foreign Influence Transparency Scheme </w:t>
      </w:r>
      <w:r w:rsidR="00684DD3">
        <w:rPr>
          <w:rFonts w:ascii="Times New Roman" w:hAnsi="Times New Roman" w:cs="Times New Roman"/>
          <w:i/>
          <w:szCs w:val="20"/>
        </w:rPr>
        <w:t xml:space="preserve">Amendment (2019 Measures No. 1) </w:t>
      </w:r>
      <w:r w:rsidRPr="003A29C3">
        <w:rPr>
          <w:rFonts w:ascii="Times New Roman" w:hAnsi="Times New Roman" w:cs="Times New Roman"/>
          <w:i/>
          <w:szCs w:val="20"/>
        </w:rPr>
        <w:t>Rules</w:t>
      </w:r>
      <w:r w:rsidRPr="003A29C3">
        <w:rPr>
          <w:rFonts w:ascii="Times New Roman" w:hAnsi="Times New Roman" w:cs="Times New Roman"/>
          <w:szCs w:val="20"/>
        </w:rPr>
        <w:t xml:space="preserve"> </w:t>
      </w:r>
      <w:r w:rsidRPr="00D93288">
        <w:rPr>
          <w:rFonts w:ascii="Times New Roman" w:hAnsi="Times New Roman" w:cs="Times New Roman"/>
          <w:i/>
          <w:szCs w:val="20"/>
        </w:rPr>
        <w:t>201</w:t>
      </w:r>
      <w:r w:rsidR="00684DD3">
        <w:rPr>
          <w:rFonts w:ascii="Times New Roman" w:hAnsi="Times New Roman" w:cs="Times New Roman"/>
          <w:i/>
          <w:szCs w:val="20"/>
        </w:rPr>
        <w:t>9</w:t>
      </w:r>
      <w:r w:rsidR="00684DD3">
        <w:rPr>
          <w:rFonts w:ascii="Times New Roman" w:hAnsi="Times New Roman" w:cs="Times New Roman"/>
          <w:szCs w:val="20"/>
        </w:rPr>
        <w:t xml:space="preserve"> (the </w:t>
      </w:r>
      <w:r w:rsidR="009B5C6E">
        <w:rPr>
          <w:rFonts w:ascii="Times New Roman" w:hAnsi="Times New Roman" w:cs="Times New Roman"/>
          <w:szCs w:val="20"/>
        </w:rPr>
        <w:t>Rules</w:t>
      </w:r>
      <w:r w:rsidR="00684DD3">
        <w:rPr>
          <w:rFonts w:ascii="Times New Roman" w:hAnsi="Times New Roman" w:cs="Times New Roman"/>
          <w:szCs w:val="20"/>
        </w:rPr>
        <w:t xml:space="preserve">) amends the </w:t>
      </w:r>
      <w:r w:rsidR="00684DD3">
        <w:rPr>
          <w:rFonts w:ascii="Times New Roman" w:hAnsi="Times New Roman" w:cs="Times New Roman"/>
          <w:i/>
          <w:szCs w:val="20"/>
        </w:rPr>
        <w:t>Foreign Influence Transparency Scheme Rules 2018</w:t>
      </w:r>
      <w:r w:rsidR="009B5C6E">
        <w:rPr>
          <w:rFonts w:ascii="Times New Roman" w:hAnsi="Times New Roman" w:cs="Times New Roman"/>
          <w:szCs w:val="20"/>
        </w:rPr>
        <w:t xml:space="preserve"> (the FITS Rules). The Rules</w:t>
      </w:r>
      <w:r w:rsidR="00684DD3">
        <w:rPr>
          <w:rFonts w:ascii="Times New Roman" w:hAnsi="Times New Roman" w:cs="Times New Roman"/>
          <w:szCs w:val="20"/>
        </w:rPr>
        <w:t xml:space="preserve"> </w:t>
      </w:r>
      <w:r>
        <w:rPr>
          <w:rFonts w:ascii="Times New Roman" w:hAnsi="Times New Roman" w:cs="Times New Roman"/>
          <w:szCs w:val="20"/>
        </w:rPr>
        <w:t xml:space="preserve">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sidR="0019196F">
        <w:rPr>
          <w:rFonts w:ascii="Times New Roman" w:hAnsi="Times New Roman" w:cs="Times New Roman"/>
          <w:i/>
          <w:szCs w:val="20"/>
        </w:rPr>
        <w:t xml:space="preserve">, </w:t>
      </w:r>
      <w:r>
        <w:rPr>
          <w:rFonts w:ascii="Times New Roman" w:hAnsi="Times New Roman" w:cs="Times New Roman"/>
          <w:szCs w:val="20"/>
        </w:rPr>
        <w:t xml:space="preserve">for the purposes of </w:t>
      </w:r>
      <w:r w:rsidRPr="003A29C3">
        <w:rPr>
          <w:rFonts w:ascii="Times New Roman" w:hAnsi="Times New Roman" w:cs="Times New Roman"/>
          <w:szCs w:val="20"/>
        </w:rPr>
        <w:t>section</w:t>
      </w:r>
      <w:r w:rsidR="006B30A5">
        <w:rPr>
          <w:rFonts w:ascii="Times New Roman" w:hAnsi="Times New Roman" w:cs="Times New Roman"/>
          <w:szCs w:val="20"/>
        </w:rPr>
        <w:t>s 30 and</w:t>
      </w:r>
      <w:r w:rsidRPr="003A29C3">
        <w:rPr>
          <w:rFonts w:ascii="Times New Roman" w:hAnsi="Times New Roman" w:cs="Times New Roman"/>
          <w:szCs w:val="20"/>
        </w:rPr>
        <w:t xml:space="preserve"> 43 of the Act</w:t>
      </w:r>
      <w:r>
        <w:rPr>
          <w:rFonts w:ascii="Times New Roman" w:hAnsi="Times New Roman" w:cs="Times New Roman"/>
          <w:szCs w:val="20"/>
        </w:rPr>
        <w:t>. 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14:paraId="24DF2D35" w14:textId="77777777" w:rsidR="007817D6" w:rsidRDefault="007817D6" w:rsidP="009359BB">
      <w:pPr>
        <w:rPr>
          <w:rFonts w:ascii="Times New Roman" w:hAnsi="Times New Roman" w:cs="Times New Roman"/>
          <w:szCs w:val="20"/>
        </w:rPr>
      </w:pPr>
      <w:r>
        <w:rPr>
          <w:rFonts w:ascii="Times New Roman" w:hAnsi="Times New Roman" w:cs="Times New Roman"/>
          <w:szCs w:val="20"/>
        </w:rPr>
        <w:t>Section 71 of the Act provides that the Minister may, by legislative instrument, make rules prescribing matters that are required or permitted by the Act to be prescribed by the rules, or that are necessary or convenient to be prescribed for carrying out or giving effect to the Act.</w:t>
      </w:r>
    </w:p>
    <w:p w14:paraId="24DF2D36" w14:textId="77777777" w:rsidR="0025525F" w:rsidRDefault="00F97966" w:rsidP="00F97966">
      <w:pPr>
        <w:rPr>
          <w:rFonts w:ascii="Times New Roman" w:hAnsi="Times New Roman" w:cs="Times New Roman"/>
          <w:szCs w:val="20"/>
        </w:rPr>
      </w:pPr>
      <w:r>
        <w:rPr>
          <w:rFonts w:ascii="Times New Roman" w:hAnsi="Times New Roman" w:cs="Times New Roman"/>
          <w:szCs w:val="20"/>
        </w:rPr>
        <w:t>Division 4 of Part 2 of the Act sets out a number of exemptions for registering under the scheme.  If any of the exemptions apply, then a person will not be required to register</w:t>
      </w:r>
      <w:r w:rsidR="00715A5D">
        <w:rPr>
          <w:rFonts w:ascii="Times New Roman" w:hAnsi="Times New Roman" w:cs="Times New Roman"/>
          <w:szCs w:val="20"/>
        </w:rPr>
        <w:t xml:space="preserve"> under the scheme in relation to that activity</w:t>
      </w:r>
      <w:r>
        <w:rPr>
          <w:rFonts w:ascii="Times New Roman" w:hAnsi="Times New Roman" w:cs="Times New Roman"/>
          <w:szCs w:val="20"/>
        </w:rPr>
        <w:t>, even if the activit</w:t>
      </w:r>
      <w:r w:rsidR="00715A5D">
        <w:rPr>
          <w:rFonts w:ascii="Times New Roman" w:hAnsi="Times New Roman" w:cs="Times New Roman"/>
          <w:szCs w:val="20"/>
        </w:rPr>
        <w:t>y would otherwise</w:t>
      </w:r>
      <w:r>
        <w:rPr>
          <w:rFonts w:ascii="Times New Roman" w:hAnsi="Times New Roman" w:cs="Times New Roman"/>
          <w:szCs w:val="20"/>
        </w:rPr>
        <w:t xml:space="preserve"> fall within one of the categories of registrable activities set out at Division 3 of Part 2 of the Act.</w:t>
      </w:r>
      <w:r w:rsidR="0025525F">
        <w:rPr>
          <w:rFonts w:ascii="Times New Roman" w:hAnsi="Times New Roman" w:cs="Times New Roman"/>
          <w:szCs w:val="20"/>
        </w:rPr>
        <w:t xml:space="preserve"> Section 30 provides that a person is also exempt in relation to an activity the person undertakes on behalf of a foreign principal in the circumstances prescribed by the rules for the purposes of section 30.</w:t>
      </w:r>
    </w:p>
    <w:p w14:paraId="24DF2D37" w14:textId="116238EC" w:rsidR="00684DD3" w:rsidRDefault="007817D6" w:rsidP="00684DD3">
      <w:pPr>
        <w:rPr>
          <w:rFonts w:ascii="Times New Roman" w:hAnsi="Times New Roman" w:cs="Times New Roman"/>
          <w:szCs w:val="20"/>
        </w:rPr>
      </w:pPr>
      <w:r>
        <w:rPr>
          <w:rFonts w:ascii="Times New Roman" w:hAnsi="Times New Roman" w:cs="Times New Roman"/>
          <w:szCs w:val="20"/>
        </w:rPr>
        <w:t xml:space="preserve">Section 43 of the Act relates to information about the scheme that is to be made publically available. </w:t>
      </w:r>
      <w:r w:rsidR="00684DD3">
        <w:rPr>
          <w:rFonts w:ascii="Times New Roman" w:hAnsi="Times New Roman" w:cs="Times New Roman"/>
          <w:szCs w:val="20"/>
        </w:rPr>
        <w:t xml:space="preserve">Subsection 43(2) </w:t>
      </w:r>
      <w:r w:rsidR="00684DD3" w:rsidRPr="005D49F0">
        <w:rPr>
          <w:rFonts w:ascii="Times New Roman" w:hAnsi="Times New Roman" w:cs="Times New Roman"/>
          <w:szCs w:val="20"/>
        </w:rPr>
        <w:t xml:space="preserve">requires that the Secretary </w:t>
      </w:r>
      <w:r w:rsidR="006B30A5">
        <w:rPr>
          <w:rFonts w:ascii="Times New Roman" w:hAnsi="Times New Roman" w:cs="Times New Roman"/>
          <w:szCs w:val="20"/>
        </w:rPr>
        <w:t xml:space="preserve">must </w:t>
      </w:r>
      <w:r w:rsidR="00684DD3">
        <w:rPr>
          <w:rFonts w:ascii="Times New Roman" w:hAnsi="Times New Roman" w:cs="Times New Roman"/>
          <w:szCs w:val="20"/>
        </w:rPr>
        <w:t xml:space="preserve">not publish on the website information that the Secretary is satisfied: </w:t>
      </w:r>
    </w:p>
    <w:p w14:paraId="24DF2D38" w14:textId="77777777" w:rsidR="00684DD3" w:rsidRDefault="00684DD3" w:rsidP="00684DD3">
      <w:pPr>
        <w:pStyle w:val="ListParagraph"/>
        <w:numPr>
          <w:ilvl w:val="0"/>
          <w:numId w:val="41"/>
        </w:numPr>
        <w:rPr>
          <w:rFonts w:ascii="Times New Roman" w:hAnsi="Times New Roman" w:cs="Times New Roman"/>
          <w:szCs w:val="20"/>
        </w:rPr>
      </w:pPr>
      <w:r>
        <w:rPr>
          <w:rFonts w:ascii="Times New Roman" w:hAnsi="Times New Roman" w:cs="Times New Roman"/>
          <w:szCs w:val="20"/>
        </w:rPr>
        <w:t>is commercially sensitive; or</w:t>
      </w:r>
    </w:p>
    <w:p w14:paraId="24DF2D39" w14:textId="77777777" w:rsidR="00684DD3" w:rsidRDefault="00684DD3" w:rsidP="00684DD3">
      <w:pPr>
        <w:pStyle w:val="ListParagraph"/>
        <w:numPr>
          <w:ilvl w:val="0"/>
          <w:numId w:val="41"/>
        </w:numPr>
        <w:rPr>
          <w:rFonts w:ascii="Times New Roman" w:hAnsi="Times New Roman" w:cs="Times New Roman"/>
          <w:szCs w:val="20"/>
        </w:rPr>
      </w:pPr>
      <w:r>
        <w:rPr>
          <w:rFonts w:ascii="Times New Roman" w:hAnsi="Times New Roman" w:cs="Times New Roman"/>
          <w:szCs w:val="20"/>
        </w:rPr>
        <w:t xml:space="preserve">affects national security; or </w:t>
      </w:r>
    </w:p>
    <w:p w14:paraId="24DF2D3A" w14:textId="6955C979" w:rsidR="00684DD3" w:rsidRDefault="00684DD3" w:rsidP="00684DD3">
      <w:pPr>
        <w:pStyle w:val="ListParagraph"/>
        <w:numPr>
          <w:ilvl w:val="0"/>
          <w:numId w:val="41"/>
        </w:numPr>
        <w:rPr>
          <w:rFonts w:ascii="Times New Roman" w:hAnsi="Times New Roman" w:cs="Times New Roman"/>
          <w:szCs w:val="20"/>
        </w:rPr>
      </w:pPr>
      <w:r>
        <w:rPr>
          <w:rFonts w:ascii="Times New Roman" w:hAnsi="Times New Roman" w:cs="Times New Roman"/>
          <w:szCs w:val="20"/>
        </w:rPr>
        <w:t xml:space="preserve">any other information prescribed by the rules for the purposes of </w:t>
      </w:r>
      <w:r w:rsidR="006B30A5">
        <w:rPr>
          <w:rFonts w:ascii="Times New Roman" w:hAnsi="Times New Roman" w:cs="Times New Roman"/>
          <w:szCs w:val="20"/>
        </w:rPr>
        <w:t>subsection</w:t>
      </w:r>
      <w:r>
        <w:rPr>
          <w:rFonts w:ascii="Times New Roman" w:hAnsi="Times New Roman" w:cs="Times New Roman"/>
          <w:szCs w:val="20"/>
        </w:rPr>
        <w:t xml:space="preserve"> 43(2).</w:t>
      </w:r>
    </w:p>
    <w:p w14:paraId="2631C949" w14:textId="7D30B9F3" w:rsidR="002365BE" w:rsidRDefault="002365BE" w:rsidP="002365BE">
      <w:pPr>
        <w:rPr>
          <w:rFonts w:ascii="Times New Roman" w:hAnsi="Times New Roman" w:cs="Times New Roman"/>
          <w:szCs w:val="20"/>
        </w:rPr>
      </w:pPr>
      <w:r>
        <w:rPr>
          <w:rFonts w:ascii="Times New Roman" w:hAnsi="Times New Roman" w:cs="Times New Roman"/>
          <w:szCs w:val="20"/>
        </w:rPr>
        <w:t>The Rules prescribe, for the purposes of section 30 of the Act, an exemption in relation to an activity a person undertakes on behalf of a foreign principal when the following circumstances apply:</w:t>
      </w:r>
    </w:p>
    <w:p w14:paraId="5F03C252"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The activity is covered by item 2 of the table in subsection 21(1) of the Act (about general political lobbying in Australia for the purpose of political or governmental influence); and</w:t>
      </w:r>
    </w:p>
    <w:p w14:paraId="2E42A499"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The foreign principal or the person is taking part in a process relating to a federal government decision within the meaning of paragraph 12(1)(b) of the Act in order to comply with a law of the Commonwealth; and</w:t>
      </w:r>
    </w:p>
    <w:p w14:paraId="4DB14F22"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lastRenderedPageBreak/>
        <w:t>The process involves the foreign principal or the person providing information in accordance with that law to the maker of the decision or another person assisting the maker of the decision, for the purposes of making the decision; and</w:t>
      </w:r>
    </w:p>
    <w:p w14:paraId="2635A51E"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At the time the activity is undertaken, the identity of the foreign principal is either apparent to all persons with whom the person is dealing or disclosed to them.</w:t>
      </w:r>
    </w:p>
    <w:p w14:paraId="730C3A99" w14:textId="77777777" w:rsidR="002365BE" w:rsidRDefault="002365BE" w:rsidP="002365BE">
      <w:pPr>
        <w:rPr>
          <w:rFonts w:ascii="Times New Roman" w:hAnsi="Times New Roman" w:cs="Times New Roman"/>
          <w:szCs w:val="20"/>
        </w:rPr>
      </w:pPr>
      <w:r>
        <w:rPr>
          <w:rFonts w:ascii="Times New Roman" w:hAnsi="Times New Roman" w:cs="Times New Roman"/>
          <w:szCs w:val="20"/>
        </w:rPr>
        <w:t>The exemption applies only in relation to general political lobbying activities, and not to other registrable activities under the scheme. Further, for the exemption to apply it is necessary for the identity of the relevant foreign principal to be apparent or disclosed to all persons with whom the person is dealing.</w:t>
      </w:r>
    </w:p>
    <w:p w14:paraId="37310375" w14:textId="77777777" w:rsidR="002365BE" w:rsidRDefault="002365BE" w:rsidP="002365BE">
      <w:pPr>
        <w:rPr>
          <w:rFonts w:ascii="Times New Roman" w:hAnsi="Times New Roman" w:cs="Times New Roman"/>
          <w:szCs w:val="20"/>
        </w:rPr>
      </w:pPr>
      <w:r>
        <w:rPr>
          <w:rFonts w:ascii="Times New Roman" w:hAnsi="Times New Roman" w:cs="Times New Roman"/>
          <w:szCs w:val="20"/>
        </w:rPr>
        <w:t xml:space="preserve">This exemption ensures that where a person is required to provide information to a government decision maker or person assisting the decision maker as part of a process relating to a government decision, in order to comply with a law of the Commonwealth, and the identity of the foreign principal is apparent or disclosed to the government decision maker with whom they are interacting, that activity will not be registrable. This ensures that the scheme does not impose an unnecessary administrative burden in circumstances where a person is complying with legislative requirements and is interacting with government in a transparent manner. Where the activity is not a requirement of the law of the Commonwealth, the exemption does not apply.  </w:t>
      </w:r>
    </w:p>
    <w:p w14:paraId="38D537C6" w14:textId="77777777" w:rsidR="002365BE" w:rsidRDefault="002365BE" w:rsidP="002365BE">
      <w:pPr>
        <w:rPr>
          <w:rFonts w:ascii="Times New Roman" w:hAnsi="Times New Roman" w:cs="Times New Roman"/>
          <w:szCs w:val="20"/>
        </w:rPr>
      </w:pPr>
      <w:r>
        <w:rPr>
          <w:rFonts w:ascii="Times New Roman" w:hAnsi="Times New Roman" w:cs="Times New Roman"/>
          <w:szCs w:val="20"/>
        </w:rPr>
        <w:t>The Rules</w:t>
      </w:r>
      <w:r w:rsidRPr="003A29C3">
        <w:rPr>
          <w:rFonts w:ascii="Times New Roman" w:hAnsi="Times New Roman" w:cs="Times New Roman"/>
          <w:szCs w:val="20"/>
        </w:rPr>
        <w:t xml:space="preserve"> </w:t>
      </w:r>
      <w:r>
        <w:rPr>
          <w:rFonts w:ascii="Times New Roman" w:hAnsi="Times New Roman" w:cs="Times New Roman"/>
          <w:szCs w:val="20"/>
        </w:rPr>
        <w:t>prescribe, for the purposes of paragraph 43(2)(c) of the Act, that information provided by a scheme registrant must not be published if the Secretary is satisfied that:</w:t>
      </w:r>
    </w:p>
    <w:p w14:paraId="66C985C9" w14:textId="77777777" w:rsidR="002365BE" w:rsidRDefault="002365BE" w:rsidP="002365BE">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information is sensitive</w:t>
      </w:r>
      <w:r>
        <w:rPr>
          <w:rFonts w:ascii="Times New Roman" w:hAnsi="Times New Roman" w:cs="Times New Roman"/>
          <w:szCs w:val="20"/>
        </w:rPr>
        <w:t>; and</w:t>
      </w:r>
    </w:p>
    <w:p w14:paraId="5C1E6E92" w14:textId="77777777" w:rsidR="002365BE" w:rsidRDefault="002365BE" w:rsidP="002365BE">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activity is or was </w:t>
      </w:r>
      <w:r w:rsidRPr="00F84E84">
        <w:rPr>
          <w:rFonts w:ascii="Times New Roman" w:hAnsi="Times New Roman" w:cs="Times New Roman"/>
          <w:szCs w:val="20"/>
        </w:rPr>
        <w:t>undertaken in the context of a confidential consultation of the foreign principal or person by a Commonwealth public official, Commonwealth entity or Commonwealth company (or person undertaking functions relating to such a person or body</w:t>
      </w:r>
      <w:r>
        <w:rPr>
          <w:rFonts w:ascii="Times New Roman" w:hAnsi="Times New Roman" w:cs="Times New Roman"/>
          <w:szCs w:val="20"/>
        </w:rPr>
        <w:t>); and</w:t>
      </w:r>
    </w:p>
    <w:p w14:paraId="1684CF3A" w14:textId="77777777" w:rsidR="002365BE" w:rsidRDefault="002365BE" w:rsidP="002365BE">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The consultation was initiated by the Commonwealth person or body and relates or related to a proposed policy or proposed change to an existing policy; and</w:t>
      </w:r>
    </w:p>
    <w:p w14:paraId="000EA50A" w14:textId="77777777" w:rsidR="002365BE" w:rsidRDefault="002365BE" w:rsidP="002365BE">
      <w:pPr>
        <w:pStyle w:val="ListParagraph"/>
        <w:numPr>
          <w:ilvl w:val="0"/>
          <w:numId w:val="37"/>
        </w:numPr>
        <w:rPr>
          <w:rFonts w:ascii="Times New Roman" w:hAnsi="Times New Roman" w:cs="Times New Roman"/>
          <w:szCs w:val="20"/>
        </w:rPr>
      </w:pPr>
      <w:r w:rsidRPr="00F84E84">
        <w:rPr>
          <w:rFonts w:ascii="Times New Roman" w:hAnsi="Times New Roman" w:cs="Times New Roman"/>
          <w:szCs w:val="20"/>
        </w:rPr>
        <w:t>At the time the activity is or was undertaken the identity of the foreign principal was apparent or disclosed</w:t>
      </w:r>
      <w:r>
        <w:rPr>
          <w:rFonts w:ascii="Times New Roman" w:hAnsi="Times New Roman" w:cs="Times New Roman"/>
          <w:szCs w:val="20"/>
        </w:rPr>
        <w:t>.</w:t>
      </w:r>
    </w:p>
    <w:p w14:paraId="4CDE1041" w14:textId="77777777" w:rsidR="002365BE" w:rsidRDefault="002365BE" w:rsidP="002365BE">
      <w:pPr>
        <w:pStyle w:val="Celltext"/>
        <w:spacing w:after="120"/>
        <w:rPr>
          <w:szCs w:val="24"/>
        </w:rPr>
      </w:pPr>
      <w:r>
        <w:rPr>
          <w:szCs w:val="24"/>
        </w:rPr>
        <w:t>Section 43 of the Act imposes a continuing obligation on the Secretary to publish scheme information in relation to both past and current registrants. This means that once the Secretary is satisfied that the information is no longer sensitive, the Secretary would be required to publish the information.</w:t>
      </w:r>
    </w:p>
    <w:p w14:paraId="7E225A1D" w14:textId="77777777" w:rsidR="002365BE" w:rsidRDefault="002365BE" w:rsidP="002365BE">
      <w:pPr>
        <w:rPr>
          <w:rFonts w:ascii="Times New Roman" w:hAnsi="Times New Roman" w:cs="Times New Roman"/>
          <w:szCs w:val="20"/>
        </w:rPr>
      </w:pPr>
      <w:r>
        <w:rPr>
          <w:rFonts w:ascii="Times New Roman" w:hAnsi="Times New Roman" w:cs="Times New Roman"/>
          <w:szCs w:val="20"/>
        </w:rPr>
        <w:t xml:space="preserve">This limitation on the requirement to publish scheme information ensures that where the government is actively seeking the views of stakeholders on proposed new policies or changes to existing policies, and the participation by stakeholders is a registrable activity under the scheme, stakeholders can be reassured that the information will not be published for as long as the Secretary is satisfied that it is sensitive. </w:t>
      </w:r>
    </w:p>
    <w:p w14:paraId="24DF2D45" w14:textId="77777777" w:rsidR="00B26FF6" w:rsidRPr="006B30A5" w:rsidRDefault="00B26FF6" w:rsidP="00684DD3">
      <w:pPr>
        <w:rPr>
          <w:rFonts w:ascii="Times New Roman" w:hAnsi="Times New Roman" w:cs="Times New Roman"/>
          <w:b/>
          <w:szCs w:val="20"/>
        </w:rPr>
      </w:pPr>
      <w:r w:rsidRPr="006B30A5">
        <w:rPr>
          <w:rFonts w:ascii="Times New Roman" w:hAnsi="Times New Roman" w:cs="Times New Roman"/>
          <w:b/>
          <w:szCs w:val="20"/>
        </w:rPr>
        <w:t xml:space="preserve">Human rights implications </w:t>
      </w:r>
    </w:p>
    <w:p w14:paraId="24DF2D46" w14:textId="77777777" w:rsidR="004B5388" w:rsidRDefault="00B26FF6" w:rsidP="009359BB">
      <w:pPr>
        <w:pStyle w:val="Default"/>
        <w:spacing w:afterLines="100" w:after="240"/>
        <w:rPr>
          <w:szCs w:val="20"/>
        </w:rPr>
      </w:pPr>
      <w:r w:rsidRPr="003A29C3">
        <w:rPr>
          <w:szCs w:val="20"/>
        </w:rPr>
        <w:t xml:space="preserve">The </w:t>
      </w:r>
      <w:r w:rsidR="007D7014">
        <w:rPr>
          <w:szCs w:val="20"/>
        </w:rPr>
        <w:t>R</w:t>
      </w:r>
      <w:r w:rsidRPr="003A29C3">
        <w:rPr>
          <w:szCs w:val="20"/>
        </w:rPr>
        <w:t xml:space="preserve">ules </w:t>
      </w:r>
      <w:r w:rsidR="002A1863">
        <w:rPr>
          <w:szCs w:val="20"/>
        </w:rPr>
        <w:t>promote</w:t>
      </w:r>
      <w:r w:rsidRPr="003A29C3">
        <w:rPr>
          <w:szCs w:val="20"/>
        </w:rPr>
        <w:t xml:space="preserve"> </w:t>
      </w:r>
      <w:r>
        <w:rPr>
          <w:szCs w:val="20"/>
        </w:rPr>
        <w:t xml:space="preserve">the </w:t>
      </w:r>
      <w:r w:rsidR="004B5388" w:rsidRPr="00475414">
        <w:rPr>
          <w:szCs w:val="20"/>
        </w:rPr>
        <w:t>right to privacy as contained in article 17</w:t>
      </w:r>
      <w:r w:rsidR="004B5388">
        <w:rPr>
          <w:szCs w:val="20"/>
        </w:rPr>
        <w:t xml:space="preserve"> of</w:t>
      </w:r>
      <w:r>
        <w:rPr>
          <w:szCs w:val="20"/>
        </w:rPr>
        <w:t xml:space="preserve"> the </w:t>
      </w:r>
      <w:r w:rsidRPr="003A29C3">
        <w:rPr>
          <w:szCs w:val="20"/>
        </w:rPr>
        <w:t>International Covenant on Civil and Political Rights (ICCPR)</w:t>
      </w:r>
      <w:r w:rsidR="004B5388">
        <w:rPr>
          <w:szCs w:val="20"/>
        </w:rPr>
        <w:t xml:space="preserve">. </w:t>
      </w:r>
      <w:r w:rsidR="002A1863">
        <w:rPr>
          <w:szCs w:val="20"/>
        </w:rPr>
        <w:t>Further, the</w:t>
      </w:r>
      <w:r w:rsidR="004B5388">
        <w:rPr>
          <w:szCs w:val="20"/>
        </w:rPr>
        <w:t xml:space="preserve"> scheme as a whole </w:t>
      </w:r>
      <w:r w:rsidR="00C71BD8">
        <w:rPr>
          <w:szCs w:val="20"/>
        </w:rPr>
        <w:t>promotes</w:t>
      </w:r>
      <w:r w:rsidR="004B5388">
        <w:rPr>
          <w:szCs w:val="20"/>
        </w:rPr>
        <w:t xml:space="preserve"> the</w:t>
      </w:r>
      <w:r w:rsidR="00C71BD8">
        <w:rPr>
          <w:szCs w:val="20"/>
        </w:rPr>
        <w:t xml:space="preserve"> following rights:</w:t>
      </w:r>
    </w:p>
    <w:p w14:paraId="24DF2D47" w14:textId="77777777" w:rsidR="00475414" w:rsidRDefault="00B26FF6" w:rsidP="009359BB">
      <w:pPr>
        <w:pStyle w:val="Default"/>
        <w:numPr>
          <w:ilvl w:val="0"/>
          <w:numId w:val="34"/>
        </w:numPr>
        <w:spacing w:afterLines="100" w:after="240"/>
        <w:rPr>
          <w:szCs w:val="20"/>
        </w:rPr>
      </w:pPr>
      <w:r w:rsidRPr="003A29C3">
        <w:rPr>
          <w:szCs w:val="20"/>
        </w:rPr>
        <w:t>the right to opinion and freedom of expression as contained in article 19; and</w:t>
      </w:r>
    </w:p>
    <w:p w14:paraId="24DF2D48" w14:textId="77777777" w:rsidR="00475414" w:rsidRDefault="00B26FF6" w:rsidP="009359BB">
      <w:pPr>
        <w:pStyle w:val="Default"/>
        <w:numPr>
          <w:ilvl w:val="0"/>
          <w:numId w:val="34"/>
        </w:numPr>
        <w:spacing w:afterLines="100" w:after="240"/>
        <w:rPr>
          <w:szCs w:val="20"/>
        </w:rPr>
      </w:pPr>
      <w:r w:rsidRPr="00475414">
        <w:rPr>
          <w:szCs w:val="20"/>
        </w:rPr>
        <w:lastRenderedPageBreak/>
        <w:t xml:space="preserve">the right to freedom of association as contained in article 22; and </w:t>
      </w:r>
    </w:p>
    <w:p w14:paraId="24DF2D49" w14:textId="77777777" w:rsidR="00C71BD8" w:rsidRPr="00C71BD8" w:rsidRDefault="00B26FF6" w:rsidP="009359BB">
      <w:pPr>
        <w:pStyle w:val="Default"/>
        <w:numPr>
          <w:ilvl w:val="0"/>
          <w:numId w:val="34"/>
        </w:numPr>
        <w:spacing w:afterLines="100" w:after="240"/>
        <w:rPr>
          <w:i/>
          <w:szCs w:val="20"/>
        </w:rPr>
      </w:pPr>
      <w:r w:rsidRPr="00475414">
        <w:rPr>
          <w:szCs w:val="20"/>
        </w:rPr>
        <w:t>the right to take part in public affairs and electi</w:t>
      </w:r>
      <w:r w:rsidR="00C71BD8">
        <w:rPr>
          <w:szCs w:val="20"/>
        </w:rPr>
        <w:t>ons as contained in article 25.</w:t>
      </w:r>
    </w:p>
    <w:p w14:paraId="24DF2D4A" w14:textId="77777777" w:rsidR="00097252" w:rsidRDefault="00097252" w:rsidP="00097252">
      <w:pPr>
        <w:pStyle w:val="Default"/>
        <w:spacing w:afterLines="100" w:after="240"/>
        <w:rPr>
          <w:szCs w:val="20"/>
        </w:rPr>
      </w:pPr>
      <w:r>
        <w:rPr>
          <w:szCs w:val="20"/>
        </w:rPr>
        <w:t xml:space="preserve">How the scheme engages with each of these rights is examined in detailed in the Explanatory Memorandum for the </w:t>
      </w:r>
      <w:r w:rsidRPr="006B30A5">
        <w:rPr>
          <w:szCs w:val="20"/>
        </w:rPr>
        <w:t>Foreign Influence Transparency Scheme Bill 2017</w:t>
      </w:r>
      <w:r>
        <w:rPr>
          <w:szCs w:val="20"/>
        </w:rPr>
        <w:t xml:space="preserve">, considered by the Parliamentary Joint Committee </w:t>
      </w:r>
      <w:r w:rsidR="002A1863">
        <w:rPr>
          <w:szCs w:val="20"/>
        </w:rPr>
        <w:t xml:space="preserve">in 2018. </w:t>
      </w:r>
      <w:r>
        <w:rPr>
          <w:szCs w:val="20"/>
        </w:rPr>
        <w:t xml:space="preserve"> </w:t>
      </w:r>
      <w:r w:rsidRPr="0051656D" w:rsidDel="0051656D">
        <w:rPr>
          <w:szCs w:val="20"/>
        </w:rPr>
        <w:t xml:space="preserve"> </w:t>
      </w:r>
    </w:p>
    <w:p w14:paraId="24DF2D4B" w14:textId="77777777" w:rsidR="00097252" w:rsidRPr="008B6E7A" w:rsidRDefault="00097252" w:rsidP="00097252">
      <w:pPr>
        <w:pStyle w:val="Default"/>
        <w:spacing w:afterLines="100" w:after="240"/>
        <w:rPr>
          <w:szCs w:val="20"/>
          <w:u w:val="single"/>
        </w:rPr>
      </w:pPr>
      <w:r w:rsidRPr="008B6E7A">
        <w:rPr>
          <w:szCs w:val="20"/>
          <w:u w:val="single"/>
        </w:rPr>
        <w:t xml:space="preserve">Right to privacy  </w:t>
      </w:r>
    </w:p>
    <w:p w14:paraId="24DF2D4C" w14:textId="77777777" w:rsidR="00003E8F" w:rsidRDefault="00097252" w:rsidP="00097252">
      <w:pPr>
        <w:pStyle w:val="Default"/>
        <w:spacing w:afterLines="100" w:after="240"/>
        <w:rPr>
          <w:szCs w:val="20"/>
        </w:rPr>
      </w:pPr>
      <w:r>
        <w:rPr>
          <w:szCs w:val="20"/>
        </w:rPr>
        <w:t>Pursuant to</w:t>
      </w:r>
      <w:r w:rsidRPr="003A29C3">
        <w:rPr>
          <w:szCs w:val="20"/>
        </w:rPr>
        <w:t xml:space="preserve"> Article 17 of the ICCPR, no-one should be subjected to arbitrary or unlawful interference with their privacy, family, home or correspondence, nor to unlawful attacks on their honour or reputation. </w:t>
      </w:r>
      <w:r w:rsidR="00003E8F">
        <w:rPr>
          <w:szCs w:val="20"/>
        </w:rPr>
        <w:t xml:space="preserve">The Rules promote the right to privacy by prohibiting the publication of information that is sensitive and acquired in certain circumstances as prescribed in the Rules. </w:t>
      </w:r>
    </w:p>
    <w:p w14:paraId="24DF2D4D" w14:textId="4267EB2B" w:rsidR="00003E8F" w:rsidRDefault="00003E8F" w:rsidP="00097252">
      <w:pPr>
        <w:pStyle w:val="Default"/>
        <w:spacing w:afterLines="100" w:after="240"/>
        <w:rPr>
          <w:szCs w:val="20"/>
        </w:rPr>
      </w:pPr>
      <w:r>
        <w:rPr>
          <w:szCs w:val="20"/>
        </w:rPr>
        <w:t xml:space="preserve">The Rules also promote the right to privacy by providing an exemption from </w:t>
      </w:r>
      <w:r w:rsidR="00A17C17">
        <w:rPr>
          <w:szCs w:val="20"/>
        </w:rPr>
        <w:t xml:space="preserve">registration </w:t>
      </w:r>
      <w:r>
        <w:rPr>
          <w:szCs w:val="20"/>
        </w:rPr>
        <w:t>of activities that would ordinarily fall within the definition of ‘general political lobbying’</w:t>
      </w:r>
      <w:r w:rsidR="00A17C17">
        <w:rPr>
          <w:szCs w:val="20"/>
        </w:rPr>
        <w:t xml:space="preserve"> under the Act</w:t>
      </w:r>
      <w:r>
        <w:rPr>
          <w:szCs w:val="20"/>
        </w:rPr>
        <w:t xml:space="preserve"> but are undertaken in compliance with </w:t>
      </w:r>
      <w:r w:rsidR="00A17C17">
        <w:rPr>
          <w:szCs w:val="20"/>
        </w:rPr>
        <w:t>legally</w:t>
      </w:r>
      <w:r>
        <w:rPr>
          <w:szCs w:val="20"/>
        </w:rPr>
        <w:t xml:space="preserve"> </w:t>
      </w:r>
      <w:r w:rsidR="00A17C17">
        <w:rPr>
          <w:szCs w:val="20"/>
        </w:rPr>
        <w:t>required</w:t>
      </w:r>
      <w:r>
        <w:rPr>
          <w:szCs w:val="20"/>
        </w:rPr>
        <w:t xml:space="preserve"> administrative or regulatory compliance processes. </w:t>
      </w:r>
    </w:p>
    <w:p w14:paraId="24DF2D4E" w14:textId="77777777" w:rsidR="009F4D04" w:rsidRPr="008B6E7A" w:rsidRDefault="009F4D04" w:rsidP="009F4D04">
      <w:pPr>
        <w:pStyle w:val="Default"/>
        <w:spacing w:afterLines="100" w:after="240"/>
        <w:rPr>
          <w:szCs w:val="20"/>
          <w:u w:val="single"/>
        </w:rPr>
      </w:pPr>
      <w:r w:rsidRPr="008B6E7A">
        <w:rPr>
          <w:szCs w:val="20"/>
          <w:u w:val="single"/>
        </w:rPr>
        <w:t>Conclusion</w:t>
      </w:r>
    </w:p>
    <w:p w14:paraId="24DF2D4F" w14:textId="77777777" w:rsidR="00097252" w:rsidRPr="003A29C3" w:rsidRDefault="009F4D04" w:rsidP="009F4D04">
      <w:pPr>
        <w:pStyle w:val="Default"/>
        <w:spacing w:afterLines="100" w:after="240"/>
        <w:rPr>
          <w:b/>
          <w:szCs w:val="20"/>
        </w:rPr>
      </w:pPr>
      <w:r w:rsidRPr="008B6E7A">
        <w:rPr>
          <w:szCs w:val="20"/>
        </w:rPr>
        <w:t xml:space="preserve">The Rules are compatible with human rights because they promote </w:t>
      </w:r>
      <w:r w:rsidR="00F94CFB">
        <w:rPr>
          <w:szCs w:val="20"/>
        </w:rPr>
        <w:t xml:space="preserve">the right to privacy </w:t>
      </w:r>
      <w:r w:rsidRPr="008B6E7A">
        <w:rPr>
          <w:szCs w:val="20"/>
        </w:rPr>
        <w:t xml:space="preserve">and </w:t>
      </w:r>
      <w:r w:rsidR="00F94CFB">
        <w:rPr>
          <w:szCs w:val="20"/>
        </w:rPr>
        <w:t>do not place a limitation on other human rights</w:t>
      </w:r>
      <w:r w:rsidRPr="008B6E7A">
        <w:rPr>
          <w:szCs w:val="20"/>
        </w:rPr>
        <w:t xml:space="preserve">. </w:t>
      </w:r>
    </w:p>
    <w:sectPr w:rsidR="00097252" w:rsidRPr="003A29C3" w:rsidSect="007B4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F2D52" w14:textId="77777777" w:rsidR="00CE27E0" w:rsidRDefault="00CE27E0" w:rsidP="0037478D">
      <w:pPr>
        <w:spacing w:after="0"/>
      </w:pPr>
      <w:r>
        <w:separator/>
      </w:r>
    </w:p>
  </w:endnote>
  <w:endnote w:type="continuationSeparator" w:id="0">
    <w:p w14:paraId="24DF2D53" w14:textId="77777777" w:rsidR="00CE27E0" w:rsidRDefault="00CE27E0" w:rsidP="00374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F2D50" w14:textId="77777777" w:rsidR="00CE27E0" w:rsidRDefault="00CE27E0" w:rsidP="0037478D">
      <w:pPr>
        <w:spacing w:after="0"/>
      </w:pPr>
      <w:r>
        <w:separator/>
      </w:r>
    </w:p>
  </w:footnote>
  <w:footnote w:type="continuationSeparator" w:id="0">
    <w:p w14:paraId="24DF2D51" w14:textId="77777777" w:rsidR="00CE27E0" w:rsidRDefault="00CE27E0" w:rsidP="003747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FF4"/>
    <w:multiLevelType w:val="hybridMultilevel"/>
    <w:tmpl w:val="72E0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895"/>
    <w:multiLevelType w:val="hybridMultilevel"/>
    <w:tmpl w:val="37D0B4CE"/>
    <w:lvl w:ilvl="0" w:tplc="E1AC2E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5C6303C"/>
    <w:multiLevelType w:val="hybridMultilevel"/>
    <w:tmpl w:val="718A2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B16456"/>
    <w:multiLevelType w:val="hybridMultilevel"/>
    <w:tmpl w:val="1FFE9F08"/>
    <w:lvl w:ilvl="0" w:tplc="1B8AF124">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5327A0"/>
    <w:multiLevelType w:val="hybridMultilevel"/>
    <w:tmpl w:val="52563E06"/>
    <w:lvl w:ilvl="0" w:tplc="99340E1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580167"/>
    <w:multiLevelType w:val="hybridMultilevel"/>
    <w:tmpl w:val="08C4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67A58"/>
    <w:multiLevelType w:val="hybridMultilevel"/>
    <w:tmpl w:val="ED30F83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C15F0A"/>
    <w:multiLevelType w:val="hybridMultilevel"/>
    <w:tmpl w:val="A84E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336BDC"/>
    <w:multiLevelType w:val="hybridMultilevel"/>
    <w:tmpl w:val="2808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EA6BE6"/>
    <w:multiLevelType w:val="hybridMultilevel"/>
    <w:tmpl w:val="3634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3A3741"/>
    <w:multiLevelType w:val="hybridMultilevel"/>
    <w:tmpl w:val="E09695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63F0008"/>
    <w:multiLevelType w:val="hybridMultilevel"/>
    <w:tmpl w:val="C174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992487"/>
    <w:multiLevelType w:val="hybridMultilevel"/>
    <w:tmpl w:val="0B3A168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D05E98"/>
    <w:multiLevelType w:val="hybridMultilevel"/>
    <w:tmpl w:val="77547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4A47B4"/>
    <w:multiLevelType w:val="hybridMultilevel"/>
    <w:tmpl w:val="046E27F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322876A4"/>
    <w:multiLevelType w:val="hybridMultilevel"/>
    <w:tmpl w:val="A45030A4"/>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871CA7"/>
    <w:multiLevelType w:val="hybridMultilevel"/>
    <w:tmpl w:val="BC965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6C4DBC"/>
    <w:multiLevelType w:val="hybridMultilevel"/>
    <w:tmpl w:val="C02E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1B1655"/>
    <w:multiLevelType w:val="hybridMultilevel"/>
    <w:tmpl w:val="7458D186"/>
    <w:lvl w:ilvl="0" w:tplc="963AD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E3148C"/>
    <w:multiLevelType w:val="hybridMultilevel"/>
    <w:tmpl w:val="A84AD2B6"/>
    <w:lvl w:ilvl="0" w:tplc="CDF6F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8E8488D"/>
    <w:multiLevelType w:val="hybridMultilevel"/>
    <w:tmpl w:val="3770546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A8824B6"/>
    <w:multiLevelType w:val="hybridMultilevel"/>
    <w:tmpl w:val="012A20B2"/>
    <w:lvl w:ilvl="0" w:tplc="CEFC48BE">
      <w:start w:val="1"/>
      <w:numFmt w:val="lowerRoman"/>
      <w:lvlText w:val="(%1)"/>
      <w:lvlJc w:val="left"/>
      <w:pPr>
        <w:ind w:left="1440" w:hanging="72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C25107A"/>
    <w:multiLevelType w:val="hybridMultilevel"/>
    <w:tmpl w:val="2E50028A"/>
    <w:lvl w:ilvl="0" w:tplc="1B8AF124">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E83327"/>
    <w:multiLevelType w:val="hybridMultilevel"/>
    <w:tmpl w:val="4E62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CA015B"/>
    <w:multiLevelType w:val="hybridMultilevel"/>
    <w:tmpl w:val="8068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A5275E"/>
    <w:multiLevelType w:val="hybridMultilevel"/>
    <w:tmpl w:val="E5D48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6E87EA5"/>
    <w:multiLevelType w:val="hybridMultilevel"/>
    <w:tmpl w:val="9758B0E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F14649"/>
    <w:multiLevelType w:val="hybridMultilevel"/>
    <w:tmpl w:val="4100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AA60F5"/>
    <w:multiLevelType w:val="hybridMultilevel"/>
    <w:tmpl w:val="A3F8F2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4B2B64F8"/>
    <w:multiLevelType w:val="hybridMultilevel"/>
    <w:tmpl w:val="D3121044"/>
    <w:lvl w:ilvl="0" w:tplc="68C83FA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B8D296C"/>
    <w:multiLevelType w:val="hybridMultilevel"/>
    <w:tmpl w:val="9E4EB1EC"/>
    <w:lvl w:ilvl="0" w:tplc="911A30FC">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507E37"/>
    <w:multiLevelType w:val="hybridMultilevel"/>
    <w:tmpl w:val="19E83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07728E"/>
    <w:multiLevelType w:val="hybridMultilevel"/>
    <w:tmpl w:val="81087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3C7E09"/>
    <w:multiLevelType w:val="hybridMultilevel"/>
    <w:tmpl w:val="F9BC4C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6FC3D7A"/>
    <w:multiLevelType w:val="hybridMultilevel"/>
    <w:tmpl w:val="A84AD2B6"/>
    <w:lvl w:ilvl="0" w:tplc="CDF6F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75C27B3"/>
    <w:multiLevelType w:val="hybridMultilevel"/>
    <w:tmpl w:val="6D3AB3F4"/>
    <w:lvl w:ilvl="0" w:tplc="E93A08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893E29"/>
    <w:multiLevelType w:val="hybridMultilevel"/>
    <w:tmpl w:val="D952AE5E"/>
    <w:lvl w:ilvl="0" w:tplc="99340E1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FC16CD"/>
    <w:multiLevelType w:val="hybridMultilevel"/>
    <w:tmpl w:val="EDBCD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773EE3"/>
    <w:multiLevelType w:val="hybridMultilevel"/>
    <w:tmpl w:val="791E00B4"/>
    <w:lvl w:ilvl="0" w:tplc="1B8AF124">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EC2DCF"/>
    <w:multiLevelType w:val="hybridMultilevel"/>
    <w:tmpl w:val="023C3140"/>
    <w:lvl w:ilvl="0" w:tplc="68C83F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81C4F45"/>
    <w:multiLevelType w:val="hybridMultilevel"/>
    <w:tmpl w:val="9500883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6AD25026"/>
    <w:multiLevelType w:val="hybridMultilevel"/>
    <w:tmpl w:val="0388E59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6AFC2571"/>
    <w:multiLevelType w:val="hybridMultilevel"/>
    <w:tmpl w:val="89667D88"/>
    <w:lvl w:ilvl="0" w:tplc="D6728E2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B961527"/>
    <w:multiLevelType w:val="hybridMultilevel"/>
    <w:tmpl w:val="691CADC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4">
    <w:nsid w:val="712A1CD3"/>
    <w:multiLevelType w:val="hybridMultilevel"/>
    <w:tmpl w:val="B6F4489C"/>
    <w:lvl w:ilvl="0" w:tplc="821618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8A639E7"/>
    <w:multiLevelType w:val="hybridMultilevel"/>
    <w:tmpl w:val="8DBCEEBE"/>
    <w:lvl w:ilvl="0" w:tplc="97B43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A863C21"/>
    <w:multiLevelType w:val="hybridMultilevel"/>
    <w:tmpl w:val="18AA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0B3972"/>
    <w:multiLevelType w:val="hybridMultilevel"/>
    <w:tmpl w:val="2E303D18"/>
    <w:lvl w:ilvl="0" w:tplc="A52880F0">
      <w:start w:val="1"/>
      <w:numFmt w:val="decimal"/>
      <w:lvlText w:val="%1."/>
      <w:lvlJc w:val="left"/>
      <w:pPr>
        <w:ind w:left="720" w:hanging="360"/>
      </w:pPr>
      <w:rPr>
        <w:rFonts w:hint="default"/>
        <w:b w:val="0"/>
        <w:color w:val="auto"/>
      </w:rPr>
    </w:lvl>
    <w:lvl w:ilvl="1" w:tplc="1FB835C6">
      <w:start w:val="1"/>
      <w:numFmt w:val="lowerLetter"/>
      <w:lvlText w:val="(%2)"/>
      <w:lvlJc w:val="left"/>
      <w:pPr>
        <w:ind w:left="1440" w:hanging="360"/>
      </w:pPr>
      <w:rPr>
        <w:rFonts w:ascii="Times New Roman" w:eastAsiaTheme="minorHAnsi" w:hAnsi="Times New Roman"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8"/>
  </w:num>
  <w:num w:numId="3">
    <w:abstractNumId w:val="37"/>
  </w:num>
  <w:num w:numId="4">
    <w:abstractNumId w:val="25"/>
  </w:num>
  <w:num w:numId="5">
    <w:abstractNumId w:val="0"/>
  </w:num>
  <w:num w:numId="6">
    <w:abstractNumId w:val="46"/>
  </w:num>
  <w:num w:numId="7">
    <w:abstractNumId w:val="23"/>
  </w:num>
  <w:num w:numId="8">
    <w:abstractNumId w:val="42"/>
  </w:num>
  <w:num w:numId="9">
    <w:abstractNumId w:val="6"/>
  </w:num>
  <w:num w:numId="10">
    <w:abstractNumId w:val="15"/>
  </w:num>
  <w:num w:numId="11">
    <w:abstractNumId w:val="20"/>
  </w:num>
  <w:num w:numId="12">
    <w:abstractNumId w:val="40"/>
  </w:num>
  <w:num w:numId="13">
    <w:abstractNumId w:val="26"/>
  </w:num>
  <w:num w:numId="14">
    <w:abstractNumId w:val="12"/>
  </w:num>
  <w:num w:numId="15">
    <w:abstractNumId w:val="14"/>
  </w:num>
  <w:num w:numId="16">
    <w:abstractNumId w:val="41"/>
  </w:num>
  <w:num w:numId="17">
    <w:abstractNumId w:val="30"/>
  </w:num>
  <w:num w:numId="18">
    <w:abstractNumId w:val="2"/>
  </w:num>
  <w:num w:numId="19">
    <w:abstractNumId w:val="4"/>
  </w:num>
  <w:num w:numId="20">
    <w:abstractNumId w:val="36"/>
  </w:num>
  <w:num w:numId="21">
    <w:abstractNumId w:val="38"/>
  </w:num>
  <w:num w:numId="22">
    <w:abstractNumId w:val="21"/>
  </w:num>
  <w:num w:numId="23">
    <w:abstractNumId w:val="39"/>
  </w:num>
  <w:num w:numId="24">
    <w:abstractNumId w:val="3"/>
  </w:num>
  <w:num w:numId="25">
    <w:abstractNumId w:val="22"/>
  </w:num>
  <w:num w:numId="26">
    <w:abstractNumId w:val="29"/>
  </w:num>
  <w:num w:numId="27">
    <w:abstractNumId w:val="44"/>
  </w:num>
  <w:num w:numId="28">
    <w:abstractNumId w:val="47"/>
  </w:num>
  <w:num w:numId="29">
    <w:abstractNumId w:val="34"/>
  </w:num>
  <w:num w:numId="30">
    <w:abstractNumId w:val="5"/>
  </w:num>
  <w:num w:numId="31">
    <w:abstractNumId w:val="35"/>
  </w:num>
  <w:num w:numId="32">
    <w:abstractNumId w:val="28"/>
  </w:num>
  <w:num w:numId="33">
    <w:abstractNumId w:val="18"/>
  </w:num>
  <w:num w:numId="34">
    <w:abstractNumId w:val="13"/>
  </w:num>
  <w:num w:numId="35">
    <w:abstractNumId w:val="1"/>
  </w:num>
  <w:num w:numId="36">
    <w:abstractNumId w:val="45"/>
  </w:num>
  <w:num w:numId="37">
    <w:abstractNumId w:val="9"/>
  </w:num>
  <w:num w:numId="38">
    <w:abstractNumId w:val="11"/>
  </w:num>
  <w:num w:numId="39">
    <w:abstractNumId w:val="32"/>
  </w:num>
  <w:num w:numId="40">
    <w:abstractNumId w:val="16"/>
  </w:num>
  <w:num w:numId="41">
    <w:abstractNumId w:val="19"/>
  </w:num>
  <w:num w:numId="42">
    <w:abstractNumId w:val="31"/>
  </w:num>
  <w:num w:numId="43">
    <w:abstractNumId w:val="27"/>
  </w:num>
  <w:num w:numId="44">
    <w:abstractNumId w:val="17"/>
  </w:num>
  <w:num w:numId="45">
    <w:abstractNumId w:val="43"/>
  </w:num>
  <w:num w:numId="46">
    <w:abstractNumId w:val="10"/>
  </w:num>
  <w:num w:numId="47">
    <w:abstractNumId w:val="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23"/>
    <w:rsid w:val="00003E8F"/>
    <w:rsid w:val="0002569F"/>
    <w:rsid w:val="0004718B"/>
    <w:rsid w:val="00050696"/>
    <w:rsid w:val="000609CF"/>
    <w:rsid w:val="00062303"/>
    <w:rsid w:val="0007773C"/>
    <w:rsid w:val="00094F17"/>
    <w:rsid w:val="00097252"/>
    <w:rsid w:val="000A2A24"/>
    <w:rsid w:val="000A506A"/>
    <w:rsid w:val="000B007C"/>
    <w:rsid w:val="000B1DCB"/>
    <w:rsid w:val="000B5298"/>
    <w:rsid w:val="000D3938"/>
    <w:rsid w:val="000E3278"/>
    <w:rsid w:val="000E4F3E"/>
    <w:rsid w:val="000F59EC"/>
    <w:rsid w:val="001131D4"/>
    <w:rsid w:val="0011494C"/>
    <w:rsid w:val="001353E8"/>
    <w:rsid w:val="00161497"/>
    <w:rsid w:val="00165055"/>
    <w:rsid w:val="00175ACE"/>
    <w:rsid w:val="00176FFB"/>
    <w:rsid w:val="00185C4E"/>
    <w:rsid w:val="0019196F"/>
    <w:rsid w:val="001955A4"/>
    <w:rsid w:val="001A51D5"/>
    <w:rsid w:val="001C7C5C"/>
    <w:rsid w:val="001D12EB"/>
    <w:rsid w:val="001D4CB9"/>
    <w:rsid w:val="001E309B"/>
    <w:rsid w:val="001E3AD6"/>
    <w:rsid w:val="002048C0"/>
    <w:rsid w:val="00214CDD"/>
    <w:rsid w:val="002165CE"/>
    <w:rsid w:val="002365BE"/>
    <w:rsid w:val="00245212"/>
    <w:rsid w:val="0025525F"/>
    <w:rsid w:val="00257039"/>
    <w:rsid w:val="00271781"/>
    <w:rsid w:val="002A1863"/>
    <w:rsid w:val="002A7687"/>
    <w:rsid w:val="002E7379"/>
    <w:rsid w:val="003003D5"/>
    <w:rsid w:val="00307F4D"/>
    <w:rsid w:val="00310F07"/>
    <w:rsid w:val="00321B61"/>
    <w:rsid w:val="00330C7E"/>
    <w:rsid w:val="0037478D"/>
    <w:rsid w:val="00375CD1"/>
    <w:rsid w:val="00381BA9"/>
    <w:rsid w:val="00391CB1"/>
    <w:rsid w:val="003A29C3"/>
    <w:rsid w:val="003A310B"/>
    <w:rsid w:val="003B483F"/>
    <w:rsid w:val="003C3872"/>
    <w:rsid w:val="003D7A55"/>
    <w:rsid w:val="003E2BC4"/>
    <w:rsid w:val="003F2CB2"/>
    <w:rsid w:val="003F6D92"/>
    <w:rsid w:val="00400F3A"/>
    <w:rsid w:val="004064B8"/>
    <w:rsid w:val="00411660"/>
    <w:rsid w:val="004242D7"/>
    <w:rsid w:val="00445A12"/>
    <w:rsid w:val="00451323"/>
    <w:rsid w:val="00454B57"/>
    <w:rsid w:val="0046275E"/>
    <w:rsid w:val="00475414"/>
    <w:rsid w:val="004B5388"/>
    <w:rsid w:val="004C5533"/>
    <w:rsid w:val="004E049D"/>
    <w:rsid w:val="004E297F"/>
    <w:rsid w:val="004E423F"/>
    <w:rsid w:val="004F0BB4"/>
    <w:rsid w:val="004F1C79"/>
    <w:rsid w:val="004F233B"/>
    <w:rsid w:val="004F308A"/>
    <w:rsid w:val="0050320D"/>
    <w:rsid w:val="00531A12"/>
    <w:rsid w:val="005343F7"/>
    <w:rsid w:val="005534F4"/>
    <w:rsid w:val="0058136C"/>
    <w:rsid w:val="0058522E"/>
    <w:rsid w:val="005857F0"/>
    <w:rsid w:val="005D02C9"/>
    <w:rsid w:val="005D49F0"/>
    <w:rsid w:val="006076A5"/>
    <w:rsid w:val="006135F7"/>
    <w:rsid w:val="00620165"/>
    <w:rsid w:val="00642CE2"/>
    <w:rsid w:val="00650692"/>
    <w:rsid w:val="00652250"/>
    <w:rsid w:val="0065421B"/>
    <w:rsid w:val="00664CCE"/>
    <w:rsid w:val="00667B70"/>
    <w:rsid w:val="006743EB"/>
    <w:rsid w:val="00681E68"/>
    <w:rsid w:val="00684DD3"/>
    <w:rsid w:val="006A69BB"/>
    <w:rsid w:val="006B0D8A"/>
    <w:rsid w:val="006B30A5"/>
    <w:rsid w:val="006E044F"/>
    <w:rsid w:val="00704777"/>
    <w:rsid w:val="0070501C"/>
    <w:rsid w:val="00715A5D"/>
    <w:rsid w:val="00717790"/>
    <w:rsid w:val="00734AED"/>
    <w:rsid w:val="0074610F"/>
    <w:rsid w:val="00753FB4"/>
    <w:rsid w:val="0077492B"/>
    <w:rsid w:val="007817D6"/>
    <w:rsid w:val="00785DAA"/>
    <w:rsid w:val="007A77C5"/>
    <w:rsid w:val="007B408A"/>
    <w:rsid w:val="007C5281"/>
    <w:rsid w:val="007D3448"/>
    <w:rsid w:val="007D7014"/>
    <w:rsid w:val="007F578F"/>
    <w:rsid w:val="00827E1A"/>
    <w:rsid w:val="008365F6"/>
    <w:rsid w:val="00837A5F"/>
    <w:rsid w:val="00847169"/>
    <w:rsid w:val="00881973"/>
    <w:rsid w:val="00885F0D"/>
    <w:rsid w:val="00897D84"/>
    <w:rsid w:val="008B1AAD"/>
    <w:rsid w:val="008C0A03"/>
    <w:rsid w:val="008D6004"/>
    <w:rsid w:val="008E1B70"/>
    <w:rsid w:val="008F5108"/>
    <w:rsid w:val="00902DFC"/>
    <w:rsid w:val="00923579"/>
    <w:rsid w:val="009359BB"/>
    <w:rsid w:val="009359F1"/>
    <w:rsid w:val="00937E9C"/>
    <w:rsid w:val="00944260"/>
    <w:rsid w:val="00950F9D"/>
    <w:rsid w:val="00953B86"/>
    <w:rsid w:val="00955029"/>
    <w:rsid w:val="009562C4"/>
    <w:rsid w:val="00960884"/>
    <w:rsid w:val="00967D45"/>
    <w:rsid w:val="0099521E"/>
    <w:rsid w:val="009A033C"/>
    <w:rsid w:val="009B0BF4"/>
    <w:rsid w:val="009B5C6E"/>
    <w:rsid w:val="009D4235"/>
    <w:rsid w:val="009F27C9"/>
    <w:rsid w:val="009F4D04"/>
    <w:rsid w:val="009F5DEC"/>
    <w:rsid w:val="00A17C17"/>
    <w:rsid w:val="00A325CB"/>
    <w:rsid w:val="00A44370"/>
    <w:rsid w:val="00A67766"/>
    <w:rsid w:val="00A8300D"/>
    <w:rsid w:val="00A84DDE"/>
    <w:rsid w:val="00A90694"/>
    <w:rsid w:val="00A9421D"/>
    <w:rsid w:val="00A95C4B"/>
    <w:rsid w:val="00AB1E8E"/>
    <w:rsid w:val="00AB37F5"/>
    <w:rsid w:val="00AB63F6"/>
    <w:rsid w:val="00AC65CE"/>
    <w:rsid w:val="00AD170E"/>
    <w:rsid w:val="00AE5671"/>
    <w:rsid w:val="00AF15C4"/>
    <w:rsid w:val="00AF5D54"/>
    <w:rsid w:val="00B20474"/>
    <w:rsid w:val="00B26FF6"/>
    <w:rsid w:val="00B3347F"/>
    <w:rsid w:val="00B4389D"/>
    <w:rsid w:val="00B44B5D"/>
    <w:rsid w:val="00B62B40"/>
    <w:rsid w:val="00B6436F"/>
    <w:rsid w:val="00B72D1D"/>
    <w:rsid w:val="00B82E42"/>
    <w:rsid w:val="00B918AB"/>
    <w:rsid w:val="00B9651B"/>
    <w:rsid w:val="00BA6F42"/>
    <w:rsid w:val="00BA7DF2"/>
    <w:rsid w:val="00BC158C"/>
    <w:rsid w:val="00BC1934"/>
    <w:rsid w:val="00BD0CA7"/>
    <w:rsid w:val="00BD292A"/>
    <w:rsid w:val="00BF616D"/>
    <w:rsid w:val="00BF79BB"/>
    <w:rsid w:val="00C03984"/>
    <w:rsid w:val="00C30E1A"/>
    <w:rsid w:val="00C35FCC"/>
    <w:rsid w:val="00C36320"/>
    <w:rsid w:val="00C36356"/>
    <w:rsid w:val="00C531BD"/>
    <w:rsid w:val="00C60227"/>
    <w:rsid w:val="00C60E3C"/>
    <w:rsid w:val="00C70011"/>
    <w:rsid w:val="00C71BD8"/>
    <w:rsid w:val="00C93F01"/>
    <w:rsid w:val="00C97FBE"/>
    <w:rsid w:val="00CC4E3B"/>
    <w:rsid w:val="00CC5070"/>
    <w:rsid w:val="00CE27E0"/>
    <w:rsid w:val="00CE6A3D"/>
    <w:rsid w:val="00D105EE"/>
    <w:rsid w:val="00D179D9"/>
    <w:rsid w:val="00D25900"/>
    <w:rsid w:val="00D26F27"/>
    <w:rsid w:val="00D50249"/>
    <w:rsid w:val="00D53F23"/>
    <w:rsid w:val="00D93288"/>
    <w:rsid w:val="00D9444D"/>
    <w:rsid w:val="00DA26FC"/>
    <w:rsid w:val="00DA5742"/>
    <w:rsid w:val="00DD73EE"/>
    <w:rsid w:val="00DE2393"/>
    <w:rsid w:val="00DE7A02"/>
    <w:rsid w:val="00DF14FC"/>
    <w:rsid w:val="00DF77E2"/>
    <w:rsid w:val="00E0665E"/>
    <w:rsid w:val="00E25A3B"/>
    <w:rsid w:val="00E377D9"/>
    <w:rsid w:val="00E43DCB"/>
    <w:rsid w:val="00E53489"/>
    <w:rsid w:val="00E67B06"/>
    <w:rsid w:val="00E83759"/>
    <w:rsid w:val="00E85F43"/>
    <w:rsid w:val="00E86D0E"/>
    <w:rsid w:val="00E93D35"/>
    <w:rsid w:val="00E961F6"/>
    <w:rsid w:val="00EB4E64"/>
    <w:rsid w:val="00ED0789"/>
    <w:rsid w:val="00ED4B01"/>
    <w:rsid w:val="00ED7DF3"/>
    <w:rsid w:val="00EE4931"/>
    <w:rsid w:val="00EE5B63"/>
    <w:rsid w:val="00EE6A37"/>
    <w:rsid w:val="00EF2DB7"/>
    <w:rsid w:val="00EF345D"/>
    <w:rsid w:val="00F008C3"/>
    <w:rsid w:val="00F30B45"/>
    <w:rsid w:val="00F43E6C"/>
    <w:rsid w:val="00F44855"/>
    <w:rsid w:val="00F56FE4"/>
    <w:rsid w:val="00F6019F"/>
    <w:rsid w:val="00F63DF7"/>
    <w:rsid w:val="00F663E8"/>
    <w:rsid w:val="00F755D0"/>
    <w:rsid w:val="00F84E84"/>
    <w:rsid w:val="00F94CFB"/>
    <w:rsid w:val="00F97966"/>
    <w:rsid w:val="00FB280D"/>
    <w:rsid w:val="00FC3EA9"/>
    <w:rsid w:val="00FC6133"/>
    <w:rsid w:val="00FD3598"/>
    <w:rsid w:val="00FE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23"/>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D53F23"/>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D53F23"/>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D53F23"/>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D53F23"/>
    <w:pPr>
      <w:spacing w:before="40" w:after="0"/>
      <w:ind w:left="1134"/>
    </w:pPr>
    <w:rPr>
      <w:rFonts w:ascii="Times New Roman" w:eastAsia="Times New Roman" w:hAnsi="Times New Roman" w:cs="Times New Roman"/>
      <w:sz w:val="22"/>
      <w:szCs w:val="20"/>
      <w:lang w:eastAsia="en-AU"/>
    </w:rPr>
  </w:style>
  <w:style w:type="paragraph" w:customStyle="1" w:styleId="notetext">
    <w:name w:val="note(text)"/>
    <w:aliases w:val="n"/>
    <w:basedOn w:val="Normal"/>
    <w:link w:val="notetextChar"/>
    <w:rsid w:val="00D53F23"/>
    <w:pPr>
      <w:spacing w:before="122" w:after="0"/>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D53F23"/>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D53F23"/>
    <w:pPr>
      <w:ind w:left="720"/>
      <w:contextualSpacing/>
    </w:pPr>
  </w:style>
  <w:style w:type="character" w:styleId="CommentReference">
    <w:name w:val="annotation reference"/>
    <w:basedOn w:val="DefaultParagraphFont"/>
    <w:uiPriority w:val="99"/>
    <w:semiHidden/>
    <w:unhideWhenUsed/>
    <w:rsid w:val="00391CB1"/>
    <w:rPr>
      <w:sz w:val="16"/>
      <w:szCs w:val="16"/>
    </w:rPr>
  </w:style>
  <w:style w:type="paragraph" w:styleId="CommentText">
    <w:name w:val="annotation text"/>
    <w:basedOn w:val="Normal"/>
    <w:link w:val="CommentTextChar"/>
    <w:uiPriority w:val="99"/>
    <w:semiHidden/>
    <w:unhideWhenUsed/>
    <w:rsid w:val="00391CB1"/>
    <w:rPr>
      <w:sz w:val="20"/>
      <w:szCs w:val="20"/>
    </w:rPr>
  </w:style>
  <w:style w:type="character" w:customStyle="1" w:styleId="CommentTextChar">
    <w:name w:val="Comment Text Char"/>
    <w:basedOn w:val="DefaultParagraphFont"/>
    <w:link w:val="CommentText"/>
    <w:uiPriority w:val="99"/>
    <w:semiHidden/>
    <w:rsid w:val="00391C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1CB1"/>
    <w:rPr>
      <w:b/>
      <w:bCs/>
    </w:rPr>
  </w:style>
  <w:style w:type="character" w:customStyle="1" w:styleId="CommentSubjectChar">
    <w:name w:val="Comment Subject Char"/>
    <w:basedOn w:val="CommentTextChar"/>
    <w:link w:val="CommentSubject"/>
    <w:uiPriority w:val="99"/>
    <w:semiHidden/>
    <w:rsid w:val="00391CB1"/>
    <w:rPr>
      <w:rFonts w:ascii="Arial" w:hAnsi="Arial"/>
      <w:b/>
      <w:bCs/>
      <w:sz w:val="20"/>
      <w:szCs w:val="20"/>
    </w:rPr>
  </w:style>
  <w:style w:type="paragraph" w:styleId="BalloonText">
    <w:name w:val="Balloon Text"/>
    <w:basedOn w:val="Normal"/>
    <w:link w:val="BalloonTextChar"/>
    <w:uiPriority w:val="99"/>
    <w:semiHidden/>
    <w:unhideWhenUsed/>
    <w:rsid w:val="00391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CB1"/>
    <w:rPr>
      <w:rFonts w:ascii="Tahoma" w:hAnsi="Tahoma" w:cs="Tahoma"/>
      <w:sz w:val="16"/>
      <w:szCs w:val="16"/>
    </w:rPr>
  </w:style>
  <w:style w:type="paragraph" w:styleId="Header">
    <w:name w:val="header"/>
    <w:basedOn w:val="Normal"/>
    <w:link w:val="HeaderChar"/>
    <w:uiPriority w:val="99"/>
    <w:unhideWhenUsed/>
    <w:rsid w:val="0037478D"/>
    <w:pPr>
      <w:tabs>
        <w:tab w:val="center" w:pos="4513"/>
        <w:tab w:val="right" w:pos="9026"/>
      </w:tabs>
      <w:spacing w:after="0"/>
    </w:pPr>
  </w:style>
  <w:style w:type="character" w:customStyle="1" w:styleId="HeaderChar">
    <w:name w:val="Header Char"/>
    <w:basedOn w:val="DefaultParagraphFont"/>
    <w:link w:val="Header"/>
    <w:uiPriority w:val="99"/>
    <w:rsid w:val="0037478D"/>
    <w:rPr>
      <w:rFonts w:ascii="Arial" w:hAnsi="Arial"/>
      <w:sz w:val="24"/>
    </w:rPr>
  </w:style>
  <w:style w:type="paragraph" w:styleId="Footer">
    <w:name w:val="footer"/>
    <w:basedOn w:val="Normal"/>
    <w:link w:val="FooterChar"/>
    <w:uiPriority w:val="99"/>
    <w:unhideWhenUsed/>
    <w:rsid w:val="0037478D"/>
    <w:pPr>
      <w:tabs>
        <w:tab w:val="center" w:pos="4513"/>
        <w:tab w:val="right" w:pos="9026"/>
      </w:tabs>
      <w:spacing w:after="0"/>
    </w:pPr>
  </w:style>
  <w:style w:type="character" w:customStyle="1" w:styleId="FooterChar">
    <w:name w:val="Footer Char"/>
    <w:basedOn w:val="DefaultParagraphFont"/>
    <w:link w:val="Footer"/>
    <w:uiPriority w:val="99"/>
    <w:rsid w:val="0037478D"/>
    <w:rPr>
      <w:rFonts w:ascii="Arial" w:hAnsi="Arial"/>
      <w:sz w:val="24"/>
    </w:rPr>
  </w:style>
  <w:style w:type="paragraph" w:customStyle="1" w:styleId="Celltext">
    <w:name w:val="Cell text"/>
    <w:basedOn w:val="Normal"/>
    <w:rsid w:val="00F84E84"/>
    <w:pPr>
      <w:spacing w:before="120" w:after="0"/>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23"/>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D53F23"/>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D53F23"/>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D53F23"/>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D53F23"/>
    <w:pPr>
      <w:spacing w:before="40" w:after="0"/>
      <w:ind w:left="1134"/>
    </w:pPr>
    <w:rPr>
      <w:rFonts w:ascii="Times New Roman" w:eastAsia="Times New Roman" w:hAnsi="Times New Roman" w:cs="Times New Roman"/>
      <w:sz w:val="22"/>
      <w:szCs w:val="20"/>
      <w:lang w:eastAsia="en-AU"/>
    </w:rPr>
  </w:style>
  <w:style w:type="paragraph" w:customStyle="1" w:styleId="notetext">
    <w:name w:val="note(text)"/>
    <w:aliases w:val="n"/>
    <w:basedOn w:val="Normal"/>
    <w:link w:val="notetextChar"/>
    <w:rsid w:val="00D53F23"/>
    <w:pPr>
      <w:spacing w:before="122" w:after="0"/>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D53F23"/>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D53F23"/>
    <w:pPr>
      <w:ind w:left="720"/>
      <w:contextualSpacing/>
    </w:pPr>
  </w:style>
  <w:style w:type="character" w:styleId="CommentReference">
    <w:name w:val="annotation reference"/>
    <w:basedOn w:val="DefaultParagraphFont"/>
    <w:uiPriority w:val="99"/>
    <w:semiHidden/>
    <w:unhideWhenUsed/>
    <w:rsid w:val="00391CB1"/>
    <w:rPr>
      <w:sz w:val="16"/>
      <w:szCs w:val="16"/>
    </w:rPr>
  </w:style>
  <w:style w:type="paragraph" w:styleId="CommentText">
    <w:name w:val="annotation text"/>
    <w:basedOn w:val="Normal"/>
    <w:link w:val="CommentTextChar"/>
    <w:uiPriority w:val="99"/>
    <w:semiHidden/>
    <w:unhideWhenUsed/>
    <w:rsid w:val="00391CB1"/>
    <w:rPr>
      <w:sz w:val="20"/>
      <w:szCs w:val="20"/>
    </w:rPr>
  </w:style>
  <w:style w:type="character" w:customStyle="1" w:styleId="CommentTextChar">
    <w:name w:val="Comment Text Char"/>
    <w:basedOn w:val="DefaultParagraphFont"/>
    <w:link w:val="CommentText"/>
    <w:uiPriority w:val="99"/>
    <w:semiHidden/>
    <w:rsid w:val="00391C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1CB1"/>
    <w:rPr>
      <w:b/>
      <w:bCs/>
    </w:rPr>
  </w:style>
  <w:style w:type="character" w:customStyle="1" w:styleId="CommentSubjectChar">
    <w:name w:val="Comment Subject Char"/>
    <w:basedOn w:val="CommentTextChar"/>
    <w:link w:val="CommentSubject"/>
    <w:uiPriority w:val="99"/>
    <w:semiHidden/>
    <w:rsid w:val="00391CB1"/>
    <w:rPr>
      <w:rFonts w:ascii="Arial" w:hAnsi="Arial"/>
      <w:b/>
      <w:bCs/>
      <w:sz w:val="20"/>
      <w:szCs w:val="20"/>
    </w:rPr>
  </w:style>
  <w:style w:type="paragraph" w:styleId="BalloonText">
    <w:name w:val="Balloon Text"/>
    <w:basedOn w:val="Normal"/>
    <w:link w:val="BalloonTextChar"/>
    <w:uiPriority w:val="99"/>
    <w:semiHidden/>
    <w:unhideWhenUsed/>
    <w:rsid w:val="00391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CB1"/>
    <w:rPr>
      <w:rFonts w:ascii="Tahoma" w:hAnsi="Tahoma" w:cs="Tahoma"/>
      <w:sz w:val="16"/>
      <w:szCs w:val="16"/>
    </w:rPr>
  </w:style>
  <w:style w:type="paragraph" w:styleId="Header">
    <w:name w:val="header"/>
    <w:basedOn w:val="Normal"/>
    <w:link w:val="HeaderChar"/>
    <w:uiPriority w:val="99"/>
    <w:unhideWhenUsed/>
    <w:rsid w:val="0037478D"/>
    <w:pPr>
      <w:tabs>
        <w:tab w:val="center" w:pos="4513"/>
        <w:tab w:val="right" w:pos="9026"/>
      </w:tabs>
      <w:spacing w:after="0"/>
    </w:pPr>
  </w:style>
  <w:style w:type="character" w:customStyle="1" w:styleId="HeaderChar">
    <w:name w:val="Header Char"/>
    <w:basedOn w:val="DefaultParagraphFont"/>
    <w:link w:val="Header"/>
    <w:uiPriority w:val="99"/>
    <w:rsid w:val="0037478D"/>
    <w:rPr>
      <w:rFonts w:ascii="Arial" w:hAnsi="Arial"/>
      <w:sz w:val="24"/>
    </w:rPr>
  </w:style>
  <w:style w:type="paragraph" w:styleId="Footer">
    <w:name w:val="footer"/>
    <w:basedOn w:val="Normal"/>
    <w:link w:val="FooterChar"/>
    <w:uiPriority w:val="99"/>
    <w:unhideWhenUsed/>
    <w:rsid w:val="0037478D"/>
    <w:pPr>
      <w:tabs>
        <w:tab w:val="center" w:pos="4513"/>
        <w:tab w:val="right" w:pos="9026"/>
      </w:tabs>
      <w:spacing w:after="0"/>
    </w:pPr>
  </w:style>
  <w:style w:type="character" w:customStyle="1" w:styleId="FooterChar">
    <w:name w:val="Footer Char"/>
    <w:basedOn w:val="DefaultParagraphFont"/>
    <w:link w:val="Footer"/>
    <w:uiPriority w:val="99"/>
    <w:rsid w:val="0037478D"/>
    <w:rPr>
      <w:rFonts w:ascii="Arial" w:hAnsi="Arial"/>
      <w:sz w:val="24"/>
    </w:rPr>
  </w:style>
  <w:style w:type="paragraph" w:customStyle="1" w:styleId="Celltext">
    <w:name w:val="Cell text"/>
    <w:basedOn w:val="Normal"/>
    <w:rsid w:val="00F84E84"/>
    <w:pPr>
      <w:spacing w:before="120" w:after="0"/>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7354">
      <w:bodyDiv w:val="1"/>
      <w:marLeft w:val="0"/>
      <w:marRight w:val="0"/>
      <w:marTop w:val="0"/>
      <w:marBottom w:val="0"/>
      <w:divBdr>
        <w:top w:val="none" w:sz="0" w:space="0" w:color="auto"/>
        <w:left w:val="none" w:sz="0" w:space="0" w:color="auto"/>
        <w:bottom w:val="none" w:sz="0" w:space="0" w:color="auto"/>
        <w:right w:val="none" w:sz="0" w:space="0" w:color="auto"/>
      </w:divBdr>
      <w:divsChild>
        <w:div w:id="1441412408">
          <w:marLeft w:val="0"/>
          <w:marRight w:val="0"/>
          <w:marTop w:val="0"/>
          <w:marBottom w:val="0"/>
          <w:divBdr>
            <w:top w:val="none" w:sz="0" w:space="0" w:color="auto"/>
            <w:left w:val="none" w:sz="0" w:space="0" w:color="auto"/>
            <w:bottom w:val="none" w:sz="0" w:space="0" w:color="auto"/>
            <w:right w:val="none" w:sz="0" w:space="0" w:color="auto"/>
          </w:divBdr>
          <w:divsChild>
            <w:div w:id="1375033526">
              <w:marLeft w:val="0"/>
              <w:marRight w:val="0"/>
              <w:marTop w:val="0"/>
              <w:marBottom w:val="0"/>
              <w:divBdr>
                <w:top w:val="none" w:sz="0" w:space="0" w:color="auto"/>
                <w:left w:val="none" w:sz="0" w:space="0" w:color="auto"/>
                <w:bottom w:val="none" w:sz="0" w:space="0" w:color="auto"/>
                <w:right w:val="none" w:sz="0" w:space="0" w:color="auto"/>
              </w:divBdr>
              <w:divsChild>
                <w:div w:id="1688168838">
                  <w:marLeft w:val="0"/>
                  <w:marRight w:val="0"/>
                  <w:marTop w:val="0"/>
                  <w:marBottom w:val="0"/>
                  <w:divBdr>
                    <w:top w:val="none" w:sz="0" w:space="0" w:color="auto"/>
                    <w:left w:val="none" w:sz="0" w:space="0" w:color="auto"/>
                    <w:bottom w:val="none" w:sz="0" w:space="0" w:color="auto"/>
                    <w:right w:val="none" w:sz="0" w:space="0" w:color="auto"/>
                  </w:divBdr>
                  <w:divsChild>
                    <w:div w:id="826671227">
                      <w:marLeft w:val="0"/>
                      <w:marRight w:val="0"/>
                      <w:marTop w:val="0"/>
                      <w:marBottom w:val="0"/>
                      <w:divBdr>
                        <w:top w:val="none" w:sz="0" w:space="0" w:color="auto"/>
                        <w:left w:val="none" w:sz="0" w:space="0" w:color="auto"/>
                        <w:bottom w:val="none" w:sz="0" w:space="0" w:color="auto"/>
                        <w:right w:val="none" w:sz="0" w:space="0" w:color="auto"/>
                      </w:divBdr>
                      <w:divsChild>
                        <w:div w:id="283050032">
                          <w:marLeft w:val="0"/>
                          <w:marRight w:val="0"/>
                          <w:marTop w:val="0"/>
                          <w:marBottom w:val="0"/>
                          <w:divBdr>
                            <w:top w:val="none" w:sz="0" w:space="0" w:color="auto"/>
                            <w:left w:val="none" w:sz="0" w:space="0" w:color="auto"/>
                            <w:bottom w:val="none" w:sz="0" w:space="0" w:color="auto"/>
                            <w:right w:val="none" w:sz="0" w:space="0" w:color="auto"/>
                          </w:divBdr>
                          <w:divsChild>
                            <w:div w:id="1515925267">
                              <w:marLeft w:val="0"/>
                              <w:marRight w:val="0"/>
                              <w:marTop w:val="0"/>
                              <w:marBottom w:val="0"/>
                              <w:divBdr>
                                <w:top w:val="none" w:sz="0" w:space="0" w:color="auto"/>
                                <w:left w:val="none" w:sz="0" w:space="0" w:color="auto"/>
                                <w:bottom w:val="none" w:sz="0" w:space="0" w:color="auto"/>
                                <w:right w:val="none" w:sz="0" w:space="0" w:color="auto"/>
                              </w:divBdr>
                              <w:divsChild>
                                <w:div w:id="423234470">
                                  <w:marLeft w:val="0"/>
                                  <w:marRight w:val="0"/>
                                  <w:marTop w:val="0"/>
                                  <w:marBottom w:val="0"/>
                                  <w:divBdr>
                                    <w:top w:val="none" w:sz="0" w:space="0" w:color="auto"/>
                                    <w:left w:val="none" w:sz="0" w:space="0" w:color="auto"/>
                                    <w:bottom w:val="none" w:sz="0" w:space="0" w:color="auto"/>
                                    <w:right w:val="none" w:sz="0" w:space="0" w:color="auto"/>
                                  </w:divBdr>
                                  <w:divsChild>
                                    <w:div w:id="622886538">
                                      <w:marLeft w:val="0"/>
                                      <w:marRight w:val="0"/>
                                      <w:marTop w:val="0"/>
                                      <w:marBottom w:val="0"/>
                                      <w:divBdr>
                                        <w:top w:val="none" w:sz="0" w:space="0" w:color="auto"/>
                                        <w:left w:val="none" w:sz="0" w:space="0" w:color="auto"/>
                                        <w:bottom w:val="none" w:sz="0" w:space="0" w:color="auto"/>
                                        <w:right w:val="none" w:sz="0" w:space="0" w:color="auto"/>
                                      </w:divBdr>
                                      <w:divsChild>
                                        <w:div w:id="1935481148">
                                          <w:marLeft w:val="0"/>
                                          <w:marRight w:val="0"/>
                                          <w:marTop w:val="0"/>
                                          <w:marBottom w:val="0"/>
                                          <w:divBdr>
                                            <w:top w:val="none" w:sz="0" w:space="0" w:color="auto"/>
                                            <w:left w:val="none" w:sz="0" w:space="0" w:color="auto"/>
                                            <w:bottom w:val="none" w:sz="0" w:space="0" w:color="auto"/>
                                            <w:right w:val="none" w:sz="0" w:space="0" w:color="auto"/>
                                          </w:divBdr>
                                          <w:divsChild>
                                            <w:div w:id="2000186061">
                                              <w:marLeft w:val="0"/>
                                              <w:marRight w:val="0"/>
                                              <w:marTop w:val="0"/>
                                              <w:marBottom w:val="0"/>
                                              <w:divBdr>
                                                <w:top w:val="none" w:sz="0" w:space="0" w:color="auto"/>
                                                <w:left w:val="none" w:sz="0" w:space="0" w:color="auto"/>
                                                <w:bottom w:val="none" w:sz="0" w:space="0" w:color="auto"/>
                                                <w:right w:val="none" w:sz="0" w:space="0" w:color="auto"/>
                                              </w:divBdr>
                                              <w:divsChild>
                                                <w:div w:id="1759978405">
                                                  <w:marLeft w:val="0"/>
                                                  <w:marRight w:val="0"/>
                                                  <w:marTop w:val="0"/>
                                                  <w:marBottom w:val="0"/>
                                                  <w:divBdr>
                                                    <w:top w:val="none" w:sz="0" w:space="0" w:color="auto"/>
                                                    <w:left w:val="none" w:sz="0" w:space="0" w:color="auto"/>
                                                    <w:bottom w:val="none" w:sz="0" w:space="0" w:color="auto"/>
                                                    <w:right w:val="none" w:sz="0" w:space="0" w:color="auto"/>
                                                  </w:divBdr>
                                                  <w:divsChild>
                                                    <w:div w:id="471750525">
                                                      <w:marLeft w:val="0"/>
                                                      <w:marRight w:val="0"/>
                                                      <w:marTop w:val="0"/>
                                                      <w:marBottom w:val="0"/>
                                                      <w:divBdr>
                                                        <w:top w:val="none" w:sz="0" w:space="0" w:color="auto"/>
                                                        <w:left w:val="none" w:sz="0" w:space="0" w:color="auto"/>
                                                        <w:bottom w:val="none" w:sz="0" w:space="0" w:color="auto"/>
                                                        <w:right w:val="none" w:sz="0" w:space="0" w:color="auto"/>
                                                      </w:divBdr>
                                                      <w:divsChild>
                                                        <w:div w:id="20803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008715">
      <w:bodyDiv w:val="1"/>
      <w:marLeft w:val="0"/>
      <w:marRight w:val="0"/>
      <w:marTop w:val="0"/>
      <w:marBottom w:val="0"/>
      <w:divBdr>
        <w:top w:val="none" w:sz="0" w:space="0" w:color="auto"/>
        <w:left w:val="none" w:sz="0" w:space="0" w:color="auto"/>
        <w:bottom w:val="none" w:sz="0" w:space="0" w:color="auto"/>
        <w:right w:val="none" w:sz="0" w:space="0" w:color="auto"/>
      </w:divBdr>
    </w:div>
    <w:div w:id="1882672995">
      <w:bodyDiv w:val="1"/>
      <w:marLeft w:val="0"/>
      <w:marRight w:val="0"/>
      <w:marTop w:val="0"/>
      <w:marBottom w:val="0"/>
      <w:divBdr>
        <w:top w:val="none" w:sz="0" w:space="0" w:color="auto"/>
        <w:left w:val="none" w:sz="0" w:space="0" w:color="auto"/>
        <w:bottom w:val="none" w:sz="0" w:space="0" w:color="auto"/>
        <w:right w:val="none" w:sz="0" w:space="0" w:color="auto"/>
      </w:divBdr>
      <w:divsChild>
        <w:div w:id="471338038">
          <w:marLeft w:val="0"/>
          <w:marRight w:val="0"/>
          <w:marTop w:val="0"/>
          <w:marBottom w:val="0"/>
          <w:divBdr>
            <w:top w:val="none" w:sz="0" w:space="0" w:color="auto"/>
            <w:left w:val="none" w:sz="0" w:space="0" w:color="auto"/>
            <w:bottom w:val="none" w:sz="0" w:space="0" w:color="auto"/>
            <w:right w:val="none" w:sz="0" w:space="0" w:color="auto"/>
          </w:divBdr>
          <w:divsChild>
            <w:div w:id="248275585">
              <w:marLeft w:val="0"/>
              <w:marRight w:val="0"/>
              <w:marTop w:val="0"/>
              <w:marBottom w:val="0"/>
              <w:divBdr>
                <w:top w:val="none" w:sz="0" w:space="0" w:color="auto"/>
                <w:left w:val="none" w:sz="0" w:space="0" w:color="auto"/>
                <w:bottom w:val="none" w:sz="0" w:space="0" w:color="auto"/>
                <w:right w:val="none" w:sz="0" w:space="0" w:color="auto"/>
              </w:divBdr>
              <w:divsChild>
                <w:div w:id="1307969740">
                  <w:marLeft w:val="0"/>
                  <w:marRight w:val="0"/>
                  <w:marTop w:val="0"/>
                  <w:marBottom w:val="0"/>
                  <w:divBdr>
                    <w:top w:val="none" w:sz="0" w:space="0" w:color="auto"/>
                    <w:left w:val="none" w:sz="0" w:space="0" w:color="auto"/>
                    <w:bottom w:val="none" w:sz="0" w:space="0" w:color="auto"/>
                    <w:right w:val="none" w:sz="0" w:space="0" w:color="auto"/>
                  </w:divBdr>
                  <w:divsChild>
                    <w:div w:id="2110157664">
                      <w:marLeft w:val="0"/>
                      <w:marRight w:val="0"/>
                      <w:marTop w:val="0"/>
                      <w:marBottom w:val="0"/>
                      <w:divBdr>
                        <w:top w:val="none" w:sz="0" w:space="0" w:color="auto"/>
                        <w:left w:val="none" w:sz="0" w:space="0" w:color="auto"/>
                        <w:bottom w:val="none" w:sz="0" w:space="0" w:color="auto"/>
                        <w:right w:val="none" w:sz="0" w:space="0" w:color="auto"/>
                      </w:divBdr>
                      <w:divsChild>
                        <w:div w:id="1073088062">
                          <w:marLeft w:val="0"/>
                          <w:marRight w:val="0"/>
                          <w:marTop w:val="0"/>
                          <w:marBottom w:val="0"/>
                          <w:divBdr>
                            <w:top w:val="none" w:sz="0" w:space="0" w:color="auto"/>
                            <w:left w:val="none" w:sz="0" w:space="0" w:color="auto"/>
                            <w:bottom w:val="none" w:sz="0" w:space="0" w:color="auto"/>
                            <w:right w:val="none" w:sz="0" w:space="0" w:color="auto"/>
                          </w:divBdr>
                          <w:divsChild>
                            <w:div w:id="96365650">
                              <w:marLeft w:val="0"/>
                              <w:marRight w:val="0"/>
                              <w:marTop w:val="0"/>
                              <w:marBottom w:val="0"/>
                              <w:divBdr>
                                <w:top w:val="none" w:sz="0" w:space="0" w:color="auto"/>
                                <w:left w:val="none" w:sz="0" w:space="0" w:color="auto"/>
                                <w:bottom w:val="none" w:sz="0" w:space="0" w:color="auto"/>
                                <w:right w:val="none" w:sz="0" w:space="0" w:color="auto"/>
                              </w:divBdr>
                              <w:divsChild>
                                <w:div w:id="1695107891">
                                  <w:marLeft w:val="0"/>
                                  <w:marRight w:val="0"/>
                                  <w:marTop w:val="0"/>
                                  <w:marBottom w:val="0"/>
                                  <w:divBdr>
                                    <w:top w:val="none" w:sz="0" w:space="0" w:color="auto"/>
                                    <w:left w:val="none" w:sz="0" w:space="0" w:color="auto"/>
                                    <w:bottom w:val="none" w:sz="0" w:space="0" w:color="auto"/>
                                    <w:right w:val="none" w:sz="0" w:space="0" w:color="auto"/>
                                  </w:divBdr>
                                  <w:divsChild>
                                    <w:div w:id="1876038920">
                                      <w:marLeft w:val="0"/>
                                      <w:marRight w:val="0"/>
                                      <w:marTop w:val="0"/>
                                      <w:marBottom w:val="0"/>
                                      <w:divBdr>
                                        <w:top w:val="none" w:sz="0" w:space="0" w:color="auto"/>
                                        <w:left w:val="none" w:sz="0" w:space="0" w:color="auto"/>
                                        <w:bottom w:val="none" w:sz="0" w:space="0" w:color="auto"/>
                                        <w:right w:val="none" w:sz="0" w:space="0" w:color="auto"/>
                                      </w:divBdr>
                                      <w:divsChild>
                                        <w:div w:id="541944662">
                                          <w:marLeft w:val="0"/>
                                          <w:marRight w:val="0"/>
                                          <w:marTop w:val="0"/>
                                          <w:marBottom w:val="0"/>
                                          <w:divBdr>
                                            <w:top w:val="none" w:sz="0" w:space="0" w:color="auto"/>
                                            <w:left w:val="none" w:sz="0" w:space="0" w:color="auto"/>
                                            <w:bottom w:val="none" w:sz="0" w:space="0" w:color="auto"/>
                                            <w:right w:val="none" w:sz="0" w:space="0" w:color="auto"/>
                                          </w:divBdr>
                                          <w:divsChild>
                                            <w:div w:id="1319655494">
                                              <w:marLeft w:val="0"/>
                                              <w:marRight w:val="0"/>
                                              <w:marTop w:val="0"/>
                                              <w:marBottom w:val="0"/>
                                              <w:divBdr>
                                                <w:top w:val="none" w:sz="0" w:space="0" w:color="auto"/>
                                                <w:left w:val="none" w:sz="0" w:space="0" w:color="auto"/>
                                                <w:bottom w:val="none" w:sz="0" w:space="0" w:color="auto"/>
                                                <w:right w:val="none" w:sz="0" w:space="0" w:color="auto"/>
                                              </w:divBdr>
                                              <w:divsChild>
                                                <w:div w:id="1921021475">
                                                  <w:marLeft w:val="0"/>
                                                  <w:marRight w:val="0"/>
                                                  <w:marTop w:val="0"/>
                                                  <w:marBottom w:val="0"/>
                                                  <w:divBdr>
                                                    <w:top w:val="none" w:sz="0" w:space="0" w:color="auto"/>
                                                    <w:left w:val="none" w:sz="0" w:space="0" w:color="auto"/>
                                                    <w:bottom w:val="none" w:sz="0" w:space="0" w:color="auto"/>
                                                    <w:right w:val="none" w:sz="0" w:space="0" w:color="auto"/>
                                                  </w:divBdr>
                                                  <w:divsChild>
                                                    <w:div w:id="1069303322">
                                                      <w:marLeft w:val="0"/>
                                                      <w:marRight w:val="0"/>
                                                      <w:marTop w:val="0"/>
                                                      <w:marBottom w:val="0"/>
                                                      <w:divBdr>
                                                        <w:top w:val="none" w:sz="0" w:space="0" w:color="auto"/>
                                                        <w:left w:val="none" w:sz="0" w:space="0" w:color="auto"/>
                                                        <w:bottom w:val="none" w:sz="0" w:space="0" w:color="auto"/>
                                                        <w:right w:val="none" w:sz="0" w:space="0" w:color="auto"/>
                                                      </w:divBdr>
                                                      <w:divsChild>
                                                        <w:div w:id="10999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9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Props1.xml><?xml version="1.0" encoding="utf-8"?>
<ds:datastoreItem xmlns:ds="http://schemas.openxmlformats.org/officeDocument/2006/customXml" ds:itemID="{8BDA59D1-5265-4806-9CFE-66A82FE46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B2C34-F03D-4B2A-B80A-4352D0B0E3C6}">
  <ds:schemaRefs>
    <ds:schemaRef ds:uri="http://schemas.microsoft.com/sharepoint/v3/contenttype/forms"/>
  </ds:schemaRefs>
</ds:datastoreItem>
</file>

<file path=customXml/itemProps3.xml><?xml version="1.0" encoding="utf-8"?>
<ds:datastoreItem xmlns:ds="http://schemas.openxmlformats.org/officeDocument/2006/customXml" ds:itemID="{FD714C35-62E4-435A-BD6B-7A9BC8085AEF}">
  <ds:schemaRefs>
    <ds:schemaRef ds:uri="http://www.w3.org/XML/1998/namespace"/>
    <ds:schemaRef ds:uri="http://purl.org/dc/elements/1.1/"/>
    <ds:schemaRef ds:uri="04225F8A-385D-4D87-957B-3A8238FC7E0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maybec</dc:creator>
  <cp:lastModifiedBy>rileya</cp:lastModifiedBy>
  <cp:revision>2</cp:revision>
  <dcterms:created xsi:type="dcterms:W3CDTF">2019-04-08T05:08:00Z</dcterms:created>
  <dcterms:modified xsi:type="dcterms:W3CDTF">2019-04-08T05:08:00Z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