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B6C8" w14:textId="3122B78F" w:rsidR="00A019DA" w:rsidRPr="00045CBE" w:rsidRDefault="00F87D3E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Banking, </w:t>
      </w:r>
      <w:r w:rsidR="007816F0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Insurance, Life Insurance and </w:t>
      </w:r>
      <w:r w:rsidR="004F51B6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Health Insurance 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(prudential standard</w:t>
      </w:r>
      <w:r w:rsidR="007A57EC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) determination</w:t>
      </w:r>
      <w:r w:rsidR="009D252F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9D252F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171A11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9D252F" w:rsidRPr="00543E93">
        <w:rPr>
          <w:rFonts w:ascii="Times New Roman" w:hAnsi="Times New Roman"/>
          <w:b/>
          <w:sz w:val="24"/>
          <w:szCs w:val="24"/>
          <w:lang w:val="en-US"/>
        </w:rPr>
        <w:t>1 and 2</w:t>
      </w:r>
      <w:r w:rsidR="004F51B6" w:rsidRPr="001F1972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4F51B6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of 201</w:t>
      </w:r>
      <w:r w:rsidR="00757CD4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5B9741E1" w14:textId="1BE8C770" w:rsidR="00F802E2" w:rsidRPr="00045CBE" w:rsidRDefault="00F802E2" w:rsidP="00F802E2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 (prudential standard) determination</w:t>
      </w:r>
      <w:r w:rsidR="00A8122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A8122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A5493C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8963AD" w:rsidRPr="00A5493C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9D252F" w:rsidRPr="00543E93">
        <w:rPr>
          <w:rFonts w:ascii="Times New Roman" w:hAnsi="Times New Roman"/>
          <w:b/>
          <w:sz w:val="24"/>
          <w:szCs w:val="24"/>
          <w:lang w:val="en-US"/>
        </w:rPr>
        <w:t>1 to 9</w:t>
      </w:r>
      <w:r w:rsidRPr="009D252F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of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201</w:t>
      </w:r>
      <w:r w:rsidR="00757CD4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0DAC556B" w14:textId="132844B3" w:rsidR="002F73E5" w:rsidRDefault="00F802E2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Life Insurance (prudential standard) determination No.</w:t>
      </w:r>
      <w:r w:rsidR="00171A11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9D252F" w:rsidRPr="00543E93">
        <w:rPr>
          <w:rFonts w:ascii="Times New Roman" w:hAnsi="Times New Roman"/>
          <w:b/>
          <w:sz w:val="24"/>
          <w:szCs w:val="24"/>
          <w:lang w:val="en-US"/>
        </w:rPr>
        <w:t>1</w:t>
      </w:r>
      <w:r w:rsidR="009D252F" w:rsidRPr="009D252F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of </w:t>
      </w:r>
      <w:r w:rsidR="002F73E5"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2019</w:t>
      </w:r>
      <w:r w:rsidR="002F73E5"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</w:t>
      </w:r>
    </w:p>
    <w:p w14:paraId="49D99FCE" w14:textId="0258147F" w:rsidR="001F1972" w:rsidRPr="00B94A4B" w:rsidRDefault="001F1972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B94A4B">
        <w:rPr>
          <w:rFonts w:ascii="Times New Roman" w:eastAsia="Times New Roman" w:hAnsi="Times New Roman"/>
          <w:b/>
          <w:sz w:val="24"/>
          <w:szCs w:val="24"/>
          <w:lang w:eastAsia="en-AU"/>
        </w:rPr>
        <w:t>Health Insurance (prudential standard) determination No. 1 of 2019</w:t>
      </w:r>
    </w:p>
    <w:p w14:paraId="2FC7FA2A" w14:textId="27559628" w:rsidR="00A019DA" w:rsidRPr="00045CBE" w:rsidRDefault="002F73E5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EXPLANATORY</w:t>
      </w:r>
      <w:r w:rsidR="00A019DA" w:rsidRPr="00045CBE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 xml:space="preserve"> STATEMENT</w:t>
      </w:r>
    </w:p>
    <w:p w14:paraId="25D4D921" w14:textId="77777777" w:rsidR="00A019DA" w:rsidRPr="00045CBE" w:rsidRDefault="00A019DA" w:rsidP="00B321B0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Prepared by the Australian Prudential Regulation Authority (</w:t>
      </w:r>
      <w:r w:rsidRPr="00045CBE">
        <w:rPr>
          <w:rFonts w:ascii="Times New Roman" w:eastAsia="Times New Roman" w:hAnsi="Times New Roman"/>
          <w:b/>
          <w:iCs/>
          <w:sz w:val="24"/>
          <w:szCs w:val="24"/>
          <w:lang w:eastAsia="en-AU"/>
        </w:rPr>
        <w:t>APRA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)</w:t>
      </w:r>
    </w:p>
    <w:p w14:paraId="5470DC71" w14:textId="30E3116F" w:rsidR="005F2583" w:rsidRPr="00FC541B" w:rsidRDefault="005F2583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bookmarkStart w:id="1" w:name="bkExplanatory"/>
      <w:bookmarkStart w:id="2" w:name="bkAct"/>
      <w:bookmarkEnd w:id="1"/>
      <w:bookmarkEnd w:id="2"/>
      <w:r>
        <w:rPr>
          <w:rFonts w:ascii="Times New Roman" w:hAnsi="Times New Roman"/>
          <w:i/>
          <w:iCs/>
          <w:color w:val="000000"/>
          <w:sz w:val="24"/>
          <w:szCs w:val="24"/>
        </w:rPr>
        <w:t>Banking Act 1959</w:t>
      </w:r>
      <w:r w:rsidR="00FC541B">
        <w:rPr>
          <w:rFonts w:ascii="Times New Roman" w:hAnsi="Times New Roman"/>
          <w:iCs/>
          <w:color w:val="000000"/>
          <w:sz w:val="24"/>
          <w:szCs w:val="24"/>
        </w:rPr>
        <w:t>, section 11AF</w:t>
      </w:r>
    </w:p>
    <w:p w14:paraId="47CE3B19" w14:textId="08C5BCB0" w:rsidR="007816F0" w:rsidRPr="00045CBE" w:rsidRDefault="007816F0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r w:rsidRPr="00045CBE">
        <w:rPr>
          <w:rFonts w:ascii="Times New Roman" w:hAnsi="Times New Roman"/>
          <w:i/>
          <w:iCs/>
          <w:color w:val="000000"/>
          <w:sz w:val="24"/>
          <w:szCs w:val="24"/>
        </w:rPr>
        <w:t>Insurance Act 1973</w:t>
      </w:r>
      <w:r w:rsidRPr="00045CBE">
        <w:rPr>
          <w:rFonts w:ascii="Times New Roman" w:hAnsi="Times New Roman"/>
          <w:color w:val="000000"/>
          <w:sz w:val="24"/>
          <w:szCs w:val="24"/>
        </w:rPr>
        <w:t>, section 32</w:t>
      </w:r>
    </w:p>
    <w:p w14:paraId="4DBDF75D" w14:textId="77777777" w:rsidR="007816F0" w:rsidRPr="00045CBE" w:rsidRDefault="007816F0" w:rsidP="00092E8C">
      <w:pPr>
        <w:shd w:val="clear" w:color="auto" w:fill="FFFFFF" w:themeFill="background1"/>
        <w:spacing w:after="240"/>
        <w:jc w:val="center"/>
        <w:rPr>
          <w:rFonts w:ascii="Times New Roman" w:hAnsi="Times New Roman"/>
          <w:color w:val="000000"/>
          <w:sz w:val="24"/>
          <w:szCs w:val="24"/>
        </w:rPr>
      </w:pPr>
      <w:r w:rsidRPr="00045CBE">
        <w:rPr>
          <w:rFonts w:ascii="Times New Roman" w:hAnsi="Times New Roman"/>
          <w:i/>
          <w:iCs/>
          <w:color w:val="000000"/>
          <w:sz w:val="24"/>
          <w:szCs w:val="24"/>
        </w:rPr>
        <w:t>Life Insurance Act 1995</w:t>
      </w:r>
      <w:r w:rsidRPr="00045CBE">
        <w:rPr>
          <w:rFonts w:ascii="Times New Roman" w:hAnsi="Times New Roman"/>
          <w:color w:val="000000"/>
          <w:sz w:val="24"/>
          <w:szCs w:val="24"/>
        </w:rPr>
        <w:t>, section 230A</w:t>
      </w:r>
    </w:p>
    <w:p w14:paraId="0BC776FE" w14:textId="77777777" w:rsidR="007816F0" w:rsidRPr="00045CBE" w:rsidRDefault="007816F0" w:rsidP="007816F0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en-US"/>
        </w:rPr>
      </w:pPr>
      <w:r w:rsidRPr="00045CBE">
        <w:rPr>
          <w:rFonts w:ascii="Times New Roman" w:hAnsi="Times New Roman"/>
          <w:i/>
          <w:sz w:val="24"/>
          <w:szCs w:val="24"/>
          <w:shd w:val="clear" w:color="auto" w:fill="FFFFFF" w:themeFill="background1"/>
          <w:lang w:val="en-US"/>
        </w:rPr>
        <w:t>Private Health Insurance (Prudential Supervision) Act 2015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  <w:lang w:val="en-US"/>
        </w:rPr>
        <w:t>, section 92</w:t>
      </w:r>
    </w:p>
    <w:p w14:paraId="13BA1404" w14:textId="43E026AF" w:rsidR="00712ABC" w:rsidRDefault="007816F0" w:rsidP="00712ABC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>APRA may, in writing, determine</w:t>
      </w:r>
      <w:r w:rsidR="00F87D3E">
        <w:rPr>
          <w:rFonts w:ascii="Times New Roman" w:hAnsi="Times New Roman"/>
          <w:sz w:val="24"/>
          <w:szCs w:val="24"/>
        </w:rPr>
        <w:t>, vary or revoke</w:t>
      </w:r>
      <w:r w:rsidRPr="00045CBE">
        <w:rPr>
          <w:rFonts w:ascii="Times New Roman" w:hAnsi="Times New Roman"/>
          <w:sz w:val="24"/>
          <w:szCs w:val="24"/>
        </w:rPr>
        <w:t xml:space="preserve"> a prudential standard that applies to an </w:t>
      </w:r>
      <w:r w:rsidR="007A57EC" w:rsidRPr="00045CBE">
        <w:rPr>
          <w:rFonts w:ascii="Times New Roman" w:hAnsi="Times New Roman"/>
          <w:sz w:val="24"/>
          <w:szCs w:val="24"/>
        </w:rPr>
        <w:t xml:space="preserve">APRA-regulated </w:t>
      </w:r>
      <w:r w:rsidRPr="00045CBE">
        <w:rPr>
          <w:rFonts w:ascii="Times New Roman" w:hAnsi="Times New Roman"/>
          <w:sz w:val="24"/>
          <w:szCs w:val="24"/>
        </w:rPr>
        <w:t>institution under:</w:t>
      </w:r>
    </w:p>
    <w:p w14:paraId="6C1D65A1" w14:textId="3322EA5D" w:rsidR="00712ABC" w:rsidRPr="00712ABC" w:rsidRDefault="00712AB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2ABC">
        <w:rPr>
          <w:rFonts w:ascii="Times New Roman" w:hAnsi="Times New Roman"/>
          <w:sz w:val="24"/>
          <w:szCs w:val="24"/>
        </w:rPr>
        <w:t>subsection</w:t>
      </w:r>
      <w:r w:rsidR="00F87D3E">
        <w:rPr>
          <w:rFonts w:ascii="Times New Roman" w:hAnsi="Times New Roman"/>
          <w:sz w:val="24"/>
          <w:szCs w:val="24"/>
        </w:rPr>
        <w:t>s</w:t>
      </w:r>
      <w:r w:rsidRPr="00712ABC">
        <w:rPr>
          <w:rFonts w:ascii="Times New Roman" w:hAnsi="Times New Roman"/>
          <w:sz w:val="24"/>
          <w:szCs w:val="24"/>
        </w:rPr>
        <w:t xml:space="preserve"> 11AF(1) </w:t>
      </w:r>
      <w:r w:rsidR="00F87D3E">
        <w:rPr>
          <w:rFonts w:ascii="Times New Roman" w:hAnsi="Times New Roman"/>
          <w:sz w:val="24"/>
          <w:szCs w:val="24"/>
        </w:rPr>
        <w:t xml:space="preserve">and (3) </w:t>
      </w:r>
      <w:r w:rsidRPr="00712ABC">
        <w:rPr>
          <w:rFonts w:ascii="Times New Roman" w:hAnsi="Times New Roman"/>
          <w:sz w:val="24"/>
          <w:szCs w:val="24"/>
        </w:rPr>
        <w:t xml:space="preserve">of the </w:t>
      </w:r>
      <w:r w:rsidRPr="00712ABC">
        <w:rPr>
          <w:rFonts w:ascii="Times New Roman" w:hAnsi="Times New Roman"/>
          <w:i/>
          <w:iCs/>
          <w:sz w:val="24"/>
          <w:szCs w:val="24"/>
        </w:rPr>
        <w:t>Banking Act 1959</w:t>
      </w:r>
      <w:r w:rsidRPr="00712ABC">
        <w:rPr>
          <w:rFonts w:ascii="Times New Roman" w:hAnsi="Times New Roman"/>
          <w:sz w:val="24"/>
          <w:szCs w:val="24"/>
        </w:rPr>
        <w:t xml:space="preserve"> (Banking Act)</w:t>
      </w:r>
      <w:r w:rsidR="002F73E5" w:rsidRPr="00712ABC">
        <w:rPr>
          <w:rFonts w:ascii="Times New Roman" w:hAnsi="Times New Roman"/>
          <w:sz w:val="24"/>
          <w:szCs w:val="24"/>
        </w:rPr>
        <w:t>, in</w:t>
      </w:r>
      <w:r w:rsidRPr="00712ABC">
        <w:rPr>
          <w:rFonts w:ascii="Times New Roman" w:hAnsi="Times New Roman"/>
          <w:sz w:val="24"/>
          <w:szCs w:val="24"/>
        </w:rPr>
        <w:t xml:space="preserve"> relation to authorised deposit-taking institutions (ADIs) and authorised non-operating holding companies (authorised banking NOHC</w:t>
      </w:r>
      <w:r w:rsidRPr="005659DA">
        <w:rPr>
          <w:rFonts w:ascii="Times New Roman" w:hAnsi="Times New Roman"/>
          <w:sz w:val="24"/>
          <w:szCs w:val="24"/>
        </w:rPr>
        <w:t>s)</w:t>
      </w:r>
      <w:r w:rsidR="00B97C0C">
        <w:rPr>
          <w:rFonts w:ascii="Times New Roman" w:hAnsi="Times New Roman"/>
          <w:sz w:val="24"/>
          <w:szCs w:val="24"/>
        </w:rPr>
        <w:t>;</w:t>
      </w:r>
    </w:p>
    <w:p w14:paraId="3ED0D2E4" w14:textId="68B09BE2" w:rsidR="00712ABC" w:rsidRPr="00712ABC" w:rsidRDefault="00712AB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2ABC">
        <w:rPr>
          <w:rFonts w:ascii="Times New Roman" w:hAnsi="Times New Roman"/>
          <w:sz w:val="24"/>
          <w:szCs w:val="24"/>
        </w:rPr>
        <w:t>subsection</w:t>
      </w:r>
      <w:r w:rsidR="00F87D3E">
        <w:rPr>
          <w:rFonts w:ascii="Times New Roman" w:hAnsi="Times New Roman"/>
          <w:sz w:val="24"/>
          <w:szCs w:val="24"/>
        </w:rPr>
        <w:t>s</w:t>
      </w:r>
      <w:r w:rsidRPr="00712ABC">
        <w:rPr>
          <w:rFonts w:ascii="Times New Roman" w:hAnsi="Times New Roman"/>
          <w:sz w:val="24"/>
          <w:szCs w:val="24"/>
        </w:rPr>
        <w:t xml:space="preserve"> 32(1) </w:t>
      </w:r>
      <w:r w:rsidR="00F87D3E">
        <w:rPr>
          <w:rFonts w:ascii="Times New Roman" w:hAnsi="Times New Roman"/>
          <w:sz w:val="24"/>
          <w:szCs w:val="24"/>
        </w:rPr>
        <w:t xml:space="preserve">and (4) </w:t>
      </w:r>
      <w:r w:rsidRPr="00712ABC">
        <w:rPr>
          <w:rFonts w:ascii="Times New Roman" w:hAnsi="Times New Roman"/>
          <w:sz w:val="24"/>
          <w:szCs w:val="24"/>
        </w:rPr>
        <w:t xml:space="preserve">of the </w:t>
      </w:r>
      <w:r w:rsidRPr="00712ABC">
        <w:rPr>
          <w:rFonts w:ascii="Times New Roman" w:hAnsi="Times New Roman"/>
          <w:i/>
          <w:iCs/>
          <w:sz w:val="24"/>
          <w:szCs w:val="24"/>
        </w:rPr>
        <w:t>Insurance Act 1973</w:t>
      </w:r>
      <w:r w:rsidRPr="00712ABC">
        <w:rPr>
          <w:rFonts w:ascii="Times New Roman" w:hAnsi="Times New Roman"/>
          <w:sz w:val="24"/>
          <w:szCs w:val="24"/>
        </w:rPr>
        <w:t xml:space="preserve"> (Insurance Act), in relation to general insurers, authorised non-operating holding companies (authorised insurance NOHCs), and subsidiaries of general insurers and authorised </w:t>
      </w:r>
      <w:r w:rsidRPr="005659DA">
        <w:rPr>
          <w:rFonts w:ascii="Times New Roman" w:hAnsi="Times New Roman"/>
          <w:sz w:val="24"/>
          <w:szCs w:val="24"/>
        </w:rPr>
        <w:t>insurance NOHCs</w:t>
      </w:r>
      <w:r w:rsidR="00D97CC3">
        <w:rPr>
          <w:rFonts w:ascii="Times New Roman" w:hAnsi="Times New Roman"/>
          <w:sz w:val="24"/>
          <w:szCs w:val="24"/>
        </w:rPr>
        <w:t>;</w:t>
      </w:r>
      <w:r w:rsidRPr="00712ABC">
        <w:rPr>
          <w:rFonts w:ascii="Times New Roman" w:hAnsi="Times New Roman"/>
          <w:sz w:val="24"/>
          <w:szCs w:val="24"/>
        </w:rPr>
        <w:t xml:space="preserve"> </w:t>
      </w:r>
    </w:p>
    <w:p w14:paraId="6C3742FA" w14:textId="24C53937" w:rsidR="00712ABC" w:rsidRDefault="00712AB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12ABC">
        <w:rPr>
          <w:rFonts w:ascii="Times New Roman" w:hAnsi="Times New Roman"/>
          <w:sz w:val="24"/>
          <w:szCs w:val="24"/>
        </w:rPr>
        <w:t>subsection</w:t>
      </w:r>
      <w:r w:rsidR="00F87D3E">
        <w:rPr>
          <w:rFonts w:ascii="Times New Roman" w:hAnsi="Times New Roman"/>
          <w:sz w:val="24"/>
          <w:szCs w:val="24"/>
        </w:rPr>
        <w:t>s</w:t>
      </w:r>
      <w:r w:rsidRPr="00712ABC">
        <w:rPr>
          <w:rFonts w:ascii="Times New Roman" w:hAnsi="Times New Roman"/>
          <w:sz w:val="24"/>
          <w:szCs w:val="24"/>
        </w:rPr>
        <w:t xml:space="preserve"> 230A(1) </w:t>
      </w:r>
      <w:r w:rsidR="00F87D3E">
        <w:rPr>
          <w:rFonts w:ascii="Times New Roman" w:hAnsi="Times New Roman"/>
          <w:sz w:val="24"/>
          <w:szCs w:val="24"/>
        </w:rPr>
        <w:t xml:space="preserve">and (5) </w:t>
      </w:r>
      <w:r w:rsidRPr="00712ABC">
        <w:rPr>
          <w:rFonts w:ascii="Times New Roman" w:hAnsi="Times New Roman"/>
          <w:sz w:val="24"/>
          <w:szCs w:val="24"/>
        </w:rPr>
        <w:t xml:space="preserve">of the </w:t>
      </w:r>
      <w:r w:rsidRPr="00712ABC">
        <w:rPr>
          <w:rFonts w:ascii="Times New Roman" w:hAnsi="Times New Roman"/>
          <w:i/>
          <w:iCs/>
          <w:sz w:val="24"/>
          <w:szCs w:val="24"/>
        </w:rPr>
        <w:t>Life Insurance Act 1995</w:t>
      </w:r>
      <w:r w:rsidRPr="00712ABC">
        <w:rPr>
          <w:rFonts w:ascii="Times New Roman" w:hAnsi="Times New Roman"/>
          <w:sz w:val="24"/>
          <w:szCs w:val="24"/>
        </w:rPr>
        <w:t xml:space="preserve"> (Life Insurance Act), in relation to life companies, friendly societies, registered non-operating holding companies (registered life NOHCs), and subsidiaries of life companies and registered life NOHCs</w:t>
      </w:r>
      <w:r w:rsidR="00B97C0C">
        <w:rPr>
          <w:rFonts w:ascii="Times New Roman" w:hAnsi="Times New Roman"/>
          <w:sz w:val="24"/>
          <w:szCs w:val="24"/>
        </w:rPr>
        <w:t>; and</w:t>
      </w:r>
    </w:p>
    <w:p w14:paraId="16EE960A" w14:textId="70E804E3" w:rsidR="00B97C0C" w:rsidRPr="00712ABC" w:rsidRDefault="00B97C0C" w:rsidP="00712ABC">
      <w:pPr>
        <w:widowControl w:val="0"/>
        <w:numPr>
          <w:ilvl w:val="0"/>
          <w:numId w:val="16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lastRenderedPageBreak/>
        <w:t>subsection</w:t>
      </w:r>
      <w:r w:rsidR="00F87D3E">
        <w:rPr>
          <w:rFonts w:ascii="Times New Roman" w:hAnsi="Times New Roman"/>
          <w:sz w:val="24"/>
          <w:szCs w:val="24"/>
          <w:shd w:val="clear" w:color="auto" w:fill="FFFFFF" w:themeFill="background1"/>
        </w:rPr>
        <w:t>s</w:t>
      </w:r>
      <w:proofErr w:type="gramEnd"/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92(1) </w:t>
      </w:r>
      <w:r w:rsidR="00F87D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and (5)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of the </w:t>
      </w:r>
      <w:r w:rsidRPr="00045CBE">
        <w:rPr>
          <w:rFonts w:ascii="Times New Roman" w:hAnsi="Times New Roman"/>
          <w:i/>
          <w:iCs/>
          <w:sz w:val="24"/>
          <w:szCs w:val="24"/>
          <w:shd w:val="clear" w:color="auto" w:fill="FFFFFF" w:themeFill="background1"/>
        </w:rPr>
        <w:t>Private Health Insurance (Prudential Supervision) Act 2015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(PHI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PS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Act), in relation to registered private health insurers</w:t>
      </w:r>
      <w:r w:rsidRPr="00045CBE">
        <w:rPr>
          <w:rFonts w:ascii="Times New Roman" w:hAnsi="Times New Roman"/>
          <w:sz w:val="24"/>
          <w:szCs w:val="24"/>
        </w:rPr>
        <w:t xml:space="preserve">. </w:t>
      </w:r>
    </w:p>
    <w:p w14:paraId="57BCAFF6" w14:textId="4DC891F2" w:rsidR="007816F0" w:rsidRPr="00045CBE" w:rsidRDefault="00266880" w:rsidP="009D7325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17 April 2019</w:t>
      </w:r>
      <w:r w:rsidR="007816F0" w:rsidRPr="00045CBE">
        <w:rPr>
          <w:rFonts w:ascii="Times New Roman" w:hAnsi="Times New Roman"/>
          <w:sz w:val="24"/>
          <w:szCs w:val="24"/>
        </w:rPr>
        <w:t>, APRA made the following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determination</w:t>
      </w:r>
      <w:r w:rsidR="00CC0ED5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s</w:t>
      </w:r>
      <w:r w:rsidR="007816F0" w:rsidRPr="00045CBE">
        <w:rPr>
          <w:rFonts w:ascii="Times New Roman" w:hAnsi="Times New Roman"/>
          <w:sz w:val="24"/>
          <w:szCs w:val="24"/>
        </w:rPr>
        <w:t xml:space="preserve"> (the </w:t>
      </w:r>
      <w:r w:rsidR="00DF5870">
        <w:rPr>
          <w:rFonts w:ascii="Times New Roman" w:hAnsi="Times New Roman"/>
          <w:sz w:val="24"/>
          <w:szCs w:val="24"/>
        </w:rPr>
        <w:t>I</w:t>
      </w:r>
      <w:r w:rsidR="007816F0" w:rsidRPr="00045CBE">
        <w:rPr>
          <w:rFonts w:ascii="Times New Roman" w:hAnsi="Times New Roman"/>
          <w:sz w:val="24"/>
          <w:szCs w:val="24"/>
        </w:rPr>
        <w:t>nstrument</w:t>
      </w:r>
      <w:r w:rsidR="00CC0ED5" w:rsidRPr="00045CBE">
        <w:rPr>
          <w:rFonts w:ascii="Times New Roman" w:hAnsi="Times New Roman"/>
          <w:sz w:val="24"/>
          <w:szCs w:val="24"/>
        </w:rPr>
        <w:t>s</w:t>
      </w:r>
      <w:r w:rsidR="007816F0" w:rsidRPr="00045CBE">
        <w:rPr>
          <w:rFonts w:ascii="Times New Roman" w:hAnsi="Times New Roman"/>
          <w:sz w:val="24"/>
          <w:szCs w:val="24"/>
        </w:rPr>
        <w:t>):</w:t>
      </w:r>
    </w:p>
    <w:p w14:paraId="0A62317E" w14:textId="674BD556" w:rsidR="00CC0ED5" w:rsidRDefault="005F2583" w:rsidP="009D7325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Banking, 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>Insurance, Life Insurance and Health</w:t>
      </w:r>
      <w:r w:rsidR="00026362">
        <w:rPr>
          <w:rFonts w:ascii="Times New Roman" w:hAnsi="Times New Roman"/>
          <w:sz w:val="24"/>
          <w:szCs w:val="24"/>
          <w:lang w:val="en-US"/>
        </w:rPr>
        <w:t xml:space="preserve"> Insurance (prudential standard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1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C0285D">
        <w:rPr>
          <w:rFonts w:ascii="Times New Roman" w:hAnsi="Times New Roman"/>
          <w:sz w:val="24"/>
          <w:szCs w:val="24"/>
          <w:lang w:val="en-US"/>
        </w:rPr>
        <w:t>9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 xml:space="preserve">, which 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7816F0" w:rsidRPr="00045CBE">
        <w:rPr>
          <w:rFonts w:ascii="Times New Roman" w:hAnsi="Times New Roman"/>
          <w:sz w:val="24"/>
          <w:szCs w:val="24"/>
        </w:rPr>
        <w:t xml:space="preserve"> </w:t>
      </w:r>
      <w:r w:rsidR="007816F0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7816F0"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CPS 2</w:t>
      </w:r>
      <w:r w:rsidR="009D6BEB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20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Risk Management</w:t>
      </w:r>
      <w:r w:rsidR="007816F0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(C</w:t>
      </w:r>
      <w:r w:rsidR="00C01C4D">
        <w:rPr>
          <w:rFonts w:ascii="Times New Roman" w:hAnsi="Times New Roman"/>
          <w:sz w:val="24"/>
          <w:szCs w:val="24"/>
          <w:lang w:val="en-US"/>
        </w:rPr>
        <w:t>PS 2</w:t>
      </w:r>
      <w:r w:rsidR="007816F0" w:rsidRPr="00045CBE">
        <w:rPr>
          <w:rFonts w:ascii="Times New Roman" w:hAnsi="Times New Roman"/>
          <w:sz w:val="24"/>
          <w:szCs w:val="24"/>
          <w:lang w:val="en-US"/>
        </w:rPr>
        <w:t xml:space="preserve">20) </w:t>
      </w:r>
      <w:r w:rsidR="007816F0" w:rsidRPr="00045CBE">
        <w:rPr>
          <w:rFonts w:ascii="Times New Roman" w:hAnsi="Times New Roman"/>
          <w:sz w:val="24"/>
          <w:szCs w:val="24"/>
        </w:rPr>
        <w:t xml:space="preserve">made under </w:t>
      </w:r>
      <w:r w:rsidR="00026362">
        <w:rPr>
          <w:rFonts w:ascii="Times New Roman" w:hAnsi="Times New Roman"/>
          <w:sz w:val="24"/>
          <w:szCs w:val="24"/>
        </w:rPr>
        <w:t xml:space="preserve">Banking, Insurance, Life </w:t>
      </w:r>
      <w:r w:rsidR="007816F0" w:rsidRPr="00045CBE">
        <w:rPr>
          <w:rFonts w:ascii="Times New Roman" w:hAnsi="Times New Roman"/>
          <w:sz w:val="24"/>
          <w:szCs w:val="24"/>
        </w:rPr>
        <w:t>Insurance</w:t>
      </w:r>
      <w:r w:rsidR="00026362">
        <w:rPr>
          <w:rFonts w:ascii="Times New Roman" w:hAnsi="Times New Roman"/>
          <w:sz w:val="24"/>
          <w:szCs w:val="24"/>
        </w:rPr>
        <w:t xml:space="preserve"> and Health Insurance</w:t>
      </w:r>
      <w:r w:rsidR="007816F0" w:rsidRPr="00045CBE">
        <w:rPr>
          <w:rFonts w:ascii="Times New Roman" w:hAnsi="Times New Roman"/>
          <w:sz w:val="24"/>
          <w:szCs w:val="24"/>
        </w:rPr>
        <w:t xml:space="preserve"> determination No. </w:t>
      </w:r>
      <w:r w:rsidR="00333FD4" w:rsidRPr="00045CBE">
        <w:rPr>
          <w:rFonts w:ascii="Times New Roman" w:hAnsi="Times New Roman"/>
          <w:sz w:val="24"/>
          <w:szCs w:val="24"/>
        </w:rPr>
        <w:t>1</w:t>
      </w:r>
      <w:r w:rsidR="007816F0" w:rsidRPr="00045CBE">
        <w:rPr>
          <w:rFonts w:ascii="Times New Roman" w:hAnsi="Times New Roman"/>
          <w:sz w:val="24"/>
          <w:szCs w:val="24"/>
        </w:rPr>
        <w:t xml:space="preserve"> of 201</w:t>
      </w:r>
      <w:r w:rsidR="00026362">
        <w:rPr>
          <w:rFonts w:ascii="Times New Roman" w:hAnsi="Times New Roman"/>
          <w:sz w:val="24"/>
          <w:szCs w:val="24"/>
        </w:rPr>
        <w:t>7</w:t>
      </w:r>
      <w:r w:rsidR="006636F2" w:rsidRPr="00045CBE">
        <w:rPr>
          <w:rFonts w:ascii="Times New Roman" w:hAnsi="Times New Roman"/>
          <w:sz w:val="24"/>
          <w:szCs w:val="24"/>
        </w:rPr>
        <w:t>,</w:t>
      </w:r>
      <w:r w:rsidR="009D6BEB" w:rsidRPr="00045CBE">
        <w:rPr>
          <w:rFonts w:ascii="Times New Roman" w:hAnsi="Times New Roman"/>
          <w:sz w:val="24"/>
          <w:szCs w:val="24"/>
        </w:rPr>
        <w:t xml:space="preserve"> and </w:t>
      </w:r>
      <w:r w:rsidR="007816F0" w:rsidRPr="00045CBE">
        <w:rPr>
          <w:rFonts w:ascii="Times New Roman" w:hAnsi="Times New Roman"/>
          <w:sz w:val="24"/>
          <w:szCs w:val="24"/>
        </w:rPr>
        <w:t xml:space="preserve">determines a </w:t>
      </w:r>
      <w:r w:rsidR="007816F0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9D6BEB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CPS </w:t>
      </w:r>
      <w:r w:rsidR="00026362">
        <w:rPr>
          <w:rFonts w:ascii="Times New Roman" w:hAnsi="Times New Roman"/>
          <w:i/>
          <w:iCs/>
          <w:sz w:val="24"/>
          <w:szCs w:val="24"/>
        </w:rPr>
        <w:t>2</w:t>
      </w:r>
      <w:r w:rsidR="009D6BEB" w:rsidRPr="00045CBE">
        <w:rPr>
          <w:rFonts w:ascii="Times New Roman" w:hAnsi="Times New Roman"/>
          <w:i/>
          <w:iCs/>
          <w:sz w:val="24"/>
          <w:szCs w:val="24"/>
        </w:rPr>
        <w:t xml:space="preserve">20 </w:t>
      </w:r>
      <w:r w:rsidR="00026362">
        <w:rPr>
          <w:rFonts w:ascii="Times New Roman" w:hAnsi="Times New Roman"/>
          <w:i/>
          <w:iCs/>
          <w:sz w:val="24"/>
          <w:szCs w:val="24"/>
        </w:rPr>
        <w:t>Risk Management</w:t>
      </w:r>
      <w:r w:rsidR="007816F0"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816F0" w:rsidRPr="00045CBE">
        <w:rPr>
          <w:rFonts w:ascii="Times New Roman" w:hAnsi="Times New Roman"/>
          <w:iCs/>
          <w:sz w:val="24"/>
          <w:szCs w:val="24"/>
        </w:rPr>
        <w:t>(</w:t>
      </w:r>
      <w:r w:rsidR="00026362">
        <w:rPr>
          <w:rFonts w:ascii="Times New Roman" w:hAnsi="Times New Roman"/>
          <w:sz w:val="24"/>
          <w:szCs w:val="24"/>
        </w:rPr>
        <w:t>CPS 2</w:t>
      </w:r>
      <w:r w:rsidR="007816F0" w:rsidRPr="00045CBE">
        <w:rPr>
          <w:rFonts w:ascii="Times New Roman" w:hAnsi="Times New Roman"/>
          <w:sz w:val="24"/>
          <w:szCs w:val="24"/>
        </w:rPr>
        <w:t>20</w:t>
      </w:r>
      <w:r w:rsidR="007816F0" w:rsidRPr="00045CBE">
        <w:rPr>
          <w:rFonts w:ascii="Times New Roman" w:hAnsi="Times New Roman"/>
          <w:iCs/>
          <w:sz w:val="24"/>
          <w:szCs w:val="24"/>
        </w:rPr>
        <w:t>)</w:t>
      </w:r>
      <w:r w:rsidR="00CC0ED5" w:rsidRPr="00045CBE">
        <w:rPr>
          <w:rFonts w:ascii="Times New Roman" w:hAnsi="Times New Roman"/>
          <w:sz w:val="24"/>
          <w:szCs w:val="24"/>
        </w:rPr>
        <w:t>;</w:t>
      </w:r>
    </w:p>
    <w:p w14:paraId="7C88C217" w14:textId="4BC66950" w:rsidR="00026362" w:rsidRPr="00026362" w:rsidRDefault="00026362" w:rsidP="00026362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Banking, </w:t>
      </w:r>
      <w:r w:rsidRPr="00045CBE">
        <w:rPr>
          <w:rFonts w:ascii="Times New Roman" w:hAnsi="Times New Roman"/>
          <w:sz w:val="24"/>
          <w:szCs w:val="24"/>
          <w:lang w:val="en-US"/>
        </w:rPr>
        <w:t>Insurance, Life Insurance and Health</w:t>
      </w:r>
      <w:r>
        <w:rPr>
          <w:rFonts w:ascii="Times New Roman" w:hAnsi="Times New Roman"/>
          <w:sz w:val="24"/>
          <w:szCs w:val="24"/>
          <w:lang w:val="en-US"/>
        </w:rPr>
        <w:t xml:space="preserve"> Insurance (prudential standard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2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,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CPS 510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Governance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(C</w:t>
      </w:r>
      <w:r w:rsidR="00E8243F">
        <w:rPr>
          <w:rFonts w:ascii="Times New Roman" w:hAnsi="Times New Roman"/>
          <w:sz w:val="24"/>
          <w:szCs w:val="24"/>
          <w:lang w:val="en-US"/>
        </w:rPr>
        <w:t>PS 51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0) </w:t>
      </w:r>
      <w:r w:rsidRPr="00045CBE">
        <w:rPr>
          <w:rFonts w:ascii="Times New Roman" w:hAnsi="Times New Roman"/>
          <w:sz w:val="24"/>
          <w:szCs w:val="24"/>
        </w:rPr>
        <w:t xml:space="preserve">made under </w:t>
      </w:r>
      <w:r>
        <w:rPr>
          <w:rFonts w:ascii="Times New Roman" w:hAnsi="Times New Roman"/>
          <w:sz w:val="24"/>
          <w:szCs w:val="24"/>
        </w:rPr>
        <w:t xml:space="preserve">Banking, Insurance, Life </w:t>
      </w:r>
      <w:r w:rsidRPr="00045CBE">
        <w:rPr>
          <w:rFonts w:ascii="Times New Roman" w:hAnsi="Times New Roman"/>
          <w:sz w:val="24"/>
          <w:szCs w:val="24"/>
        </w:rPr>
        <w:t>Insurance</w:t>
      </w:r>
      <w:r>
        <w:rPr>
          <w:rFonts w:ascii="Times New Roman" w:hAnsi="Times New Roman"/>
          <w:sz w:val="24"/>
          <w:szCs w:val="24"/>
        </w:rPr>
        <w:t xml:space="preserve"> and Health Insurance</w:t>
      </w:r>
      <w:r w:rsidRPr="00045CBE">
        <w:rPr>
          <w:rFonts w:ascii="Times New Roman" w:hAnsi="Times New Roman"/>
          <w:sz w:val="24"/>
          <w:szCs w:val="24"/>
        </w:rPr>
        <w:t xml:space="preserve"> determination No. 1 of 201</w:t>
      </w:r>
      <w:r>
        <w:rPr>
          <w:rFonts w:ascii="Times New Roman" w:hAnsi="Times New Roman"/>
          <w:sz w:val="24"/>
          <w:szCs w:val="24"/>
        </w:rPr>
        <w:t>8</w:t>
      </w:r>
      <w:r w:rsidRPr="00045CBE">
        <w:rPr>
          <w:rFonts w:ascii="Times New Roman" w:hAnsi="Times New Roman"/>
          <w:sz w:val="24"/>
          <w:szCs w:val="24"/>
        </w:rPr>
        <w:t xml:space="preserve">,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CPS</w:t>
      </w:r>
      <w:r>
        <w:rPr>
          <w:rFonts w:ascii="Times New Roman" w:hAnsi="Times New Roman"/>
          <w:i/>
          <w:iCs/>
          <w:sz w:val="24"/>
          <w:szCs w:val="24"/>
        </w:rPr>
        <w:t xml:space="preserve"> 510 Governance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CPS 51</w:t>
      </w:r>
      <w:r w:rsidRPr="00045CBE">
        <w:rPr>
          <w:rFonts w:ascii="Times New Roman" w:hAnsi="Times New Roman"/>
          <w:sz w:val="24"/>
          <w:szCs w:val="24"/>
        </w:rPr>
        <w:t>0</w:t>
      </w:r>
      <w:r w:rsidRPr="00045CBE">
        <w:rPr>
          <w:rFonts w:ascii="Times New Roman" w:hAnsi="Times New Roman"/>
          <w:iCs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</w:rPr>
        <w:t>;</w:t>
      </w:r>
    </w:p>
    <w:p w14:paraId="4EEA562D" w14:textId="22D91DE9" w:rsidR="00193258" w:rsidRPr="00775B50" w:rsidRDefault="00193258" w:rsidP="009D7325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1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7F6365"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7F6365">
        <w:rPr>
          <w:rFonts w:ascii="Times New Roman" w:hAnsi="Times New Roman"/>
          <w:i/>
          <w:iCs/>
          <w:sz w:val="24"/>
          <w:szCs w:val="24"/>
          <w:lang w:val="en-US"/>
        </w:rPr>
        <w:t xml:space="preserve">110 Capital Adequacy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7F6365"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7F6365">
        <w:rPr>
          <w:rFonts w:ascii="Times New Roman" w:hAnsi="Times New Roman"/>
          <w:sz w:val="24"/>
          <w:szCs w:val="24"/>
          <w:lang w:val="en-US"/>
        </w:rPr>
        <w:t>0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7F6365">
        <w:rPr>
          <w:rFonts w:ascii="Times New Roman" w:hAnsi="Times New Roman"/>
          <w:sz w:val="24"/>
          <w:szCs w:val="24"/>
        </w:rPr>
        <w:t>3</w:t>
      </w:r>
      <w:r w:rsidRPr="00045CBE">
        <w:rPr>
          <w:rFonts w:ascii="Times New Roman" w:hAnsi="Times New Roman"/>
          <w:sz w:val="24"/>
          <w:szCs w:val="24"/>
        </w:rPr>
        <w:t xml:space="preserve"> of </w:t>
      </w:r>
      <w:r w:rsidR="00C01C4D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t xml:space="preserve">2014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775B50">
        <w:rPr>
          <w:rFonts w:ascii="Times New Roman" w:hAnsi="Times New Roman"/>
          <w:i/>
          <w:iCs/>
          <w:sz w:val="24"/>
          <w:szCs w:val="24"/>
        </w:rPr>
        <w:t>110 Capital Adequacy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 w:rsidRPr="00045CBE">
        <w:rPr>
          <w:rFonts w:ascii="Times New Roman" w:hAnsi="Times New Roman"/>
          <w:sz w:val="24"/>
          <w:szCs w:val="24"/>
        </w:rPr>
        <w:t xml:space="preserve">GPS </w:t>
      </w:r>
      <w:r w:rsidR="00775B50" w:rsidRPr="00045CBE">
        <w:rPr>
          <w:rFonts w:ascii="Times New Roman" w:hAnsi="Times New Roman"/>
          <w:sz w:val="24"/>
          <w:szCs w:val="24"/>
        </w:rPr>
        <w:t>1</w:t>
      </w:r>
      <w:r w:rsidR="00775B50">
        <w:rPr>
          <w:rFonts w:ascii="Times New Roman" w:hAnsi="Times New Roman"/>
          <w:sz w:val="24"/>
          <w:szCs w:val="24"/>
        </w:rPr>
        <w:t>10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12835BCA" w14:textId="34FDB2B9" w:rsidR="00775B50" w:rsidRPr="00045CBE" w:rsidRDefault="00775B50" w:rsidP="00775B50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>Insurance (prudenti</w:t>
      </w:r>
      <w:r w:rsidR="008963AD">
        <w:rPr>
          <w:rFonts w:ascii="Times New Roman" w:hAnsi="Times New Roman"/>
          <w:sz w:val="24"/>
          <w:szCs w:val="24"/>
          <w:lang w:val="en-US"/>
        </w:rPr>
        <w:t xml:space="preserve">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2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>12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Capital Adequacy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>: Measurement of Capital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DE668F">
        <w:rPr>
          <w:rFonts w:ascii="Times New Roman" w:hAnsi="Times New Roman"/>
          <w:sz w:val="24"/>
          <w:szCs w:val="24"/>
          <w:lang w:val="en-US"/>
        </w:rPr>
        <w:t>2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DE668F">
        <w:rPr>
          <w:rFonts w:ascii="Times New Roman" w:hAnsi="Times New Roman"/>
          <w:sz w:val="24"/>
          <w:szCs w:val="24"/>
        </w:rPr>
        <w:t>15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 w:rsidR="00DE668F"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="00DE668F">
        <w:rPr>
          <w:rFonts w:ascii="Times New Roman" w:hAnsi="Times New Roman"/>
          <w:i/>
          <w:iCs/>
          <w:sz w:val="24"/>
          <w:szCs w:val="24"/>
        </w:rPr>
        <w:t>12</w:t>
      </w:r>
      <w:r>
        <w:rPr>
          <w:rFonts w:ascii="Times New Roman" w:hAnsi="Times New Roman"/>
          <w:i/>
          <w:iCs/>
          <w:sz w:val="24"/>
          <w:szCs w:val="24"/>
        </w:rPr>
        <w:t xml:space="preserve"> Capital Adequacy</w:t>
      </w:r>
      <w:r w:rsidR="00DE668F">
        <w:rPr>
          <w:rFonts w:ascii="Times New Roman" w:hAnsi="Times New Roman"/>
          <w:i/>
          <w:iCs/>
          <w:sz w:val="24"/>
          <w:szCs w:val="24"/>
        </w:rPr>
        <w:t>: Mea</w:t>
      </w:r>
      <w:r w:rsidR="00365FDB">
        <w:rPr>
          <w:rFonts w:ascii="Times New Roman" w:hAnsi="Times New Roman"/>
          <w:i/>
          <w:iCs/>
          <w:sz w:val="24"/>
          <w:szCs w:val="24"/>
        </w:rPr>
        <w:t>su</w:t>
      </w:r>
      <w:r w:rsidR="00DE668F">
        <w:rPr>
          <w:rFonts w:ascii="Times New Roman" w:hAnsi="Times New Roman"/>
          <w:i/>
          <w:iCs/>
          <w:sz w:val="24"/>
          <w:szCs w:val="24"/>
        </w:rPr>
        <w:t>rement of Capital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5CBE">
        <w:rPr>
          <w:rFonts w:ascii="Times New Roman" w:hAnsi="Times New Roman"/>
          <w:iCs/>
          <w:sz w:val="24"/>
          <w:szCs w:val="24"/>
        </w:rPr>
        <w:t>(</w:t>
      </w:r>
      <w:r w:rsidRPr="00045CBE">
        <w:rPr>
          <w:rFonts w:ascii="Times New Roman" w:hAnsi="Times New Roman"/>
          <w:sz w:val="24"/>
          <w:szCs w:val="24"/>
        </w:rPr>
        <w:t>GPS 1</w:t>
      </w:r>
      <w:r w:rsidR="00DE668F">
        <w:rPr>
          <w:rFonts w:ascii="Times New Roman" w:hAnsi="Times New Roman"/>
          <w:sz w:val="24"/>
          <w:szCs w:val="24"/>
        </w:rPr>
        <w:t>12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5C753629" w14:textId="237D9D8E" w:rsidR="00DE668F" w:rsidRPr="00045CBE" w:rsidRDefault="00B94A4B" w:rsidP="00DE668F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Insurance (prudential standard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3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DE668F">
        <w:rPr>
          <w:rFonts w:ascii="Times New Roman" w:hAnsi="Times New Roman"/>
          <w:sz w:val="24"/>
          <w:szCs w:val="24"/>
          <w:lang w:val="en-US"/>
        </w:rPr>
        <w:t>9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="00DE668F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DE668F" w:rsidRPr="00045CBE">
        <w:rPr>
          <w:rFonts w:ascii="Times New Roman" w:hAnsi="Times New Roman"/>
          <w:sz w:val="24"/>
          <w:szCs w:val="24"/>
        </w:rPr>
        <w:t xml:space="preserve"> </w:t>
      </w:r>
      <w:r w:rsidR="00DE668F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DE668F" w:rsidRPr="00045CBE">
        <w:rPr>
          <w:rFonts w:ascii="Times New Roman" w:hAnsi="Times New Roman"/>
          <w:sz w:val="24"/>
          <w:szCs w:val="24"/>
        </w:rPr>
        <w:t xml:space="preserve"> </w:t>
      </w:r>
      <w:r w:rsidR="00DE668F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 xml:space="preserve">113 Capital Adequacy: Internal Model-based Method 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DE668F">
        <w:rPr>
          <w:rFonts w:ascii="Times New Roman" w:hAnsi="Times New Roman"/>
          <w:sz w:val="24"/>
          <w:szCs w:val="24"/>
          <w:lang w:val="en-US"/>
        </w:rPr>
        <w:t>1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DE668F">
        <w:rPr>
          <w:rFonts w:ascii="Times New Roman" w:hAnsi="Times New Roman"/>
          <w:sz w:val="24"/>
          <w:szCs w:val="24"/>
          <w:lang w:val="en-US"/>
        </w:rPr>
        <w:t>3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DE668F"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DE668F">
        <w:rPr>
          <w:rFonts w:ascii="Times New Roman" w:hAnsi="Times New Roman"/>
          <w:sz w:val="24"/>
          <w:szCs w:val="24"/>
        </w:rPr>
        <w:t>4</w:t>
      </w:r>
      <w:r w:rsidR="00DE668F" w:rsidRPr="00045CBE">
        <w:rPr>
          <w:rFonts w:ascii="Times New Roman" w:hAnsi="Times New Roman"/>
          <w:sz w:val="24"/>
          <w:szCs w:val="24"/>
        </w:rPr>
        <w:t xml:space="preserve"> of 2014 and determines a </w:t>
      </w:r>
      <w:r w:rsidR="00DE668F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DE668F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DE668F">
        <w:rPr>
          <w:rFonts w:ascii="Times New Roman" w:hAnsi="Times New Roman"/>
          <w:i/>
          <w:iCs/>
          <w:sz w:val="24"/>
          <w:szCs w:val="24"/>
        </w:rPr>
        <w:t xml:space="preserve">113 Capital Adequacy: </w:t>
      </w:r>
      <w:r w:rsidR="00DE668F">
        <w:rPr>
          <w:rFonts w:ascii="Times New Roman" w:hAnsi="Times New Roman"/>
          <w:i/>
          <w:iCs/>
          <w:sz w:val="24"/>
          <w:szCs w:val="24"/>
          <w:lang w:val="en-US"/>
        </w:rPr>
        <w:t>Internal Model-based Method</w:t>
      </w:r>
      <w:r w:rsidR="00DE668F" w:rsidRPr="00045CBE">
        <w:rPr>
          <w:rFonts w:ascii="Times New Roman" w:hAnsi="Times New Roman"/>
          <w:sz w:val="24"/>
          <w:szCs w:val="24"/>
        </w:rPr>
        <w:t xml:space="preserve"> </w:t>
      </w:r>
      <w:r w:rsidR="00DE668F">
        <w:rPr>
          <w:rFonts w:ascii="Times New Roman" w:hAnsi="Times New Roman"/>
          <w:sz w:val="24"/>
          <w:szCs w:val="24"/>
        </w:rPr>
        <w:t>(GPS 113</w:t>
      </w:r>
      <w:r w:rsidR="00DE668F" w:rsidRPr="00045CBE">
        <w:rPr>
          <w:rFonts w:ascii="Times New Roman" w:hAnsi="Times New Roman"/>
          <w:sz w:val="24"/>
          <w:szCs w:val="24"/>
        </w:rPr>
        <w:t>)</w:t>
      </w:r>
      <w:r w:rsidR="00DE668F"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3204666B" w14:textId="45C8C085" w:rsidR="00624144" w:rsidRPr="00045CBE" w:rsidRDefault="00B94A4B" w:rsidP="00624144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Insurance (prudential standard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4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624144">
        <w:rPr>
          <w:rFonts w:ascii="Times New Roman" w:hAnsi="Times New Roman"/>
          <w:sz w:val="24"/>
          <w:szCs w:val="24"/>
          <w:lang w:val="en-US"/>
        </w:rPr>
        <w:t>9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624144">
        <w:rPr>
          <w:rFonts w:ascii="Times New Roman" w:hAnsi="Times New Roman"/>
          <w:i/>
          <w:iCs/>
          <w:sz w:val="24"/>
          <w:szCs w:val="24"/>
          <w:lang w:val="en-US"/>
        </w:rPr>
        <w:t xml:space="preserve">114 Capital Adequacy: Asset Risk Charge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624144">
        <w:rPr>
          <w:rFonts w:ascii="Times New Roman" w:hAnsi="Times New Roman"/>
          <w:sz w:val="24"/>
          <w:szCs w:val="24"/>
          <w:lang w:val="en-US"/>
        </w:rPr>
        <w:t>1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624144">
        <w:rPr>
          <w:rFonts w:ascii="Times New Roman" w:hAnsi="Times New Roman"/>
          <w:sz w:val="24"/>
          <w:szCs w:val="24"/>
          <w:lang w:val="en-US"/>
        </w:rPr>
        <w:t>4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24144" w:rsidRPr="00045CBE">
        <w:rPr>
          <w:rFonts w:ascii="Times New Roman" w:hAnsi="Times New Roman"/>
          <w:sz w:val="24"/>
          <w:szCs w:val="24"/>
        </w:rPr>
        <w:t xml:space="preserve">made under </w:t>
      </w:r>
      <w:r w:rsidR="00624144" w:rsidRPr="00045CBE">
        <w:rPr>
          <w:rFonts w:ascii="Times New Roman" w:hAnsi="Times New Roman"/>
          <w:sz w:val="24"/>
          <w:szCs w:val="24"/>
        </w:rPr>
        <w:lastRenderedPageBreak/>
        <w:t xml:space="preserve">Insurance determination No. </w:t>
      </w:r>
      <w:r w:rsidR="00624144">
        <w:rPr>
          <w:rFonts w:ascii="Times New Roman" w:hAnsi="Times New Roman"/>
          <w:sz w:val="24"/>
          <w:szCs w:val="24"/>
        </w:rPr>
        <w:t>1</w:t>
      </w:r>
      <w:r w:rsidR="00624144" w:rsidRPr="00045CBE">
        <w:rPr>
          <w:rFonts w:ascii="Times New Roman" w:hAnsi="Times New Roman"/>
          <w:sz w:val="24"/>
          <w:szCs w:val="24"/>
        </w:rPr>
        <w:t xml:space="preserve"> of 201</w:t>
      </w:r>
      <w:r w:rsidR="00624144">
        <w:rPr>
          <w:rFonts w:ascii="Times New Roman" w:hAnsi="Times New Roman"/>
          <w:sz w:val="24"/>
          <w:szCs w:val="24"/>
        </w:rPr>
        <w:t>7</w:t>
      </w:r>
      <w:r w:rsidR="00624144"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624144">
        <w:rPr>
          <w:rFonts w:ascii="Times New Roman" w:hAnsi="Times New Roman"/>
          <w:i/>
          <w:iCs/>
          <w:sz w:val="24"/>
          <w:szCs w:val="24"/>
        </w:rPr>
        <w:t>114 Capital Adequacy: Asset Risk Charge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>
        <w:rPr>
          <w:rFonts w:ascii="Times New Roman" w:hAnsi="Times New Roman"/>
          <w:sz w:val="24"/>
          <w:szCs w:val="24"/>
        </w:rPr>
        <w:t>(GPS 114</w:t>
      </w:r>
      <w:r w:rsidR="00624144" w:rsidRPr="00045CBE">
        <w:rPr>
          <w:rFonts w:ascii="Times New Roman" w:hAnsi="Times New Roman"/>
          <w:sz w:val="24"/>
          <w:szCs w:val="24"/>
        </w:rPr>
        <w:t>)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01CAAD04" w14:textId="6CDA797C" w:rsidR="00624144" w:rsidRPr="00045CBE" w:rsidRDefault="00B94A4B" w:rsidP="00624144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Insurance (prudential standard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5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624144">
        <w:rPr>
          <w:rFonts w:ascii="Times New Roman" w:hAnsi="Times New Roman"/>
          <w:sz w:val="24"/>
          <w:szCs w:val="24"/>
          <w:lang w:val="en-US"/>
        </w:rPr>
        <w:t>9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624144">
        <w:rPr>
          <w:rFonts w:ascii="Times New Roman" w:hAnsi="Times New Roman"/>
          <w:i/>
          <w:iCs/>
          <w:sz w:val="24"/>
          <w:szCs w:val="24"/>
          <w:lang w:val="en-US"/>
        </w:rPr>
        <w:t xml:space="preserve">115 Capital Adequacy: Insurance Risk Charge 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 w:rsidR="00624144">
        <w:rPr>
          <w:rFonts w:ascii="Times New Roman" w:hAnsi="Times New Roman"/>
          <w:sz w:val="24"/>
          <w:szCs w:val="24"/>
          <w:lang w:val="en-US"/>
        </w:rPr>
        <w:t>1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1</w:t>
      </w:r>
      <w:r w:rsidR="00624144">
        <w:rPr>
          <w:rFonts w:ascii="Times New Roman" w:hAnsi="Times New Roman"/>
          <w:sz w:val="24"/>
          <w:szCs w:val="24"/>
          <w:lang w:val="en-US"/>
        </w:rPr>
        <w:t>5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624144"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624144">
        <w:rPr>
          <w:rFonts w:ascii="Times New Roman" w:hAnsi="Times New Roman"/>
          <w:sz w:val="24"/>
          <w:szCs w:val="24"/>
        </w:rPr>
        <w:t>5</w:t>
      </w:r>
      <w:r w:rsidR="00624144" w:rsidRPr="00045CBE">
        <w:rPr>
          <w:rFonts w:ascii="Times New Roman" w:hAnsi="Times New Roman"/>
          <w:sz w:val="24"/>
          <w:szCs w:val="24"/>
        </w:rPr>
        <w:t xml:space="preserve"> of 201</w:t>
      </w:r>
      <w:r w:rsidR="00624144">
        <w:rPr>
          <w:rFonts w:ascii="Times New Roman" w:hAnsi="Times New Roman"/>
          <w:sz w:val="24"/>
          <w:szCs w:val="24"/>
        </w:rPr>
        <w:t>2</w:t>
      </w:r>
      <w:r w:rsidR="00624144"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="00624144"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="00624144"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 w:rsidR="00624144">
        <w:rPr>
          <w:rFonts w:ascii="Times New Roman" w:hAnsi="Times New Roman"/>
          <w:i/>
          <w:iCs/>
          <w:sz w:val="24"/>
          <w:szCs w:val="24"/>
        </w:rPr>
        <w:t xml:space="preserve">115 Capital Adequacy: </w:t>
      </w:r>
      <w:r w:rsidR="00624144">
        <w:rPr>
          <w:rFonts w:ascii="Times New Roman" w:hAnsi="Times New Roman"/>
          <w:i/>
          <w:iCs/>
          <w:sz w:val="24"/>
          <w:szCs w:val="24"/>
          <w:lang w:val="en-US"/>
        </w:rPr>
        <w:t>Insurance Risk Charge</w:t>
      </w:r>
      <w:r w:rsidR="00624144" w:rsidRPr="00045CBE">
        <w:rPr>
          <w:rFonts w:ascii="Times New Roman" w:hAnsi="Times New Roman"/>
          <w:sz w:val="24"/>
          <w:szCs w:val="24"/>
        </w:rPr>
        <w:t xml:space="preserve"> </w:t>
      </w:r>
      <w:r w:rsidR="00624144">
        <w:rPr>
          <w:rFonts w:ascii="Times New Roman" w:hAnsi="Times New Roman"/>
          <w:sz w:val="24"/>
          <w:szCs w:val="24"/>
        </w:rPr>
        <w:t>(GPS 115</w:t>
      </w:r>
      <w:r w:rsidR="00624144" w:rsidRPr="00045CBE">
        <w:rPr>
          <w:rFonts w:ascii="Times New Roman" w:hAnsi="Times New Roman"/>
          <w:sz w:val="24"/>
          <w:szCs w:val="24"/>
        </w:rPr>
        <w:t>)</w:t>
      </w:r>
      <w:r w:rsidR="00624144"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1B075245" w14:textId="0325DA4B" w:rsidR="00624144" w:rsidRPr="00045CBE" w:rsidRDefault="00624144" w:rsidP="00624144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6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116 Capital Adequacy: 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>
        <w:rPr>
          <w:rFonts w:ascii="Times New Roman" w:hAnsi="Times New Roman"/>
          <w:sz w:val="24"/>
          <w:szCs w:val="24"/>
        </w:rPr>
        <w:t>6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</w:t>
      </w:r>
      <w:r w:rsidR="000376F7">
        <w:rPr>
          <w:rFonts w:ascii="Times New Roman" w:hAnsi="Times New Roman"/>
          <w:i/>
          <w:iCs/>
          <w:sz w:val="24"/>
          <w:szCs w:val="24"/>
        </w:rPr>
        <w:t>16</w:t>
      </w:r>
      <w:r>
        <w:rPr>
          <w:rFonts w:ascii="Times New Roman" w:hAnsi="Times New Roman"/>
          <w:i/>
          <w:iCs/>
          <w:sz w:val="24"/>
          <w:szCs w:val="24"/>
        </w:rPr>
        <w:t xml:space="preserve"> Capital Adequacy: </w:t>
      </w:r>
      <w:r w:rsidR="000376F7">
        <w:rPr>
          <w:rFonts w:ascii="Times New Roman" w:hAnsi="Times New Roman"/>
          <w:i/>
          <w:iCs/>
          <w:sz w:val="24"/>
          <w:szCs w:val="24"/>
          <w:lang w:val="en-US"/>
        </w:rPr>
        <w:t>Insurance Concentration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(GPS 11</w:t>
      </w:r>
      <w:r w:rsidR="000376F7">
        <w:rPr>
          <w:rFonts w:ascii="Times New Roman" w:hAnsi="Times New Roman"/>
          <w:sz w:val="24"/>
          <w:szCs w:val="24"/>
        </w:rPr>
        <w:t>6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0B90AAA3" w14:textId="51EFB1F3" w:rsidR="0093540A" w:rsidRPr="00045CBE" w:rsidRDefault="0093540A" w:rsidP="0093540A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7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118 Capital Adequacy: Operati</w:t>
      </w:r>
      <w:r w:rsidR="00686A28">
        <w:rPr>
          <w:rFonts w:ascii="Times New Roman" w:hAnsi="Times New Roman"/>
          <w:i/>
          <w:iCs/>
          <w:sz w:val="24"/>
          <w:szCs w:val="24"/>
          <w:lang w:val="en-US"/>
        </w:rPr>
        <w:t>o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nal Risk Charge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045CBE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>
        <w:rPr>
          <w:rFonts w:ascii="Times New Roman" w:hAnsi="Times New Roman"/>
          <w:sz w:val="24"/>
          <w:szCs w:val="24"/>
        </w:rPr>
        <w:t>8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>2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>11</w:t>
      </w:r>
      <w:r w:rsidR="00AE1B22">
        <w:rPr>
          <w:rFonts w:ascii="Times New Roman" w:hAnsi="Times New Roman"/>
          <w:i/>
          <w:iCs/>
          <w:sz w:val="24"/>
          <w:szCs w:val="24"/>
        </w:rPr>
        <w:t>8</w:t>
      </w:r>
      <w:r>
        <w:rPr>
          <w:rFonts w:ascii="Times New Roman" w:hAnsi="Times New Roman"/>
          <w:i/>
          <w:iCs/>
          <w:sz w:val="24"/>
          <w:szCs w:val="24"/>
        </w:rPr>
        <w:t xml:space="preserve"> Capital Adequacy: </w:t>
      </w:r>
      <w:r w:rsidR="002F73E5">
        <w:rPr>
          <w:rFonts w:ascii="Times New Roman" w:hAnsi="Times New Roman"/>
          <w:i/>
          <w:iCs/>
          <w:sz w:val="24"/>
          <w:szCs w:val="24"/>
          <w:lang w:val="en-US"/>
        </w:rPr>
        <w:t>Operational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Risk Charge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(GPS 11</w:t>
      </w:r>
      <w:r w:rsidR="00AE1B22">
        <w:rPr>
          <w:rFonts w:ascii="Times New Roman" w:hAnsi="Times New Roman"/>
          <w:sz w:val="24"/>
          <w:szCs w:val="24"/>
        </w:rPr>
        <w:t>8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5807619A" w14:textId="2935A144" w:rsidR="00AE1B22" w:rsidRPr="008963AD" w:rsidRDefault="00AE1B22" w:rsidP="00AE1B22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8963AD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8</w:t>
      </w:r>
      <w:r w:rsidR="00D91019" w:rsidRPr="008963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63AD">
        <w:rPr>
          <w:rFonts w:ascii="Times New Roman" w:hAnsi="Times New Roman"/>
          <w:sz w:val="24"/>
          <w:szCs w:val="24"/>
          <w:lang w:val="en-US"/>
        </w:rPr>
        <w:t xml:space="preserve">of 2019 which </w:t>
      </w:r>
      <w:r w:rsidRPr="008963AD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8963AD">
        <w:rPr>
          <w:rFonts w:ascii="Times New Roman" w:hAnsi="Times New Roman"/>
          <w:sz w:val="24"/>
          <w:szCs w:val="24"/>
        </w:rPr>
        <w:t xml:space="preserve"> </w:t>
      </w:r>
      <w:r w:rsidRPr="008963AD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8963AD">
        <w:rPr>
          <w:rFonts w:ascii="Times New Roman" w:hAnsi="Times New Roman"/>
          <w:sz w:val="24"/>
          <w:szCs w:val="24"/>
        </w:rPr>
        <w:t xml:space="preserve"> </w:t>
      </w:r>
      <w:r w:rsidRPr="008963AD">
        <w:rPr>
          <w:rFonts w:ascii="Times New Roman" w:hAnsi="Times New Roman"/>
          <w:i/>
          <w:iCs/>
          <w:sz w:val="24"/>
          <w:szCs w:val="24"/>
          <w:lang w:val="en-US"/>
        </w:rPr>
        <w:t xml:space="preserve">GPS 120 Assets in Australia </w:t>
      </w:r>
      <w:r w:rsidRPr="008963AD">
        <w:rPr>
          <w:rFonts w:ascii="Times New Roman" w:hAnsi="Times New Roman"/>
          <w:sz w:val="24"/>
          <w:szCs w:val="24"/>
          <w:lang w:val="en-US"/>
        </w:rPr>
        <w:t>(GPS 1</w:t>
      </w:r>
      <w:r w:rsidR="00365FDB">
        <w:rPr>
          <w:rFonts w:ascii="Times New Roman" w:hAnsi="Times New Roman"/>
          <w:sz w:val="24"/>
          <w:szCs w:val="24"/>
          <w:lang w:val="en-US"/>
        </w:rPr>
        <w:t>20</w:t>
      </w:r>
      <w:r w:rsidRPr="008963A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963AD">
        <w:rPr>
          <w:rFonts w:ascii="Times New Roman" w:hAnsi="Times New Roman"/>
          <w:sz w:val="24"/>
          <w:szCs w:val="24"/>
        </w:rPr>
        <w:t xml:space="preserve">made under Insurance determination No. </w:t>
      </w:r>
      <w:r w:rsidR="00872391" w:rsidRPr="008963AD">
        <w:rPr>
          <w:rFonts w:ascii="Times New Roman" w:hAnsi="Times New Roman"/>
          <w:sz w:val="24"/>
          <w:szCs w:val="24"/>
        </w:rPr>
        <w:t>9</w:t>
      </w:r>
      <w:r w:rsidRPr="008963AD">
        <w:rPr>
          <w:rFonts w:ascii="Times New Roman" w:hAnsi="Times New Roman"/>
          <w:sz w:val="24"/>
          <w:szCs w:val="24"/>
        </w:rPr>
        <w:t xml:space="preserve"> of </w:t>
      </w:r>
      <w:r w:rsidR="00365FDB">
        <w:rPr>
          <w:rFonts w:ascii="Times New Roman" w:hAnsi="Times New Roman"/>
          <w:sz w:val="24"/>
          <w:szCs w:val="24"/>
        </w:rPr>
        <w:t xml:space="preserve"> </w:t>
      </w:r>
      <w:r w:rsidRPr="008963AD">
        <w:rPr>
          <w:rFonts w:ascii="Times New Roman" w:hAnsi="Times New Roman"/>
          <w:sz w:val="24"/>
          <w:szCs w:val="24"/>
        </w:rPr>
        <w:t xml:space="preserve">2012 and determines a </w:t>
      </w:r>
      <w:r w:rsidRPr="008963AD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8963AD">
        <w:rPr>
          <w:rFonts w:ascii="Times New Roman" w:hAnsi="Times New Roman"/>
          <w:i/>
          <w:iCs/>
          <w:sz w:val="24"/>
          <w:szCs w:val="24"/>
        </w:rPr>
        <w:t xml:space="preserve"> Prudential Standard GPS 120 Assets in Australia </w:t>
      </w:r>
      <w:r w:rsidRPr="008963AD">
        <w:rPr>
          <w:rFonts w:ascii="Times New Roman" w:hAnsi="Times New Roman"/>
          <w:sz w:val="24"/>
          <w:szCs w:val="24"/>
        </w:rPr>
        <w:t xml:space="preserve"> (GPS 120)</w:t>
      </w:r>
      <w:r w:rsidRPr="008963AD">
        <w:rPr>
          <w:rFonts w:ascii="Times New Roman" w:hAnsi="Times New Roman"/>
          <w:sz w:val="24"/>
          <w:szCs w:val="24"/>
          <w:lang w:val="en-US"/>
        </w:rPr>
        <w:t>;</w:t>
      </w:r>
    </w:p>
    <w:p w14:paraId="53E858CE" w14:textId="388AAB29" w:rsidR="00AE1B22" w:rsidRPr="00F8191E" w:rsidRDefault="00AE1B22" w:rsidP="00AE1B22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t xml:space="preserve">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9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310 Audit and Related Matters 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(GPS </w:t>
      </w:r>
      <w:r>
        <w:rPr>
          <w:rFonts w:ascii="Times New Roman" w:hAnsi="Times New Roman"/>
          <w:sz w:val="24"/>
          <w:szCs w:val="24"/>
          <w:lang w:val="en-US"/>
        </w:rPr>
        <w:t>310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determination No. </w:t>
      </w:r>
      <w:r>
        <w:rPr>
          <w:rFonts w:ascii="Times New Roman" w:hAnsi="Times New Roman"/>
          <w:sz w:val="24"/>
          <w:szCs w:val="24"/>
        </w:rPr>
        <w:t>5</w:t>
      </w:r>
      <w:r w:rsidRPr="00045CBE">
        <w:rPr>
          <w:rFonts w:ascii="Times New Roman" w:hAnsi="Times New Roman"/>
          <w:sz w:val="24"/>
          <w:szCs w:val="24"/>
        </w:rPr>
        <w:t xml:space="preserve"> of 201</w:t>
      </w:r>
      <w:r>
        <w:rPr>
          <w:rFonts w:ascii="Times New Roman" w:hAnsi="Times New Roman"/>
          <w:sz w:val="24"/>
          <w:szCs w:val="24"/>
        </w:rPr>
        <w:t>4</w:t>
      </w:r>
      <w:r w:rsidRPr="00045CBE">
        <w:rPr>
          <w:rFonts w:ascii="Times New Roman" w:hAnsi="Times New Roman"/>
          <w:sz w:val="24"/>
          <w:szCs w:val="24"/>
        </w:rPr>
        <w:t xml:space="preserve"> and determines a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045CBE">
        <w:rPr>
          <w:rFonts w:ascii="Times New Roman" w:hAnsi="Times New Roman"/>
          <w:i/>
          <w:iCs/>
          <w:sz w:val="24"/>
          <w:szCs w:val="24"/>
        </w:rPr>
        <w:t xml:space="preserve"> Prudential Standard GPS </w:t>
      </w:r>
      <w:r>
        <w:rPr>
          <w:rFonts w:ascii="Times New Roman" w:hAnsi="Times New Roman"/>
          <w:i/>
          <w:iCs/>
          <w:sz w:val="24"/>
          <w:szCs w:val="24"/>
        </w:rPr>
        <w:t xml:space="preserve">310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Audit and Related Matters </w:t>
      </w:r>
      <w:r>
        <w:rPr>
          <w:rFonts w:ascii="Times New Roman" w:hAnsi="Times New Roman"/>
          <w:sz w:val="24"/>
          <w:szCs w:val="24"/>
        </w:rPr>
        <w:t>(GPS 310</w:t>
      </w:r>
      <w:r w:rsidRPr="00045CBE">
        <w:rPr>
          <w:rFonts w:ascii="Times New Roman" w:hAnsi="Times New Roman"/>
          <w:sz w:val="24"/>
          <w:szCs w:val="24"/>
        </w:rPr>
        <w:t>)</w:t>
      </w:r>
      <w:r w:rsidRPr="00045CBE">
        <w:rPr>
          <w:rFonts w:ascii="Times New Roman" w:hAnsi="Times New Roman"/>
          <w:sz w:val="24"/>
          <w:szCs w:val="24"/>
          <w:lang w:val="en-US"/>
        </w:rPr>
        <w:t>;</w:t>
      </w:r>
    </w:p>
    <w:p w14:paraId="642301FD" w14:textId="734A5BBC" w:rsidR="00F8191E" w:rsidRPr="00543E93" w:rsidRDefault="00AF0776" w:rsidP="00AF0776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Health </w:t>
      </w:r>
      <w:r w:rsidRPr="00045CBE">
        <w:rPr>
          <w:rFonts w:ascii="Times New Roman" w:hAnsi="Times New Roman"/>
          <w:sz w:val="24"/>
          <w:szCs w:val="24"/>
          <w:lang w:val="en-US"/>
        </w:rPr>
        <w:t>Insurance (prudential standard) determination No</w:t>
      </w:r>
      <w:r w:rsidRPr="00543E93">
        <w:rPr>
          <w:rFonts w:ascii="Times New Roman" w:hAnsi="Times New Roman"/>
          <w:sz w:val="24"/>
          <w:szCs w:val="24"/>
          <w:lang w:val="en-US"/>
        </w:rPr>
        <w:t xml:space="preserve">. 1 of 2019 which </w:t>
      </w:r>
      <w:r w:rsidRPr="00543E93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543E93">
        <w:rPr>
          <w:rFonts w:ascii="Times New Roman" w:hAnsi="Times New Roman"/>
          <w:sz w:val="24"/>
          <w:szCs w:val="24"/>
        </w:rPr>
        <w:t xml:space="preserve"> </w:t>
      </w:r>
      <w:r w:rsidRPr="00543E93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543E93">
        <w:rPr>
          <w:rFonts w:ascii="Times New Roman" w:hAnsi="Times New Roman"/>
          <w:sz w:val="24"/>
          <w:szCs w:val="24"/>
        </w:rPr>
        <w:t xml:space="preserve"> </w:t>
      </w:r>
      <w:r w:rsidRPr="00543E93">
        <w:rPr>
          <w:rFonts w:ascii="Times New Roman" w:hAnsi="Times New Roman"/>
          <w:i/>
          <w:iCs/>
          <w:sz w:val="24"/>
          <w:szCs w:val="24"/>
          <w:lang w:val="en-US"/>
        </w:rPr>
        <w:t xml:space="preserve">HPS 310 Audit and Related Matters </w:t>
      </w:r>
      <w:r w:rsidRPr="00543E93">
        <w:rPr>
          <w:rFonts w:ascii="Times New Roman" w:hAnsi="Times New Roman"/>
          <w:sz w:val="24"/>
          <w:szCs w:val="24"/>
          <w:lang w:val="en-US"/>
        </w:rPr>
        <w:t xml:space="preserve">(HPS 310) </w:t>
      </w:r>
      <w:r w:rsidRPr="00543E93">
        <w:rPr>
          <w:rFonts w:ascii="Times New Roman" w:hAnsi="Times New Roman"/>
          <w:sz w:val="24"/>
          <w:szCs w:val="24"/>
        </w:rPr>
        <w:t>made under Health Insurance</w:t>
      </w:r>
      <w:r w:rsidR="00543E93" w:rsidRPr="00543E93">
        <w:rPr>
          <w:rFonts w:ascii="Times New Roman" w:hAnsi="Times New Roman"/>
          <w:sz w:val="24"/>
          <w:szCs w:val="24"/>
        </w:rPr>
        <w:t xml:space="preserve"> </w:t>
      </w:r>
      <w:r w:rsidR="00D42CEF" w:rsidRPr="00543E93">
        <w:rPr>
          <w:rFonts w:ascii="Times New Roman" w:hAnsi="Times New Roman"/>
          <w:sz w:val="24"/>
          <w:szCs w:val="24"/>
        </w:rPr>
        <w:t>(prudential standard)</w:t>
      </w:r>
      <w:r w:rsidRPr="00543E93">
        <w:rPr>
          <w:rFonts w:ascii="Times New Roman" w:hAnsi="Times New Roman"/>
          <w:sz w:val="24"/>
          <w:szCs w:val="24"/>
        </w:rPr>
        <w:t xml:space="preserve"> determination No. 1 of 2018 and determines a </w:t>
      </w:r>
      <w:r w:rsidRPr="00543E93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543E93">
        <w:rPr>
          <w:rFonts w:ascii="Times New Roman" w:hAnsi="Times New Roman"/>
          <w:i/>
          <w:iCs/>
          <w:sz w:val="24"/>
          <w:szCs w:val="24"/>
        </w:rPr>
        <w:t xml:space="preserve"> Prudential Standard </w:t>
      </w:r>
      <w:r w:rsidR="00E03D4C">
        <w:rPr>
          <w:rFonts w:ascii="Times New Roman" w:hAnsi="Times New Roman"/>
          <w:i/>
          <w:iCs/>
          <w:sz w:val="24"/>
          <w:szCs w:val="24"/>
        </w:rPr>
        <w:t>H</w:t>
      </w:r>
      <w:r w:rsidRPr="00543E93">
        <w:rPr>
          <w:rFonts w:ascii="Times New Roman" w:hAnsi="Times New Roman"/>
          <w:i/>
          <w:iCs/>
          <w:sz w:val="24"/>
          <w:szCs w:val="24"/>
        </w:rPr>
        <w:t xml:space="preserve">PS 310 </w:t>
      </w:r>
      <w:r w:rsidRPr="00543E93">
        <w:rPr>
          <w:rFonts w:ascii="Times New Roman" w:hAnsi="Times New Roman"/>
          <w:i/>
          <w:iCs/>
          <w:sz w:val="24"/>
          <w:szCs w:val="24"/>
          <w:lang w:val="en-US"/>
        </w:rPr>
        <w:t xml:space="preserve">Audit and Related Matters </w:t>
      </w:r>
      <w:r w:rsidR="00E03D4C">
        <w:rPr>
          <w:rFonts w:ascii="Times New Roman" w:hAnsi="Times New Roman"/>
          <w:sz w:val="24"/>
          <w:szCs w:val="24"/>
        </w:rPr>
        <w:t>(H</w:t>
      </w:r>
      <w:r w:rsidRPr="00543E93">
        <w:rPr>
          <w:rFonts w:ascii="Times New Roman" w:hAnsi="Times New Roman"/>
          <w:sz w:val="24"/>
          <w:szCs w:val="24"/>
        </w:rPr>
        <w:t>PS 310)</w:t>
      </w:r>
      <w:r w:rsidRPr="00543E93">
        <w:rPr>
          <w:rFonts w:ascii="Times New Roman" w:hAnsi="Times New Roman"/>
          <w:sz w:val="24"/>
          <w:szCs w:val="24"/>
          <w:lang w:val="en-US"/>
        </w:rPr>
        <w:t>; and</w:t>
      </w:r>
    </w:p>
    <w:p w14:paraId="7BF0EB48" w14:textId="0356F529" w:rsidR="0099534C" w:rsidRPr="00D324E4" w:rsidRDefault="0099534C" w:rsidP="009D7325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240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  <w:lang w:val="en-US"/>
        </w:rPr>
        <w:lastRenderedPageBreak/>
        <w:t xml:space="preserve">Life Insurance (prudential standard) determination No. </w:t>
      </w:r>
      <w:r w:rsidR="00D91019">
        <w:rPr>
          <w:rFonts w:ascii="Times New Roman" w:hAnsi="Times New Roman"/>
          <w:sz w:val="24"/>
          <w:szCs w:val="24"/>
          <w:lang w:val="en-US"/>
        </w:rPr>
        <w:t>1</w:t>
      </w:r>
      <w:r w:rsidR="00D91019" w:rsidRPr="00045C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5CBE">
        <w:rPr>
          <w:rFonts w:ascii="Times New Roman" w:hAnsi="Times New Roman"/>
          <w:sz w:val="24"/>
          <w:szCs w:val="24"/>
          <w:lang w:val="en-US"/>
        </w:rPr>
        <w:t>of 201</w:t>
      </w:r>
      <w:r w:rsidR="00AE1B22">
        <w:rPr>
          <w:rFonts w:ascii="Times New Roman" w:hAnsi="Times New Roman"/>
          <w:sz w:val="24"/>
          <w:szCs w:val="24"/>
          <w:lang w:val="en-US"/>
        </w:rPr>
        <w:t>9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 which </w:t>
      </w:r>
      <w:r w:rsidRPr="00045CBE">
        <w:rPr>
          <w:rFonts w:ascii="Times New Roman" w:hAnsi="Times New Roman"/>
          <w:sz w:val="24"/>
          <w:szCs w:val="24"/>
          <w:shd w:val="clear" w:color="auto" w:fill="FFFFFF" w:themeFill="background1"/>
        </w:rPr>
        <w:t>revokes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LPS </w:t>
      </w:r>
      <w:r w:rsidR="00C0285D">
        <w:rPr>
          <w:rFonts w:ascii="Times New Roman" w:hAnsi="Times New Roman"/>
          <w:i/>
          <w:iCs/>
          <w:sz w:val="24"/>
          <w:szCs w:val="24"/>
          <w:lang w:val="en-US"/>
        </w:rPr>
        <w:t>700</w:t>
      </w:r>
      <w:r w:rsidR="00FB1101" w:rsidRPr="00FB110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FB1101">
        <w:rPr>
          <w:rFonts w:ascii="Times New Roman" w:hAnsi="Times New Roman"/>
          <w:i/>
          <w:iCs/>
          <w:sz w:val="24"/>
          <w:szCs w:val="24"/>
          <w:lang w:val="en-US"/>
        </w:rPr>
        <w:t>Friendly Society Benefit Funds</w:t>
      </w:r>
      <w:r w:rsidR="00FB11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285D">
        <w:rPr>
          <w:rFonts w:ascii="Times New Roman" w:hAnsi="Times New Roman"/>
          <w:sz w:val="24"/>
          <w:szCs w:val="24"/>
          <w:lang w:val="en-US"/>
        </w:rPr>
        <w:t>(LPS 700</w:t>
      </w:r>
      <w:r w:rsidRPr="00045CB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5CBE">
        <w:rPr>
          <w:rFonts w:ascii="Times New Roman" w:hAnsi="Times New Roman"/>
          <w:sz w:val="24"/>
          <w:szCs w:val="24"/>
        </w:rPr>
        <w:t xml:space="preserve">made under Insurance </w:t>
      </w:r>
      <w:r w:rsidRPr="00D324E4">
        <w:rPr>
          <w:rFonts w:ascii="Times New Roman" w:hAnsi="Times New Roman"/>
          <w:sz w:val="24"/>
          <w:szCs w:val="24"/>
        </w:rPr>
        <w:t xml:space="preserve">determination </w:t>
      </w:r>
      <w:r w:rsidRPr="00A16056">
        <w:rPr>
          <w:rFonts w:ascii="Times New Roman" w:hAnsi="Times New Roman"/>
          <w:sz w:val="24"/>
          <w:szCs w:val="24"/>
        </w:rPr>
        <w:t>No. 1</w:t>
      </w:r>
      <w:r w:rsidR="00D324E4" w:rsidRPr="00A16056">
        <w:rPr>
          <w:rFonts w:ascii="Times New Roman" w:hAnsi="Times New Roman"/>
          <w:sz w:val="24"/>
          <w:szCs w:val="24"/>
        </w:rPr>
        <w:t>6</w:t>
      </w:r>
      <w:r w:rsidRPr="00A16056">
        <w:rPr>
          <w:rFonts w:ascii="Times New Roman" w:hAnsi="Times New Roman"/>
          <w:sz w:val="24"/>
          <w:szCs w:val="24"/>
        </w:rPr>
        <w:t xml:space="preserve"> of 201</w:t>
      </w:r>
      <w:r w:rsidR="00D324E4" w:rsidRPr="00A16056">
        <w:rPr>
          <w:rFonts w:ascii="Times New Roman" w:hAnsi="Times New Roman"/>
          <w:sz w:val="24"/>
          <w:szCs w:val="24"/>
        </w:rPr>
        <w:t>2</w:t>
      </w:r>
      <w:r w:rsidRPr="00D324E4">
        <w:rPr>
          <w:rFonts w:ascii="Times New Roman" w:hAnsi="Times New Roman"/>
          <w:sz w:val="24"/>
          <w:szCs w:val="24"/>
        </w:rPr>
        <w:t xml:space="preserve"> and determines a </w:t>
      </w:r>
      <w:r w:rsidRPr="00D324E4">
        <w:rPr>
          <w:rFonts w:ascii="Times New Roman" w:hAnsi="Times New Roman"/>
          <w:sz w:val="24"/>
          <w:szCs w:val="24"/>
          <w:shd w:val="clear" w:color="auto" w:fill="FFFFFF" w:themeFill="background1"/>
        </w:rPr>
        <w:t>new</w:t>
      </w:r>
      <w:r w:rsidRPr="00D324E4">
        <w:rPr>
          <w:rFonts w:ascii="Times New Roman" w:hAnsi="Times New Roman"/>
          <w:i/>
          <w:iCs/>
          <w:sz w:val="24"/>
          <w:szCs w:val="24"/>
        </w:rPr>
        <w:t xml:space="preserve"> Prudential Standard LPS </w:t>
      </w:r>
      <w:r w:rsidR="00C0285D" w:rsidRPr="00D324E4">
        <w:rPr>
          <w:rFonts w:ascii="Times New Roman" w:hAnsi="Times New Roman"/>
          <w:i/>
          <w:iCs/>
          <w:sz w:val="24"/>
          <w:szCs w:val="24"/>
        </w:rPr>
        <w:t>700</w:t>
      </w:r>
      <w:r w:rsidRPr="00D324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1101">
        <w:rPr>
          <w:rFonts w:ascii="Times New Roman" w:hAnsi="Times New Roman"/>
          <w:i/>
          <w:iCs/>
          <w:sz w:val="24"/>
          <w:szCs w:val="24"/>
          <w:lang w:val="en-US"/>
        </w:rPr>
        <w:t>Friendly Society Benefit Funds</w:t>
      </w:r>
      <w:r w:rsidRPr="00D324E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24E4">
        <w:rPr>
          <w:rFonts w:ascii="Times New Roman" w:hAnsi="Times New Roman"/>
          <w:iCs/>
          <w:sz w:val="24"/>
          <w:szCs w:val="24"/>
        </w:rPr>
        <w:t>(</w:t>
      </w:r>
      <w:r w:rsidRPr="00D324E4">
        <w:rPr>
          <w:rFonts w:ascii="Times New Roman" w:hAnsi="Times New Roman"/>
          <w:sz w:val="24"/>
          <w:szCs w:val="24"/>
        </w:rPr>
        <w:t xml:space="preserve">LPS </w:t>
      </w:r>
      <w:r w:rsidR="00C0285D" w:rsidRPr="00D324E4">
        <w:rPr>
          <w:rFonts w:ascii="Times New Roman" w:hAnsi="Times New Roman"/>
          <w:sz w:val="24"/>
          <w:szCs w:val="24"/>
        </w:rPr>
        <w:t>700</w:t>
      </w:r>
      <w:r w:rsidRPr="00D324E4">
        <w:rPr>
          <w:rFonts w:ascii="Times New Roman" w:hAnsi="Times New Roman"/>
          <w:sz w:val="24"/>
          <w:szCs w:val="24"/>
        </w:rPr>
        <w:t>)</w:t>
      </w:r>
      <w:r w:rsidR="00AF0776">
        <w:rPr>
          <w:rFonts w:ascii="Times New Roman" w:hAnsi="Times New Roman"/>
          <w:sz w:val="24"/>
          <w:szCs w:val="24"/>
          <w:lang w:val="en-US"/>
        </w:rPr>
        <w:t>.</w:t>
      </w:r>
    </w:p>
    <w:p w14:paraId="200BCDE0" w14:textId="5B6C2646" w:rsidR="006F7458" w:rsidRPr="00782F3F" w:rsidRDefault="007816F0" w:rsidP="00092E8C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>The</w:t>
      </w:r>
      <w:r w:rsidR="00DF5870">
        <w:rPr>
          <w:rFonts w:ascii="Times New Roman" w:hAnsi="Times New Roman"/>
          <w:sz w:val="24"/>
          <w:szCs w:val="24"/>
        </w:rPr>
        <w:t>se</w:t>
      </w:r>
      <w:r w:rsidRPr="00045CBE">
        <w:rPr>
          <w:rFonts w:ascii="Times New Roman" w:hAnsi="Times New Roman"/>
          <w:sz w:val="24"/>
          <w:szCs w:val="24"/>
        </w:rPr>
        <w:t xml:space="preserve"> instrument</w:t>
      </w:r>
      <w:r w:rsidR="0099534C" w:rsidRPr="00045CBE">
        <w:rPr>
          <w:rFonts w:ascii="Times New Roman" w:hAnsi="Times New Roman"/>
          <w:sz w:val="24"/>
          <w:szCs w:val="24"/>
        </w:rPr>
        <w:t>s</w:t>
      </w:r>
      <w:r w:rsidRPr="00045CBE">
        <w:rPr>
          <w:rFonts w:ascii="Times New Roman" w:hAnsi="Times New Roman"/>
          <w:sz w:val="24"/>
          <w:szCs w:val="24"/>
        </w:rPr>
        <w:t xml:space="preserve"> commence on 1 </w:t>
      </w:r>
      <w:r w:rsidR="009D6BEB" w:rsidRPr="00045CBE">
        <w:rPr>
          <w:rFonts w:ascii="Times New Roman" w:hAnsi="Times New Roman"/>
          <w:sz w:val="24"/>
          <w:szCs w:val="24"/>
        </w:rPr>
        <w:t>July</w:t>
      </w:r>
      <w:r w:rsidRPr="00045CBE">
        <w:rPr>
          <w:rFonts w:ascii="Times New Roman" w:hAnsi="Times New Roman"/>
          <w:sz w:val="24"/>
          <w:szCs w:val="24"/>
        </w:rPr>
        <w:t xml:space="preserve"> 201</w:t>
      </w:r>
      <w:r w:rsidR="009D6BEB" w:rsidRPr="00045CBE">
        <w:rPr>
          <w:rFonts w:ascii="Times New Roman" w:hAnsi="Times New Roman"/>
          <w:sz w:val="24"/>
          <w:szCs w:val="24"/>
        </w:rPr>
        <w:t>9</w:t>
      </w:r>
      <w:r w:rsidRPr="00045CBE">
        <w:rPr>
          <w:rFonts w:ascii="Times New Roman" w:hAnsi="Times New Roman"/>
          <w:sz w:val="24"/>
          <w:szCs w:val="24"/>
        </w:rPr>
        <w:t xml:space="preserve">.   </w:t>
      </w:r>
    </w:p>
    <w:p w14:paraId="65408C1B" w14:textId="77777777" w:rsidR="00A019DA" w:rsidRPr="00045CBE" w:rsidRDefault="00A019DA" w:rsidP="009D73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Background</w:t>
      </w:r>
    </w:p>
    <w:p w14:paraId="0863645E" w14:textId="28360BFF" w:rsidR="00C028A1" w:rsidRDefault="00003339" w:rsidP="00166BA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31</w:t>
      </w:r>
      <w:r w:rsidRPr="00DE5310">
        <w:rPr>
          <w:rFonts w:ascii="Times New Roman" w:hAnsi="Times New Roman"/>
          <w:sz w:val="24"/>
          <w:szCs w:val="24"/>
        </w:rPr>
        <w:t xml:space="preserve"> </w:t>
      </w:r>
      <w:r w:rsidR="00DE5310" w:rsidRPr="00DE5310">
        <w:rPr>
          <w:rFonts w:ascii="Times New Roman" w:hAnsi="Times New Roman"/>
          <w:sz w:val="24"/>
          <w:szCs w:val="24"/>
        </w:rPr>
        <w:t>May</w:t>
      </w:r>
      <w:r w:rsidR="00853C86" w:rsidRPr="00DE5310">
        <w:rPr>
          <w:rFonts w:ascii="Times New Roman" w:hAnsi="Times New Roman"/>
          <w:sz w:val="24"/>
          <w:szCs w:val="24"/>
        </w:rPr>
        <w:t xml:space="preserve"> 2018, APRA</w:t>
      </w:r>
      <w:r w:rsidR="00853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made Insurance, Life Insurance and Health Insurance (pru</w:t>
      </w:r>
      <w:r w:rsidR="00576825">
        <w:rPr>
          <w:rFonts w:ascii="Times New Roman" w:hAnsi="Times New Roman"/>
          <w:sz w:val="24"/>
          <w:szCs w:val="24"/>
        </w:rPr>
        <w:t xml:space="preserve">dential standard) determination </w:t>
      </w:r>
      <w:r>
        <w:rPr>
          <w:rFonts w:ascii="Times New Roman" w:hAnsi="Times New Roman"/>
          <w:sz w:val="24"/>
          <w:szCs w:val="24"/>
        </w:rPr>
        <w:t xml:space="preserve">No. 1 of 2018 which, effective 1 July 2019, </w:t>
      </w:r>
      <w:r w:rsidR="00853C86">
        <w:rPr>
          <w:rFonts w:ascii="Times New Roman" w:hAnsi="Times New Roman"/>
          <w:sz w:val="24"/>
          <w:szCs w:val="24"/>
        </w:rPr>
        <w:t>revoke</w:t>
      </w:r>
      <w:r>
        <w:rPr>
          <w:rFonts w:ascii="Times New Roman" w:hAnsi="Times New Roman"/>
          <w:sz w:val="24"/>
          <w:szCs w:val="24"/>
        </w:rPr>
        <w:t>s</w:t>
      </w:r>
      <w:r w:rsidR="00853C86">
        <w:rPr>
          <w:rFonts w:ascii="Times New Roman" w:hAnsi="Times New Roman"/>
          <w:sz w:val="24"/>
          <w:szCs w:val="24"/>
        </w:rPr>
        <w:t xml:space="preserve"> </w:t>
      </w:r>
      <w:r w:rsidR="00623CAA">
        <w:rPr>
          <w:rFonts w:ascii="Times New Roman" w:hAnsi="Times New Roman"/>
          <w:sz w:val="24"/>
          <w:szCs w:val="24"/>
        </w:rPr>
        <w:t xml:space="preserve">three </w:t>
      </w:r>
      <w:r w:rsidR="00EC2380">
        <w:rPr>
          <w:rFonts w:ascii="Times New Roman" w:hAnsi="Times New Roman"/>
          <w:sz w:val="24"/>
          <w:szCs w:val="24"/>
        </w:rPr>
        <w:t>a</w:t>
      </w:r>
      <w:r w:rsidR="00853C86">
        <w:rPr>
          <w:rFonts w:ascii="Times New Roman" w:hAnsi="Times New Roman"/>
          <w:sz w:val="24"/>
          <w:szCs w:val="24"/>
        </w:rPr>
        <w:t xml:space="preserve">ctuarial </w:t>
      </w:r>
      <w:r w:rsidR="00EC2380">
        <w:rPr>
          <w:rFonts w:ascii="Times New Roman" w:hAnsi="Times New Roman"/>
          <w:sz w:val="24"/>
          <w:szCs w:val="24"/>
        </w:rPr>
        <w:t>prudential s</w:t>
      </w:r>
      <w:r w:rsidR="00623CAA">
        <w:rPr>
          <w:rFonts w:ascii="Times New Roman" w:hAnsi="Times New Roman"/>
          <w:sz w:val="24"/>
          <w:szCs w:val="24"/>
        </w:rPr>
        <w:t>tandard</w:t>
      </w:r>
      <w:r w:rsidR="00853C86">
        <w:rPr>
          <w:rFonts w:ascii="Times New Roman" w:hAnsi="Times New Roman"/>
          <w:sz w:val="24"/>
          <w:szCs w:val="24"/>
        </w:rPr>
        <w:t xml:space="preserve">s applying to </w:t>
      </w:r>
      <w:r w:rsidR="00623CAA">
        <w:rPr>
          <w:rFonts w:ascii="Times New Roman" w:hAnsi="Times New Roman"/>
          <w:sz w:val="24"/>
          <w:szCs w:val="24"/>
        </w:rPr>
        <w:t>gene</w:t>
      </w:r>
      <w:r w:rsidR="00D43D56">
        <w:rPr>
          <w:rFonts w:ascii="Times New Roman" w:hAnsi="Times New Roman"/>
          <w:sz w:val="24"/>
          <w:szCs w:val="24"/>
        </w:rPr>
        <w:t>ral insurers, life insurers and private health insurers</w:t>
      </w:r>
      <w:r w:rsidR="00623CAA">
        <w:rPr>
          <w:rFonts w:ascii="Times New Roman" w:hAnsi="Times New Roman"/>
          <w:sz w:val="24"/>
          <w:szCs w:val="24"/>
        </w:rPr>
        <w:t xml:space="preserve"> (</w:t>
      </w:r>
      <w:r w:rsidRPr="00A5493C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D43D56" w:rsidRPr="00A5493C">
        <w:rPr>
          <w:rFonts w:ascii="Times New Roman" w:hAnsi="Times New Roman"/>
          <w:i/>
          <w:sz w:val="24"/>
          <w:szCs w:val="24"/>
        </w:rPr>
        <w:t>GPS 320</w:t>
      </w:r>
      <w:r w:rsidRPr="00A5493C">
        <w:rPr>
          <w:rFonts w:ascii="Times New Roman" w:hAnsi="Times New Roman"/>
          <w:i/>
          <w:sz w:val="24"/>
          <w:szCs w:val="24"/>
        </w:rPr>
        <w:t xml:space="preserve"> Actuarial and Related Matters</w:t>
      </w:r>
      <w:r w:rsidR="001171A4">
        <w:rPr>
          <w:rFonts w:ascii="Times New Roman" w:hAnsi="Times New Roman"/>
          <w:i/>
          <w:sz w:val="24"/>
          <w:szCs w:val="24"/>
        </w:rPr>
        <w:t xml:space="preserve"> </w:t>
      </w:r>
      <w:r w:rsidR="001171A4" w:rsidRPr="00A5493C">
        <w:rPr>
          <w:rFonts w:ascii="Times New Roman" w:hAnsi="Times New Roman"/>
          <w:sz w:val="24"/>
          <w:szCs w:val="24"/>
        </w:rPr>
        <w:t>(GPS 320)</w:t>
      </w:r>
      <w:r w:rsidR="00D43D56" w:rsidRPr="001171A4">
        <w:rPr>
          <w:rFonts w:ascii="Times New Roman" w:hAnsi="Times New Roman"/>
          <w:sz w:val="24"/>
          <w:szCs w:val="24"/>
        </w:rPr>
        <w:t>,</w:t>
      </w:r>
      <w:r w:rsidR="00D43D56">
        <w:rPr>
          <w:rFonts w:ascii="Times New Roman" w:hAnsi="Times New Roman"/>
          <w:sz w:val="24"/>
          <w:szCs w:val="24"/>
        </w:rPr>
        <w:t xml:space="preserve"> </w:t>
      </w:r>
      <w:r w:rsidRPr="00F845E1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D43D56" w:rsidRPr="00A5493C">
        <w:rPr>
          <w:rFonts w:ascii="Times New Roman" w:hAnsi="Times New Roman"/>
          <w:i/>
          <w:sz w:val="24"/>
          <w:szCs w:val="24"/>
        </w:rPr>
        <w:t>LPS 320</w:t>
      </w:r>
      <w:r w:rsidR="00D43D56">
        <w:rPr>
          <w:rFonts w:ascii="Times New Roman" w:hAnsi="Times New Roman"/>
          <w:sz w:val="24"/>
          <w:szCs w:val="24"/>
        </w:rPr>
        <w:t xml:space="preserve"> </w:t>
      </w:r>
      <w:r w:rsidRPr="00F845E1">
        <w:rPr>
          <w:rFonts w:ascii="Times New Roman" w:hAnsi="Times New Roman"/>
          <w:i/>
          <w:sz w:val="24"/>
          <w:szCs w:val="24"/>
        </w:rPr>
        <w:t>Actuarial and Related Matters</w:t>
      </w:r>
      <w:r>
        <w:rPr>
          <w:rFonts w:ascii="Times New Roman" w:hAnsi="Times New Roman"/>
          <w:sz w:val="24"/>
          <w:szCs w:val="24"/>
        </w:rPr>
        <w:t xml:space="preserve"> </w:t>
      </w:r>
      <w:r w:rsidR="001171A4">
        <w:rPr>
          <w:rFonts w:ascii="Times New Roman" w:hAnsi="Times New Roman"/>
          <w:sz w:val="24"/>
          <w:szCs w:val="24"/>
        </w:rPr>
        <w:t xml:space="preserve">(LPS 320) </w:t>
      </w:r>
      <w:r w:rsidR="00D43D56">
        <w:rPr>
          <w:rFonts w:ascii="Times New Roman" w:hAnsi="Times New Roman"/>
          <w:sz w:val="24"/>
          <w:szCs w:val="24"/>
        </w:rPr>
        <w:t xml:space="preserve">and </w:t>
      </w:r>
      <w:r w:rsidRPr="00F845E1">
        <w:rPr>
          <w:rFonts w:ascii="Times New Roman" w:hAnsi="Times New Roman"/>
          <w:i/>
          <w:sz w:val="24"/>
          <w:szCs w:val="24"/>
        </w:rPr>
        <w:t xml:space="preserve">Prudential Standard </w:t>
      </w:r>
      <w:r w:rsidR="00D43D56" w:rsidRPr="00A5493C">
        <w:rPr>
          <w:rFonts w:ascii="Times New Roman" w:hAnsi="Times New Roman"/>
          <w:i/>
          <w:sz w:val="24"/>
          <w:szCs w:val="24"/>
        </w:rPr>
        <w:t>HPS 320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5E1">
        <w:rPr>
          <w:rFonts w:ascii="Times New Roman" w:hAnsi="Times New Roman"/>
          <w:i/>
          <w:sz w:val="24"/>
          <w:szCs w:val="24"/>
        </w:rPr>
        <w:t>Actuarial and Related Matters</w:t>
      </w:r>
      <w:r w:rsidR="001171A4">
        <w:rPr>
          <w:rFonts w:ascii="Times New Roman" w:hAnsi="Times New Roman"/>
          <w:i/>
          <w:sz w:val="24"/>
          <w:szCs w:val="24"/>
        </w:rPr>
        <w:t xml:space="preserve"> </w:t>
      </w:r>
      <w:r w:rsidR="001171A4">
        <w:rPr>
          <w:rFonts w:ascii="Times New Roman" w:hAnsi="Times New Roman"/>
          <w:sz w:val="24"/>
          <w:szCs w:val="24"/>
        </w:rPr>
        <w:t>(HPS</w:t>
      </w:r>
      <w:r w:rsidR="00543E93">
        <w:rPr>
          <w:rFonts w:ascii="Times New Roman" w:hAnsi="Times New Roman"/>
          <w:sz w:val="24"/>
          <w:szCs w:val="24"/>
        </w:rPr>
        <w:t xml:space="preserve"> </w:t>
      </w:r>
      <w:r w:rsidR="001171A4">
        <w:rPr>
          <w:rFonts w:ascii="Times New Roman" w:hAnsi="Times New Roman"/>
          <w:sz w:val="24"/>
          <w:szCs w:val="24"/>
        </w:rPr>
        <w:t>320)</w:t>
      </w:r>
      <w:r w:rsidR="00F27E8F">
        <w:rPr>
          <w:rFonts w:ascii="Times New Roman" w:hAnsi="Times New Roman"/>
          <w:sz w:val="24"/>
          <w:szCs w:val="24"/>
        </w:rPr>
        <w:t>)</w:t>
      </w:r>
      <w:r w:rsidR="00623CAA">
        <w:rPr>
          <w:rFonts w:ascii="Times New Roman" w:hAnsi="Times New Roman"/>
          <w:sz w:val="24"/>
          <w:szCs w:val="24"/>
        </w:rPr>
        <w:t xml:space="preserve"> </w:t>
      </w:r>
      <w:r w:rsidR="00D43D56">
        <w:rPr>
          <w:rFonts w:ascii="Times New Roman" w:hAnsi="Times New Roman"/>
          <w:sz w:val="24"/>
          <w:szCs w:val="24"/>
        </w:rPr>
        <w:t xml:space="preserve">and </w:t>
      </w:r>
      <w:r w:rsidR="001171A4">
        <w:rPr>
          <w:rFonts w:ascii="Times New Roman" w:hAnsi="Times New Roman"/>
          <w:sz w:val="24"/>
          <w:szCs w:val="24"/>
        </w:rPr>
        <w:t xml:space="preserve">determines </w:t>
      </w:r>
      <w:r w:rsidR="001171A4" w:rsidRPr="005D08C0">
        <w:rPr>
          <w:rFonts w:ascii="Times New Roman" w:hAnsi="Times New Roman"/>
          <w:i/>
          <w:sz w:val="24"/>
          <w:szCs w:val="24"/>
        </w:rPr>
        <w:t>Prudential</w:t>
      </w:r>
      <w:r w:rsidR="001171A4" w:rsidRPr="005D08C0">
        <w:rPr>
          <w:rFonts w:ascii="Times New Roman" w:hAnsi="Times New Roman"/>
          <w:sz w:val="24"/>
          <w:szCs w:val="24"/>
        </w:rPr>
        <w:t xml:space="preserve"> </w:t>
      </w:r>
      <w:r w:rsidR="001171A4">
        <w:rPr>
          <w:rFonts w:ascii="Times New Roman" w:hAnsi="Times New Roman"/>
          <w:i/>
          <w:sz w:val="24"/>
          <w:szCs w:val="24"/>
        </w:rPr>
        <w:t>Standard CPS 32</w:t>
      </w:r>
      <w:r w:rsidR="001171A4" w:rsidRPr="005D08C0">
        <w:rPr>
          <w:rFonts w:ascii="Times New Roman" w:hAnsi="Times New Roman"/>
          <w:i/>
          <w:sz w:val="24"/>
          <w:szCs w:val="24"/>
        </w:rPr>
        <w:t xml:space="preserve">0 </w:t>
      </w:r>
      <w:r w:rsidR="001171A4">
        <w:rPr>
          <w:rFonts w:ascii="Times New Roman" w:hAnsi="Times New Roman"/>
          <w:i/>
          <w:sz w:val="24"/>
          <w:szCs w:val="24"/>
        </w:rPr>
        <w:t xml:space="preserve">Actuarial and Related Matters </w:t>
      </w:r>
      <w:r w:rsidR="001171A4">
        <w:rPr>
          <w:rFonts w:ascii="Times New Roman" w:hAnsi="Times New Roman"/>
          <w:sz w:val="24"/>
          <w:szCs w:val="24"/>
        </w:rPr>
        <w:t>(CPS 32</w:t>
      </w:r>
      <w:r w:rsidR="001171A4" w:rsidRPr="005D08C0">
        <w:rPr>
          <w:rFonts w:ascii="Times New Roman" w:hAnsi="Times New Roman"/>
          <w:sz w:val="24"/>
          <w:szCs w:val="24"/>
        </w:rPr>
        <w:t>0</w:t>
      </w:r>
      <w:r w:rsidR="001171A4">
        <w:rPr>
          <w:rFonts w:ascii="Times New Roman" w:hAnsi="Times New Roman"/>
          <w:sz w:val="24"/>
          <w:szCs w:val="24"/>
        </w:rPr>
        <w:t>)</w:t>
      </w:r>
      <w:r w:rsidR="001D40E7">
        <w:rPr>
          <w:rFonts w:ascii="Times New Roman" w:hAnsi="Times New Roman"/>
          <w:sz w:val="24"/>
          <w:szCs w:val="24"/>
        </w:rPr>
        <w:t xml:space="preserve">; </w:t>
      </w:r>
      <w:r w:rsidR="001171A4">
        <w:rPr>
          <w:rFonts w:ascii="Times New Roman" w:hAnsi="Times New Roman"/>
          <w:sz w:val="24"/>
          <w:szCs w:val="24"/>
        </w:rPr>
        <w:t xml:space="preserve">a cross-industry prudential standard containing the consolidated actuarial requirements from GPS 320, LPS 320 and HPS 320. </w:t>
      </w:r>
    </w:p>
    <w:p w14:paraId="02DADA8C" w14:textId="77777777" w:rsidR="00C028A1" w:rsidRDefault="00C028A1" w:rsidP="00166BA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0F40D" w14:textId="507946EC" w:rsidR="00D324E4" w:rsidRDefault="0085264D" w:rsidP="00F20290">
      <w:pPr>
        <w:jc w:val="both"/>
        <w:rPr>
          <w:rFonts w:ascii="Times New Roman" w:hAnsi="Times New Roman"/>
          <w:sz w:val="24"/>
          <w:szCs w:val="24"/>
        </w:rPr>
      </w:pPr>
      <w:r w:rsidRPr="00921933">
        <w:rPr>
          <w:rFonts w:ascii="Times New Roman" w:hAnsi="Times New Roman"/>
          <w:sz w:val="24"/>
          <w:szCs w:val="24"/>
        </w:rPr>
        <w:t xml:space="preserve">For consistency </w:t>
      </w:r>
      <w:r w:rsidR="00623CAA" w:rsidRPr="00921933">
        <w:rPr>
          <w:rFonts w:ascii="Times New Roman" w:hAnsi="Times New Roman"/>
          <w:sz w:val="24"/>
          <w:szCs w:val="24"/>
        </w:rPr>
        <w:t xml:space="preserve">between the </w:t>
      </w:r>
      <w:r w:rsidR="002F73E5" w:rsidRPr="00921933">
        <w:rPr>
          <w:rFonts w:ascii="Times New Roman" w:hAnsi="Times New Roman"/>
          <w:sz w:val="24"/>
          <w:szCs w:val="24"/>
        </w:rPr>
        <w:t>industries</w:t>
      </w:r>
      <w:r w:rsidR="00D83388">
        <w:rPr>
          <w:rFonts w:ascii="Times New Roman" w:hAnsi="Times New Roman"/>
          <w:sz w:val="24"/>
          <w:szCs w:val="24"/>
        </w:rPr>
        <w:t>,</w:t>
      </w:r>
      <w:r w:rsidR="00623CAA" w:rsidRPr="00921933">
        <w:rPr>
          <w:rFonts w:ascii="Times New Roman" w:hAnsi="Times New Roman"/>
          <w:sz w:val="24"/>
          <w:szCs w:val="24"/>
        </w:rPr>
        <w:t xml:space="preserve"> </w:t>
      </w:r>
      <w:r w:rsidRPr="00921933">
        <w:rPr>
          <w:rFonts w:ascii="Times New Roman" w:hAnsi="Times New Roman"/>
          <w:sz w:val="24"/>
          <w:szCs w:val="24"/>
        </w:rPr>
        <w:t xml:space="preserve">the valuation requirements specific to general insurance </w:t>
      </w:r>
      <w:r w:rsidR="001D40E7">
        <w:rPr>
          <w:rFonts w:ascii="Times New Roman" w:hAnsi="Times New Roman"/>
          <w:sz w:val="24"/>
          <w:szCs w:val="24"/>
        </w:rPr>
        <w:t>have been</w:t>
      </w:r>
      <w:r w:rsidR="001D40E7" w:rsidRPr="00921933">
        <w:rPr>
          <w:rFonts w:ascii="Times New Roman" w:hAnsi="Times New Roman"/>
          <w:sz w:val="24"/>
          <w:szCs w:val="24"/>
        </w:rPr>
        <w:t xml:space="preserve"> </w:t>
      </w:r>
      <w:r w:rsidRPr="00921933">
        <w:rPr>
          <w:rFonts w:ascii="Times New Roman" w:hAnsi="Times New Roman"/>
          <w:sz w:val="24"/>
          <w:szCs w:val="24"/>
        </w:rPr>
        <w:t xml:space="preserve">moved to </w:t>
      </w:r>
      <w:r w:rsidR="00921933" w:rsidRPr="00921933">
        <w:rPr>
          <w:rFonts w:ascii="Times New Roman" w:hAnsi="Times New Roman"/>
          <w:sz w:val="24"/>
          <w:szCs w:val="24"/>
        </w:rPr>
        <w:t xml:space="preserve">a new </w:t>
      </w:r>
      <w:r w:rsidR="00D43D56" w:rsidRPr="00921933">
        <w:rPr>
          <w:rStyle w:val="APRANORMALChar"/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Prudential Standard GPS 340 </w:t>
      </w:r>
      <w:r w:rsidR="00921933" w:rsidRPr="00921933">
        <w:rPr>
          <w:rStyle w:val="APRANORMALChar"/>
          <w:rFonts w:ascii="Times New Roman" w:eastAsia="Calibri" w:hAnsi="Times New Roman"/>
          <w:i/>
          <w:sz w:val="24"/>
          <w:szCs w:val="24"/>
          <w:shd w:val="clear" w:color="auto" w:fill="FFFFFF"/>
        </w:rPr>
        <w:t>Insurance Liability Valuation</w:t>
      </w:r>
      <w:r w:rsidR="001D40E7">
        <w:rPr>
          <w:rStyle w:val="APRANORMALChar"/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 </w:t>
      </w:r>
      <w:r w:rsidR="001D40E7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>(GPS 340) which also</w:t>
      </w:r>
      <w:r w:rsidR="00921933" w:rsidRPr="00921933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 xml:space="preserve"> commence</w:t>
      </w:r>
      <w:r w:rsidR="001D40E7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>s</w:t>
      </w:r>
      <w:r w:rsidR="00921933" w:rsidRPr="00921933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 xml:space="preserve"> on 1 July 2019</w:t>
      </w:r>
      <w:r w:rsidR="00BC0081">
        <w:rPr>
          <w:rStyle w:val="APRANORMALChar"/>
          <w:rFonts w:ascii="Times New Roman" w:eastAsia="Calibri" w:hAnsi="Times New Roman"/>
          <w:sz w:val="24"/>
          <w:szCs w:val="24"/>
          <w:shd w:val="clear" w:color="auto" w:fill="FFFFFF"/>
        </w:rPr>
        <w:t>.</w:t>
      </w:r>
    </w:p>
    <w:p w14:paraId="6E7D10FF" w14:textId="77777777" w:rsidR="00D324E4" w:rsidRDefault="00D324E4" w:rsidP="00FD062D">
      <w:pPr>
        <w:jc w:val="both"/>
        <w:rPr>
          <w:rFonts w:ascii="Times New Roman" w:hAnsi="Times New Roman"/>
          <w:sz w:val="24"/>
          <w:szCs w:val="24"/>
        </w:rPr>
      </w:pPr>
    </w:p>
    <w:p w14:paraId="4EBFAED2" w14:textId="64BD5F7C" w:rsidR="00166BAA" w:rsidRDefault="00550770" w:rsidP="00FD062D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85264D" w:rsidRPr="00B414CB">
        <w:rPr>
          <w:rFonts w:ascii="Times New Roman" w:hAnsi="Times New Roman"/>
          <w:sz w:val="24"/>
        </w:rPr>
        <w:t xml:space="preserve"> </w:t>
      </w:r>
      <w:r w:rsidR="00F20290">
        <w:rPr>
          <w:rFonts w:ascii="Times New Roman" w:hAnsi="Times New Roman"/>
          <w:sz w:val="24"/>
        </w:rPr>
        <w:t>introduction</w:t>
      </w:r>
      <w:r w:rsidR="0085264D" w:rsidRPr="00B414CB">
        <w:rPr>
          <w:rFonts w:ascii="Times New Roman" w:hAnsi="Times New Roman"/>
          <w:sz w:val="24"/>
        </w:rPr>
        <w:t xml:space="preserve"> of </w:t>
      </w:r>
      <w:r w:rsidR="00D83388">
        <w:rPr>
          <w:rFonts w:ascii="Times New Roman" w:hAnsi="Times New Roman"/>
          <w:sz w:val="24"/>
        </w:rPr>
        <w:t>CPS 320</w:t>
      </w:r>
      <w:r w:rsidR="0085264D" w:rsidRPr="00B414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require</w:t>
      </w:r>
      <w:r w:rsidR="00F20290">
        <w:rPr>
          <w:rFonts w:ascii="Times New Roman" w:hAnsi="Times New Roman"/>
          <w:sz w:val="24"/>
        </w:rPr>
        <w:t>s</w:t>
      </w:r>
      <w:r w:rsidR="00D83388">
        <w:rPr>
          <w:rFonts w:ascii="Times New Roman" w:hAnsi="Times New Roman"/>
          <w:sz w:val="24"/>
        </w:rPr>
        <w:t xml:space="preserve"> </w:t>
      </w:r>
      <w:r w:rsidRPr="00B414CB">
        <w:rPr>
          <w:rFonts w:ascii="Times New Roman" w:hAnsi="Times New Roman"/>
          <w:sz w:val="24"/>
        </w:rPr>
        <w:t xml:space="preserve">consequential amendments </w:t>
      </w:r>
      <w:r>
        <w:rPr>
          <w:rFonts w:ascii="Times New Roman" w:hAnsi="Times New Roman"/>
          <w:sz w:val="24"/>
        </w:rPr>
        <w:t xml:space="preserve">to </w:t>
      </w:r>
      <w:r w:rsidR="00543E93">
        <w:rPr>
          <w:rFonts w:ascii="Times New Roman" w:hAnsi="Times New Roman"/>
          <w:sz w:val="24"/>
        </w:rPr>
        <w:t xml:space="preserve">twelve </w:t>
      </w:r>
      <w:r>
        <w:rPr>
          <w:rFonts w:ascii="Times New Roman" w:hAnsi="Times New Roman"/>
          <w:sz w:val="24"/>
        </w:rPr>
        <w:t xml:space="preserve">APRA </w:t>
      </w:r>
      <w:r w:rsidR="009E34B1">
        <w:rPr>
          <w:rFonts w:ascii="Times New Roman" w:hAnsi="Times New Roman"/>
          <w:sz w:val="24"/>
        </w:rPr>
        <w:t>prudential standards.</w:t>
      </w:r>
      <w:r w:rsidR="00D83388">
        <w:rPr>
          <w:rFonts w:ascii="Times New Roman" w:hAnsi="Times New Roman"/>
          <w:sz w:val="24"/>
        </w:rPr>
        <w:t xml:space="preserve"> </w:t>
      </w:r>
      <w:r w:rsidR="009E34B1">
        <w:rPr>
          <w:rFonts w:ascii="Times New Roman" w:hAnsi="Times New Roman"/>
          <w:sz w:val="24"/>
        </w:rPr>
        <w:t xml:space="preserve">These include two </w:t>
      </w:r>
      <w:r w:rsidR="00CD72BC">
        <w:rPr>
          <w:rFonts w:ascii="Times New Roman" w:hAnsi="Times New Roman"/>
          <w:sz w:val="24"/>
        </w:rPr>
        <w:t>standards</w:t>
      </w:r>
      <w:r w:rsidR="005145F7">
        <w:rPr>
          <w:rFonts w:ascii="Times New Roman" w:hAnsi="Times New Roman"/>
          <w:sz w:val="24"/>
        </w:rPr>
        <w:t xml:space="preserve"> applying across APRA-regulated institutions</w:t>
      </w:r>
      <w:r w:rsidR="003F0ADB">
        <w:rPr>
          <w:rFonts w:ascii="Times New Roman" w:hAnsi="Times New Roman"/>
          <w:sz w:val="24"/>
        </w:rPr>
        <w:t xml:space="preserve"> in the banking, general insurance, life insurance and private health insurance indust</w:t>
      </w:r>
      <w:r w:rsidR="007D1A3B">
        <w:rPr>
          <w:rFonts w:ascii="Times New Roman" w:hAnsi="Times New Roman"/>
          <w:sz w:val="24"/>
        </w:rPr>
        <w:t>ries</w:t>
      </w:r>
      <w:r w:rsidR="009E34B1">
        <w:rPr>
          <w:rFonts w:ascii="Times New Roman" w:hAnsi="Times New Roman"/>
          <w:sz w:val="24"/>
        </w:rPr>
        <w:t xml:space="preserve">, </w:t>
      </w:r>
      <w:r w:rsidR="00F27E8F">
        <w:rPr>
          <w:rFonts w:ascii="Times New Roman" w:hAnsi="Times New Roman"/>
          <w:sz w:val="24"/>
        </w:rPr>
        <w:t xml:space="preserve">nine </w:t>
      </w:r>
      <w:r w:rsidR="00A85364">
        <w:rPr>
          <w:rFonts w:ascii="Times New Roman" w:hAnsi="Times New Roman"/>
          <w:sz w:val="24"/>
        </w:rPr>
        <w:t xml:space="preserve">standards </w:t>
      </w:r>
      <w:r w:rsidR="005145F7">
        <w:rPr>
          <w:rFonts w:ascii="Times New Roman" w:hAnsi="Times New Roman"/>
          <w:sz w:val="24"/>
        </w:rPr>
        <w:t>applicable to general insurers</w:t>
      </w:r>
      <w:r w:rsidR="005313A1">
        <w:rPr>
          <w:rFonts w:ascii="Times New Roman" w:hAnsi="Times New Roman"/>
          <w:sz w:val="24"/>
        </w:rPr>
        <w:t xml:space="preserve"> and</w:t>
      </w:r>
      <w:r w:rsidR="005145F7">
        <w:rPr>
          <w:rFonts w:ascii="Times New Roman" w:hAnsi="Times New Roman"/>
          <w:sz w:val="24"/>
        </w:rPr>
        <w:t xml:space="preserve"> </w:t>
      </w:r>
      <w:r w:rsidR="00F27E8F">
        <w:rPr>
          <w:rFonts w:ascii="Times New Roman" w:hAnsi="Times New Roman"/>
          <w:sz w:val="24"/>
        </w:rPr>
        <w:t>one</w:t>
      </w:r>
      <w:r w:rsidR="00397C2C">
        <w:rPr>
          <w:rFonts w:ascii="Times New Roman" w:hAnsi="Times New Roman"/>
          <w:sz w:val="24"/>
        </w:rPr>
        <w:t xml:space="preserve"> </w:t>
      </w:r>
      <w:r w:rsidR="00A85364">
        <w:rPr>
          <w:rFonts w:ascii="Times New Roman" w:hAnsi="Times New Roman"/>
          <w:sz w:val="24"/>
        </w:rPr>
        <w:t xml:space="preserve">standard applicable to </w:t>
      </w:r>
      <w:r w:rsidR="00397C2C">
        <w:rPr>
          <w:rFonts w:ascii="Times New Roman" w:hAnsi="Times New Roman"/>
          <w:sz w:val="24"/>
        </w:rPr>
        <w:t>life insur</w:t>
      </w:r>
      <w:r w:rsidR="00A85364">
        <w:rPr>
          <w:rFonts w:ascii="Times New Roman" w:hAnsi="Times New Roman"/>
          <w:sz w:val="24"/>
        </w:rPr>
        <w:t>ers</w:t>
      </w:r>
      <w:r w:rsidR="005313A1">
        <w:rPr>
          <w:rFonts w:ascii="Times New Roman" w:hAnsi="Times New Roman"/>
          <w:sz w:val="24"/>
        </w:rPr>
        <w:t xml:space="preserve">. As part of this process, APRA has taken the opportunity to make other practical minor and machinery updates, including </w:t>
      </w:r>
      <w:r w:rsidR="006A5025">
        <w:rPr>
          <w:rFonts w:ascii="Times New Roman" w:hAnsi="Times New Roman"/>
          <w:sz w:val="24"/>
        </w:rPr>
        <w:t xml:space="preserve">a correction </w:t>
      </w:r>
      <w:r w:rsidR="006A5025" w:rsidRPr="006A5025">
        <w:rPr>
          <w:rFonts w:ascii="Times New Roman" w:hAnsi="Times New Roman"/>
          <w:sz w:val="24"/>
        </w:rPr>
        <w:t xml:space="preserve">to </w:t>
      </w:r>
      <w:r w:rsidR="005313A1" w:rsidRPr="006A5025">
        <w:rPr>
          <w:rFonts w:ascii="Times New Roman" w:hAnsi="Times New Roman"/>
          <w:sz w:val="24"/>
        </w:rPr>
        <w:t>one standard applicable to private health insurers.</w:t>
      </w:r>
      <w:r w:rsidR="005313A1" w:rsidRPr="006A5025" w:rsidDel="005313A1">
        <w:rPr>
          <w:rFonts w:ascii="Times New Roman" w:hAnsi="Times New Roman"/>
          <w:sz w:val="24"/>
        </w:rPr>
        <w:t xml:space="preserve"> </w:t>
      </w:r>
    </w:p>
    <w:p w14:paraId="0C6AB449" w14:textId="1410D30E" w:rsidR="0060686D" w:rsidRDefault="0060686D" w:rsidP="0060686D">
      <w:pPr>
        <w:pStyle w:val="BodyText"/>
        <w:spacing w:after="0"/>
        <w:jc w:val="both"/>
        <w:rPr>
          <w:szCs w:val="24"/>
        </w:rPr>
      </w:pPr>
      <w:r w:rsidRPr="00011546">
        <w:rPr>
          <w:szCs w:val="24"/>
        </w:rPr>
        <w:t xml:space="preserve">The </w:t>
      </w:r>
      <w:r w:rsidR="00DF5870">
        <w:rPr>
          <w:szCs w:val="24"/>
        </w:rPr>
        <w:t>I</w:t>
      </w:r>
      <w:r w:rsidRPr="00011546">
        <w:rPr>
          <w:szCs w:val="24"/>
        </w:rPr>
        <w:t>nstruments:</w:t>
      </w:r>
    </w:p>
    <w:p w14:paraId="6CEBE275" w14:textId="77777777" w:rsidR="009C28CB" w:rsidRPr="00011546" w:rsidRDefault="009C28CB" w:rsidP="0060686D">
      <w:pPr>
        <w:pStyle w:val="BodyText"/>
        <w:spacing w:after="0"/>
        <w:jc w:val="both"/>
        <w:rPr>
          <w:szCs w:val="24"/>
        </w:rPr>
      </w:pPr>
    </w:p>
    <w:p w14:paraId="495B7FA7" w14:textId="3F9B60E2" w:rsidR="0060686D" w:rsidRPr="009C28CB" w:rsidRDefault="0060686D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9C28CB">
        <w:rPr>
          <w:rFonts w:ascii="Times New Roman" w:hAnsi="Times New Roman"/>
          <w:sz w:val="24"/>
        </w:rPr>
        <w:lastRenderedPageBreak/>
        <w:t xml:space="preserve">replace references to </w:t>
      </w:r>
      <w:r w:rsidR="00F14758" w:rsidRPr="009C28CB">
        <w:rPr>
          <w:rFonts w:ascii="Times New Roman" w:hAnsi="Times New Roman"/>
          <w:sz w:val="24"/>
        </w:rPr>
        <w:t xml:space="preserve">the </w:t>
      </w:r>
      <w:r w:rsidRPr="009C28CB">
        <w:rPr>
          <w:rFonts w:ascii="Times New Roman" w:hAnsi="Times New Roman"/>
          <w:sz w:val="24"/>
        </w:rPr>
        <w:t xml:space="preserve">revoked </w:t>
      </w:r>
      <w:r w:rsidR="00DF5870">
        <w:rPr>
          <w:rFonts w:ascii="Times New Roman" w:hAnsi="Times New Roman"/>
          <w:sz w:val="24"/>
        </w:rPr>
        <w:t>GPS 320, LPS 320 and HPS 320</w:t>
      </w:r>
      <w:r w:rsidR="00DF5870" w:rsidRPr="009C28CB">
        <w:rPr>
          <w:rFonts w:ascii="Times New Roman" w:hAnsi="Times New Roman"/>
          <w:sz w:val="24"/>
        </w:rPr>
        <w:t xml:space="preserve"> </w:t>
      </w:r>
      <w:r w:rsidRPr="009C28CB">
        <w:rPr>
          <w:rFonts w:ascii="Times New Roman" w:hAnsi="Times New Roman"/>
          <w:sz w:val="24"/>
        </w:rPr>
        <w:t xml:space="preserve">with references to </w:t>
      </w:r>
      <w:r w:rsidR="00DF5870">
        <w:rPr>
          <w:rFonts w:ascii="Times New Roman" w:hAnsi="Times New Roman"/>
          <w:sz w:val="24"/>
        </w:rPr>
        <w:t>the new CPS 320 and GPS 340</w:t>
      </w:r>
      <w:r w:rsidRPr="009C28CB">
        <w:rPr>
          <w:rFonts w:ascii="Times New Roman" w:hAnsi="Times New Roman"/>
          <w:sz w:val="24"/>
        </w:rPr>
        <w:t xml:space="preserve">; </w:t>
      </w:r>
    </w:p>
    <w:p w14:paraId="2399B32D" w14:textId="77777777" w:rsidR="00986B49" w:rsidRDefault="00F14758" w:rsidP="00501C69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9C28CB">
        <w:rPr>
          <w:rFonts w:ascii="Times New Roman" w:hAnsi="Times New Roman"/>
          <w:sz w:val="24"/>
        </w:rPr>
        <w:t xml:space="preserve">update references </w:t>
      </w:r>
      <w:r w:rsidR="008963AD" w:rsidRPr="009C28CB">
        <w:rPr>
          <w:rFonts w:ascii="Times New Roman" w:hAnsi="Times New Roman"/>
          <w:sz w:val="24"/>
        </w:rPr>
        <w:t>from</w:t>
      </w:r>
      <w:r w:rsidRPr="009C28CB">
        <w:rPr>
          <w:rFonts w:ascii="Times New Roman" w:hAnsi="Times New Roman"/>
          <w:sz w:val="24"/>
        </w:rPr>
        <w:t xml:space="preserve"> the Insurance Liability Valuation Report to the Actuarial Valuation Report</w:t>
      </w:r>
      <w:r w:rsidR="00011546" w:rsidRPr="009C28CB">
        <w:rPr>
          <w:rFonts w:ascii="Times New Roman" w:hAnsi="Times New Roman"/>
          <w:sz w:val="24"/>
        </w:rPr>
        <w:t>;</w:t>
      </w:r>
      <w:r w:rsidR="00501C69">
        <w:rPr>
          <w:rFonts w:ascii="Times New Roman" w:hAnsi="Times New Roman"/>
          <w:sz w:val="24"/>
        </w:rPr>
        <w:t xml:space="preserve"> </w:t>
      </w:r>
    </w:p>
    <w:p w14:paraId="1890E451" w14:textId="37867141" w:rsidR="00011546" w:rsidRPr="00501C69" w:rsidRDefault="00986B49" w:rsidP="00501C69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streamline clauses regarding reliance on previous </w:t>
      </w:r>
      <w:r w:rsidR="005313A1">
        <w:rPr>
          <w:rFonts w:ascii="Times New Roman" w:hAnsi="Times New Roman"/>
          <w:sz w:val="24"/>
        </w:rPr>
        <w:t>exercises of discretion by APRA;</w:t>
      </w:r>
      <w:r>
        <w:rPr>
          <w:rFonts w:ascii="Times New Roman" w:hAnsi="Times New Roman"/>
          <w:sz w:val="24"/>
        </w:rPr>
        <w:t xml:space="preserve"> </w:t>
      </w:r>
    </w:p>
    <w:p w14:paraId="23ED96CF" w14:textId="77777777" w:rsidR="005313A1" w:rsidRDefault="00D97CC3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9C28CB">
        <w:rPr>
          <w:rFonts w:ascii="Times New Roman" w:hAnsi="Times New Roman"/>
          <w:sz w:val="24"/>
        </w:rPr>
        <w:t>delete</w:t>
      </w:r>
      <w:r w:rsidR="00011546" w:rsidRPr="009C28CB">
        <w:rPr>
          <w:rFonts w:ascii="Times New Roman" w:hAnsi="Times New Roman"/>
          <w:sz w:val="24"/>
        </w:rPr>
        <w:t xml:space="preserve"> superseded transitional provisions</w:t>
      </w:r>
      <w:r w:rsidR="005313A1">
        <w:rPr>
          <w:rFonts w:ascii="Times New Roman" w:hAnsi="Times New Roman"/>
          <w:sz w:val="24"/>
        </w:rPr>
        <w:t>;</w:t>
      </w:r>
    </w:p>
    <w:p w14:paraId="6D7CB487" w14:textId="3D5349C3" w:rsidR="006A5025" w:rsidRDefault="006A5025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update </w:t>
      </w:r>
      <w:r w:rsidR="00DF3577">
        <w:rPr>
          <w:rFonts w:ascii="Times New Roman" w:hAnsi="Times New Roman"/>
          <w:sz w:val="24"/>
        </w:rPr>
        <w:t>legislative</w:t>
      </w:r>
      <w:r>
        <w:rPr>
          <w:rFonts w:ascii="Times New Roman" w:hAnsi="Times New Roman"/>
          <w:sz w:val="24"/>
        </w:rPr>
        <w:t xml:space="preserve"> references; and</w:t>
      </w:r>
    </w:p>
    <w:p w14:paraId="3E497DB7" w14:textId="34A1B4B6" w:rsidR="0060686D" w:rsidRDefault="006A5025" w:rsidP="009C28CB">
      <w:pPr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correct</w:t>
      </w:r>
      <w:proofErr w:type="gramEnd"/>
      <w:r>
        <w:rPr>
          <w:rFonts w:ascii="Times New Roman" w:hAnsi="Times New Roman"/>
          <w:sz w:val="24"/>
        </w:rPr>
        <w:t xml:space="preserve"> typographical errors</w:t>
      </w:r>
      <w:r w:rsidR="00011546" w:rsidRPr="009C28CB">
        <w:rPr>
          <w:rFonts w:ascii="Times New Roman" w:hAnsi="Times New Roman"/>
          <w:sz w:val="24"/>
        </w:rPr>
        <w:t>.</w:t>
      </w:r>
      <w:r w:rsidR="0060686D" w:rsidRPr="009C28CB">
        <w:rPr>
          <w:rFonts w:ascii="Times New Roman" w:hAnsi="Times New Roman"/>
          <w:sz w:val="24"/>
        </w:rPr>
        <w:t xml:space="preserve"> </w:t>
      </w:r>
    </w:p>
    <w:p w14:paraId="16131801" w14:textId="6932F94F" w:rsidR="00501C69" w:rsidRPr="00501C69" w:rsidRDefault="00501C69" w:rsidP="00501C69">
      <w:pPr>
        <w:jc w:val="both"/>
        <w:rPr>
          <w:rFonts w:ascii="Times New Roman" w:hAnsi="Times New Roman"/>
          <w:sz w:val="24"/>
        </w:rPr>
      </w:pPr>
      <w:r w:rsidRPr="00501C69">
        <w:rPr>
          <w:rFonts w:ascii="Times New Roman" w:hAnsi="Times New Roman"/>
          <w:sz w:val="24"/>
        </w:rPr>
        <w:t>For general insurers, t</w:t>
      </w:r>
      <w:r w:rsidR="00A5493C">
        <w:rPr>
          <w:rFonts w:ascii="Times New Roman" w:hAnsi="Times New Roman"/>
          <w:sz w:val="24"/>
        </w:rPr>
        <w:t>hree</w:t>
      </w:r>
      <w:r w:rsidRPr="00501C69">
        <w:rPr>
          <w:rFonts w:ascii="Times New Roman" w:hAnsi="Times New Roman"/>
          <w:sz w:val="24"/>
        </w:rPr>
        <w:t xml:space="preserve"> minor changes to GPS 116 are proposed to reflect current definitions and </w:t>
      </w:r>
      <w:r w:rsidR="00A5493C">
        <w:rPr>
          <w:rFonts w:ascii="Times New Roman" w:hAnsi="Times New Roman"/>
          <w:sz w:val="24"/>
        </w:rPr>
        <w:t xml:space="preserve">practice and </w:t>
      </w:r>
      <w:r w:rsidR="00D131B9">
        <w:rPr>
          <w:rFonts w:ascii="Times New Roman" w:hAnsi="Times New Roman"/>
          <w:sz w:val="24"/>
        </w:rPr>
        <w:t xml:space="preserve">to continue the requirement </w:t>
      </w:r>
      <w:r w:rsidR="002D6418">
        <w:rPr>
          <w:rFonts w:ascii="Times New Roman" w:hAnsi="Times New Roman"/>
          <w:sz w:val="24"/>
        </w:rPr>
        <w:t>for Group</w:t>
      </w:r>
      <w:r w:rsidRPr="00501C69">
        <w:rPr>
          <w:rFonts w:ascii="Times New Roman" w:hAnsi="Times New Roman"/>
          <w:sz w:val="24"/>
        </w:rPr>
        <w:t xml:space="preserve"> Actuaries </w:t>
      </w:r>
      <w:r w:rsidR="00D131B9">
        <w:rPr>
          <w:rFonts w:ascii="Times New Roman" w:hAnsi="Times New Roman"/>
          <w:sz w:val="24"/>
        </w:rPr>
        <w:t xml:space="preserve">to </w:t>
      </w:r>
      <w:r w:rsidRPr="00501C69">
        <w:rPr>
          <w:rFonts w:ascii="Times New Roman" w:hAnsi="Times New Roman"/>
          <w:sz w:val="24"/>
        </w:rPr>
        <w:t xml:space="preserve">provide the Board </w:t>
      </w:r>
      <w:r w:rsidR="002D6418">
        <w:rPr>
          <w:rFonts w:ascii="Times New Roman" w:hAnsi="Times New Roman"/>
          <w:sz w:val="24"/>
        </w:rPr>
        <w:t xml:space="preserve">of a Level 2 insurance group </w:t>
      </w:r>
      <w:r w:rsidRPr="00501C69">
        <w:rPr>
          <w:rFonts w:ascii="Times New Roman" w:hAnsi="Times New Roman"/>
          <w:sz w:val="24"/>
        </w:rPr>
        <w:t>with an opinion on the I</w:t>
      </w:r>
      <w:r>
        <w:rPr>
          <w:rFonts w:ascii="Times New Roman" w:hAnsi="Times New Roman"/>
          <w:sz w:val="24"/>
        </w:rPr>
        <w:t xml:space="preserve">nsurance </w:t>
      </w:r>
      <w:r w:rsidRPr="00501C69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oncentration </w:t>
      </w:r>
      <w:r w:rsidRPr="00501C69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isk </w:t>
      </w:r>
      <w:r w:rsidRPr="00501C69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harge</w:t>
      </w:r>
      <w:r w:rsidRPr="00501C69">
        <w:rPr>
          <w:rFonts w:ascii="Times New Roman" w:hAnsi="Times New Roman"/>
          <w:sz w:val="24"/>
        </w:rPr>
        <w:t>.</w:t>
      </w:r>
    </w:p>
    <w:p w14:paraId="4C113150" w14:textId="77777777" w:rsidR="00501C69" w:rsidRPr="009C28CB" w:rsidRDefault="00501C69" w:rsidP="00501C69">
      <w:pPr>
        <w:jc w:val="both"/>
        <w:rPr>
          <w:rFonts w:ascii="Times New Roman" w:hAnsi="Times New Roman"/>
          <w:sz w:val="24"/>
        </w:rPr>
      </w:pPr>
    </w:p>
    <w:p w14:paraId="2AA297CA" w14:textId="56D5AE8A" w:rsidR="00166BAA" w:rsidRPr="00EC2380" w:rsidRDefault="00166BAA" w:rsidP="00EC2380">
      <w:pPr>
        <w:pStyle w:val="ListParagraph"/>
        <w:numPr>
          <w:ilvl w:val="0"/>
          <w:numId w:val="2"/>
        </w:numPr>
        <w:spacing w:after="2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Purpose </w:t>
      </w:r>
      <w:r w:rsidR="000C33D9"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and operation </w:t>
      </w:r>
      <w:r w:rsidRPr="00EC2380">
        <w:rPr>
          <w:rFonts w:ascii="Times New Roman" w:eastAsia="Times New Roman" w:hAnsi="Times New Roman"/>
          <w:b/>
          <w:sz w:val="24"/>
          <w:szCs w:val="24"/>
          <w:lang w:eastAsia="en-AU"/>
        </w:rPr>
        <w:t>of the instruments</w:t>
      </w:r>
    </w:p>
    <w:p w14:paraId="6B480D58" w14:textId="27BF2869" w:rsidR="009F2479" w:rsidRDefault="00166BAA" w:rsidP="009F2479">
      <w:pPr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</w:t>
      </w:r>
      <w:r w:rsidR="002B5A26">
        <w:rPr>
          <w:rFonts w:ascii="Times New Roman" w:eastAsia="Times New Roman" w:hAnsi="Times New Roman"/>
          <w:sz w:val="24"/>
          <w:szCs w:val="24"/>
          <w:lang w:eastAsia="en-AU"/>
        </w:rPr>
        <w:t>each instrument is to revoke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9F2479" w:rsidRPr="00784B9E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576825" w:rsidRPr="00784B9E">
        <w:rPr>
          <w:rFonts w:ascii="Times New Roman" w:eastAsia="Times New Roman" w:hAnsi="Times New Roman"/>
          <w:sz w:val="24"/>
          <w:szCs w:val="24"/>
          <w:lang w:eastAsia="en-AU"/>
        </w:rPr>
        <w:t>thirteen</w:t>
      </w:r>
      <w:r w:rsidR="00986B49" w:rsidRPr="00784B9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9F2479" w:rsidRPr="00784B9E">
        <w:rPr>
          <w:rFonts w:ascii="Times New Roman" w:eastAsia="Times New Roman" w:hAnsi="Times New Roman"/>
          <w:sz w:val="24"/>
          <w:szCs w:val="24"/>
          <w:lang w:eastAsia="en-AU"/>
        </w:rPr>
        <w:t>existing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prudential standard</w:t>
      </w:r>
      <w:r w:rsidR="00986B49">
        <w:rPr>
          <w:rFonts w:ascii="Times New Roman" w:eastAsia="Times New Roman" w:hAnsi="Times New Roman"/>
          <w:sz w:val="24"/>
          <w:szCs w:val="24"/>
          <w:lang w:eastAsia="en-AU"/>
        </w:rPr>
        <w:t xml:space="preserve">s requiring consequential </w:t>
      </w:r>
      <w:r w:rsidR="00784B9E">
        <w:rPr>
          <w:rFonts w:ascii="Times New Roman" w:eastAsia="Times New Roman" w:hAnsi="Times New Roman"/>
          <w:sz w:val="24"/>
          <w:szCs w:val="24"/>
          <w:lang w:eastAsia="en-AU"/>
        </w:rPr>
        <w:t xml:space="preserve">or minor and machinery </w:t>
      </w:r>
      <w:r w:rsidR="00986B49">
        <w:rPr>
          <w:rFonts w:ascii="Times New Roman" w:eastAsia="Times New Roman" w:hAnsi="Times New Roman"/>
          <w:sz w:val="24"/>
          <w:szCs w:val="24"/>
          <w:lang w:eastAsia="en-AU"/>
        </w:rPr>
        <w:t>amendment</w:t>
      </w:r>
      <w:r w:rsidR="00784B9E">
        <w:rPr>
          <w:rFonts w:ascii="Times New Roman" w:eastAsia="Times New Roman" w:hAnsi="Times New Roman"/>
          <w:sz w:val="24"/>
          <w:szCs w:val="24"/>
          <w:lang w:eastAsia="en-AU"/>
        </w:rPr>
        <w:t>s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and replace </w:t>
      </w:r>
      <w:r w:rsidR="00397C2C">
        <w:rPr>
          <w:rFonts w:ascii="Times New Roman" w:eastAsia="Times New Roman" w:hAnsi="Times New Roman"/>
          <w:sz w:val="24"/>
          <w:szCs w:val="24"/>
          <w:lang w:eastAsia="en-AU"/>
        </w:rPr>
        <w:t>them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 with corresponding standards which incorporate appropriate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amendments</w:t>
      </w:r>
      <w:r w:rsidR="009F2479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</w:p>
    <w:p w14:paraId="146A5A5E" w14:textId="24B9EE32" w:rsidR="00EB3F8E" w:rsidRDefault="00EB3F8E" w:rsidP="00EB3F8E">
      <w:pPr>
        <w:jc w:val="both"/>
        <w:rPr>
          <w:rFonts w:ascii="Times New Roman" w:hAnsi="Times New Roman"/>
          <w:sz w:val="24"/>
        </w:rPr>
      </w:pPr>
      <w:r w:rsidRPr="00B414CB">
        <w:rPr>
          <w:rFonts w:ascii="Times New Roman" w:hAnsi="Times New Roman"/>
          <w:sz w:val="24"/>
        </w:rPr>
        <w:t>Th</w:t>
      </w:r>
      <w:r w:rsidR="00E8243F">
        <w:rPr>
          <w:rFonts w:ascii="Times New Roman" w:hAnsi="Times New Roman"/>
          <w:sz w:val="24"/>
        </w:rPr>
        <w:t>e</w:t>
      </w:r>
      <w:r w:rsidRPr="00B414CB">
        <w:rPr>
          <w:rFonts w:ascii="Times New Roman" w:hAnsi="Times New Roman"/>
          <w:sz w:val="24"/>
        </w:rPr>
        <w:t xml:space="preserve"> prudential standards </w:t>
      </w:r>
      <w:r w:rsidR="00E8243F">
        <w:rPr>
          <w:rFonts w:ascii="Times New Roman" w:hAnsi="Times New Roman"/>
          <w:sz w:val="24"/>
        </w:rPr>
        <w:t xml:space="preserve">which have been revoked and replaced </w:t>
      </w:r>
      <w:r w:rsidRPr="00B414CB">
        <w:rPr>
          <w:rFonts w:ascii="Times New Roman" w:hAnsi="Times New Roman"/>
          <w:sz w:val="24"/>
        </w:rPr>
        <w:t>are:</w:t>
      </w:r>
    </w:p>
    <w:p w14:paraId="25A54E3F" w14:textId="77777777" w:rsidR="009C28CB" w:rsidRPr="00782F3F" w:rsidRDefault="009C28CB" w:rsidP="00EB3F8E">
      <w:pPr>
        <w:jc w:val="both"/>
        <w:rPr>
          <w:rFonts w:ascii="Times New Roman" w:hAnsi="Times New Roman"/>
          <w:sz w:val="24"/>
        </w:rPr>
      </w:pPr>
    </w:p>
    <w:p w14:paraId="4F19746E" w14:textId="4FC68750" w:rsidR="00EB3F8E" w:rsidRPr="00B414CB" w:rsidRDefault="0061115B" w:rsidP="00EB3F8E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C</w:t>
      </w:r>
      <w:r w:rsidR="00EB3F8E" w:rsidRPr="00B414CB">
        <w:rPr>
          <w:rFonts w:ascii="Times New Roman" w:hAnsi="Times New Roman"/>
          <w:i/>
          <w:sz w:val="24"/>
        </w:rPr>
        <w:t xml:space="preserve">PS </w:t>
      </w:r>
      <w:r w:rsidR="00E8243F">
        <w:rPr>
          <w:rFonts w:ascii="Times New Roman" w:hAnsi="Times New Roman"/>
          <w:i/>
          <w:sz w:val="24"/>
        </w:rPr>
        <w:t>220 Risk Management</w:t>
      </w:r>
      <w:r w:rsidR="00E8243F" w:rsidRPr="00EC2380">
        <w:rPr>
          <w:rFonts w:ascii="Times New Roman" w:hAnsi="Times New Roman"/>
          <w:sz w:val="24"/>
        </w:rPr>
        <w:t>;</w:t>
      </w:r>
    </w:p>
    <w:p w14:paraId="1E948737" w14:textId="5BEAEA7B" w:rsidR="00EB3F8E" w:rsidRPr="00B414CB" w:rsidRDefault="00E8243F" w:rsidP="00EB3F8E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C</w:t>
      </w:r>
      <w:r w:rsidR="00EB3F8E"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510 Governance</w:t>
      </w:r>
      <w:r w:rsidR="00EB3F8E" w:rsidRPr="00EC2380">
        <w:rPr>
          <w:rFonts w:ascii="Times New Roman" w:hAnsi="Times New Roman"/>
          <w:sz w:val="24"/>
        </w:rPr>
        <w:t>;</w:t>
      </w:r>
    </w:p>
    <w:p w14:paraId="431407FF" w14:textId="364D7960" w:rsidR="00EB3F8E" w:rsidRPr="00B414CB" w:rsidRDefault="00E8243F" w:rsidP="00EB3F8E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="00EB3F8E"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110</w:t>
      </w:r>
      <w:r w:rsidR="00124A40">
        <w:rPr>
          <w:rFonts w:ascii="Times New Roman" w:hAnsi="Times New Roman"/>
          <w:i/>
          <w:sz w:val="24"/>
        </w:rPr>
        <w:t xml:space="preserve"> Capital Adequacy</w:t>
      </w:r>
      <w:r w:rsidR="00124A40" w:rsidRPr="00782F3F">
        <w:rPr>
          <w:rFonts w:ascii="Times New Roman" w:hAnsi="Times New Roman"/>
          <w:sz w:val="24"/>
        </w:rPr>
        <w:t>;</w:t>
      </w:r>
    </w:p>
    <w:p w14:paraId="404A0A98" w14:textId="4274C5A7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112</w:t>
      </w:r>
      <w:r w:rsidRPr="00B414CB">
        <w:rPr>
          <w:rFonts w:ascii="Times New Roman" w:hAnsi="Times New Roman"/>
          <w:i/>
          <w:sz w:val="24"/>
        </w:rPr>
        <w:t xml:space="preserve"> Capital </w:t>
      </w:r>
      <w:r w:rsidR="002F73E5" w:rsidRPr="00B414CB">
        <w:rPr>
          <w:rFonts w:ascii="Times New Roman" w:hAnsi="Times New Roman"/>
          <w:i/>
          <w:sz w:val="24"/>
        </w:rPr>
        <w:t>Adequacy</w:t>
      </w:r>
      <w:r w:rsidR="002F73E5">
        <w:rPr>
          <w:rFonts w:ascii="Times New Roman" w:hAnsi="Times New Roman"/>
          <w:i/>
          <w:sz w:val="24"/>
        </w:rPr>
        <w:t>:</w:t>
      </w:r>
      <w:r w:rsidR="002F73E5">
        <w:rPr>
          <w:rFonts w:ascii="Times New Roman" w:hAnsi="Times New Roman"/>
          <w:i/>
          <w:iCs/>
          <w:sz w:val="24"/>
          <w:szCs w:val="24"/>
        </w:rPr>
        <w:t xml:space="preserve"> Measurement</w:t>
      </w:r>
      <w:r>
        <w:rPr>
          <w:rFonts w:ascii="Times New Roman" w:hAnsi="Times New Roman"/>
          <w:i/>
          <w:iCs/>
          <w:sz w:val="24"/>
          <w:szCs w:val="24"/>
        </w:rPr>
        <w:t xml:space="preserve"> of Capital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575F649A" w14:textId="54DF4998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113</w:t>
      </w:r>
      <w:r w:rsidRPr="00B414CB">
        <w:rPr>
          <w:rFonts w:ascii="Times New Roman" w:hAnsi="Times New Roman"/>
          <w:i/>
          <w:sz w:val="24"/>
        </w:rPr>
        <w:t xml:space="preserve"> Capital Adequacy</w:t>
      </w:r>
      <w:r>
        <w:rPr>
          <w:rFonts w:ascii="Times New Roman" w:hAnsi="Times New Roman"/>
          <w:i/>
          <w:sz w:val="24"/>
        </w:rPr>
        <w:t>:</w:t>
      </w:r>
      <w:r w:rsidRPr="00124A4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Internal Model-based Method</w:t>
      </w:r>
      <w:r w:rsidRPr="00EC2380">
        <w:rPr>
          <w:rFonts w:ascii="Times New Roman" w:hAnsi="Times New Roman"/>
          <w:iCs/>
          <w:sz w:val="24"/>
          <w:szCs w:val="24"/>
          <w:lang w:val="en-US"/>
        </w:rPr>
        <w:t>;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555B7928" w14:textId="570F9DC1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Prudential Standard G</w:t>
      </w:r>
      <w:r w:rsidRPr="00B414CB">
        <w:rPr>
          <w:rFonts w:ascii="Times New Roman" w:hAnsi="Times New Roman"/>
          <w:i/>
          <w:sz w:val="24"/>
        </w:rPr>
        <w:t xml:space="preserve">PS </w:t>
      </w:r>
      <w:r>
        <w:rPr>
          <w:rFonts w:ascii="Times New Roman" w:hAnsi="Times New Roman"/>
          <w:i/>
          <w:sz w:val="24"/>
        </w:rPr>
        <w:t>114</w:t>
      </w:r>
      <w:r w:rsidRPr="00B414CB">
        <w:rPr>
          <w:rFonts w:ascii="Times New Roman" w:hAnsi="Times New Roman"/>
          <w:i/>
          <w:sz w:val="24"/>
        </w:rPr>
        <w:t xml:space="preserve"> Capital Adequacy</w:t>
      </w:r>
      <w:r>
        <w:rPr>
          <w:rFonts w:ascii="Times New Roman" w:hAnsi="Times New Roman"/>
          <w:i/>
          <w:sz w:val="24"/>
        </w:rPr>
        <w:t>:</w:t>
      </w:r>
      <w:r w:rsidRPr="00124A40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686A28">
        <w:rPr>
          <w:rFonts w:ascii="Times New Roman" w:hAnsi="Times New Roman"/>
          <w:i/>
          <w:iCs/>
          <w:sz w:val="24"/>
          <w:szCs w:val="24"/>
          <w:lang w:val="en-US"/>
        </w:rPr>
        <w:t>Asset Risk Charge</w:t>
      </w:r>
      <w:r w:rsidR="00686A28" w:rsidRPr="00EC2380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56C8E28E" w14:textId="3562EE7B" w:rsidR="00124A40" w:rsidRPr="00124A40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115 Capital Adequacy: Insurance Risk Charge</w:t>
      </w:r>
      <w:r w:rsidRPr="00EC2380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680C27E2" w14:textId="51CB3720" w:rsidR="00124A40" w:rsidRPr="00686A28" w:rsidRDefault="00124A40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116 Capital Adequacy: Insurance Concentration Risk Charge</w:t>
      </w:r>
      <w:r w:rsidR="00686A28" w:rsidRPr="00FB1101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08A8E0F8" w14:textId="30C35F5C" w:rsidR="00686A28" w:rsidRPr="00686A28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lastRenderedPageBreak/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 w:rsidR="00FB1101">
        <w:rPr>
          <w:rFonts w:ascii="Times New Roman" w:hAnsi="Times New Roman"/>
          <w:i/>
          <w:iCs/>
          <w:sz w:val="24"/>
          <w:szCs w:val="24"/>
          <w:lang w:val="en-US"/>
        </w:rPr>
        <w:t>118 Capital Adequacy</w:t>
      </w:r>
      <w:r w:rsidR="00527CA3">
        <w:rPr>
          <w:rFonts w:ascii="Times New Roman" w:hAnsi="Times New Roman"/>
          <w:i/>
          <w:iCs/>
          <w:sz w:val="24"/>
          <w:szCs w:val="24"/>
          <w:lang w:val="en-US"/>
        </w:rPr>
        <w:t>: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Operational Risk Charge</w:t>
      </w:r>
      <w:r w:rsidRPr="00FB1101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49E06E6C" w14:textId="64B5791E" w:rsidR="00686A28" w:rsidRPr="00686A28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045CB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i/>
          <w:iCs/>
          <w:sz w:val="24"/>
          <w:szCs w:val="24"/>
          <w:lang w:val="en-US"/>
        </w:rPr>
        <w:t xml:space="preserve">GPS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120 Assets in Australia</w:t>
      </w:r>
      <w:r w:rsidR="00FB1101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4B4EA972" w14:textId="77777777" w:rsidR="00576825" w:rsidRPr="00784B9E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784B9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784B9E">
        <w:rPr>
          <w:rFonts w:ascii="Times New Roman" w:hAnsi="Times New Roman"/>
          <w:sz w:val="24"/>
          <w:szCs w:val="24"/>
        </w:rPr>
        <w:t xml:space="preserve"> 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>GPS 310 Audit and Related Matters</w:t>
      </w:r>
      <w:r w:rsidRPr="00784B9E">
        <w:rPr>
          <w:rFonts w:ascii="Times New Roman" w:hAnsi="Times New Roman"/>
          <w:iCs/>
          <w:sz w:val="24"/>
          <w:szCs w:val="24"/>
          <w:lang w:val="en-US"/>
        </w:rPr>
        <w:t>;</w:t>
      </w:r>
    </w:p>
    <w:p w14:paraId="1C3221E5" w14:textId="050ED67F" w:rsidR="00576825" w:rsidRPr="00784B9E" w:rsidRDefault="00576825" w:rsidP="00576825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784B9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784B9E">
        <w:rPr>
          <w:rFonts w:ascii="Times New Roman" w:hAnsi="Times New Roman"/>
          <w:sz w:val="24"/>
          <w:szCs w:val="24"/>
        </w:rPr>
        <w:t xml:space="preserve"> 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>HPS 310 Audit and Related Matters</w:t>
      </w:r>
      <w:r w:rsidRPr="00784B9E">
        <w:rPr>
          <w:rFonts w:ascii="Times New Roman" w:hAnsi="Times New Roman"/>
          <w:iCs/>
          <w:sz w:val="24"/>
          <w:szCs w:val="24"/>
          <w:lang w:val="en-US"/>
        </w:rPr>
        <w:t>; and</w:t>
      </w:r>
    </w:p>
    <w:p w14:paraId="4D62C1C8" w14:textId="38B2B576" w:rsidR="00686A28" w:rsidRPr="00784B9E" w:rsidRDefault="00686A28" w:rsidP="00124A40">
      <w:pPr>
        <w:numPr>
          <w:ilvl w:val="0"/>
          <w:numId w:val="12"/>
        </w:numPr>
        <w:jc w:val="both"/>
        <w:rPr>
          <w:rFonts w:ascii="Times New Roman" w:hAnsi="Times New Roman"/>
          <w:i/>
          <w:sz w:val="24"/>
        </w:rPr>
      </w:pPr>
      <w:r w:rsidRPr="00784B9E">
        <w:rPr>
          <w:rFonts w:ascii="Times New Roman" w:hAnsi="Times New Roman"/>
          <w:i/>
          <w:iCs/>
          <w:sz w:val="24"/>
          <w:szCs w:val="24"/>
        </w:rPr>
        <w:t>Prudential Standard</w:t>
      </w:r>
      <w:r w:rsidRPr="00784B9E">
        <w:rPr>
          <w:rFonts w:ascii="Times New Roman" w:hAnsi="Times New Roman"/>
          <w:sz w:val="24"/>
          <w:szCs w:val="24"/>
        </w:rPr>
        <w:t xml:space="preserve"> 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>LPS 700 Friendly Society Benefit Funds</w:t>
      </w:r>
      <w:r w:rsidRPr="00784B9E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784B9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</w:p>
    <w:p w14:paraId="0473DF09" w14:textId="77777777" w:rsidR="005200A8" w:rsidRPr="00784B9E" w:rsidRDefault="005200A8" w:rsidP="005200A8">
      <w:pPr>
        <w:jc w:val="both"/>
        <w:rPr>
          <w:rFonts w:ascii="Times New Roman" w:hAnsi="Times New Roman"/>
          <w:i/>
          <w:sz w:val="24"/>
        </w:rPr>
      </w:pPr>
    </w:p>
    <w:p w14:paraId="6E4D3F37" w14:textId="0B8F8AC9" w:rsidR="005200A8" w:rsidRPr="00045CBE" w:rsidRDefault="005200A8" w:rsidP="005200A8">
      <w:pPr>
        <w:pStyle w:val="Default"/>
        <w:jc w:val="both"/>
      </w:pPr>
      <w:r w:rsidRPr="00784B9E">
        <w:t>Where these standards refer to an Act,</w:t>
      </w:r>
      <w:r w:rsidRPr="00045CBE">
        <w:t xml:space="preserve"> Regulation or </w:t>
      </w:r>
      <w:r w:rsidR="00FE2514">
        <w:t>P</w:t>
      </w:r>
      <w:r w:rsidRPr="00045CBE">
        <w:t xml:space="preserve">rudential </w:t>
      </w:r>
      <w:r w:rsidR="00FE2514">
        <w:t>S</w:t>
      </w:r>
      <w:r w:rsidRPr="00045CBE">
        <w:t xml:space="preserve">tandard, this is a reference to the document as it exists from time to time, and which is available on the Federal Register of Legislation at </w:t>
      </w:r>
      <w:hyperlink r:id="rId14" w:history="1">
        <w:r w:rsidRPr="00045CBE">
          <w:rPr>
            <w:rStyle w:val="Hyperlink"/>
            <w:rFonts w:ascii="Times New Roman" w:hAnsi="Times New Roman"/>
            <w:sz w:val="24"/>
          </w:rPr>
          <w:t>www.legislation.gov.au</w:t>
        </w:r>
      </w:hyperlink>
      <w:r w:rsidRPr="00045CBE">
        <w:t>.</w:t>
      </w:r>
    </w:p>
    <w:p w14:paraId="34C9DBCC" w14:textId="77777777" w:rsidR="00CA2857" w:rsidRPr="00045CBE" w:rsidRDefault="00CA2857" w:rsidP="009D7325">
      <w:pPr>
        <w:spacing w:after="24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14:paraId="081A576F" w14:textId="77777777" w:rsidR="00A019DA" w:rsidRPr="00045CBE" w:rsidRDefault="00A019DA" w:rsidP="009D7325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Consultation</w:t>
      </w:r>
    </w:p>
    <w:p w14:paraId="50E21CDD" w14:textId="53FBEB47" w:rsidR="00EF753E" w:rsidRPr="00EF753E" w:rsidRDefault="000B4066" w:rsidP="00EF753E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bookmarkStart w:id="3" w:name="bkConsultation"/>
      <w:bookmarkEnd w:id="3"/>
      <w:r w:rsidRPr="00045CBE">
        <w:rPr>
          <w:rFonts w:ascii="Times New Roman" w:hAnsi="Times New Roman"/>
          <w:sz w:val="24"/>
          <w:szCs w:val="24"/>
        </w:rPr>
        <w:t xml:space="preserve">APRA undertook consultations on its </w:t>
      </w:r>
      <w:r w:rsidR="00EF753E">
        <w:rPr>
          <w:rFonts w:ascii="Times New Roman" w:hAnsi="Times New Roman"/>
          <w:sz w:val="24"/>
          <w:szCs w:val="24"/>
        </w:rPr>
        <w:t xml:space="preserve">proposed </w:t>
      </w:r>
      <w:r w:rsid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Prudential Standard CPS 32</w:t>
      </w:r>
      <w:r w:rsidR="00EF753E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0 </w:t>
      </w:r>
      <w:r w:rsidR="002F73E5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</w:t>
      </w:r>
      <w:r w:rsidR="002F73E5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ctuarial </w:t>
      </w:r>
      <w:r w:rsidR="002F73E5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>and</w:t>
      </w:r>
      <w:r w:rsidR="00EF753E" w:rsidRP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Related Matters</w:t>
      </w:r>
      <w:r w:rsidR="00EF753E"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 as part of its broader consultation on </w:t>
      </w:r>
      <w:r w:rsidR="00F20290">
        <w:rPr>
          <w:rFonts w:ascii="Times New Roman" w:eastAsia="Times New Roman" w:hAnsi="Times New Roman"/>
          <w:i/>
          <w:sz w:val="24"/>
          <w:szCs w:val="24"/>
          <w:lang w:eastAsia="en-AU"/>
        </w:rPr>
        <w:t>t</w:t>
      </w:r>
      <w:r w:rsidR="00EF753E" w:rsidRPr="001927DC">
        <w:rPr>
          <w:rFonts w:ascii="Times New Roman" w:eastAsia="Times New Roman" w:hAnsi="Times New Roman"/>
          <w:i/>
          <w:sz w:val="24"/>
          <w:szCs w:val="24"/>
          <w:lang w:eastAsia="en-AU"/>
        </w:rPr>
        <w:t>he</w:t>
      </w:r>
      <w:r w:rsidR="00EF753E" w:rsidRPr="00045CBE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 role of the Appointed Actuary and actuarial advice within insurers</w:t>
      </w:r>
      <w:r w:rsidR="00EF753E" w:rsidRPr="00EF753E">
        <w:rPr>
          <w:rFonts w:ascii="Times New Roman" w:eastAsia="Times New Roman" w:hAnsi="Times New Roman"/>
          <w:sz w:val="24"/>
          <w:szCs w:val="24"/>
          <w:lang w:eastAsia="en-AU"/>
        </w:rPr>
        <w:t>.</w:t>
      </w:r>
      <w:r w:rsidR="00EF753E">
        <w:rPr>
          <w:rFonts w:ascii="Times New Roman" w:eastAsia="Times New Roman" w:hAnsi="Times New Roman"/>
          <w:i/>
          <w:iCs/>
          <w:sz w:val="24"/>
          <w:szCs w:val="24"/>
          <w:lang w:eastAsia="en-AU"/>
        </w:rPr>
        <w:t xml:space="preserve"> </w:t>
      </w:r>
    </w:p>
    <w:p w14:paraId="0D7A3835" w14:textId="05B8DD17" w:rsidR="00EF753E" w:rsidRPr="00EF753E" w:rsidRDefault="00EF753E" w:rsidP="00EF753E">
      <w:pPr>
        <w:shd w:val="clear" w:color="auto" w:fill="FFFFFF"/>
        <w:spacing w:before="100" w:beforeAutospacing="1"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The consequential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amendments which the Instruments give effect to</w:t>
      </w:r>
      <w:r w:rsidR="00FE2514"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>were foreshadowed</w:t>
      </w:r>
      <w:r w:rsidR="00E45AFC">
        <w:rPr>
          <w:rFonts w:ascii="Times New Roman" w:eastAsia="Times New Roman" w:hAnsi="Times New Roman"/>
          <w:sz w:val="24"/>
          <w:szCs w:val="24"/>
          <w:lang w:eastAsia="en-AU"/>
        </w:rPr>
        <w:t xml:space="preserve"> as part of this consultation.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As the changes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are</w:t>
      </w:r>
      <w:r w:rsidR="00FE2514"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minor </w:t>
      </w:r>
      <w:r w:rsidR="00A76663">
        <w:rPr>
          <w:rFonts w:ascii="Times New Roman" w:eastAsia="Times New Roman" w:hAnsi="Times New Roman"/>
          <w:sz w:val="24"/>
          <w:szCs w:val="24"/>
          <w:lang w:eastAsia="en-AU"/>
        </w:rPr>
        <w:t>and machinery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 xml:space="preserve">,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APRA did not undertake consultation on the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 xml:space="preserve">specific </w:t>
      </w:r>
      <w:r w:rsidRPr="00EF753E">
        <w:rPr>
          <w:rFonts w:ascii="Times New Roman" w:eastAsia="Times New Roman" w:hAnsi="Times New Roman"/>
          <w:sz w:val="24"/>
          <w:szCs w:val="24"/>
          <w:lang w:eastAsia="en-AU"/>
        </w:rPr>
        <w:t xml:space="preserve">proposed </w:t>
      </w:r>
      <w:r w:rsidR="00FE2514">
        <w:rPr>
          <w:rFonts w:ascii="Times New Roman" w:eastAsia="Times New Roman" w:hAnsi="Times New Roman"/>
          <w:sz w:val="24"/>
          <w:szCs w:val="24"/>
          <w:lang w:eastAsia="en-AU"/>
        </w:rPr>
        <w:t>amendments</w:t>
      </w:r>
      <w:r w:rsidR="00F20290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16E07AE7" w14:textId="77777777" w:rsidR="00A019DA" w:rsidRPr="00045CBE" w:rsidRDefault="00A019DA" w:rsidP="009D7325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Regulation Impact Statement</w:t>
      </w:r>
    </w:p>
    <w:p w14:paraId="09A2C266" w14:textId="7552F136" w:rsidR="00E45AFC" w:rsidRPr="00045CBE" w:rsidRDefault="00E45AFC" w:rsidP="009D732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A Regulation Impact Statement 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is not required </w:t>
      </w:r>
      <w:r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for the 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>machinery and minor</w:t>
      </w:r>
      <w:r w:rsidRPr="00913FA1">
        <w:rPr>
          <w:rFonts w:ascii="Times New Roman" w:eastAsia="Times New Roman" w:hAnsi="Times New Roman"/>
          <w:sz w:val="24"/>
          <w:szCs w:val="24"/>
          <w:lang w:eastAsia="en-AU"/>
        </w:rPr>
        <w:t xml:space="preserve"> changes describe</w:t>
      </w:r>
      <w:r w:rsidR="00913FA1" w:rsidRPr="00913FA1">
        <w:rPr>
          <w:rFonts w:ascii="Times New Roman" w:eastAsia="Times New Roman" w:hAnsi="Times New Roman"/>
          <w:sz w:val="24"/>
          <w:szCs w:val="24"/>
          <w:lang w:eastAsia="en-AU"/>
        </w:rPr>
        <w:t>d in this explanatory statement.</w:t>
      </w:r>
    </w:p>
    <w:p w14:paraId="36F7B320" w14:textId="77777777" w:rsidR="00A92F79" w:rsidRPr="00045CBE" w:rsidRDefault="00A92F79" w:rsidP="009D7325">
      <w:pPr>
        <w:pStyle w:val="Heading"/>
        <w:numPr>
          <w:ilvl w:val="0"/>
          <w:numId w:val="2"/>
        </w:numPr>
        <w:spacing w:before="0" w:after="240"/>
        <w:jc w:val="both"/>
        <w:rPr>
          <w:rFonts w:cs="Times New Roman"/>
          <w:i/>
          <w:sz w:val="24"/>
          <w:szCs w:val="24"/>
        </w:rPr>
      </w:pPr>
      <w:r w:rsidRPr="00045CBE">
        <w:rPr>
          <w:rFonts w:cs="Times New Roman"/>
          <w:sz w:val="24"/>
          <w:szCs w:val="24"/>
        </w:rPr>
        <w:t xml:space="preserve">Statement of compatibility prepared in accordance with Part 3 of the </w:t>
      </w:r>
      <w:r w:rsidRPr="00045CBE">
        <w:rPr>
          <w:rFonts w:cs="Times New Roman"/>
          <w:i/>
          <w:sz w:val="24"/>
          <w:szCs w:val="24"/>
        </w:rPr>
        <w:t>Human Rights (Parliamentary Scrutiny) Act 2011</w:t>
      </w:r>
    </w:p>
    <w:p w14:paraId="20668869" w14:textId="4DEF73FD" w:rsidR="00C7033B" w:rsidRPr="00045CBE" w:rsidRDefault="00A92F79" w:rsidP="00740ABA">
      <w:pPr>
        <w:pStyle w:val="Heading"/>
        <w:spacing w:before="0" w:after="240"/>
        <w:jc w:val="both"/>
        <w:rPr>
          <w:rFonts w:cs="Times New Roman"/>
          <w:b w:val="0"/>
          <w:kern w:val="0"/>
          <w:sz w:val="24"/>
          <w:szCs w:val="24"/>
          <w:lang w:val="en-GB"/>
        </w:rPr>
      </w:pPr>
      <w:r w:rsidRPr="00045CBE">
        <w:rPr>
          <w:rFonts w:cs="Times New Roman"/>
          <w:b w:val="0"/>
          <w:kern w:val="0"/>
          <w:sz w:val="24"/>
          <w:szCs w:val="24"/>
          <w:lang w:val="en-GB"/>
        </w:rPr>
        <w:t xml:space="preserve">A Statement of compatibility prepared in accordance with Part 3 of the </w:t>
      </w:r>
      <w:r w:rsidRPr="00045CBE">
        <w:rPr>
          <w:rFonts w:cs="Times New Roman"/>
          <w:b w:val="0"/>
          <w:i/>
          <w:sz w:val="24"/>
          <w:szCs w:val="24"/>
          <w:lang w:val="en-GB"/>
        </w:rPr>
        <w:t>Human Rights (Parliamentary Scrutiny) Act 2011</w:t>
      </w:r>
      <w:r w:rsidRPr="00045CBE">
        <w:rPr>
          <w:rFonts w:cs="Times New Roman"/>
          <w:b w:val="0"/>
          <w:kern w:val="0"/>
          <w:sz w:val="24"/>
          <w:szCs w:val="24"/>
          <w:lang w:val="en-GB"/>
        </w:rPr>
        <w:t xml:space="preserve"> is provided at Attachment A to this Explanatory Statement.</w:t>
      </w:r>
    </w:p>
    <w:p w14:paraId="188BDD05" w14:textId="77777777" w:rsidR="00C67094" w:rsidRPr="00045CBE" w:rsidRDefault="008B2660" w:rsidP="00B321B0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sz w:val="24"/>
          <w:szCs w:val="24"/>
          <w:lang w:eastAsia="en-AU"/>
        </w:rPr>
        <w:br w:type="page"/>
      </w:r>
    </w:p>
    <w:p w14:paraId="48AAB71F" w14:textId="77777777" w:rsidR="00A92F79" w:rsidRPr="00045CBE" w:rsidRDefault="00A92F79" w:rsidP="00041B8A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045CBE">
        <w:rPr>
          <w:rFonts w:cs="Times New Roman"/>
          <w:sz w:val="24"/>
          <w:szCs w:val="24"/>
          <w:lang w:val="en-GB"/>
        </w:rPr>
        <w:lastRenderedPageBreak/>
        <w:t>ATTACHMENT A</w:t>
      </w:r>
    </w:p>
    <w:p w14:paraId="584003D7" w14:textId="77777777" w:rsidR="00A92F79" w:rsidRPr="00045CBE" w:rsidRDefault="00A92F79" w:rsidP="00B321B0">
      <w:pPr>
        <w:pStyle w:val="Heading"/>
        <w:keepNext w:val="0"/>
        <w:spacing w:before="0" w:after="240"/>
        <w:jc w:val="center"/>
        <w:rPr>
          <w:rFonts w:cs="Times New Roman"/>
          <w:sz w:val="24"/>
          <w:szCs w:val="24"/>
        </w:rPr>
      </w:pPr>
      <w:r w:rsidRPr="00045CBE">
        <w:rPr>
          <w:rFonts w:cs="Times New Roman"/>
          <w:sz w:val="24"/>
          <w:szCs w:val="24"/>
        </w:rPr>
        <w:t>Statement of Compatibility with Human Rights</w:t>
      </w:r>
    </w:p>
    <w:p w14:paraId="2AE0384E" w14:textId="77777777" w:rsidR="00A92F79" w:rsidRPr="00045CBE" w:rsidRDefault="00A92F79" w:rsidP="00740ABA">
      <w:pPr>
        <w:pStyle w:val="Heading1"/>
        <w:spacing w:after="24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045CBE">
        <w:rPr>
          <w:rFonts w:ascii="Times New Roman" w:hAnsi="Times New Roman"/>
          <w:b w:val="0"/>
          <w:sz w:val="24"/>
          <w:szCs w:val="24"/>
        </w:rPr>
        <w:t xml:space="preserve">Prepared in accordance with Part 3 of the </w:t>
      </w:r>
      <w:r w:rsidRPr="00045CBE">
        <w:rPr>
          <w:rFonts w:ascii="Times New Roman" w:hAnsi="Times New Roman"/>
          <w:b w:val="0"/>
          <w:i/>
          <w:sz w:val="24"/>
          <w:szCs w:val="24"/>
        </w:rPr>
        <w:t>Human Rights (Parliamentary Scrutiny) Act 2011</w:t>
      </w:r>
    </w:p>
    <w:p w14:paraId="76DCE312" w14:textId="4D5EDB35" w:rsidR="00C33347" w:rsidRPr="00045CBE" w:rsidRDefault="00DC5143" w:rsidP="00041B8A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Banking, </w:t>
      </w:r>
      <w:r w:rsidR="0084435E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Insurance, Life Insurance and Health</w:t>
      </w:r>
      <w:r w:rsidR="00C33347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Insurance (prudential standard) determination</w:t>
      </w:r>
      <w:r w:rsidR="00E03D4C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C33347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0565C4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No</w:t>
      </w:r>
      <w:r w:rsidR="00D91019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="000565C4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782F3F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91019" w:rsidRPr="00784B9E">
        <w:rPr>
          <w:rFonts w:ascii="Times New Roman" w:hAnsi="Times New Roman"/>
          <w:b/>
          <w:sz w:val="24"/>
          <w:szCs w:val="24"/>
          <w:lang w:val="en-US"/>
        </w:rPr>
        <w:t>1 and 2</w:t>
      </w:r>
      <w:r w:rsidR="00C33347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of 2</w:t>
      </w: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019</w:t>
      </w:r>
    </w:p>
    <w:p w14:paraId="2A842B7B" w14:textId="7C127094" w:rsidR="000565C4" w:rsidRPr="00045CBE" w:rsidRDefault="000565C4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Insurance (prudential standard) determination</w:t>
      </w:r>
      <w:r w:rsidR="00BC650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No</w:t>
      </w:r>
      <w:r w:rsidR="00BC650B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s</w:t>
      </w:r>
      <w:r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782F3F" w:rsidRPr="00B20C58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91019" w:rsidRPr="00B94A4B">
        <w:rPr>
          <w:rFonts w:ascii="Times New Roman" w:hAnsi="Times New Roman"/>
          <w:b/>
          <w:sz w:val="24"/>
          <w:szCs w:val="24"/>
          <w:lang w:val="en-US"/>
        </w:rPr>
        <w:t>1 to 9</w:t>
      </w:r>
      <w:r w:rsidR="00E45AFC" w:rsidRPr="00B20C58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C5143"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of</w:t>
      </w:r>
      <w:r w:rsidR="00DC5143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2019</w:t>
      </w:r>
    </w:p>
    <w:p w14:paraId="2B84E739" w14:textId="3E2888A6" w:rsidR="000565C4" w:rsidRDefault="000565C4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Life Insurance (prudential standard) determination No</w:t>
      </w:r>
      <w:r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>.</w:t>
      </w:r>
      <w:r w:rsidR="00782F3F" w:rsidRPr="00D91019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="00D91019" w:rsidRPr="00B94A4B">
        <w:rPr>
          <w:rFonts w:ascii="Times New Roman" w:hAnsi="Times New Roman"/>
          <w:b/>
          <w:sz w:val="24"/>
          <w:szCs w:val="24"/>
          <w:lang w:val="en-US"/>
        </w:rPr>
        <w:t>1</w:t>
      </w:r>
      <w:r w:rsidR="00D91019"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 xml:space="preserve"> </w:t>
      </w:r>
      <w:r w:rsidRPr="00045CBE">
        <w:rPr>
          <w:rFonts w:ascii="Times New Roman" w:eastAsia="Times New Roman" w:hAnsi="Times New Roman"/>
          <w:b/>
          <w:sz w:val="24"/>
          <w:szCs w:val="24"/>
          <w:lang w:eastAsia="en-AU"/>
        </w:rPr>
        <w:t>of 201</w:t>
      </w:r>
      <w:r w:rsidR="00C03DDD">
        <w:rPr>
          <w:rFonts w:ascii="Times New Roman" w:eastAsia="Times New Roman" w:hAnsi="Times New Roman"/>
          <w:b/>
          <w:sz w:val="24"/>
          <w:szCs w:val="24"/>
          <w:lang w:eastAsia="en-AU"/>
        </w:rPr>
        <w:t>9</w:t>
      </w:r>
    </w:p>
    <w:p w14:paraId="6938425D" w14:textId="5B9AE7AC" w:rsidR="00C03DDD" w:rsidRPr="00045CBE" w:rsidRDefault="00C03DDD" w:rsidP="000565C4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sz w:val="24"/>
          <w:szCs w:val="24"/>
          <w:lang w:eastAsia="en-AU"/>
        </w:rPr>
        <w:t>Health Insurance (prudential standard) determination No. 1 of 2019</w:t>
      </w:r>
    </w:p>
    <w:p w14:paraId="13002878" w14:textId="51E8920A" w:rsidR="00A92F79" w:rsidRPr="00045CBE" w:rsidRDefault="000565C4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>These</w:t>
      </w:r>
      <w:r w:rsidR="00A92F79" w:rsidRPr="00045CBE">
        <w:rPr>
          <w:rFonts w:ascii="Times New Roman" w:hAnsi="Times New Roman"/>
          <w:sz w:val="24"/>
          <w:szCs w:val="24"/>
        </w:rPr>
        <w:t xml:space="preserve"> Legislative Instrument</w:t>
      </w:r>
      <w:r w:rsidRPr="00045CBE">
        <w:rPr>
          <w:rFonts w:ascii="Times New Roman" w:hAnsi="Times New Roman"/>
          <w:sz w:val="24"/>
          <w:szCs w:val="24"/>
        </w:rPr>
        <w:t>s are</w:t>
      </w:r>
      <w:r w:rsidR="00A92F79" w:rsidRPr="00045CBE">
        <w:rPr>
          <w:rFonts w:ascii="Times New Roman" w:hAnsi="Times New Roman"/>
          <w:sz w:val="24"/>
          <w:szCs w:val="24"/>
        </w:rPr>
        <w:t xml:space="preserve"> compatible with the human rights and freedoms recognised or declared in the international instrument listed in section 3 of the </w:t>
      </w:r>
      <w:r w:rsidR="00A92F79" w:rsidRPr="00045CBE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="00A92F79" w:rsidRPr="00045CBE">
        <w:rPr>
          <w:rFonts w:ascii="Times New Roman" w:hAnsi="Times New Roman"/>
          <w:sz w:val="24"/>
          <w:szCs w:val="24"/>
        </w:rPr>
        <w:t xml:space="preserve"> (HRPS Act)</w:t>
      </w:r>
      <w:r w:rsidR="00B60C5A" w:rsidRPr="00045CBE">
        <w:rPr>
          <w:rFonts w:ascii="Times New Roman" w:hAnsi="Times New Roman"/>
          <w:sz w:val="24"/>
          <w:szCs w:val="24"/>
        </w:rPr>
        <w:t>.</w:t>
      </w:r>
    </w:p>
    <w:p w14:paraId="081D520C" w14:textId="6AE198B4" w:rsidR="00A92F79" w:rsidRPr="00045CBE" w:rsidRDefault="00A92F79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Overview of the Legislative Instrument</w:t>
      </w:r>
      <w:r w:rsidR="00FE04DC" w:rsidRPr="00045CBE">
        <w:rPr>
          <w:rFonts w:ascii="Times New Roman" w:hAnsi="Times New Roman"/>
          <w:b/>
          <w:sz w:val="24"/>
          <w:szCs w:val="24"/>
        </w:rPr>
        <w:t>s</w:t>
      </w:r>
    </w:p>
    <w:p w14:paraId="5B160DCF" w14:textId="1E375BD7" w:rsidR="000565C4" w:rsidRPr="00045CBE" w:rsidRDefault="000565C4" w:rsidP="000565C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The purpose of these instruments is to </w:t>
      </w:r>
      <w:r w:rsidR="00FB5DA6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make consequential </w:t>
      </w:r>
      <w:r w:rsid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changes to </w:t>
      </w:r>
      <w:r w:rsidR="00745847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prudential standards </w:t>
      </w:r>
      <w:r w:rsid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="00745847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reflect the introduction of </w:t>
      </w:r>
      <w:r w:rsidR="00FB5DA6" w:rsidRPr="00B94A4B">
        <w:rPr>
          <w:rFonts w:ascii="Times New Roman" w:eastAsia="Times New Roman" w:hAnsi="Times New Roman"/>
          <w:sz w:val="24"/>
          <w:szCs w:val="24"/>
          <w:lang w:eastAsia="en-AU"/>
        </w:rPr>
        <w:t>CPS 320 and GPS 340</w:t>
      </w:r>
      <w:r w:rsidR="00F13364">
        <w:rPr>
          <w:rFonts w:ascii="Times New Roman" w:eastAsia="Times New Roman" w:hAnsi="Times New Roman"/>
          <w:sz w:val="24"/>
          <w:szCs w:val="24"/>
          <w:lang w:eastAsia="en-AU"/>
        </w:rPr>
        <w:t xml:space="preserve"> and to make other practical minor and machinery updates</w:t>
      </w:r>
      <w:r w:rsidR="00FB5DA6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E6498C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AC01A0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Instruments </w:t>
      </w:r>
      <w:r w:rsidR="00124F24">
        <w:rPr>
          <w:rFonts w:ascii="Times New Roman" w:eastAsia="Times New Roman" w:hAnsi="Times New Roman"/>
          <w:sz w:val="24"/>
          <w:szCs w:val="24"/>
          <w:lang w:eastAsia="en-AU"/>
        </w:rPr>
        <w:t xml:space="preserve">update </w:t>
      </w:r>
      <w:r w:rsidR="00E6498C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references to the </w:t>
      </w:r>
      <w:r w:rsidR="00124F24">
        <w:rPr>
          <w:rFonts w:ascii="Times New Roman" w:eastAsia="Times New Roman" w:hAnsi="Times New Roman"/>
          <w:sz w:val="24"/>
          <w:szCs w:val="24"/>
          <w:lang w:eastAsia="en-AU"/>
        </w:rPr>
        <w:t>new</w:t>
      </w:r>
      <w:r w:rsidR="00AC01A0" w:rsidRPr="00B94A4B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124F24">
        <w:rPr>
          <w:rFonts w:ascii="Times New Roman" w:eastAsia="Times New Roman" w:hAnsi="Times New Roman"/>
          <w:sz w:val="24"/>
          <w:szCs w:val="24"/>
          <w:lang w:eastAsia="en-AU"/>
        </w:rPr>
        <w:t xml:space="preserve">prudential standards </w:t>
      </w:r>
      <w:r w:rsidR="00E6498C">
        <w:rPr>
          <w:rFonts w:ascii="Times New Roman" w:eastAsia="Times New Roman" w:hAnsi="Times New Roman"/>
          <w:sz w:val="24"/>
          <w:szCs w:val="24"/>
          <w:lang w:eastAsia="en-AU"/>
        </w:rPr>
        <w:t xml:space="preserve">and change references from the Insurance 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>Liability</w:t>
      </w:r>
      <w:r w:rsidR="00E6498C">
        <w:rPr>
          <w:rFonts w:ascii="Times New Roman" w:eastAsia="Times New Roman" w:hAnsi="Times New Roman"/>
          <w:sz w:val="24"/>
          <w:szCs w:val="24"/>
          <w:lang w:eastAsia="en-AU"/>
        </w:rPr>
        <w:t xml:space="preserve"> Valuation Report to the Actuarial Valuation Report.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A76663">
        <w:rPr>
          <w:rFonts w:ascii="Times New Roman" w:eastAsia="Times New Roman" w:hAnsi="Times New Roman"/>
          <w:sz w:val="24"/>
          <w:szCs w:val="24"/>
          <w:lang w:eastAsia="en-AU"/>
        </w:rPr>
        <w:t xml:space="preserve">The Instruments also streamline clauses regarding exercises of discretion by APRA under previous 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prudential standards, delete outdated transitional provisions and </w:t>
      </w:r>
      <w:r w:rsidR="00F13364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correct typographical errors. 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Three minor practical changes have also been 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make 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to </w:t>
      </w:r>
      <w:r w:rsidR="00A76663" w:rsidRPr="003C18E8">
        <w:rPr>
          <w:rFonts w:ascii="Times New Roman" w:hAnsi="Times New Roman"/>
          <w:i/>
          <w:iCs/>
          <w:sz w:val="24"/>
          <w:szCs w:val="24"/>
        </w:rPr>
        <w:t>Prudential Standard</w:t>
      </w:r>
      <w:r w:rsidR="00A76663" w:rsidRPr="003C18E8">
        <w:rPr>
          <w:rFonts w:ascii="Times New Roman" w:hAnsi="Times New Roman"/>
          <w:sz w:val="24"/>
          <w:szCs w:val="24"/>
        </w:rPr>
        <w:t xml:space="preserve"> </w:t>
      </w:r>
      <w:r w:rsidR="00A76663" w:rsidRPr="003C18E8">
        <w:rPr>
          <w:rFonts w:ascii="Times New Roman" w:hAnsi="Times New Roman"/>
          <w:i/>
          <w:iCs/>
          <w:sz w:val="24"/>
          <w:szCs w:val="24"/>
          <w:lang w:val="en-US"/>
        </w:rPr>
        <w:t>GPS 116 Capital Adequacy: Insurance Concentration Risk Charge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 to 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>u</w:t>
      </w:r>
      <w:r w:rsidR="003C18E8" w:rsidRPr="003C18E8">
        <w:rPr>
          <w:rFonts w:ascii="Times New Roman" w:eastAsia="Times New Roman" w:hAnsi="Times New Roman"/>
          <w:sz w:val="24"/>
          <w:szCs w:val="24"/>
          <w:lang w:eastAsia="en-AU"/>
        </w:rPr>
        <w:t>pdate definitions</w:t>
      </w:r>
      <w:r w:rsidR="00124F24" w:rsidRPr="003C18E8">
        <w:rPr>
          <w:rFonts w:ascii="Times New Roman" w:eastAsia="Times New Roman" w:hAnsi="Times New Roman"/>
          <w:sz w:val="24"/>
          <w:szCs w:val="24"/>
          <w:lang w:eastAsia="en-AU"/>
        </w:rPr>
        <w:t>, clarify reporting periods and preserve reporting requirements for Group Actuaries of a Level 2 insurance group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. </w:t>
      </w:r>
      <w:r w:rsidR="002F73E5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="00A76663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amendments effected by the Instruments </w:t>
      </w:r>
      <w:r w:rsidR="002F73E5" w:rsidRPr="003C18E8">
        <w:rPr>
          <w:rFonts w:ascii="Times New Roman" w:eastAsia="Times New Roman" w:hAnsi="Times New Roman"/>
          <w:sz w:val="24"/>
          <w:szCs w:val="24"/>
          <w:lang w:eastAsia="en-AU"/>
        </w:rPr>
        <w:t>form</w:t>
      </w:r>
      <w:r w:rsidR="00FB5DA6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 part of </w:t>
      </w:r>
      <w:r w:rsidR="00E6498C" w:rsidRPr="003C18E8">
        <w:rPr>
          <w:rFonts w:ascii="Times New Roman" w:eastAsia="Times New Roman" w:hAnsi="Times New Roman"/>
          <w:sz w:val="24"/>
          <w:szCs w:val="24"/>
          <w:lang w:eastAsia="en-AU"/>
        </w:rPr>
        <w:t>a</w:t>
      </w:r>
      <w:r w:rsidR="00FB5DA6" w:rsidRPr="003C18E8">
        <w:rPr>
          <w:rFonts w:ascii="Times New Roman" w:eastAsia="Times New Roman" w:hAnsi="Times New Roman"/>
          <w:sz w:val="24"/>
          <w:szCs w:val="24"/>
          <w:lang w:eastAsia="en-AU"/>
        </w:rPr>
        <w:t xml:space="preserve"> broader</w:t>
      </w:r>
      <w:r w:rsidR="00FB5DA6">
        <w:rPr>
          <w:rFonts w:ascii="Times New Roman" w:eastAsia="Times New Roman" w:hAnsi="Times New Roman"/>
          <w:sz w:val="24"/>
          <w:szCs w:val="24"/>
          <w:lang w:eastAsia="en-AU"/>
        </w:rPr>
        <w:t xml:space="preserve"> review of the 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>actuarial pru</w:t>
      </w:r>
      <w:r w:rsidR="00E6498C">
        <w:rPr>
          <w:rFonts w:ascii="Times New Roman" w:eastAsia="Times New Roman" w:hAnsi="Times New Roman"/>
          <w:sz w:val="24"/>
          <w:szCs w:val="24"/>
          <w:lang w:eastAsia="en-AU"/>
        </w:rPr>
        <w:t>dential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 xml:space="preserve"> framework 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 xml:space="preserve">designed 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 xml:space="preserve">to ensure </w:t>
      </w:r>
      <w:r w:rsidR="00A76663">
        <w:rPr>
          <w:rFonts w:ascii="Times New Roman" w:eastAsia="Times New Roman" w:hAnsi="Times New Roman"/>
          <w:sz w:val="24"/>
          <w:szCs w:val="24"/>
          <w:lang w:eastAsia="en-AU"/>
        </w:rPr>
        <w:t>CPS 320 and GPS 340</w:t>
      </w:r>
      <w:r w:rsidR="002F73E5">
        <w:rPr>
          <w:rFonts w:ascii="Times New Roman" w:eastAsia="Times New Roman" w:hAnsi="Times New Roman"/>
          <w:sz w:val="24"/>
          <w:szCs w:val="24"/>
          <w:lang w:eastAsia="en-AU"/>
        </w:rPr>
        <w:t xml:space="preserve"> remain</w:t>
      </w:r>
      <w:r w:rsidR="00D02988">
        <w:rPr>
          <w:rFonts w:ascii="Times New Roman" w:eastAsia="Times New Roman" w:hAnsi="Times New Roman"/>
          <w:sz w:val="24"/>
          <w:szCs w:val="24"/>
          <w:lang w:eastAsia="en-AU"/>
        </w:rPr>
        <w:t xml:space="preserve"> fit for purpose.</w:t>
      </w:r>
      <w:r w:rsidR="00FB5DA6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</w:p>
    <w:p w14:paraId="30EC27F3" w14:textId="77777777" w:rsidR="00A92F79" w:rsidRPr="00045CBE" w:rsidRDefault="00A92F79" w:rsidP="00740ABA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Human rights implications</w:t>
      </w:r>
    </w:p>
    <w:p w14:paraId="6EC55F3B" w14:textId="3C61D39D" w:rsidR="00A92F79" w:rsidRPr="00045CBE" w:rsidRDefault="00A92F79" w:rsidP="00217CED">
      <w:pPr>
        <w:spacing w:after="240"/>
        <w:jc w:val="both"/>
        <w:rPr>
          <w:rFonts w:ascii="Times New Roman" w:eastAsia="Times New Roman" w:hAnsi="Times New Roman"/>
          <w:i/>
          <w:iCs/>
          <w:sz w:val="24"/>
          <w:szCs w:val="24"/>
          <w:lang w:eastAsia="en-AU"/>
        </w:rPr>
      </w:pPr>
      <w:r w:rsidRPr="00045CBE">
        <w:rPr>
          <w:rFonts w:ascii="Times New Roman" w:hAnsi="Times New Roman"/>
          <w:sz w:val="24"/>
          <w:szCs w:val="24"/>
        </w:rPr>
        <w:lastRenderedPageBreak/>
        <w:t>APRA has assessed the instrument</w:t>
      </w:r>
      <w:r w:rsidR="00FE04DC" w:rsidRPr="00045CBE">
        <w:rPr>
          <w:rFonts w:ascii="Times New Roman" w:hAnsi="Times New Roman"/>
          <w:sz w:val="24"/>
          <w:szCs w:val="24"/>
        </w:rPr>
        <w:t>s</w:t>
      </w:r>
      <w:r w:rsidRPr="00045CBE">
        <w:rPr>
          <w:rFonts w:ascii="Times New Roman" w:hAnsi="Times New Roman"/>
          <w:sz w:val="24"/>
          <w:szCs w:val="24"/>
        </w:rPr>
        <w:t xml:space="preserve"> against the international instruments listed in section 3 of the HRPS Act and </w:t>
      </w:r>
      <w:r w:rsidR="00FE04DC" w:rsidRPr="00045CBE">
        <w:rPr>
          <w:rFonts w:ascii="Times New Roman" w:hAnsi="Times New Roman"/>
          <w:sz w:val="24"/>
          <w:szCs w:val="24"/>
        </w:rPr>
        <w:t xml:space="preserve">has </w:t>
      </w:r>
      <w:r w:rsidRPr="00045CBE">
        <w:rPr>
          <w:rFonts w:ascii="Times New Roman" w:hAnsi="Times New Roman"/>
          <w:sz w:val="24"/>
          <w:szCs w:val="24"/>
        </w:rPr>
        <w:t xml:space="preserve">determined that </w:t>
      </w:r>
      <w:r w:rsidR="00FE04DC" w:rsidRPr="00045CBE">
        <w:rPr>
          <w:rFonts w:ascii="Times New Roman" w:hAnsi="Times New Roman"/>
          <w:sz w:val="24"/>
          <w:szCs w:val="24"/>
        </w:rPr>
        <w:t>the instruments do</w:t>
      </w:r>
      <w:r w:rsidR="002249BD" w:rsidRPr="00045CBE">
        <w:rPr>
          <w:rFonts w:ascii="Times New Roman" w:hAnsi="Times New Roman"/>
          <w:sz w:val="24"/>
          <w:szCs w:val="24"/>
        </w:rPr>
        <w:t xml:space="preserve"> not engage </w:t>
      </w:r>
      <w:r w:rsidR="002249BD" w:rsidRPr="00045CBE">
        <w:rPr>
          <w:rFonts w:ascii="Times New Roman" w:eastAsia="Times New Roman" w:hAnsi="Times New Roman"/>
          <w:sz w:val="24"/>
          <w:szCs w:val="24"/>
          <w:lang w:eastAsia="en-AU"/>
        </w:rPr>
        <w:t>any of the applicable rights or freedoms</w:t>
      </w:r>
      <w:r w:rsidR="00B60C5A" w:rsidRPr="00045CBE">
        <w:rPr>
          <w:rFonts w:ascii="Times New Roman" w:eastAsia="Times New Roman" w:hAnsi="Times New Roman"/>
          <w:sz w:val="24"/>
          <w:szCs w:val="24"/>
          <w:lang w:eastAsia="en-AU"/>
        </w:rPr>
        <w:t>.</w:t>
      </w:r>
    </w:p>
    <w:p w14:paraId="24E33EFD" w14:textId="77777777" w:rsidR="00A92F79" w:rsidRPr="00045CBE" w:rsidRDefault="00A92F79" w:rsidP="00F83148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 w:rsidRPr="00045CBE">
        <w:rPr>
          <w:rFonts w:ascii="Times New Roman" w:hAnsi="Times New Roman"/>
          <w:b/>
          <w:sz w:val="24"/>
          <w:szCs w:val="24"/>
        </w:rPr>
        <w:t>Conclusion</w:t>
      </w:r>
    </w:p>
    <w:p w14:paraId="3CF440C2" w14:textId="0500B834" w:rsidR="00A92F79" w:rsidRPr="00045CBE" w:rsidRDefault="00FE04DC" w:rsidP="00451286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45CBE">
        <w:rPr>
          <w:rFonts w:ascii="Times New Roman" w:hAnsi="Times New Roman"/>
          <w:sz w:val="24"/>
          <w:szCs w:val="24"/>
        </w:rPr>
        <w:t xml:space="preserve">These </w:t>
      </w:r>
      <w:r w:rsidR="00B60C5A" w:rsidRPr="00045CBE">
        <w:rPr>
          <w:rFonts w:ascii="Times New Roman" w:hAnsi="Times New Roman"/>
          <w:sz w:val="24"/>
          <w:szCs w:val="24"/>
        </w:rPr>
        <w:t>Legislative Instrument</w:t>
      </w:r>
      <w:r w:rsidRPr="00045CBE">
        <w:rPr>
          <w:rFonts w:ascii="Times New Roman" w:hAnsi="Times New Roman"/>
          <w:sz w:val="24"/>
          <w:szCs w:val="24"/>
        </w:rPr>
        <w:t>s</w:t>
      </w:r>
      <w:r w:rsidR="00A92F79"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t xml:space="preserve">are </w:t>
      </w:r>
      <w:r w:rsidR="00A92F79" w:rsidRPr="00045CBE">
        <w:rPr>
          <w:rFonts w:ascii="Times New Roman" w:hAnsi="Times New Roman"/>
          <w:sz w:val="24"/>
          <w:szCs w:val="24"/>
        </w:rPr>
        <w:t xml:space="preserve">compatible with human rights </w:t>
      </w:r>
      <w:r w:rsidR="00B60C5A" w:rsidRPr="00045CBE">
        <w:rPr>
          <w:rFonts w:ascii="Times New Roman" w:hAnsi="Times New Roman"/>
          <w:sz w:val="24"/>
          <w:szCs w:val="24"/>
        </w:rPr>
        <w:t>as</w:t>
      </w:r>
      <w:r w:rsidR="00A92F79" w:rsidRPr="00045CBE">
        <w:rPr>
          <w:rFonts w:ascii="Times New Roman" w:hAnsi="Times New Roman"/>
          <w:sz w:val="24"/>
          <w:szCs w:val="24"/>
        </w:rPr>
        <w:t xml:space="preserve"> </w:t>
      </w:r>
      <w:r w:rsidRPr="00045CBE">
        <w:rPr>
          <w:rFonts w:ascii="Times New Roman" w:hAnsi="Times New Roman"/>
          <w:sz w:val="24"/>
          <w:szCs w:val="24"/>
        </w:rPr>
        <w:t xml:space="preserve">they </w:t>
      </w:r>
      <w:r w:rsidR="00E454F2" w:rsidRPr="00045CBE">
        <w:rPr>
          <w:rFonts w:ascii="Times New Roman" w:hAnsi="Times New Roman"/>
          <w:sz w:val="24"/>
          <w:szCs w:val="24"/>
        </w:rPr>
        <w:t xml:space="preserve">do not </w:t>
      </w:r>
      <w:r w:rsidR="00B60C5A" w:rsidRPr="00045CBE">
        <w:rPr>
          <w:rFonts w:ascii="Times New Roman" w:hAnsi="Times New Roman"/>
          <w:sz w:val="24"/>
          <w:szCs w:val="24"/>
        </w:rPr>
        <w:t>raise any</w:t>
      </w:r>
      <w:r w:rsidR="00A92F79" w:rsidRPr="00045CBE">
        <w:rPr>
          <w:rFonts w:ascii="Times New Roman" w:hAnsi="Times New Roman"/>
          <w:sz w:val="24"/>
          <w:szCs w:val="24"/>
        </w:rPr>
        <w:t xml:space="preserve"> human rights</w:t>
      </w:r>
      <w:r w:rsidR="00E454F2" w:rsidRPr="00045CBE">
        <w:rPr>
          <w:rFonts w:ascii="Times New Roman" w:hAnsi="Times New Roman"/>
          <w:sz w:val="24"/>
          <w:szCs w:val="24"/>
        </w:rPr>
        <w:t xml:space="preserve"> </w:t>
      </w:r>
      <w:r w:rsidR="00B60C5A" w:rsidRPr="00045CBE">
        <w:rPr>
          <w:rFonts w:ascii="Times New Roman" w:hAnsi="Times New Roman"/>
          <w:sz w:val="24"/>
          <w:szCs w:val="24"/>
        </w:rPr>
        <w:t>issues</w:t>
      </w:r>
      <w:r w:rsidR="00E454F2" w:rsidRPr="00045CBE">
        <w:rPr>
          <w:rFonts w:ascii="Times New Roman" w:hAnsi="Times New Roman"/>
          <w:sz w:val="24"/>
          <w:szCs w:val="24"/>
        </w:rPr>
        <w:t>.</w:t>
      </w:r>
    </w:p>
    <w:p w14:paraId="01652BF2" w14:textId="77777777" w:rsidR="00A019DA" w:rsidRPr="00045CBE" w:rsidRDefault="00A019DA" w:rsidP="00B321B0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  <w:r w:rsidRPr="00045CBE">
        <w:rPr>
          <w:rFonts w:ascii="Times New Roman" w:eastAsia="Times New Roman" w:hAnsi="Times New Roman"/>
          <w:sz w:val="24"/>
          <w:szCs w:val="24"/>
          <w:lang w:eastAsia="en-AU"/>
        </w:rPr>
        <w:t> </w:t>
      </w:r>
    </w:p>
    <w:p w14:paraId="215391BF" w14:textId="77777777" w:rsidR="00A019DA" w:rsidRPr="00045CBE" w:rsidRDefault="00A019DA" w:rsidP="00B321B0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14:paraId="1E0B1406" w14:textId="77777777" w:rsidR="00B04B20" w:rsidRPr="00045CBE" w:rsidRDefault="00B04B20" w:rsidP="00B321B0">
      <w:pPr>
        <w:spacing w:after="240"/>
        <w:rPr>
          <w:rFonts w:ascii="Times New Roman" w:hAnsi="Times New Roman"/>
          <w:sz w:val="24"/>
          <w:szCs w:val="24"/>
        </w:rPr>
      </w:pPr>
    </w:p>
    <w:sectPr w:rsidR="00B04B20" w:rsidRPr="00045CBE" w:rsidSect="003D5032">
      <w:footerReference w:type="default" r:id="rId15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8F623" w14:textId="77777777" w:rsidR="00F20290" w:rsidRDefault="00F20290" w:rsidP="00A019DA">
      <w:r>
        <w:separator/>
      </w:r>
    </w:p>
  </w:endnote>
  <w:endnote w:type="continuationSeparator" w:id="0">
    <w:p w14:paraId="0E5E75B6" w14:textId="77777777" w:rsidR="00F20290" w:rsidRDefault="00F20290" w:rsidP="00A019DA">
      <w:r>
        <w:continuationSeparator/>
      </w:r>
    </w:p>
  </w:endnote>
  <w:endnote w:type="continuationNotice" w:id="1">
    <w:p w14:paraId="356F3ECF" w14:textId="77777777" w:rsidR="00F20290" w:rsidRDefault="00F20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OT Medium"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DIN OT Light">
    <w:panose1 w:val="020B0504020201010104"/>
    <w:charset w:val="00"/>
    <w:family w:val="swiss"/>
    <w:pitch w:val="variable"/>
    <w:sig w:usb0="800000EF" w:usb1="4000A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62D5A" w14:textId="77777777" w:rsidR="00F20290" w:rsidRPr="00B321B0" w:rsidRDefault="00F20290">
    <w:pPr>
      <w:pStyle w:val="Footer"/>
      <w:jc w:val="center"/>
      <w:rPr>
        <w:rFonts w:ascii="Times New Roman" w:hAnsi="Times New Roman"/>
        <w:sz w:val="24"/>
        <w:szCs w:val="24"/>
      </w:rPr>
    </w:pPr>
    <w:r w:rsidRPr="00B321B0">
      <w:rPr>
        <w:rFonts w:ascii="Times New Roman" w:hAnsi="Times New Roman"/>
        <w:sz w:val="24"/>
        <w:szCs w:val="24"/>
      </w:rPr>
      <w:fldChar w:fldCharType="begin"/>
    </w:r>
    <w:r w:rsidRPr="00B321B0">
      <w:rPr>
        <w:rFonts w:ascii="Times New Roman" w:hAnsi="Times New Roman"/>
        <w:sz w:val="24"/>
        <w:szCs w:val="24"/>
      </w:rPr>
      <w:instrText xml:space="preserve"> PAGE   \* MERGEFORMAT </w:instrText>
    </w:r>
    <w:r w:rsidRPr="00B321B0">
      <w:rPr>
        <w:rFonts w:ascii="Times New Roman" w:hAnsi="Times New Roman"/>
        <w:sz w:val="24"/>
        <w:szCs w:val="24"/>
      </w:rPr>
      <w:fldChar w:fldCharType="separate"/>
    </w:r>
    <w:r w:rsidR="00233935">
      <w:rPr>
        <w:rFonts w:ascii="Times New Roman" w:hAnsi="Times New Roman"/>
        <w:noProof/>
        <w:sz w:val="24"/>
        <w:szCs w:val="24"/>
      </w:rPr>
      <w:t>4</w:t>
    </w:r>
    <w:r w:rsidRPr="00B321B0">
      <w:rPr>
        <w:rFonts w:ascii="Times New Roman" w:hAnsi="Times New Roman"/>
        <w:sz w:val="24"/>
        <w:szCs w:val="24"/>
      </w:rPr>
      <w:fldChar w:fldCharType="end"/>
    </w:r>
  </w:p>
  <w:p w14:paraId="0BF6DD05" w14:textId="77777777" w:rsidR="00F20290" w:rsidRDefault="00F20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963C" w14:textId="77777777" w:rsidR="00F20290" w:rsidRDefault="00F20290" w:rsidP="00A019DA">
      <w:r>
        <w:separator/>
      </w:r>
    </w:p>
  </w:footnote>
  <w:footnote w:type="continuationSeparator" w:id="0">
    <w:p w14:paraId="4392432D" w14:textId="77777777" w:rsidR="00F20290" w:rsidRDefault="00F20290" w:rsidP="00A019DA">
      <w:r>
        <w:continuationSeparator/>
      </w:r>
    </w:p>
  </w:footnote>
  <w:footnote w:type="continuationNotice" w:id="1">
    <w:p w14:paraId="60DECCCC" w14:textId="77777777" w:rsidR="00F20290" w:rsidRDefault="00F20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DF9"/>
    <w:multiLevelType w:val="hybridMultilevel"/>
    <w:tmpl w:val="CC382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6E2"/>
    <w:multiLevelType w:val="hybridMultilevel"/>
    <w:tmpl w:val="0A6E95DE"/>
    <w:lvl w:ilvl="0" w:tplc="640477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A1AAF7A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5231C"/>
    <w:multiLevelType w:val="hybridMultilevel"/>
    <w:tmpl w:val="5FF4A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3342"/>
    <w:multiLevelType w:val="hybridMultilevel"/>
    <w:tmpl w:val="37E47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5DBB"/>
    <w:multiLevelType w:val="hybridMultilevel"/>
    <w:tmpl w:val="1BBC3D8A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4130106"/>
    <w:multiLevelType w:val="hybridMultilevel"/>
    <w:tmpl w:val="E82EC54C"/>
    <w:lvl w:ilvl="0" w:tplc="379E1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4487A"/>
    <w:multiLevelType w:val="hybridMultilevel"/>
    <w:tmpl w:val="4CE8B044"/>
    <w:lvl w:ilvl="0" w:tplc="B4C20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7795C"/>
    <w:multiLevelType w:val="hybridMultilevel"/>
    <w:tmpl w:val="398AEA52"/>
    <w:lvl w:ilvl="0" w:tplc="F3165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1A86"/>
    <w:multiLevelType w:val="hybridMultilevel"/>
    <w:tmpl w:val="20AE2AFA"/>
    <w:lvl w:ilvl="0" w:tplc="B4C20DD6">
      <w:start w:val="1"/>
      <w:numFmt w:val="decimal"/>
      <w:lvlText w:val="(%1)"/>
      <w:lvlJc w:val="left"/>
      <w:pPr>
        <w:ind w:left="57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CBC58C9"/>
    <w:multiLevelType w:val="hybridMultilevel"/>
    <w:tmpl w:val="B608D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4124F"/>
    <w:multiLevelType w:val="hybridMultilevel"/>
    <w:tmpl w:val="F8AC6C28"/>
    <w:lvl w:ilvl="0" w:tplc="92289F6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78C6"/>
    <w:multiLevelType w:val="hybridMultilevel"/>
    <w:tmpl w:val="39E8EFAC"/>
    <w:lvl w:ilvl="0" w:tplc="8A4CF75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5EA5"/>
    <w:multiLevelType w:val="hybridMultilevel"/>
    <w:tmpl w:val="6C9C3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164B5"/>
    <w:multiLevelType w:val="hybridMultilevel"/>
    <w:tmpl w:val="7CA2F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5624C"/>
    <w:multiLevelType w:val="hybridMultilevel"/>
    <w:tmpl w:val="089E07A2"/>
    <w:lvl w:ilvl="0" w:tplc="3E8878E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8"/>
  </w:num>
  <w:num w:numId="15">
    <w:abstractNumId w:val="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DA"/>
    <w:rsid w:val="00001B24"/>
    <w:rsid w:val="00003339"/>
    <w:rsid w:val="00011546"/>
    <w:rsid w:val="00011886"/>
    <w:rsid w:val="00017600"/>
    <w:rsid w:val="00026362"/>
    <w:rsid w:val="000376F7"/>
    <w:rsid w:val="00041B8A"/>
    <w:rsid w:val="00045CBE"/>
    <w:rsid w:val="00045EB8"/>
    <w:rsid w:val="00050CDC"/>
    <w:rsid w:val="000565C4"/>
    <w:rsid w:val="00056DF9"/>
    <w:rsid w:val="00092E8C"/>
    <w:rsid w:val="000A5431"/>
    <w:rsid w:val="000B4066"/>
    <w:rsid w:val="000C0282"/>
    <w:rsid w:val="000C2EEB"/>
    <w:rsid w:val="000C33D9"/>
    <w:rsid w:val="000E2AEC"/>
    <w:rsid w:val="000F47C6"/>
    <w:rsid w:val="001000B5"/>
    <w:rsid w:val="001171A4"/>
    <w:rsid w:val="00124A40"/>
    <w:rsid w:val="00124F24"/>
    <w:rsid w:val="001343BB"/>
    <w:rsid w:val="001360AC"/>
    <w:rsid w:val="00147B11"/>
    <w:rsid w:val="00166BAA"/>
    <w:rsid w:val="0017163B"/>
    <w:rsid w:val="00171A11"/>
    <w:rsid w:val="00182FA1"/>
    <w:rsid w:val="001927DC"/>
    <w:rsid w:val="00193258"/>
    <w:rsid w:val="001974EA"/>
    <w:rsid w:val="001B1EBD"/>
    <w:rsid w:val="001B794D"/>
    <w:rsid w:val="001D02DB"/>
    <w:rsid w:val="001D40E7"/>
    <w:rsid w:val="001D7B63"/>
    <w:rsid w:val="001E2B48"/>
    <w:rsid w:val="001E47FB"/>
    <w:rsid w:val="001F1972"/>
    <w:rsid w:val="0020616E"/>
    <w:rsid w:val="00210A20"/>
    <w:rsid w:val="00217CED"/>
    <w:rsid w:val="002249BD"/>
    <w:rsid w:val="002253EE"/>
    <w:rsid w:val="002307C7"/>
    <w:rsid w:val="00233935"/>
    <w:rsid w:val="00235CDF"/>
    <w:rsid w:val="00252A14"/>
    <w:rsid w:val="00263BBC"/>
    <w:rsid w:val="00265061"/>
    <w:rsid w:val="00266880"/>
    <w:rsid w:val="00274606"/>
    <w:rsid w:val="00276B9C"/>
    <w:rsid w:val="00280BE5"/>
    <w:rsid w:val="00291AB4"/>
    <w:rsid w:val="002966FF"/>
    <w:rsid w:val="002B5A26"/>
    <w:rsid w:val="002D6418"/>
    <w:rsid w:val="002D6F8D"/>
    <w:rsid w:val="002F73E5"/>
    <w:rsid w:val="0030211C"/>
    <w:rsid w:val="00302BA3"/>
    <w:rsid w:val="003147ED"/>
    <w:rsid w:val="00316109"/>
    <w:rsid w:val="003277AD"/>
    <w:rsid w:val="00333FD4"/>
    <w:rsid w:val="00350A4B"/>
    <w:rsid w:val="003636F6"/>
    <w:rsid w:val="00365FDB"/>
    <w:rsid w:val="0037376A"/>
    <w:rsid w:val="00397C2C"/>
    <w:rsid w:val="003A1FDF"/>
    <w:rsid w:val="003A399A"/>
    <w:rsid w:val="003C007E"/>
    <w:rsid w:val="003C0448"/>
    <w:rsid w:val="003C18E8"/>
    <w:rsid w:val="003D5032"/>
    <w:rsid w:val="003F0ADB"/>
    <w:rsid w:val="003F43BA"/>
    <w:rsid w:val="00403FF5"/>
    <w:rsid w:val="00425E95"/>
    <w:rsid w:val="004265BD"/>
    <w:rsid w:val="00427B85"/>
    <w:rsid w:val="0045030A"/>
    <w:rsid w:val="00451286"/>
    <w:rsid w:val="00455E40"/>
    <w:rsid w:val="004616D0"/>
    <w:rsid w:val="00472E3B"/>
    <w:rsid w:val="004812D5"/>
    <w:rsid w:val="0048656B"/>
    <w:rsid w:val="004A4890"/>
    <w:rsid w:val="004C3D07"/>
    <w:rsid w:val="004C6F2C"/>
    <w:rsid w:val="004D043F"/>
    <w:rsid w:val="004D4955"/>
    <w:rsid w:val="004F51B6"/>
    <w:rsid w:val="00501C69"/>
    <w:rsid w:val="00502C3C"/>
    <w:rsid w:val="00511B96"/>
    <w:rsid w:val="005145F7"/>
    <w:rsid w:val="005200A8"/>
    <w:rsid w:val="0052378D"/>
    <w:rsid w:val="00523CAD"/>
    <w:rsid w:val="00527CA3"/>
    <w:rsid w:val="005313A1"/>
    <w:rsid w:val="005316AE"/>
    <w:rsid w:val="00536927"/>
    <w:rsid w:val="00543E93"/>
    <w:rsid w:val="00550770"/>
    <w:rsid w:val="0055440B"/>
    <w:rsid w:val="00557C34"/>
    <w:rsid w:val="005659DA"/>
    <w:rsid w:val="00576825"/>
    <w:rsid w:val="0058565A"/>
    <w:rsid w:val="0059125E"/>
    <w:rsid w:val="005D0589"/>
    <w:rsid w:val="005D08C0"/>
    <w:rsid w:val="005E3449"/>
    <w:rsid w:val="005E5910"/>
    <w:rsid w:val="005F2583"/>
    <w:rsid w:val="0060686D"/>
    <w:rsid w:val="0061115B"/>
    <w:rsid w:val="006142DC"/>
    <w:rsid w:val="00622480"/>
    <w:rsid w:val="00623CAA"/>
    <w:rsid w:val="00624144"/>
    <w:rsid w:val="00630FE1"/>
    <w:rsid w:val="00634F20"/>
    <w:rsid w:val="00647D58"/>
    <w:rsid w:val="00661A1C"/>
    <w:rsid w:val="006636F2"/>
    <w:rsid w:val="006815AD"/>
    <w:rsid w:val="00684F73"/>
    <w:rsid w:val="00686A28"/>
    <w:rsid w:val="006940D4"/>
    <w:rsid w:val="006963CB"/>
    <w:rsid w:val="006A4437"/>
    <w:rsid w:val="006A4802"/>
    <w:rsid w:val="006A4B93"/>
    <w:rsid w:val="006A5025"/>
    <w:rsid w:val="006B7C3E"/>
    <w:rsid w:val="006C7F37"/>
    <w:rsid w:val="006D1E34"/>
    <w:rsid w:val="006D7CB9"/>
    <w:rsid w:val="006E10B7"/>
    <w:rsid w:val="006E16D2"/>
    <w:rsid w:val="006E31AB"/>
    <w:rsid w:val="006F741F"/>
    <w:rsid w:val="006F7458"/>
    <w:rsid w:val="007031F4"/>
    <w:rsid w:val="00712ABC"/>
    <w:rsid w:val="00713105"/>
    <w:rsid w:val="007134CD"/>
    <w:rsid w:val="00716488"/>
    <w:rsid w:val="00722F0D"/>
    <w:rsid w:val="00724F23"/>
    <w:rsid w:val="00731313"/>
    <w:rsid w:val="00733BF6"/>
    <w:rsid w:val="00733F50"/>
    <w:rsid w:val="00736F45"/>
    <w:rsid w:val="00740ABA"/>
    <w:rsid w:val="00745847"/>
    <w:rsid w:val="00757CD4"/>
    <w:rsid w:val="0076261B"/>
    <w:rsid w:val="00763FA9"/>
    <w:rsid w:val="00775B50"/>
    <w:rsid w:val="007816F0"/>
    <w:rsid w:val="00782F3F"/>
    <w:rsid w:val="00784B9E"/>
    <w:rsid w:val="00795E43"/>
    <w:rsid w:val="007A57EC"/>
    <w:rsid w:val="007A697A"/>
    <w:rsid w:val="007B0912"/>
    <w:rsid w:val="007B22D9"/>
    <w:rsid w:val="007B6B00"/>
    <w:rsid w:val="007C2031"/>
    <w:rsid w:val="007D1A3B"/>
    <w:rsid w:val="007E5EB7"/>
    <w:rsid w:val="007F6365"/>
    <w:rsid w:val="007F7E05"/>
    <w:rsid w:val="00810EAA"/>
    <w:rsid w:val="00812CFD"/>
    <w:rsid w:val="00833AFB"/>
    <w:rsid w:val="00842C9B"/>
    <w:rsid w:val="0084435E"/>
    <w:rsid w:val="0085264D"/>
    <w:rsid w:val="00853C86"/>
    <w:rsid w:val="00862198"/>
    <w:rsid w:val="00862553"/>
    <w:rsid w:val="00866738"/>
    <w:rsid w:val="00871745"/>
    <w:rsid w:val="00872391"/>
    <w:rsid w:val="0088577B"/>
    <w:rsid w:val="008862EF"/>
    <w:rsid w:val="008963AD"/>
    <w:rsid w:val="008A162E"/>
    <w:rsid w:val="008A3EBC"/>
    <w:rsid w:val="008B1B78"/>
    <w:rsid w:val="008B2660"/>
    <w:rsid w:val="008D3E84"/>
    <w:rsid w:val="008E0B46"/>
    <w:rsid w:val="008E2F6B"/>
    <w:rsid w:val="008E3F6A"/>
    <w:rsid w:val="00900FCC"/>
    <w:rsid w:val="0090635F"/>
    <w:rsid w:val="00910FE5"/>
    <w:rsid w:val="00913FA1"/>
    <w:rsid w:val="009159B4"/>
    <w:rsid w:val="00921933"/>
    <w:rsid w:val="00926DC2"/>
    <w:rsid w:val="0093540A"/>
    <w:rsid w:val="00953CD2"/>
    <w:rsid w:val="009668C8"/>
    <w:rsid w:val="00976248"/>
    <w:rsid w:val="00986B49"/>
    <w:rsid w:val="00994C30"/>
    <w:rsid w:val="00995165"/>
    <w:rsid w:val="0099534C"/>
    <w:rsid w:val="0099555C"/>
    <w:rsid w:val="009C28CB"/>
    <w:rsid w:val="009C47FE"/>
    <w:rsid w:val="009C5368"/>
    <w:rsid w:val="009D252F"/>
    <w:rsid w:val="009D378C"/>
    <w:rsid w:val="009D4937"/>
    <w:rsid w:val="009D6BEB"/>
    <w:rsid w:val="009D7325"/>
    <w:rsid w:val="009E0C0D"/>
    <w:rsid w:val="009E34B1"/>
    <w:rsid w:val="009F2479"/>
    <w:rsid w:val="00A010DD"/>
    <w:rsid w:val="00A019DA"/>
    <w:rsid w:val="00A035E0"/>
    <w:rsid w:val="00A13FCA"/>
    <w:rsid w:val="00A16056"/>
    <w:rsid w:val="00A4465A"/>
    <w:rsid w:val="00A462DF"/>
    <w:rsid w:val="00A53EEA"/>
    <w:rsid w:val="00A5493C"/>
    <w:rsid w:val="00A619DF"/>
    <w:rsid w:val="00A62DB5"/>
    <w:rsid w:val="00A63A2B"/>
    <w:rsid w:val="00A6661A"/>
    <w:rsid w:val="00A76663"/>
    <w:rsid w:val="00A8122B"/>
    <w:rsid w:val="00A85364"/>
    <w:rsid w:val="00A92F79"/>
    <w:rsid w:val="00A937DC"/>
    <w:rsid w:val="00AA1DBC"/>
    <w:rsid w:val="00AB1641"/>
    <w:rsid w:val="00AC01A0"/>
    <w:rsid w:val="00AC0343"/>
    <w:rsid w:val="00AC2517"/>
    <w:rsid w:val="00AE1B22"/>
    <w:rsid w:val="00AE28E9"/>
    <w:rsid w:val="00AF0776"/>
    <w:rsid w:val="00AF2D37"/>
    <w:rsid w:val="00AF35D4"/>
    <w:rsid w:val="00AF664C"/>
    <w:rsid w:val="00B04B20"/>
    <w:rsid w:val="00B067E1"/>
    <w:rsid w:val="00B16F16"/>
    <w:rsid w:val="00B20C58"/>
    <w:rsid w:val="00B23B70"/>
    <w:rsid w:val="00B321B0"/>
    <w:rsid w:val="00B5019C"/>
    <w:rsid w:val="00B60C5A"/>
    <w:rsid w:val="00B71298"/>
    <w:rsid w:val="00B80137"/>
    <w:rsid w:val="00B94A4B"/>
    <w:rsid w:val="00B96868"/>
    <w:rsid w:val="00B97C0C"/>
    <w:rsid w:val="00BA1754"/>
    <w:rsid w:val="00BC0081"/>
    <w:rsid w:val="00BC4AE7"/>
    <w:rsid w:val="00BC650B"/>
    <w:rsid w:val="00C01C4D"/>
    <w:rsid w:val="00C0285D"/>
    <w:rsid w:val="00C028A1"/>
    <w:rsid w:val="00C03CC3"/>
    <w:rsid w:val="00C03DDD"/>
    <w:rsid w:val="00C22A3C"/>
    <w:rsid w:val="00C302FA"/>
    <w:rsid w:val="00C33347"/>
    <w:rsid w:val="00C635C9"/>
    <w:rsid w:val="00C67094"/>
    <w:rsid w:val="00C7033B"/>
    <w:rsid w:val="00C72BE4"/>
    <w:rsid w:val="00C84A47"/>
    <w:rsid w:val="00C8696F"/>
    <w:rsid w:val="00C8718D"/>
    <w:rsid w:val="00C979B8"/>
    <w:rsid w:val="00CA2857"/>
    <w:rsid w:val="00CA6CB3"/>
    <w:rsid w:val="00CA6F4C"/>
    <w:rsid w:val="00CC0ED5"/>
    <w:rsid w:val="00CC1506"/>
    <w:rsid w:val="00CD5BBD"/>
    <w:rsid w:val="00CD72BC"/>
    <w:rsid w:val="00D02988"/>
    <w:rsid w:val="00D032FC"/>
    <w:rsid w:val="00D039F0"/>
    <w:rsid w:val="00D10079"/>
    <w:rsid w:val="00D131B9"/>
    <w:rsid w:val="00D14FE8"/>
    <w:rsid w:val="00D266E5"/>
    <w:rsid w:val="00D324E4"/>
    <w:rsid w:val="00D33934"/>
    <w:rsid w:val="00D400CE"/>
    <w:rsid w:val="00D42CEF"/>
    <w:rsid w:val="00D43D56"/>
    <w:rsid w:val="00D4534F"/>
    <w:rsid w:val="00D47A85"/>
    <w:rsid w:val="00D54D1A"/>
    <w:rsid w:val="00D57D2D"/>
    <w:rsid w:val="00D604C3"/>
    <w:rsid w:val="00D64906"/>
    <w:rsid w:val="00D74FAC"/>
    <w:rsid w:val="00D81D32"/>
    <w:rsid w:val="00D82D54"/>
    <w:rsid w:val="00D83388"/>
    <w:rsid w:val="00D91019"/>
    <w:rsid w:val="00D97CC3"/>
    <w:rsid w:val="00DA0571"/>
    <w:rsid w:val="00DA1A5F"/>
    <w:rsid w:val="00DB142D"/>
    <w:rsid w:val="00DC028C"/>
    <w:rsid w:val="00DC5143"/>
    <w:rsid w:val="00DD014B"/>
    <w:rsid w:val="00DD7206"/>
    <w:rsid w:val="00DE40D2"/>
    <w:rsid w:val="00DE5310"/>
    <w:rsid w:val="00DE565D"/>
    <w:rsid w:val="00DE668F"/>
    <w:rsid w:val="00DF11D9"/>
    <w:rsid w:val="00DF3577"/>
    <w:rsid w:val="00DF5870"/>
    <w:rsid w:val="00E015B7"/>
    <w:rsid w:val="00E01DFC"/>
    <w:rsid w:val="00E03D4C"/>
    <w:rsid w:val="00E15497"/>
    <w:rsid w:val="00E201A8"/>
    <w:rsid w:val="00E204A3"/>
    <w:rsid w:val="00E2673A"/>
    <w:rsid w:val="00E40A94"/>
    <w:rsid w:val="00E454F2"/>
    <w:rsid w:val="00E45AFC"/>
    <w:rsid w:val="00E637B6"/>
    <w:rsid w:val="00E6498C"/>
    <w:rsid w:val="00E676B0"/>
    <w:rsid w:val="00E7297F"/>
    <w:rsid w:val="00E8243F"/>
    <w:rsid w:val="00E90C89"/>
    <w:rsid w:val="00E93986"/>
    <w:rsid w:val="00EA35C5"/>
    <w:rsid w:val="00EB3653"/>
    <w:rsid w:val="00EB3F8E"/>
    <w:rsid w:val="00EC2380"/>
    <w:rsid w:val="00EC5653"/>
    <w:rsid w:val="00EC5B18"/>
    <w:rsid w:val="00ED1CEF"/>
    <w:rsid w:val="00ED4131"/>
    <w:rsid w:val="00EE3A52"/>
    <w:rsid w:val="00EF753E"/>
    <w:rsid w:val="00F117C5"/>
    <w:rsid w:val="00F1311D"/>
    <w:rsid w:val="00F13364"/>
    <w:rsid w:val="00F14758"/>
    <w:rsid w:val="00F16720"/>
    <w:rsid w:val="00F17B54"/>
    <w:rsid w:val="00F20290"/>
    <w:rsid w:val="00F259BE"/>
    <w:rsid w:val="00F27316"/>
    <w:rsid w:val="00F27E8F"/>
    <w:rsid w:val="00F31D48"/>
    <w:rsid w:val="00F704D8"/>
    <w:rsid w:val="00F716B8"/>
    <w:rsid w:val="00F7706D"/>
    <w:rsid w:val="00F802E2"/>
    <w:rsid w:val="00F8191E"/>
    <w:rsid w:val="00F83148"/>
    <w:rsid w:val="00F87D3E"/>
    <w:rsid w:val="00FA5345"/>
    <w:rsid w:val="00FB1101"/>
    <w:rsid w:val="00FB5DA6"/>
    <w:rsid w:val="00FB7B30"/>
    <w:rsid w:val="00FC541B"/>
    <w:rsid w:val="00FD062D"/>
    <w:rsid w:val="00FD412C"/>
    <w:rsid w:val="00FE04DC"/>
    <w:rsid w:val="00FE24F8"/>
    <w:rsid w:val="00FE2514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0F10601"/>
  <w15:chartTrackingRefBased/>
  <w15:docId w15:val="{86B8BDF4-C89F-4797-9B31-EF85B7C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8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DA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9DA"/>
  </w:style>
  <w:style w:type="paragraph" w:styleId="FootnoteText">
    <w:name w:val="footnote text"/>
    <w:basedOn w:val="Normal"/>
    <w:link w:val="FootnoteTextChar"/>
    <w:uiPriority w:val="99"/>
    <w:semiHidden/>
    <w:unhideWhenUsed/>
    <w:rsid w:val="00A01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noteTextChar">
    <w:name w:val="Footnote Text Char"/>
    <w:link w:val="FootnoteText"/>
    <w:uiPriority w:val="99"/>
    <w:semiHidden/>
    <w:rsid w:val="00A019D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rsid w:val="00A019D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019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9DA"/>
    <w:rPr>
      <w:rFonts w:ascii="Trebuchet MS" w:eastAsia="Calibri" w:hAnsi="Trebuchet MS" w:cs="Times New Roman"/>
    </w:rPr>
  </w:style>
  <w:style w:type="paragraph" w:customStyle="1" w:styleId="Heading">
    <w:name w:val="Heading"/>
    <w:basedOn w:val="Normal"/>
    <w:rsid w:val="00A92F79"/>
    <w:pPr>
      <w:keepNext/>
      <w:spacing w:before="240" w:after="60"/>
      <w:outlineLvl w:val="0"/>
    </w:pPr>
    <w:rPr>
      <w:rFonts w:ascii="Times New Roman" w:eastAsia="Times New Roman" w:hAnsi="Times New Roman" w:cs="Arial"/>
      <w:b/>
      <w:kern w:val="32"/>
      <w:sz w:val="26"/>
      <w:szCs w:val="32"/>
    </w:rPr>
  </w:style>
  <w:style w:type="character" w:styleId="CommentReference">
    <w:name w:val="annotation reference"/>
    <w:uiPriority w:val="99"/>
    <w:semiHidden/>
    <w:unhideWhenUsed/>
    <w:rsid w:val="00B6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C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60C5A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C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C5A"/>
    <w:rPr>
      <w:rFonts w:ascii="Trebuchet MS" w:hAnsi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40A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0ABA"/>
    <w:rPr>
      <w:rFonts w:ascii="Trebuchet MS" w:hAnsi="Trebuchet MS"/>
      <w:sz w:val="22"/>
      <w:szCs w:val="22"/>
      <w:lang w:eastAsia="en-US"/>
    </w:rPr>
  </w:style>
  <w:style w:type="paragraph" w:customStyle="1" w:styleId="apranormal">
    <w:name w:val="apranormal"/>
    <w:basedOn w:val="Normal"/>
    <w:rsid w:val="00C33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76B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676B0"/>
    <w:rPr>
      <w:rFonts w:ascii="Trebuchet MS" w:hAnsi="Trebuchet MS"/>
      <w:lang w:eastAsia="en-US"/>
    </w:rPr>
  </w:style>
  <w:style w:type="character" w:styleId="EndnoteReference">
    <w:name w:val="endnote reference"/>
    <w:uiPriority w:val="99"/>
    <w:semiHidden/>
    <w:unhideWhenUsed/>
    <w:rsid w:val="00E676B0"/>
    <w:rPr>
      <w:vertAlign w:val="superscript"/>
    </w:rPr>
  </w:style>
  <w:style w:type="character" w:styleId="Hyperlink">
    <w:name w:val="Hyperlink"/>
    <w:uiPriority w:val="99"/>
    <w:rsid w:val="00E676B0"/>
    <w:rPr>
      <w:rFonts w:ascii="DIN OT Medium" w:hAnsi="DIN OT Medium"/>
      <w:color w:val="00B0F0"/>
      <w:sz w:val="22"/>
      <w:u w:val="single"/>
    </w:rPr>
  </w:style>
  <w:style w:type="paragraph" w:customStyle="1" w:styleId="APRANORMAL0">
    <w:name w:val="APRA NORMAL"/>
    <w:basedOn w:val="Normal"/>
    <w:link w:val="APRANORMALChar"/>
    <w:qFormat/>
    <w:rsid w:val="00A462DF"/>
    <w:pPr>
      <w:spacing w:after="240"/>
    </w:pPr>
    <w:rPr>
      <w:rFonts w:ascii="DIN OT Light" w:eastAsia="Trebuchet MS" w:hAnsi="DIN OT Light"/>
      <w:lang w:val="en-GB"/>
    </w:rPr>
  </w:style>
  <w:style w:type="character" w:customStyle="1" w:styleId="APRANORMALChar">
    <w:name w:val="APRA NORMAL Char"/>
    <w:link w:val="APRANORMAL0"/>
    <w:rsid w:val="00A462DF"/>
    <w:rPr>
      <w:rFonts w:ascii="DIN OT Light" w:eastAsia="Trebuchet MS" w:hAnsi="DIN OT Light"/>
      <w:sz w:val="22"/>
      <w:szCs w:val="22"/>
      <w:lang w:val="en-GB" w:eastAsia="en-US"/>
    </w:rPr>
  </w:style>
  <w:style w:type="paragraph" w:customStyle="1" w:styleId="Default">
    <w:name w:val="Default"/>
    <w:rsid w:val="00A66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60686D"/>
    <w:pPr>
      <w:spacing w:after="240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60686D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0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47FB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3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8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5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8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0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legislatio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statement</TermName>
          <TermId xmlns="http://schemas.microsoft.com/office/infopath/2007/PartnerControls">b22f2e2f-3f73-411b-9a7c-34264d26fa25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actuary, conseqential, actuarial valuation report 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24</Value>
      <Value>83</Value>
      <Value>234</Value>
      <Value>228</Value>
      <Value>134</Value>
      <Value>10</Value>
      <Value>26</Value>
      <Value>93</Value>
      <Value>109</Value>
      <Value>158</Value>
      <Value>4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Explanatory Statement (ES) for Consequential amendments from GPS 110, 112, 113, 114, 115, 116, 118, 120, 310, LPS 700, HPS 310, CPS 220, 510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5JENXJJSCC7A-445999044-10768</_dlc_DocId>
    <_dlc_DocIdUrl xmlns="814d62cb-2db6-4c25-ab62-b9075facbc11">
      <Url>https://im/teams/LEGAL/_layouts/15/DocIdRedir.aspx?ID=5JENXJJSCC7A-445999044-10768</Url>
      <Description>5JENXJJSCC7A-445999044-10768</Description>
    </_dlc_DocIdUrl>
  </documentManagement>
</p:properties>
</file>

<file path=customXml/item3.xml><?xml version="1.0" encoding="utf-8"?>
<LongProperties xmlns="http://schemas.microsoft.com/office/2006/metadata/longProperties">
  <LongProp xmlns="" name="TaxCatchAll"><![CDATA[33;#Explanatory statement|b22f2e2f-3f73-411b-9a7c-34264d26fa25;#185;#Analysis on specific operational risks|616caadd-4803-499f-ae93-4950ad67a3ce;#14;#PHI|10657f9d-7e9a-e511-8d41-005056b54f10;#15;#Private Health Insurance (Prudential Supervision) Act 2015|01905406-79f0-428d-bcfd-886429f0c7a1;#1;#Draft|0e1556d2-3fe8-443a-ada7-3620563b46b3;#186;#Operational risk management framework|7c91d256-6852-4256-8552-4352700b7990;#154;#Prudential standard implementation|88b001fd-622d-45b4-9784-bf6a334327eb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49" ma:contentTypeDescription="Create a new document." ma:contentTypeScope="" ma:versionID="294f2abc41bb7dd035804e5b1d716973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55CA-C831-479C-8C2E-0E69B07FEE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997CF3-C486-462A-8E0D-DE01D4C6F8E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99396A-3C22-4D97-95FC-AA1D765040FC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FA7527B-5CB4-4728-BBDB-1B4162A6F8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FA4-D6AD-4B9E-B8F4-88B0A348846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A442C10-1A42-41C6-A030-5FC1A4C35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4EA642D-1720-4864-9B62-082A62A5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1760</Words>
  <Characters>10439</Characters>
  <Application>Microsoft Office Word</Application>
  <DocSecurity>0</DocSecurity>
  <Lines>202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Insurance Package July 2019</vt:lpstr>
    </vt:vector>
  </TitlesOfParts>
  <Company>APRA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Insurance Package July 2019</dc:title>
  <dc:subject/>
  <dc:creator>Fiona.Bowden</dc:creator>
  <cp:keywords>[SEC=UNCLASSIFIED]</cp:keywords>
  <dc:description/>
  <cp:lastModifiedBy>Chen, Alice</cp:lastModifiedBy>
  <cp:revision>3</cp:revision>
  <cp:lastPrinted>2019-04-17T23:39:00Z</cp:lastPrinted>
  <dcterms:created xsi:type="dcterms:W3CDTF">2019-04-18T05:10:00Z</dcterms:created>
  <dcterms:modified xsi:type="dcterms:W3CDTF">2019-04-18T05:14:00Z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A1D55FE21516A40B041E98377D2D0DCD58D5850A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9E1A17B7E55B6957D643C12873742635454699B0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3BBB0966FF6849128F98E09B77575632</vt:lpwstr>
  </property>
  <property fmtid="{D5CDD505-2E9C-101B-9397-08002B2CF9AE}" pid="16" name="PM_OriginationTimeStamp">
    <vt:lpwstr>2018-01-30T05:52:56Z</vt:lpwstr>
  </property>
  <property fmtid="{D5CDD505-2E9C-101B-9397-08002B2CF9AE}" pid="17" name="PM_Hash_Version">
    <vt:lpwstr>2016.1</vt:lpwstr>
  </property>
  <property fmtid="{D5CDD505-2E9C-101B-9397-08002B2CF9AE}" pid="18" name="PM_Hash_Salt_Prev">
    <vt:lpwstr>C3D8A8B1A056BD72ED84127365D6B622</vt:lpwstr>
  </property>
  <property fmtid="{D5CDD505-2E9C-101B-9397-08002B2CF9AE}" pid="19" name="PM_Hash_Salt">
    <vt:lpwstr>AB83057A577673858FB2B08FC26689CA</vt:lpwstr>
  </property>
  <property fmtid="{D5CDD505-2E9C-101B-9397-08002B2CF9AE}" pid="20" name="PM_SecurityClassification_Prev">
    <vt:lpwstr>UNCLASSIFIED</vt:lpwstr>
  </property>
  <property fmtid="{D5CDD505-2E9C-101B-9397-08002B2CF9AE}" pid="21" name="PM_Qualifier_Prev">
    <vt:lpwstr/>
  </property>
  <property fmtid="{D5CDD505-2E9C-101B-9397-08002B2CF9AE}" pid="22" name="_dlc_DocId">
    <vt:lpwstr>WP5AJ56JFQTV-44125397-565</vt:lpwstr>
  </property>
  <property fmtid="{D5CDD505-2E9C-101B-9397-08002B2CF9AE}" pid="23" name="_dlc_DocIdItemGuid">
    <vt:lpwstr>9ae6fab3-2ce7-44fa-9394-c4033c7c8ca6</vt:lpwstr>
  </property>
  <property fmtid="{D5CDD505-2E9C-101B-9397-08002B2CF9AE}" pid="24" name="_dlc_DocIdUrl">
    <vt:lpwstr>https://im/teams/POLICYINS/_layouts/15/DocIdRedir.aspx?ID=WP5AJ56JFQTV-44125397-565, WP5AJ56JFQTV-44125397-565</vt:lpwstr>
  </property>
  <property fmtid="{D5CDD505-2E9C-101B-9397-08002B2CF9AE}" pid="25" name="IsLocked">
    <vt:lpwstr>Yes</vt:lpwstr>
  </property>
  <property fmtid="{D5CDD505-2E9C-101B-9397-08002B2CF9AE}" pid="26" name="APRAExternalOrganisation">
    <vt:lpwstr/>
  </property>
  <property fmtid="{D5CDD505-2E9C-101B-9397-08002B2CF9AE}" pid="27" name="APRAIRTR">
    <vt:lpwstr/>
  </property>
  <property fmtid="{D5CDD505-2E9C-101B-9397-08002B2CF9AE}" pid="28" name="APRACategory">
    <vt:lpwstr/>
  </property>
  <property fmtid="{D5CDD505-2E9C-101B-9397-08002B2CF9AE}" pid="29" name="display_urn:schemas-microsoft-com:office:office#APRAOwner">
    <vt:lpwstr>Bowden, Fiona</vt:lpwstr>
  </property>
  <property fmtid="{D5CDD505-2E9C-101B-9397-08002B2CF9AE}" pid="30" name="APRAPeriod">
    <vt:lpwstr/>
  </property>
  <property fmtid="{D5CDD505-2E9C-101B-9397-08002B2CF9AE}" pid="31" name="APRADocumentType">
    <vt:lpwstr>234;#Explanatory statement|b22f2e2f-3f73-411b-9a7c-34264d26fa25</vt:lpwstr>
  </property>
  <property fmtid="{D5CDD505-2E9C-101B-9397-08002B2CF9AE}" pid="32" name="APRAStatus">
    <vt:lpwstr>1;#Draft|0e1556d2-3fe8-443a-ada7-3620563b46b3</vt:lpwstr>
  </property>
  <property fmtid="{D5CDD505-2E9C-101B-9397-08002B2CF9AE}" pid="33" name="APRAPRSG">
    <vt:lpwstr/>
  </property>
  <property fmtid="{D5CDD505-2E9C-101B-9397-08002B2CF9AE}" pid="34" name="APRACostCentre">
    <vt:lpwstr>158;#PAD300|98bbdbe4-d019-48eb-87c4-aa31a7f2f98f;#24;#Legal - ADI|652d8d2a-ab45-47b4-ac6e-fe6ac9299b39;#26;#Legal - Insurance: General|8229dc1a-d7f2-47b2-844a-b026fed0c13d;#93;#Legal - Insurance: Health|21611e62-d688-4f0d-8807-02701cc43699;#83;#Legal - Insurance: Life|56f18b50-6605-4f3f-97e3-cad1cb5394e0;#4;#Legal - Resolution ＆ Corporate|696624b1-19f4-47b2-a07b-57868a922a96;#134;#Legal - Superannuation|cce3181d-fd23-4eee-94d3-c66abc2350cf</vt:lpwstr>
  </property>
  <property fmtid="{D5CDD505-2E9C-101B-9397-08002B2CF9AE}" pid="35" name="APRAActivity">
    <vt:lpwstr>10;#Registration|390476ce-d76d-4e8d-905f-28e32d2df127;#109;#Statutory instrument|fe68928c-5a9c-4caf-bc8c-6c18cedcb17f</vt:lpwstr>
  </property>
  <property fmtid="{D5CDD505-2E9C-101B-9397-08002B2CF9AE}" pid="36" name="APRAEntityAdviceSupport">
    <vt:lpwstr/>
  </property>
  <property fmtid="{D5CDD505-2E9C-101B-9397-08002B2CF9AE}" pid="37" name="APRAYear">
    <vt:lpwstr>228;#2019|7f488d12-1aa7-4fe3-8821-bfe8262e80d0</vt:lpwstr>
  </property>
  <property fmtid="{D5CDD505-2E9C-101B-9397-08002B2CF9AE}" pid="38" name="APRAIndustry">
    <vt:lpwstr/>
  </property>
  <property fmtid="{D5CDD505-2E9C-101B-9397-08002B2CF9AE}" pid="39" name="APRALegislation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{88691c01-5bbb-4215-adc0-66cb7065b0af}</vt:lpwstr>
  </property>
  <property fmtid="{D5CDD505-2E9C-101B-9397-08002B2CF9AE}" pid="42" name="RecordPoint_ActiveItemListId">
    <vt:lpwstr>{0e59e171-09d8-4401-800a-327154450cb3}</vt:lpwstr>
  </property>
  <property fmtid="{D5CDD505-2E9C-101B-9397-08002B2CF9AE}" pid="43" name="RecordPoint_ActiveItemUniqueId">
    <vt:lpwstr>{9ae6fab3-2ce7-44fa-9394-c4033c7c8ca6}</vt:lpwstr>
  </property>
  <property fmtid="{D5CDD505-2E9C-101B-9397-08002B2CF9AE}" pid="44" name="RecordPoint_ActiveItemWebId">
    <vt:lpwstr>{75a71c27-8d66-4282-ae60-1bfc22a83be1}</vt:lpwstr>
  </property>
  <property fmtid="{D5CDD505-2E9C-101B-9397-08002B2CF9AE}" pid="45" name="RecordPoint_RecordNumberSubmitted">
    <vt:lpwstr/>
  </property>
  <property fmtid="{D5CDD505-2E9C-101B-9397-08002B2CF9AE}" pid="46" name="IT system type">
    <vt:lpwstr/>
  </property>
  <property fmtid="{D5CDD505-2E9C-101B-9397-08002B2CF9AE}" pid="47" name="ContentTypeId">
    <vt:lpwstr>0x0101008CA7A4F8331B45C7B0D3158B4994D0CA0200577EC0F5A1FBFC498F9A8436B963F8A6</vt:lpwstr>
  </property>
  <property fmtid="{D5CDD505-2E9C-101B-9397-08002B2CF9AE}" pid="48" name="RecordPoint_SubmissionDate">
    <vt:lpwstr/>
  </property>
  <property fmtid="{D5CDD505-2E9C-101B-9397-08002B2CF9AE}" pid="49" name="RecordPoint_ActiveItemMoved">
    <vt:lpwstr/>
  </property>
  <property fmtid="{D5CDD505-2E9C-101B-9397-08002B2CF9AE}" pid="50" name="RecordPoint_RecordFormat">
    <vt:lpwstr/>
  </property>
  <property fmtid="{D5CDD505-2E9C-101B-9397-08002B2CF9AE}" pid="51" name="RecordPoint_SubmissionCompleted">
    <vt:lpwstr/>
  </property>
</Properties>
</file>