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194E" w14:textId="49FB3D8E"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Banking (prudential standard) determination</w:t>
      </w:r>
      <w:r w:rsidR="002629A4">
        <w:rPr>
          <w:rFonts w:ascii="Times New Roman" w:hAnsi="Times New Roman"/>
          <w:sz w:val="24"/>
          <w:szCs w:val="24"/>
        </w:rPr>
        <w:t>s</w:t>
      </w:r>
      <w:r w:rsidRPr="002C6D26">
        <w:rPr>
          <w:rFonts w:ascii="Times New Roman" w:hAnsi="Times New Roman"/>
          <w:sz w:val="24"/>
          <w:szCs w:val="24"/>
        </w:rPr>
        <w:t xml:space="preserve"> No</w:t>
      </w:r>
      <w:r w:rsidR="002629A4">
        <w:rPr>
          <w:rFonts w:ascii="Times New Roman" w:hAnsi="Times New Roman"/>
          <w:sz w:val="24"/>
          <w:szCs w:val="24"/>
        </w:rPr>
        <w:t>s</w:t>
      </w:r>
      <w:r w:rsidRPr="002C6D26">
        <w:rPr>
          <w:rFonts w:ascii="Times New Roman" w:hAnsi="Times New Roman"/>
          <w:sz w:val="24"/>
          <w:szCs w:val="24"/>
        </w:rPr>
        <w:t xml:space="preserve">. </w:t>
      </w:r>
      <w:r w:rsidR="00EC067D">
        <w:rPr>
          <w:rFonts w:ascii="Times New Roman" w:hAnsi="Times New Roman"/>
          <w:sz w:val="24"/>
          <w:szCs w:val="24"/>
        </w:rPr>
        <w:t>1</w:t>
      </w:r>
      <w:r w:rsidR="00EC067D" w:rsidRPr="002C6D26">
        <w:rPr>
          <w:rFonts w:ascii="Times New Roman" w:hAnsi="Times New Roman"/>
          <w:sz w:val="24"/>
          <w:szCs w:val="24"/>
        </w:rPr>
        <w:t xml:space="preserve"> </w:t>
      </w:r>
      <w:r w:rsidR="00DF078D">
        <w:rPr>
          <w:rFonts w:ascii="Times New Roman" w:hAnsi="Times New Roman"/>
          <w:sz w:val="24"/>
          <w:szCs w:val="24"/>
        </w:rPr>
        <w:t xml:space="preserve">and </w:t>
      </w:r>
      <w:r w:rsidR="00EC067D">
        <w:rPr>
          <w:rFonts w:ascii="Times New Roman" w:hAnsi="Times New Roman"/>
          <w:sz w:val="24"/>
          <w:szCs w:val="24"/>
        </w:rPr>
        <w:t xml:space="preserve">2 </w:t>
      </w:r>
      <w:r w:rsidRPr="002C6D26">
        <w:rPr>
          <w:rFonts w:ascii="Times New Roman" w:hAnsi="Times New Roman"/>
          <w:sz w:val="24"/>
          <w:szCs w:val="24"/>
        </w:rPr>
        <w:t>of 20</w:t>
      </w:r>
      <w:r w:rsidR="00D74760">
        <w:rPr>
          <w:rFonts w:ascii="Times New Roman" w:hAnsi="Times New Roman"/>
          <w:sz w:val="24"/>
          <w:szCs w:val="24"/>
        </w:rPr>
        <w:t>19</w:t>
      </w:r>
    </w:p>
    <w:p w14:paraId="753CBC9E" w14:textId="77777777" w:rsidR="002436BD" w:rsidRPr="002C6D26" w:rsidRDefault="002436BD" w:rsidP="00D85E77">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361D0032" w14:textId="77777777"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119D4F51" w14:textId="77777777" w:rsidR="002436BD" w:rsidRPr="002C6D26" w:rsidRDefault="002436BD" w:rsidP="00D85E77">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5AF87F09" w14:textId="086C1132" w:rsidR="002436BD" w:rsidRPr="002C6D26" w:rsidRDefault="002436BD" w:rsidP="00D85E77">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11AF(1) of the </w:t>
      </w:r>
      <w:r w:rsidRPr="002C6D26">
        <w:rPr>
          <w:rFonts w:ascii="Times New Roman" w:hAnsi="Times New Roman"/>
          <w:i/>
          <w:sz w:val="24"/>
          <w:szCs w:val="24"/>
        </w:rPr>
        <w:t>Banking Act 1959</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standards </w:t>
      </w:r>
      <w:r w:rsidRPr="007428D4">
        <w:rPr>
          <w:rFonts w:ascii="Times New Roman" w:hAnsi="Times New Roman"/>
          <w:sz w:val="24"/>
          <w:szCs w:val="24"/>
        </w:rPr>
        <w:t>(prudential standards),</w:t>
      </w:r>
      <w:r w:rsidRPr="002C6D26">
        <w:rPr>
          <w:rFonts w:ascii="Times New Roman" w:hAnsi="Times New Roman"/>
          <w:sz w:val="24"/>
          <w:szCs w:val="24"/>
        </w:rPr>
        <w:t xml:space="preserve"> in writing, in relation to prudential matters to be complied with by authorised deposit-taking institutions </w:t>
      </w:r>
      <w:r w:rsidRPr="007428D4">
        <w:rPr>
          <w:rFonts w:ascii="Times New Roman" w:hAnsi="Times New Roman"/>
          <w:sz w:val="24"/>
          <w:szCs w:val="24"/>
        </w:rPr>
        <w:t>(ADIs)</w:t>
      </w:r>
      <w:r w:rsidRPr="002C6D26">
        <w:rPr>
          <w:rFonts w:ascii="Times New Roman" w:hAnsi="Times New Roman"/>
          <w:sz w:val="24"/>
          <w:szCs w:val="24"/>
        </w:rPr>
        <w:t xml:space="preserve"> and authorised non-operating holding companies </w:t>
      </w:r>
      <w:r w:rsidRPr="007428D4">
        <w:rPr>
          <w:rFonts w:ascii="Times New Roman" w:hAnsi="Times New Roman"/>
          <w:sz w:val="24"/>
          <w:szCs w:val="24"/>
        </w:rPr>
        <w:t>(authorised NOHCs).</w:t>
      </w:r>
      <w:r w:rsidR="001F295F">
        <w:rPr>
          <w:rFonts w:ascii="Times New Roman" w:hAnsi="Times New Roman"/>
          <w:sz w:val="24"/>
          <w:szCs w:val="24"/>
        </w:rPr>
        <w:t xml:space="preserve"> </w:t>
      </w:r>
      <w:r w:rsidR="001F295F" w:rsidRPr="00F30C81">
        <w:rPr>
          <w:rFonts w:ascii="Times New Roman" w:hAnsi="Times New Roman"/>
          <w:sz w:val="24"/>
          <w:szCs w:val="24"/>
        </w:rPr>
        <w:t>Under subsection 11AF(3) of the Act, APRA may, in writing, vary or revoke a prudential standard.</w:t>
      </w:r>
    </w:p>
    <w:p w14:paraId="0D335B0B" w14:textId="3777FAD2" w:rsidR="00E9695A" w:rsidRDefault="002436BD" w:rsidP="00D85E77">
      <w:pPr>
        <w:widowControl w:val="0"/>
        <w:spacing w:after="240"/>
        <w:jc w:val="both"/>
        <w:rPr>
          <w:rFonts w:ascii="Times New Roman" w:hAnsi="Times New Roman"/>
          <w:sz w:val="24"/>
          <w:szCs w:val="24"/>
        </w:rPr>
      </w:pPr>
      <w:r w:rsidRPr="004A7A7B">
        <w:rPr>
          <w:rFonts w:ascii="Times New Roman" w:hAnsi="Times New Roman"/>
          <w:sz w:val="24"/>
          <w:szCs w:val="24"/>
        </w:rPr>
        <w:t xml:space="preserve">On </w:t>
      </w:r>
      <w:r w:rsidR="004A7A7B" w:rsidRPr="004A7A7B">
        <w:rPr>
          <w:rFonts w:ascii="Times New Roman" w:hAnsi="Times New Roman"/>
          <w:sz w:val="24"/>
          <w:szCs w:val="24"/>
        </w:rPr>
        <w:t>13</w:t>
      </w:r>
      <w:r w:rsidR="003D32E8" w:rsidRPr="004A7A7B">
        <w:rPr>
          <w:rFonts w:ascii="Times New Roman" w:hAnsi="Times New Roman"/>
          <w:sz w:val="24"/>
          <w:szCs w:val="24"/>
        </w:rPr>
        <w:t xml:space="preserve"> </w:t>
      </w:r>
      <w:r w:rsidR="004A7A7B" w:rsidRPr="004A7A7B">
        <w:rPr>
          <w:rFonts w:ascii="Times New Roman" w:hAnsi="Times New Roman"/>
          <w:sz w:val="24"/>
          <w:szCs w:val="24"/>
        </w:rPr>
        <w:t>June</w:t>
      </w:r>
      <w:r w:rsidR="003D32E8" w:rsidRPr="004A7A7B">
        <w:rPr>
          <w:rFonts w:ascii="Times New Roman" w:hAnsi="Times New Roman"/>
          <w:sz w:val="24"/>
          <w:szCs w:val="24"/>
        </w:rPr>
        <w:t xml:space="preserve"> 2019</w:t>
      </w:r>
      <w:r w:rsidRPr="004A7A7B">
        <w:rPr>
          <w:rFonts w:ascii="Times New Roman" w:hAnsi="Times New Roman"/>
          <w:sz w:val="24"/>
          <w:szCs w:val="24"/>
        </w:rPr>
        <w:t>, APRA</w:t>
      </w:r>
      <w:r>
        <w:rPr>
          <w:rFonts w:ascii="Times New Roman" w:hAnsi="Times New Roman"/>
          <w:sz w:val="24"/>
          <w:szCs w:val="24"/>
        </w:rPr>
        <w:t xml:space="preserve"> made </w:t>
      </w:r>
      <w:r w:rsidR="00E9695A">
        <w:rPr>
          <w:rFonts w:ascii="Times New Roman" w:hAnsi="Times New Roman"/>
          <w:sz w:val="24"/>
          <w:szCs w:val="24"/>
        </w:rPr>
        <w:t>the following determinations (the instruments):</w:t>
      </w:r>
    </w:p>
    <w:p w14:paraId="0A2E6758" w14:textId="6BFF3D95" w:rsidR="00246723" w:rsidRPr="009C4C66" w:rsidRDefault="002436BD" w:rsidP="00E9695A">
      <w:pPr>
        <w:widowControl w:val="0"/>
        <w:numPr>
          <w:ilvl w:val="0"/>
          <w:numId w:val="5"/>
        </w:numPr>
        <w:spacing w:after="240"/>
        <w:jc w:val="both"/>
        <w:rPr>
          <w:rFonts w:ascii="Times New Roman" w:hAnsi="Times New Roman"/>
          <w:sz w:val="24"/>
          <w:szCs w:val="24"/>
        </w:rPr>
      </w:pPr>
      <w:r w:rsidRPr="002C6D26">
        <w:rPr>
          <w:rFonts w:ascii="Times New Roman" w:hAnsi="Times New Roman"/>
          <w:sz w:val="24"/>
          <w:szCs w:val="24"/>
        </w:rPr>
        <w:t xml:space="preserve">Banking (prudential standard) determination No. </w:t>
      </w:r>
      <w:r w:rsidR="00EC067D">
        <w:rPr>
          <w:rFonts w:ascii="Times New Roman" w:hAnsi="Times New Roman"/>
          <w:sz w:val="24"/>
          <w:szCs w:val="24"/>
        </w:rPr>
        <w:t>1</w:t>
      </w:r>
      <w:r w:rsidR="00EC067D" w:rsidRPr="002C6D26">
        <w:rPr>
          <w:rFonts w:ascii="Times New Roman" w:hAnsi="Times New Roman"/>
          <w:sz w:val="24"/>
          <w:szCs w:val="24"/>
        </w:rPr>
        <w:t xml:space="preserve"> </w:t>
      </w:r>
      <w:r w:rsidRPr="002C6D26">
        <w:rPr>
          <w:rFonts w:ascii="Times New Roman" w:hAnsi="Times New Roman"/>
          <w:sz w:val="24"/>
          <w:szCs w:val="24"/>
        </w:rPr>
        <w:t>of 20</w:t>
      </w:r>
      <w:r w:rsidR="001F295F">
        <w:rPr>
          <w:rFonts w:ascii="Times New Roman" w:hAnsi="Times New Roman"/>
          <w:sz w:val="24"/>
          <w:szCs w:val="24"/>
        </w:rPr>
        <w:t>1</w:t>
      </w:r>
      <w:r w:rsidR="003D32E8">
        <w:rPr>
          <w:rFonts w:ascii="Times New Roman" w:hAnsi="Times New Roman"/>
          <w:sz w:val="24"/>
          <w:szCs w:val="24"/>
        </w:rPr>
        <w:t>9</w:t>
      </w:r>
      <w:r w:rsidRPr="002C6D26">
        <w:rPr>
          <w:rFonts w:ascii="Times New Roman" w:hAnsi="Times New Roman"/>
          <w:sz w:val="24"/>
          <w:szCs w:val="24"/>
        </w:rPr>
        <w:t xml:space="preserve"> </w:t>
      </w:r>
      <w:r>
        <w:rPr>
          <w:rFonts w:ascii="Times New Roman" w:hAnsi="Times New Roman"/>
          <w:sz w:val="24"/>
          <w:szCs w:val="24"/>
        </w:rPr>
        <w:t xml:space="preserve">which </w:t>
      </w:r>
      <w:r w:rsidR="007F674B">
        <w:rPr>
          <w:rFonts w:ascii="Times New Roman" w:hAnsi="Times New Roman"/>
          <w:sz w:val="24"/>
          <w:szCs w:val="24"/>
        </w:rPr>
        <w:t xml:space="preserve">revokes </w:t>
      </w:r>
      <w:r w:rsidR="007F674B" w:rsidRPr="00E9695A">
        <w:rPr>
          <w:rFonts w:ascii="Times New Roman" w:hAnsi="Times New Roman"/>
          <w:i/>
          <w:sz w:val="24"/>
          <w:szCs w:val="24"/>
        </w:rPr>
        <w:t>Prudential Standard APS 1</w:t>
      </w:r>
      <w:r w:rsidR="007F674B">
        <w:rPr>
          <w:rFonts w:ascii="Times New Roman" w:hAnsi="Times New Roman"/>
          <w:i/>
          <w:sz w:val="24"/>
          <w:szCs w:val="24"/>
        </w:rPr>
        <w:t>21</w:t>
      </w:r>
      <w:r w:rsidR="007F674B" w:rsidRPr="00E9695A">
        <w:rPr>
          <w:rFonts w:ascii="Times New Roman" w:hAnsi="Times New Roman"/>
          <w:i/>
          <w:sz w:val="24"/>
          <w:szCs w:val="24"/>
        </w:rPr>
        <w:t xml:space="preserve"> </w:t>
      </w:r>
      <w:r w:rsidR="007F674B">
        <w:rPr>
          <w:rFonts w:ascii="Times New Roman" w:hAnsi="Times New Roman"/>
          <w:i/>
          <w:sz w:val="24"/>
          <w:szCs w:val="24"/>
        </w:rPr>
        <w:t>Covered Bonds</w:t>
      </w:r>
      <w:r w:rsidR="007F674B" w:rsidRPr="009927BF">
        <w:rPr>
          <w:rFonts w:ascii="Times New Roman" w:hAnsi="Times New Roman"/>
          <w:sz w:val="24"/>
          <w:szCs w:val="24"/>
        </w:rPr>
        <w:t xml:space="preserve"> </w:t>
      </w:r>
      <w:r w:rsidR="007F674B">
        <w:rPr>
          <w:rFonts w:ascii="Times New Roman" w:hAnsi="Times New Roman"/>
          <w:sz w:val="24"/>
          <w:szCs w:val="24"/>
        </w:rPr>
        <w:t xml:space="preserve">made </w:t>
      </w:r>
      <w:r w:rsidR="007F674B" w:rsidRPr="009927BF">
        <w:rPr>
          <w:rFonts w:ascii="Times New Roman" w:hAnsi="Times New Roman"/>
          <w:sz w:val="24"/>
          <w:szCs w:val="24"/>
        </w:rPr>
        <w:t xml:space="preserve">under Banking (prudential </w:t>
      </w:r>
      <w:r w:rsidR="007F674B" w:rsidRPr="00012BCA">
        <w:rPr>
          <w:rFonts w:ascii="Times New Roman" w:hAnsi="Times New Roman"/>
          <w:sz w:val="24"/>
          <w:szCs w:val="24"/>
        </w:rPr>
        <w:t xml:space="preserve">standard) determination No. </w:t>
      </w:r>
      <w:r w:rsidR="00012BCA" w:rsidRPr="00012BCA">
        <w:rPr>
          <w:rFonts w:ascii="Times New Roman" w:hAnsi="Times New Roman"/>
          <w:sz w:val="24"/>
          <w:szCs w:val="24"/>
        </w:rPr>
        <w:t>1</w:t>
      </w:r>
      <w:r w:rsidR="007F674B" w:rsidRPr="00012BCA">
        <w:rPr>
          <w:rFonts w:ascii="Times New Roman" w:hAnsi="Times New Roman"/>
          <w:sz w:val="24"/>
          <w:szCs w:val="24"/>
        </w:rPr>
        <w:t xml:space="preserve"> of 2012 and </w:t>
      </w:r>
      <w:r w:rsidRPr="00012BCA">
        <w:rPr>
          <w:rFonts w:ascii="Times New Roman" w:hAnsi="Times New Roman"/>
          <w:sz w:val="24"/>
          <w:szCs w:val="24"/>
        </w:rPr>
        <w:t>determines</w:t>
      </w:r>
      <w:r w:rsidRPr="002C6D26">
        <w:rPr>
          <w:rFonts w:ascii="Times New Roman" w:hAnsi="Times New Roman"/>
          <w:sz w:val="24"/>
          <w:szCs w:val="24"/>
        </w:rPr>
        <w:t xml:space="preserve"> </w:t>
      </w:r>
      <w:r w:rsidR="007F674B">
        <w:rPr>
          <w:rFonts w:ascii="Times New Roman" w:hAnsi="Times New Roman"/>
          <w:sz w:val="24"/>
          <w:szCs w:val="24"/>
        </w:rPr>
        <w:t xml:space="preserve">a new </w:t>
      </w:r>
      <w:r w:rsidRPr="00C277A6">
        <w:rPr>
          <w:rFonts w:ascii="Times New Roman" w:hAnsi="Times New Roman"/>
          <w:i/>
          <w:sz w:val="24"/>
          <w:szCs w:val="24"/>
        </w:rPr>
        <w:t xml:space="preserve">Prudential Standard </w:t>
      </w:r>
      <w:r w:rsidR="0040175E" w:rsidRPr="009C4C66">
        <w:rPr>
          <w:rFonts w:ascii="Times New Roman" w:hAnsi="Times New Roman"/>
          <w:i/>
          <w:sz w:val="24"/>
          <w:szCs w:val="24"/>
        </w:rPr>
        <w:t>APS 1</w:t>
      </w:r>
      <w:r w:rsidR="007F674B" w:rsidRPr="009C4C66">
        <w:rPr>
          <w:rFonts w:ascii="Times New Roman" w:hAnsi="Times New Roman"/>
          <w:i/>
          <w:sz w:val="24"/>
          <w:szCs w:val="24"/>
        </w:rPr>
        <w:t>21</w:t>
      </w:r>
      <w:r w:rsidR="0040175E" w:rsidRPr="009C4C66">
        <w:rPr>
          <w:rFonts w:ascii="Times New Roman" w:hAnsi="Times New Roman"/>
          <w:i/>
          <w:sz w:val="24"/>
          <w:szCs w:val="24"/>
        </w:rPr>
        <w:t xml:space="preserve"> </w:t>
      </w:r>
      <w:r w:rsidR="007F674B" w:rsidRPr="009C4C66">
        <w:rPr>
          <w:rFonts w:ascii="Times New Roman" w:hAnsi="Times New Roman"/>
          <w:i/>
          <w:sz w:val="24"/>
          <w:szCs w:val="24"/>
        </w:rPr>
        <w:t>Covered Bonds</w:t>
      </w:r>
      <w:r w:rsidRPr="009C4C66">
        <w:rPr>
          <w:rFonts w:ascii="Times New Roman" w:hAnsi="Times New Roman"/>
          <w:sz w:val="24"/>
          <w:szCs w:val="24"/>
        </w:rPr>
        <w:t xml:space="preserve"> (APS </w:t>
      </w:r>
      <w:r w:rsidR="0040175E" w:rsidRPr="009C4C66">
        <w:rPr>
          <w:rFonts w:ascii="Times New Roman" w:hAnsi="Times New Roman"/>
          <w:sz w:val="24"/>
          <w:szCs w:val="24"/>
        </w:rPr>
        <w:t>1</w:t>
      </w:r>
      <w:r w:rsidR="007F674B" w:rsidRPr="009C4C66">
        <w:rPr>
          <w:rFonts w:ascii="Times New Roman" w:hAnsi="Times New Roman"/>
          <w:sz w:val="24"/>
          <w:szCs w:val="24"/>
        </w:rPr>
        <w:t>21</w:t>
      </w:r>
      <w:r w:rsidRPr="009C4C66">
        <w:rPr>
          <w:rFonts w:ascii="Times New Roman" w:hAnsi="Times New Roman"/>
          <w:sz w:val="24"/>
          <w:szCs w:val="24"/>
        </w:rPr>
        <w:t>)</w:t>
      </w:r>
      <w:r w:rsidR="00E9695A" w:rsidRPr="009C4C66">
        <w:rPr>
          <w:rFonts w:ascii="Times New Roman" w:hAnsi="Times New Roman"/>
          <w:sz w:val="24"/>
          <w:szCs w:val="24"/>
        </w:rPr>
        <w:t>;</w:t>
      </w:r>
    </w:p>
    <w:p w14:paraId="2702A477" w14:textId="1F734647" w:rsidR="001F295F" w:rsidRPr="009C4C66" w:rsidRDefault="001F295F" w:rsidP="00E9695A">
      <w:pPr>
        <w:widowControl w:val="0"/>
        <w:numPr>
          <w:ilvl w:val="0"/>
          <w:numId w:val="5"/>
        </w:numPr>
        <w:spacing w:after="240"/>
        <w:jc w:val="both"/>
        <w:rPr>
          <w:rFonts w:ascii="Times New Roman" w:hAnsi="Times New Roman"/>
          <w:sz w:val="24"/>
          <w:szCs w:val="24"/>
        </w:rPr>
      </w:pPr>
      <w:r w:rsidRPr="009C4C66">
        <w:rPr>
          <w:rFonts w:ascii="Times New Roman" w:hAnsi="Times New Roman"/>
          <w:sz w:val="24"/>
          <w:szCs w:val="24"/>
        </w:rPr>
        <w:t>Banking (prudential</w:t>
      </w:r>
      <w:r w:rsidRPr="002C6D26">
        <w:rPr>
          <w:rFonts w:ascii="Times New Roman" w:hAnsi="Times New Roman"/>
          <w:sz w:val="24"/>
          <w:szCs w:val="24"/>
        </w:rPr>
        <w:t xml:space="preserve"> standard) determination No. </w:t>
      </w:r>
      <w:r w:rsidR="00EC067D">
        <w:rPr>
          <w:rFonts w:ascii="Times New Roman" w:hAnsi="Times New Roman"/>
          <w:sz w:val="24"/>
          <w:szCs w:val="24"/>
        </w:rPr>
        <w:t>2</w:t>
      </w:r>
      <w:r w:rsidR="00EC067D" w:rsidRPr="002C6D26">
        <w:rPr>
          <w:rFonts w:ascii="Times New Roman" w:hAnsi="Times New Roman"/>
          <w:sz w:val="24"/>
          <w:szCs w:val="24"/>
        </w:rPr>
        <w:t xml:space="preserve"> </w:t>
      </w:r>
      <w:r w:rsidRPr="002C6D26">
        <w:rPr>
          <w:rFonts w:ascii="Times New Roman" w:hAnsi="Times New Roman"/>
          <w:sz w:val="24"/>
          <w:szCs w:val="24"/>
        </w:rPr>
        <w:t>of 20</w:t>
      </w:r>
      <w:r w:rsidR="00E9695A">
        <w:rPr>
          <w:rFonts w:ascii="Times New Roman" w:hAnsi="Times New Roman"/>
          <w:sz w:val="24"/>
          <w:szCs w:val="24"/>
        </w:rPr>
        <w:t>1</w:t>
      </w:r>
      <w:r w:rsidR="003D32E8">
        <w:rPr>
          <w:rFonts w:ascii="Times New Roman" w:hAnsi="Times New Roman"/>
          <w:sz w:val="24"/>
          <w:szCs w:val="24"/>
        </w:rPr>
        <w:t>9</w:t>
      </w:r>
      <w:r w:rsidRPr="002C6D26">
        <w:rPr>
          <w:rFonts w:ascii="Times New Roman" w:hAnsi="Times New Roman"/>
          <w:sz w:val="24"/>
          <w:szCs w:val="24"/>
        </w:rPr>
        <w:t xml:space="preserve"> </w:t>
      </w:r>
      <w:r>
        <w:rPr>
          <w:rFonts w:ascii="Times New Roman" w:hAnsi="Times New Roman"/>
          <w:sz w:val="24"/>
          <w:szCs w:val="24"/>
        </w:rPr>
        <w:t xml:space="preserve">which revokes </w:t>
      </w:r>
      <w:r w:rsidRPr="00E9695A">
        <w:rPr>
          <w:rFonts w:ascii="Times New Roman" w:hAnsi="Times New Roman"/>
          <w:i/>
          <w:sz w:val="24"/>
          <w:szCs w:val="24"/>
        </w:rPr>
        <w:t xml:space="preserve">Prudential Standard </w:t>
      </w:r>
      <w:r w:rsidRPr="009C4C66">
        <w:rPr>
          <w:rFonts w:ascii="Times New Roman" w:hAnsi="Times New Roman"/>
          <w:i/>
          <w:sz w:val="24"/>
          <w:szCs w:val="24"/>
        </w:rPr>
        <w:t xml:space="preserve">APS </w:t>
      </w:r>
      <w:r w:rsidR="009C4C66" w:rsidRPr="009C4C66">
        <w:rPr>
          <w:rFonts w:ascii="Times New Roman" w:hAnsi="Times New Roman"/>
          <w:i/>
          <w:sz w:val="24"/>
          <w:szCs w:val="24"/>
        </w:rPr>
        <w:t>310</w:t>
      </w:r>
      <w:r w:rsidRPr="009C4C66">
        <w:rPr>
          <w:rFonts w:ascii="Times New Roman" w:hAnsi="Times New Roman"/>
          <w:i/>
          <w:sz w:val="24"/>
          <w:szCs w:val="24"/>
        </w:rPr>
        <w:t xml:space="preserve"> </w:t>
      </w:r>
      <w:r w:rsidR="009C4C66" w:rsidRPr="009C4C66">
        <w:rPr>
          <w:rFonts w:ascii="Times New Roman" w:hAnsi="Times New Roman"/>
          <w:i/>
          <w:sz w:val="24"/>
          <w:szCs w:val="24"/>
        </w:rPr>
        <w:t>Audit and Related Matters</w:t>
      </w:r>
      <w:r w:rsidRPr="009C4C66">
        <w:rPr>
          <w:rFonts w:ascii="Times New Roman" w:hAnsi="Times New Roman"/>
          <w:sz w:val="24"/>
          <w:szCs w:val="24"/>
        </w:rPr>
        <w:t xml:space="preserve"> made under Banking (prudential standard) </w:t>
      </w:r>
      <w:r w:rsidRPr="00012BCA">
        <w:rPr>
          <w:rFonts w:ascii="Times New Roman" w:hAnsi="Times New Roman"/>
          <w:sz w:val="24"/>
          <w:szCs w:val="24"/>
        </w:rPr>
        <w:t xml:space="preserve">determination No. </w:t>
      </w:r>
      <w:r w:rsidR="00EC067D" w:rsidRPr="00012BCA">
        <w:rPr>
          <w:rFonts w:ascii="Times New Roman" w:hAnsi="Times New Roman"/>
          <w:sz w:val="24"/>
          <w:szCs w:val="24"/>
        </w:rPr>
        <w:t>1</w:t>
      </w:r>
      <w:r w:rsidR="00EC067D">
        <w:rPr>
          <w:rFonts w:ascii="Times New Roman" w:hAnsi="Times New Roman"/>
          <w:sz w:val="24"/>
          <w:szCs w:val="24"/>
        </w:rPr>
        <w:t>0</w:t>
      </w:r>
      <w:r w:rsidR="00EC067D" w:rsidRPr="00012BCA">
        <w:rPr>
          <w:rFonts w:ascii="Times New Roman" w:hAnsi="Times New Roman"/>
          <w:sz w:val="24"/>
          <w:szCs w:val="24"/>
        </w:rPr>
        <w:t xml:space="preserve"> </w:t>
      </w:r>
      <w:r w:rsidRPr="00012BCA">
        <w:rPr>
          <w:rFonts w:ascii="Times New Roman" w:hAnsi="Times New Roman"/>
          <w:sz w:val="24"/>
          <w:szCs w:val="24"/>
        </w:rPr>
        <w:t xml:space="preserve">of </w:t>
      </w:r>
      <w:r w:rsidR="00EC067D" w:rsidRPr="00012BCA">
        <w:rPr>
          <w:rFonts w:ascii="Times New Roman" w:hAnsi="Times New Roman"/>
          <w:sz w:val="24"/>
          <w:szCs w:val="24"/>
        </w:rPr>
        <w:t>201</w:t>
      </w:r>
      <w:r w:rsidR="00EC067D">
        <w:rPr>
          <w:rFonts w:ascii="Times New Roman" w:hAnsi="Times New Roman"/>
          <w:sz w:val="24"/>
          <w:szCs w:val="24"/>
        </w:rPr>
        <w:t>4</w:t>
      </w:r>
      <w:r w:rsidR="00EC067D" w:rsidRPr="00012BCA">
        <w:rPr>
          <w:rFonts w:ascii="Times New Roman" w:hAnsi="Times New Roman"/>
          <w:sz w:val="24"/>
          <w:szCs w:val="24"/>
        </w:rPr>
        <w:t xml:space="preserve"> </w:t>
      </w:r>
      <w:r w:rsidRPr="00012BCA">
        <w:rPr>
          <w:rFonts w:ascii="Times New Roman" w:hAnsi="Times New Roman"/>
          <w:sz w:val="24"/>
          <w:szCs w:val="24"/>
        </w:rPr>
        <w:t>and</w:t>
      </w:r>
      <w:r w:rsidRPr="009C4C66">
        <w:rPr>
          <w:rFonts w:ascii="Times New Roman" w:hAnsi="Times New Roman"/>
          <w:sz w:val="24"/>
          <w:szCs w:val="24"/>
        </w:rPr>
        <w:t xml:space="preserve"> determines a new </w:t>
      </w:r>
      <w:r w:rsidRPr="009C4C66">
        <w:rPr>
          <w:rFonts w:ascii="Times New Roman" w:hAnsi="Times New Roman"/>
          <w:i/>
          <w:sz w:val="24"/>
          <w:szCs w:val="24"/>
        </w:rPr>
        <w:t xml:space="preserve">Prudential Standard APS </w:t>
      </w:r>
      <w:r w:rsidR="009C4C66">
        <w:rPr>
          <w:rFonts w:ascii="Times New Roman" w:hAnsi="Times New Roman"/>
          <w:i/>
          <w:sz w:val="24"/>
          <w:szCs w:val="24"/>
        </w:rPr>
        <w:t>310</w:t>
      </w:r>
      <w:r w:rsidRPr="009C4C66">
        <w:rPr>
          <w:rFonts w:ascii="Times New Roman" w:hAnsi="Times New Roman"/>
          <w:i/>
          <w:sz w:val="24"/>
          <w:szCs w:val="24"/>
        </w:rPr>
        <w:t xml:space="preserve"> </w:t>
      </w:r>
      <w:r w:rsidR="009C4C66">
        <w:rPr>
          <w:rFonts w:ascii="Times New Roman" w:hAnsi="Times New Roman"/>
          <w:i/>
          <w:sz w:val="24"/>
          <w:szCs w:val="24"/>
        </w:rPr>
        <w:t>Audit and Related Matters</w:t>
      </w:r>
      <w:r w:rsidRPr="009C4C66">
        <w:rPr>
          <w:rFonts w:ascii="Times New Roman" w:hAnsi="Times New Roman"/>
          <w:sz w:val="24"/>
          <w:szCs w:val="24"/>
        </w:rPr>
        <w:t xml:space="preserve"> </w:t>
      </w:r>
      <w:r w:rsidR="009C4C66">
        <w:rPr>
          <w:rFonts w:ascii="Times New Roman" w:hAnsi="Times New Roman"/>
          <w:sz w:val="24"/>
          <w:szCs w:val="24"/>
        </w:rPr>
        <w:t>(APS 310</w:t>
      </w:r>
      <w:r w:rsidRPr="009C4C66">
        <w:rPr>
          <w:rFonts w:ascii="Times New Roman" w:hAnsi="Times New Roman"/>
          <w:sz w:val="24"/>
          <w:szCs w:val="24"/>
        </w:rPr>
        <w:t>).</w:t>
      </w:r>
    </w:p>
    <w:p w14:paraId="7183B473" w14:textId="56C81C40" w:rsidR="00246723" w:rsidRDefault="00AC7A56" w:rsidP="00D85E77">
      <w:pPr>
        <w:widowControl w:val="0"/>
        <w:spacing w:after="240"/>
        <w:jc w:val="both"/>
        <w:rPr>
          <w:rFonts w:ascii="Times New Roman" w:hAnsi="Times New Roman"/>
          <w:sz w:val="24"/>
          <w:szCs w:val="24"/>
        </w:rPr>
      </w:pPr>
      <w:r>
        <w:rPr>
          <w:rFonts w:ascii="Times New Roman" w:hAnsi="Times New Roman"/>
          <w:sz w:val="24"/>
          <w:szCs w:val="24"/>
        </w:rPr>
        <w:t>The instruments commence on</w:t>
      </w:r>
      <w:r w:rsidR="001F295F">
        <w:rPr>
          <w:rFonts w:ascii="Times New Roman" w:hAnsi="Times New Roman"/>
          <w:sz w:val="24"/>
          <w:szCs w:val="24"/>
        </w:rPr>
        <w:t xml:space="preserve"> 1 July 2019</w:t>
      </w:r>
      <w:r w:rsidRPr="002C6D26">
        <w:rPr>
          <w:rFonts w:ascii="Times New Roman" w:hAnsi="Times New Roman"/>
          <w:sz w:val="24"/>
          <w:szCs w:val="24"/>
        </w:rPr>
        <w:t>.</w:t>
      </w:r>
      <w:r>
        <w:rPr>
          <w:rFonts w:ascii="Times New Roman" w:hAnsi="Times New Roman"/>
          <w:sz w:val="24"/>
          <w:szCs w:val="24"/>
        </w:rPr>
        <w:tab/>
      </w:r>
    </w:p>
    <w:p w14:paraId="64AE87C7" w14:textId="77777777"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2B8E8B2" w14:textId="77777777" w:rsidR="003D0580" w:rsidRPr="003D0580" w:rsidRDefault="003D0580" w:rsidP="003D0580">
      <w:pPr>
        <w:shd w:val="clear" w:color="auto" w:fill="FFFFFF"/>
        <w:spacing w:before="240" w:after="240"/>
        <w:jc w:val="both"/>
        <w:rPr>
          <w:rFonts w:ascii="Times New Roman" w:hAnsi="Times New Roman"/>
          <w:sz w:val="24"/>
          <w:szCs w:val="24"/>
          <w:lang w:val="en-US"/>
        </w:rPr>
      </w:pPr>
      <w:r w:rsidRPr="003D0580">
        <w:rPr>
          <w:rFonts w:ascii="Times New Roman" w:hAnsi="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2AC3C570" w14:textId="75FDB562" w:rsidR="003D0580" w:rsidRPr="003D0580" w:rsidRDefault="003D0580" w:rsidP="003D0580">
      <w:pPr>
        <w:shd w:val="clear" w:color="auto" w:fill="FFFFFF"/>
        <w:spacing w:before="240" w:after="240"/>
        <w:jc w:val="both"/>
        <w:rPr>
          <w:rFonts w:ascii="Times New Roman" w:hAnsi="Times New Roman"/>
          <w:sz w:val="24"/>
          <w:szCs w:val="24"/>
          <w:lang w:val="en-US"/>
        </w:rPr>
      </w:pPr>
      <w:r w:rsidRPr="003D0580">
        <w:rPr>
          <w:rFonts w:ascii="Times New Roman" w:hAnsi="Times New Roman"/>
          <w:sz w:val="24"/>
          <w:szCs w:val="24"/>
        </w:rPr>
        <w:t>APRA carries out this mandate through a multi-layered prudential framework that encompasses licensing and supervision of institutions. In the case of the banking industry, APRA is empowered under the Banking Act to issue legally binding prudential standards that set out specific prudential requirements with which ADIs must comply</w:t>
      </w:r>
      <w:r>
        <w:rPr>
          <w:rFonts w:ascii="Times New Roman" w:hAnsi="Times New Roman"/>
          <w:sz w:val="24"/>
          <w:szCs w:val="24"/>
        </w:rPr>
        <w:t xml:space="preserve">. </w:t>
      </w:r>
    </w:p>
    <w:p w14:paraId="3B1D817F" w14:textId="694D218E" w:rsidR="003D0580" w:rsidRDefault="00800066" w:rsidP="00B4169D">
      <w:pPr>
        <w:pStyle w:val="Heading"/>
        <w:keepNext/>
        <w:spacing w:after="240"/>
        <w:outlineLvl w:val="0"/>
        <w:rPr>
          <w:rFonts w:ascii="Times New Roman" w:hAnsi="Times New Roman"/>
          <w:b w:val="0"/>
          <w:sz w:val="24"/>
          <w:szCs w:val="24"/>
        </w:rPr>
      </w:pPr>
      <w:r>
        <w:rPr>
          <w:rFonts w:ascii="Times New Roman" w:hAnsi="Times New Roman"/>
          <w:b w:val="0"/>
          <w:sz w:val="24"/>
          <w:szCs w:val="24"/>
        </w:rPr>
        <w:t>APS 121</w:t>
      </w:r>
      <w:r w:rsidR="008B12F6">
        <w:rPr>
          <w:rFonts w:ascii="Times New Roman" w:hAnsi="Times New Roman"/>
          <w:b w:val="0"/>
          <w:sz w:val="24"/>
          <w:szCs w:val="24"/>
        </w:rPr>
        <w:t xml:space="preserve"> </w:t>
      </w:r>
      <w:r w:rsidR="00DB6266">
        <w:rPr>
          <w:rFonts w:ascii="Times New Roman" w:hAnsi="Times New Roman"/>
          <w:b w:val="0"/>
          <w:sz w:val="24"/>
          <w:szCs w:val="24"/>
        </w:rPr>
        <w:t>set</w:t>
      </w:r>
      <w:r>
        <w:rPr>
          <w:rFonts w:ascii="Times New Roman" w:hAnsi="Times New Roman"/>
          <w:b w:val="0"/>
          <w:sz w:val="24"/>
          <w:szCs w:val="24"/>
        </w:rPr>
        <w:t>s</w:t>
      </w:r>
      <w:r w:rsidR="00DB6266">
        <w:rPr>
          <w:rFonts w:ascii="Times New Roman" w:hAnsi="Times New Roman"/>
          <w:b w:val="0"/>
          <w:sz w:val="24"/>
          <w:szCs w:val="24"/>
        </w:rPr>
        <w:t xml:space="preserve"> out </w:t>
      </w:r>
      <w:r w:rsidR="008B12F6">
        <w:rPr>
          <w:rFonts w:ascii="Times New Roman" w:hAnsi="Times New Roman"/>
          <w:b w:val="0"/>
          <w:sz w:val="24"/>
          <w:szCs w:val="24"/>
        </w:rPr>
        <w:t>requirements for the issuing of covered bonds by ADIs. APS 310 requires an ADI to ensure APRA has access to independent advice from an auditor relating to the operations, internal controls and information provided to APRA in respect of that ADI.</w:t>
      </w:r>
    </w:p>
    <w:p w14:paraId="158B5DE4" w14:textId="75AF1727" w:rsidR="00C04FE5" w:rsidRDefault="00B4169D" w:rsidP="00B4169D">
      <w:pPr>
        <w:pStyle w:val="Heading"/>
        <w:keepNext/>
        <w:spacing w:after="240"/>
        <w:outlineLvl w:val="0"/>
        <w:rPr>
          <w:rFonts w:ascii="Times New Roman" w:hAnsi="Times New Roman"/>
          <w:b w:val="0"/>
          <w:sz w:val="24"/>
          <w:szCs w:val="24"/>
        </w:rPr>
      </w:pPr>
      <w:r w:rsidRPr="00B4169D">
        <w:rPr>
          <w:rFonts w:ascii="Times New Roman" w:hAnsi="Times New Roman"/>
          <w:b w:val="0"/>
          <w:sz w:val="24"/>
          <w:szCs w:val="24"/>
        </w:rPr>
        <w:t xml:space="preserve">In January 2017, the Reserve Bank of Australia (RBA), the Australian Bureau of Statistics (ABS) (collectively, ‘the agencies’) and APRA commenced consultation on the modernised Economic and Financial Statistics (EFS) data collection, which </w:t>
      </w:r>
      <w:r w:rsidR="00C04FE5">
        <w:rPr>
          <w:rFonts w:ascii="Times New Roman" w:hAnsi="Times New Roman"/>
          <w:b w:val="0"/>
          <w:sz w:val="24"/>
          <w:szCs w:val="24"/>
        </w:rPr>
        <w:t>replaces</w:t>
      </w:r>
      <w:r w:rsidRPr="00B4169D">
        <w:rPr>
          <w:rFonts w:ascii="Times New Roman" w:hAnsi="Times New Roman"/>
          <w:b w:val="0"/>
          <w:sz w:val="24"/>
          <w:szCs w:val="24"/>
        </w:rPr>
        <w:t xml:space="preserve"> </w:t>
      </w:r>
      <w:r w:rsidRPr="00B4169D">
        <w:rPr>
          <w:rFonts w:ascii="Times New Roman" w:hAnsi="Times New Roman"/>
          <w:b w:val="0"/>
          <w:sz w:val="24"/>
          <w:szCs w:val="24"/>
        </w:rPr>
        <w:lastRenderedPageBreak/>
        <w:t xml:space="preserve">the current domestic books collection. In August 2017, APRA and the agencies released a response to submissions. </w:t>
      </w:r>
    </w:p>
    <w:p w14:paraId="710F9D97" w14:textId="245BD3A8" w:rsidR="00B4169D" w:rsidRPr="00B4169D" w:rsidRDefault="00B4169D" w:rsidP="00B4169D">
      <w:pPr>
        <w:pStyle w:val="Heading"/>
        <w:keepNext/>
        <w:spacing w:after="240"/>
        <w:outlineLvl w:val="0"/>
        <w:rPr>
          <w:rFonts w:ascii="Times New Roman" w:hAnsi="Times New Roman"/>
          <w:b w:val="0"/>
          <w:sz w:val="24"/>
          <w:szCs w:val="24"/>
        </w:rPr>
      </w:pPr>
      <w:r w:rsidRPr="00B4169D">
        <w:rPr>
          <w:rFonts w:ascii="Times New Roman" w:hAnsi="Times New Roman"/>
          <w:b w:val="0"/>
          <w:sz w:val="24"/>
          <w:szCs w:val="24"/>
        </w:rPr>
        <w:t>Implementation of the EFS data collection commence</w:t>
      </w:r>
      <w:r w:rsidR="00C04FE5">
        <w:rPr>
          <w:rFonts w:ascii="Times New Roman" w:hAnsi="Times New Roman"/>
          <w:b w:val="0"/>
          <w:sz w:val="24"/>
          <w:szCs w:val="24"/>
        </w:rPr>
        <w:t>d</w:t>
      </w:r>
      <w:r w:rsidRPr="00B4169D">
        <w:rPr>
          <w:rFonts w:ascii="Times New Roman" w:hAnsi="Times New Roman"/>
          <w:b w:val="0"/>
          <w:sz w:val="24"/>
          <w:szCs w:val="24"/>
        </w:rPr>
        <w:t xml:space="preserve"> </w:t>
      </w:r>
      <w:r w:rsidR="00C04FE5">
        <w:rPr>
          <w:rFonts w:ascii="Times New Roman" w:hAnsi="Times New Roman"/>
          <w:b w:val="0"/>
          <w:sz w:val="24"/>
          <w:szCs w:val="24"/>
        </w:rPr>
        <w:t>for</w:t>
      </w:r>
      <w:r w:rsidRPr="00B4169D">
        <w:rPr>
          <w:rFonts w:ascii="Times New Roman" w:hAnsi="Times New Roman"/>
          <w:b w:val="0"/>
          <w:sz w:val="24"/>
          <w:szCs w:val="24"/>
        </w:rPr>
        <w:t xml:space="preserve"> the reporting period ending March 2019. APRA </w:t>
      </w:r>
      <w:r w:rsidR="00C04FE5">
        <w:rPr>
          <w:rFonts w:ascii="Times New Roman" w:hAnsi="Times New Roman"/>
          <w:b w:val="0"/>
          <w:sz w:val="24"/>
          <w:szCs w:val="24"/>
        </w:rPr>
        <w:t>will revoke</w:t>
      </w:r>
      <w:r w:rsidRPr="00B4169D">
        <w:rPr>
          <w:rFonts w:ascii="Times New Roman" w:hAnsi="Times New Roman"/>
          <w:b w:val="0"/>
          <w:sz w:val="24"/>
          <w:szCs w:val="24"/>
        </w:rPr>
        <w:t xml:space="preserve"> a number of ADI and Registered Financial Corporation (RFC) reporting standards and replace them with new EFS reporting standards during 2019.</w:t>
      </w:r>
    </w:p>
    <w:p w14:paraId="4057CAF9" w14:textId="71D3A0E8" w:rsidR="00561BA7" w:rsidRPr="00B4169D" w:rsidRDefault="00B4169D" w:rsidP="00B4169D">
      <w:pPr>
        <w:pStyle w:val="Heading"/>
        <w:keepNext/>
        <w:spacing w:after="240"/>
        <w:outlineLvl w:val="0"/>
        <w:rPr>
          <w:rFonts w:ascii="Times New Roman" w:hAnsi="Times New Roman"/>
          <w:b w:val="0"/>
          <w:sz w:val="24"/>
          <w:szCs w:val="24"/>
        </w:rPr>
      </w:pPr>
      <w:r w:rsidRPr="00B4169D">
        <w:rPr>
          <w:rFonts w:ascii="Times New Roman" w:hAnsi="Times New Roman"/>
          <w:b w:val="0"/>
          <w:sz w:val="24"/>
          <w:szCs w:val="24"/>
        </w:rPr>
        <w:t xml:space="preserve">The new </w:t>
      </w:r>
      <w:r w:rsidRPr="00B4169D">
        <w:rPr>
          <w:rFonts w:ascii="Times New Roman" w:hAnsi="Times New Roman"/>
          <w:b w:val="0"/>
          <w:i/>
          <w:sz w:val="24"/>
          <w:szCs w:val="24"/>
        </w:rPr>
        <w:t>Accounting Standard AASB 9 Financial Instruments</w:t>
      </w:r>
      <w:r w:rsidRPr="00B4169D">
        <w:rPr>
          <w:rFonts w:ascii="Times New Roman" w:hAnsi="Times New Roman"/>
          <w:b w:val="0"/>
          <w:sz w:val="24"/>
          <w:szCs w:val="24"/>
        </w:rPr>
        <w:t xml:space="preserve"> (AASB 9) replaced the previous </w:t>
      </w:r>
      <w:r w:rsidRPr="00B4169D">
        <w:rPr>
          <w:rFonts w:ascii="Times New Roman" w:hAnsi="Times New Roman"/>
          <w:b w:val="0"/>
          <w:i/>
          <w:sz w:val="24"/>
          <w:szCs w:val="24"/>
        </w:rPr>
        <w:t>Accounting Standard AASB 139 Financial Instruments</w:t>
      </w:r>
      <w:r w:rsidRPr="00B4169D">
        <w:rPr>
          <w:rFonts w:ascii="Times New Roman" w:hAnsi="Times New Roman"/>
          <w:b w:val="0"/>
          <w:sz w:val="24"/>
          <w:szCs w:val="24"/>
        </w:rPr>
        <w:t xml:space="preserve"> (AASB 139) on 1</w:t>
      </w:r>
      <w:r w:rsidR="00700566">
        <w:rPr>
          <w:rFonts w:ascii="Times New Roman" w:hAnsi="Times New Roman"/>
          <w:b w:val="0"/>
          <w:sz w:val="24"/>
          <w:szCs w:val="24"/>
        </w:rPr>
        <w:t> </w:t>
      </w:r>
      <w:r w:rsidRPr="00B4169D">
        <w:rPr>
          <w:rFonts w:ascii="Times New Roman" w:hAnsi="Times New Roman"/>
          <w:b w:val="0"/>
          <w:sz w:val="24"/>
          <w:szCs w:val="24"/>
        </w:rPr>
        <w:t xml:space="preserve">January 2018. AASB 9 applies to all entities in Australia and contains new requirements for the classification and measurement of financial assets. </w:t>
      </w:r>
    </w:p>
    <w:p w14:paraId="43416578" w14:textId="02F84AF2" w:rsidR="00C04FE5" w:rsidRDefault="00B4169D" w:rsidP="00B4169D">
      <w:pPr>
        <w:pStyle w:val="Heading"/>
        <w:keepNext/>
        <w:spacing w:after="240"/>
        <w:outlineLvl w:val="0"/>
        <w:rPr>
          <w:rFonts w:ascii="Times New Roman" w:hAnsi="Times New Roman"/>
          <w:b w:val="0"/>
          <w:sz w:val="24"/>
          <w:szCs w:val="24"/>
        </w:rPr>
      </w:pPr>
      <w:r w:rsidRPr="00B4169D">
        <w:rPr>
          <w:rFonts w:ascii="Times New Roman" w:hAnsi="Times New Roman"/>
          <w:b w:val="0"/>
          <w:sz w:val="24"/>
          <w:szCs w:val="24"/>
        </w:rPr>
        <w:t xml:space="preserve">A number of ADI </w:t>
      </w:r>
      <w:r w:rsidR="007B37C7">
        <w:rPr>
          <w:rFonts w:ascii="Times New Roman" w:hAnsi="Times New Roman"/>
          <w:b w:val="0"/>
          <w:sz w:val="24"/>
          <w:szCs w:val="24"/>
        </w:rPr>
        <w:t xml:space="preserve">prudential </w:t>
      </w:r>
      <w:r w:rsidRPr="00B4169D">
        <w:rPr>
          <w:rFonts w:ascii="Times New Roman" w:hAnsi="Times New Roman"/>
          <w:b w:val="0"/>
          <w:sz w:val="24"/>
          <w:szCs w:val="24"/>
        </w:rPr>
        <w:t>and reporting standards</w:t>
      </w:r>
      <w:r w:rsidR="007E04BF">
        <w:rPr>
          <w:rFonts w:ascii="Times New Roman" w:hAnsi="Times New Roman"/>
          <w:b w:val="0"/>
          <w:sz w:val="24"/>
          <w:szCs w:val="24"/>
        </w:rPr>
        <w:t>, including APS 121 and APS 310</w:t>
      </w:r>
      <w:r w:rsidRPr="00B4169D">
        <w:rPr>
          <w:rFonts w:ascii="Times New Roman" w:hAnsi="Times New Roman"/>
          <w:b w:val="0"/>
          <w:sz w:val="24"/>
          <w:szCs w:val="24"/>
        </w:rPr>
        <w:t xml:space="preserve"> </w:t>
      </w:r>
      <w:r w:rsidR="00991E53">
        <w:rPr>
          <w:rFonts w:ascii="Times New Roman" w:hAnsi="Times New Roman"/>
          <w:b w:val="0"/>
          <w:sz w:val="24"/>
          <w:szCs w:val="24"/>
        </w:rPr>
        <w:t>are</w:t>
      </w:r>
      <w:r w:rsidR="00991E53" w:rsidRPr="00B4169D">
        <w:rPr>
          <w:rFonts w:ascii="Times New Roman" w:hAnsi="Times New Roman"/>
          <w:b w:val="0"/>
          <w:sz w:val="24"/>
          <w:szCs w:val="24"/>
        </w:rPr>
        <w:t xml:space="preserve"> </w:t>
      </w:r>
      <w:r w:rsidRPr="00B4169D">
        <w:rPr>
          <w:rFonts w:ascii="Times New Roman" w:hAnsi="Times New Roman"/>
          <w:b w:val="0"/>
          <w:sz w:val="24"/>
          <w:szCs w:val="24"/>
        </w:rPr>
        <w:t xml:space="preserve">affected by </w:t>
      </w:r>
      <w:r w:rsidR="00C04FE5">
        <w:rPr>
          <w:rFonts w:ascii="Times New Roman" w:hAnsi="Times New Roman"/>
          <w:b w:val="0"/>
          <w:sz w:val="24"/>
          <w:szCs w:val="24"/>
        </w:rPr>
        <w:t xml:space="preserve">the </w:t>
      </w:r>
      <w:r w:rsidRPr="00B4169D">
        <w:rPr>
          <w:rFonts w:ascii="Times New Roman" w:hAnsi="Times New Roman"/>
          <w:b w:val="0"/>
          <w:sz w:val="24"/>
          <w:szCs w:val="24"/>
        </w:rPr>
        <w:t xml:space="preserve">EFS implementation and the introduction of AASB 9 </w:t>
      </w:r>
      <w:r w:rsidR="00180477">
        <w:rPr>
          <w:rFonts w:ascii="Times New Roman" w:hAnsi="Times New Roman"/>
          <w:b w:val="0"/>
          <w:sz w:val="24"/>
          <w:szCs w:val="24"/>
        </w:rPr>
        <w:t xml:space="preserve">(collectively, ‘the </w:t>
      </w:r>
      <w:r w:rsidR="00991E53">
        <w:rPr>
          <w:rFonts w:ascii="Times New Roman" w:hAnsi="Times New Roman"/>
          <w:b w:val="0"/>
          <w:sz w:val="24"/>
          <w:szCs w:val="24"/>
        </w:rPr>
        <w:t xml:space="preserve"> regulatory developments</w:t>
      </w:r>
      <w:r w:rsidR="00180477">
        <w:rPr>
          <w:rFonts w:ascii="Times New Roman" w:hAnsi="Times New Roman"/>
          <w:b w:val="0"/>
          <w:sz w:val="24"/>
          <w:szCs w:val="24"/>
        </w:rPr>
        <w:t>’)</w:t>
      </w:r>
      <w:r w:rsidR="00991E53">
        <w:rPr>
          <w:rFonts w:ascii="Times New Roman" w:hAnsi="Times New Roman"/>
          <w:b w:val="0"/>
          <w:sz w:val="24"/>
          <w:szCs w:val="24"/>
        </w:rPr>
        <w:t xml:space="preserve">. </w:t>
      </w:r>
    </w:p>
    <w:p w14:paraId="71A1C46E" w14:textId="77777777"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6EC8D4A6" w14:textId="4D8CDBB7" w:rsidR="00C93825" w:rsidRDefault="00C93825" w:rsidP="00D85E77">
      <w:pPr>
        <w:pStyle w:val="Heading"/>
        <w:spacing w:after="240"/>
        <w:rPr>
          <w:rFonts w:ascii="Times New Roman" w:hAnsi="Times New Roman"/>
          <w:b w:val="0"/>
          <w:sz w:val="24"/>
          <w:szCs w:val="24"/>
        </w:rPr>
      </w:pPr>
      <w:bookmarkStart w:id="4" w:name="bkPurpose"/>
      <w:bookmarkEnd w:id="4"/>
      <w:r>
        <w:rPr>
          <w:rFonts w:ascii="Times New Roman" w:hAnsi="Times New Roman"/>
          <w:b w:val="0"/>
          <w:i/>
          <w:sz w:val="24"/>
          <w:szCs w:val="24"/>
        </w:rPr>
        <w:t xml:space="preserve">Banking (prudential standard) </w:t>
      </w:r>
      <w:r w:rsidR="00DA6928">
        <w:rPr>
          <w:rFonts w:ascii="Times New Roman" w:hAnsi="Times New Roman"/>
          <w:b w:val="0"/>
          <w:i/>
          <w:sz w:val="24"/>
          <w:szCs w:val="24"/>
        </w:rPr>
        <w:t xml:space="preserve">determination </w:t>
      </w:r>
      <w:r w:rsidRPr="0062749C">
        <w:rPr>
          <w:rFonts w:ascii="Times New Roman" w:hAnsi="Times New Roman"/>
          <w:b w:val="0"/>
          <w:i/>
          <w:sz w:val="24"/>
          <w:szCs w:val="24"/>
        </w:rPr>
        <w:t>No</w:t>
      </w:r>
      <w:r w:rsidR="00D2171D" w:rsidRPr="004A7A7B">
        <w:rPr>
          <w:rFonts w:ascii="Times New Roman" w:hAnsi="Times New Roman"/>
          <w:b w:val="0"/>
          <w:sz w:val="24"/>
          <w:szCs w:val="24"/>
        </w:rPr>
        <w:t>.</w:t>
      </w:r>
      <w:r w:rsidRPr="004A7A7B">
        <w:rPr>
          <w:rFonts w:ascii="Times New Roman" w:hAnsi="Times New Roman"/>
          <w:b w:val="0"/>
          <w:sz w:val="24"/>
          <w:szCs w:val="24"/>
        </w:rPr>
        <w:t xml:space="preserve"> </w:t>
      </w:r>
      <w:bookmarkStart w:id="5" w:name="_GoBack"/>
      <w:r w:rsidR="001A1C63" w:rsidRPr="00BD5840">
        <w:rPr>
          <w:rFonts w:ascii="Times New Roman" w:hAnsi="Times New Roman"/>
          <w:b w:val="0"/>
          <w:i/>
          <w:sz w:val="24"/>
          <w:szCs w:val="24"/>
        </w:rPr>
        <w:t>1</w:t>
      </w:r>
      <w:r w:rsidRPr="00BD5840">
        <w:rPr>
          <w:rFonts w:ascii="Times New Roman" w:hAnsi="Times New Roman"/>
          <w:b w:val="0"/>
          <w:i/>
          <w:sz w:val="24"/>
          <w:szCs w:val="24"/>
        </w:rPr>
        <w:t xml:space="preserve"> of 201</w:t>
      </w:r>
      <w:r w:rsidR="00D2171D" w:rsidRPr="00BD5840">
        <w:rPr>
          <w:rFonts w:ascii="Times New Roman" w:hAnsi="Times New Roman"/>
          <w:b w:val="0"/>
          <w:i/>
          <w:sz w:val="24"/>
          <w:szCs w:val="24"/>
        </w:rPr>
        <w:t>9</w:t>
      </w:r>
      <w:bookmarkEnd w:id="5"/>
    </w:p>
    <w:p w14:paraId="0F1362B8" w14:textId="387F8CA8" w:rsidR="008D4169" w:rsidRDefault="008D4169" w:rsidP="00BB5566">
      <w:pPr>
        <w:pStyle w:val="Heading"/>
        <w:spacing w:after="240"/>
        <w:rPr>
          <w:rFonts w:ascii="Times New Roman" w:hAnsi="Times New Roman"/>
          <w:b w:val="0"/>
          <w:sz w:val="24"/>
          <w:szCs w:val="24"/>
        </w:rPr>
      </w:pPr>
      <w:r w:rsidRPr="008D4169">
        <w:rPr>
          <w:rFonts w:ascii="Times New Roman" w:hAnsi="Times New Roman"/>
          <w:b w:val="0"/>
          <w:sz w:val="24"/>
          <w:szCs w:val="24"/>
        </w:rPr>
        <w:t>The purpose of this instrument is to</w:t>
      </w:r>
      <w:r w:rsidR="00002EFB">
        <w:rPr>
          <w:rFonts w:ascii="Times New Roman" w:hAnsi="Times New Roman"/>
          <w:b w:val="0"/>
          <w:sz w:val="24"/>
          <w:szCs w:val="24"/>
        </w:rPr>
        <w:t xml:space="preserve"> revoke APS 121 and replace it with a new version of</w:t>
      </w:r>
      <w:r w:rsidRPr="008D4169">
        <w:rPr>
          <w:rFonts w:ascii="Times New Roman" w:hAnsi="Times New Roman"/>
          <w:b w:val="0"/>
          <w:sz w:val="24"/>
          <w:szCs w:val="24"/>
        </w:rPr>
        <w:t xml:space="preserve"> APS 1</w:t>
      </w:r>
      <w:r w:rsidR="00B4169D">
        <w:rPr>
          <w:rFonts w:ascii="Times New Roman" w:hAnsi="Times New Roman"/>
          <w:b w:val="0"/>
          <w:sz w:val="24"/>
          <w:szCs w:val="24"/>
        </w:rPr>
        <w:t>21</w:t>
      </w:r>
      <w:r w:rsidR="00180477">
        <w:rPr>
          <w:rFonts w:ascii="Times New Roman" w:hAnsi="Times New Roman"/>
          <w:b w:val="0"/>
          <w:sz w:val="24"/>
          <w:szCs w:val="24"/>
        </w:rPr>
        <w:t xml:space="preserve"> to reflect the regulatory developments</w:t>
      </w:r>
      <w:r w:rsidRPr="008D4169">
        <w:rPr>
          <w:rFonts w:ascii="Times New Roman" w:hAnsi="Times New Roman"/>
          <w:b w:val="0"/>
          <w:sz w:val="24"/>
          <w:szCs w:val="24"/>
        </w:rPr>
        <w:t>.</w:t>
      </w:r>
      <w:r w:rsidR="00BB5566">
        <w:rPr>
          <w:rFonts w:ascii="Times New Roman" w:hAnsi="Times New Roman"/>
          <w:b w:val="0"/>
          <w:sz w:val="24"/>
          <w:szCs w:val="24"/>
        </w:rPr>
        <w:t xml:space="preserve"> </w:t>
      </w:r>
    </w:p>
    <w:p w14:paraId="46F1E11D" w14:textId="52CED215" w:rsidR="002514C0" w:rsidRPr="002514C0" w:rsidRDefault="00800066" w:rsidP="002514C0">
      <w:pPr>
        <w:pStyle w:val="Heading"/>
        <w:spacing w:after="240"/>
        <w:rPr>
          <w:rFonts w:ascii="Times New Roman" w:hAnsi="Times New Roman"/>
          <w:b w:val="0"/>
          <w:i/>
          <w:iCs/>
          <w:sz w:val="24"/>
          <w:szCs w:val="24"/>
        </w:rPr>
      </w:pPr>
      <w:r>
        <w:rPr>
          <w:rFonts w:ascii="Times New Roman" w:hAnsi="Times New Roman"/>
          <w:b w:val="0"/>
          <w:iCs/>
          <w:sz w:val="24"/>
          <w:szCs w:val="24"/>
        </w:rPr>
        <w:t xml:space="preserve">The new </w:t>
      </w:r>
      <w:r w:rsidR="002514C0" w:rsidRPr="002514C0">
        <w:rPr>
          <w:rFonts w:ascii="Times New Roman" w:hAnsi="Times New Roman"/>
          <w:b w:val="0"/>
          <w:iCs/>
          <w:sz w:val="24"/>
          <w:szCs w:val="24"/>
        </w:rPr>
        <w:t>APS 121 refers to total resident assets on an ADI’s domestic books as reported on</w:t>
      </w:r>
      <w:r w:rsidR="002514C0">
        <w:rPr>
          <w:rFonts w:ascii="Times New Roman" w:hAnsi="Times New Roman"/>
          <w:b w:val="0"/>
          <w:iCs/>
          <w:sz w:val="24"/>
          <w:szCs w:val="24"/>
        </w:rPr>
        <w:t xml:space="preserve"> </w:t>
      </w:r>
      <w:r w:rsidR="002514C0" w:rsidRPr="002514C0">
        <w:rPr>
          <w:rFonts w:ascii="Times New Roman" w:hAnsi="Times New Roman"/>
          <w:b w:val="0"/>
          <w:i/>
          <w:sz w:val="24"/>
          <w:szCs w:val="24"/>
        </w:rPr>
        <w:t xml:space="preserve">Reporting Form ARF 320.0 Statement of Financial Position (Domestic Books) </w:t>
      </w:r>
      <w:r w:rsidR="002514C0">
        <w:rPr>
          <w:rFonts w:ascii="Times New Roman" w:hAnsi="Times New Roman"/>
          <w:b w:val="0"/>
          <w:sz w:val="24"/>
          <w:szCs w:val="24"/>
        </w:rPr>
        <w:t>(</w:t>
      </w:r>
      <w:r w:rsidR="002514C0" w:rsidRPr="002514C0">
        <w:rPr>
          <w:rFonts w:ascii="Times New Roman" w:hAnsi="Times New Roman"/>
          <w:b w:val="0"/>
          <w:iCs/>
          <w:sz w:val="24"/>
          <w:szCs w:val="24"/>
        </w:rPr>
        <w:t>ARF 320.0</w:t>
      </w:r>
      <w:r w:rsidR="002514C0">
        <w:rPr>
          <w:rFonts w:ascii="Times New Roman" w:hAnsi="Times New Roman"/>
          <w:b w:val="0"/>
          <w:iCs/>
          <w:sz w:val="24"/>
          <w:szCs w:val="24"/>
        </w:rPr>
        <w:t>)</w:t>
      </w:r>
      <w:r w:rsidR="002514C0" w:rsidRPr="002514C0">
        <w:rPr>
          <w:rFonts w:ascii="Times New Roman" w:hAnsi="Times New Roman"/>
          <w:b w:val="0"/>
          <w:iCs/>
          <w:sz w:val="24"/>
          <w:szCs w:val="24"/>
        </w:rPr>
        <w:t xml:space="preserve"> </w:t>
      </w:r>
      <w:r w:rsidR="002F4137">
        <w:rPr>
          <w:rFonts w:ascii="Times New Roman" w:hAnsi="Times New Roman"/>
          <w:b w:val="0"/>
          <w:iCs/>
          <w:sz w:val="24"/>
          <w:szCs w:val="24"/>
        </w:rPr>
        <w:t xml:space="preserve">under </w:t>
      </w:r>
      <w:r w:rsidR="00CD43F7">
        <w:rPr>
          <w:rFonts w:ascii="Times New Roman" w:hAnsi="Times New Roman"/>
          <w:b w:val="0"/>
          <w:i/>
          <w:iCs/>
          <w:sz w:val="24"/>
          <w:szCs w:val="24"/>
        </w:rPr>
        <w:t xml:space="preserve">Reporting Standard ARS 320.0 Statement of Financial Position (Domestic Books) </w:t>
      </w:r>
      <w:r w:rsidR="002514C0" w:rsidRPr="002514C0">
        <w:rPr>
          <w:rFonts w:ascii="Times New Roman" w:hAnsi="Times New Roman"/>
          <w:b w:val="0"/>
          <w:iCs/>
          <w:sz w:val="24"/>
          <w:szCs w:val="24"/>
        </w:rPr>
        <w:t xml:space="preserve">for the purposes of defining an ADI’s assets in Australia and setting a limit on ADIs’ issues of covered bonds. </w:t>
      </w:r>
      <w:r w:rsidR="002514C0">
        <w:rPr>
          <w:rFonts w:ascii="Times New Roman" w:hAnsi="Times New Roman"/>
          <w:b w:val="0"/>
          <w:sz w:val="24"/>
          <w:szCs w:val="24"/>
        </w:rPr>
        <w:t xml:space="preserve">The instrument makes minor alterations to APS 121 to </w:t>
      </w:r>
      <w:r w:rsidR="002514C0" w:rsidRPr="002514C0">
        <w:rPr>
          <w:rFonts w:ascii="Times New Roman" w:hAnsi="Times New Roman"/>
          <w:b w:val="0"/>
          <w:iCs/>
          <w:sz w:val="24"/>
          <w:szCs w:val="24"/>
        </w:rPr>
        <w:t xml:space="preserve">update the reference to ARF 320.0 to refer to total resident assets as reported on the EFS replacement of ARF 320.0, </w:t>
      </w:r>
      <w:r w:rsidR="002514C0" w:rsidRPr="002514C0">
        <w:rPr>
          <w:rFonts w:ascii="Times New Roman" w:hAnsi="Times New Roman"/>
          <w:b w:val="0"/>
          <w:i/>
          <w:iCs/>
          <w:sz w:val="24"/>
          <w:szCs w:val="24"/>
        </w:rPr>
        <w:t>Reporting Form ARF 720.0 ABS/RBA Statement of Financial Position</w:t>
      </w:r>
      <w:r w:rsidR="002514C0" w:rsidRPr="002514C0">
        <w:rPr>
          <w:rFonts w:ascii="Times New Roman" w:hAnsi="Times New Roman"/>
          <w:b w:val="0"/>
          <w:iCs/>
          <w:sz w:val="24"/>
          <w:szCs w:val="24"/>
        </w:rPr>
        <w:t xml:space="preserve"> (ARF 720.0)</w:t>
      </w:r>
      <w:r w:rsidR="00CD43F7">
        <w:rPr>
          <w:rFonts w:ascii="Times New Roman" w:hAnsi="Times New Roman"/>
          <w:b w:val="0"/>
          <w:iCs/>
          <w:sz w:val="24"/>
          <w:szCs w:val="24"/>
        </w:rPr>
        <w:t xml:space="preserve"> under </w:t>
      </w:r>
      <w:r w:rsidR="00CD43F7">
        <w:rPr>
          <w:rFonts w:ascii="Times New Roman" w:hAnsi="Times New Roman"/>
          <w:b w:val="0"/>
          <w:i/>
          <w:iCs/>
          <w:sz w:val="24"/>
          <w:szCs w:val="24"/>
        </w:rPr>
        <w:t>Reporting Standard ARS 720.0 ABS/RBA Statement of Financial Position</w:t>
      </w:r>
      <w:r w:rsidR="002514C0" w:rsidRPr="002514C0">
        <w:rPr>
          <w:rFonts w:ascii="Times New Roman" w:hAnsi="Times New Roman"/>
          <w:b w:val="0"/>
          <w:iCs/>
          <w:sz w:val="24"/>
          <w:szCs w:val="24"/>
        </w:rPr>
        <w:t>.</w:t>
      </w:r>
      <w:r w:rsidR="002514C0" w:rsidRPr="002514C0" w:rsidDel="00E1063E">
        <w:rPr>
          <w:rFonts w:ascii="Times New Roman" w:hAnsi="Times New Roman"/>
          <w:b w:val="0"/>
          <w:iCs/>
          <w:sz w:val="24"/>
          <w:szCs w:val="24"/>
        </w:rPr>
        <w:t xml:space="preserve"> </w:t>
      </w:r>
    </w:p>
    <w:p w14:paraId="261D01B5" w14:textId="34ED1E7B" w:rsidR="00F8129B" w:rsidRDefault="00F8129B" w:rsidP="00F8129B">
      <w:pPr>
        <w:pStyle w:val="Heading"/>
        <w:spacing w:after="240"/>
        <w:rPr>
          <w:rFonts w:ascii="Times New Roman" w:hAnsi="Times New Roman"/>
          <w:b w:val="0"/>
          <w:i/>
          <w:sz w:val="24"/>
          <w:szCs w:val="24"/>
        </w:rPr>
      </w:pPr>
      <w:r w:rsidRPr="00C93825">
        <w:rPr>
          <w:rFonts w:ascii="Times New Roman" w:hAnsi="Times New Roman"/>
          <w:b w:val="0"/>
          <w:i/>
          <w:sz w:val="24"/>
          <w:szCs w:val="24"/>
        </w:rPr>
        <w:t>Banking (prudenti</w:t>
      </w:r>
      <w:r>
        <w:rPr>
          <w:rFonts w:ascii="Times New Roman" w:hAnsi="Times New Roman"/>
          <w:b w:val="0"/>
          <w:i/>
          <w:sz w:val="24"/>
          <w:szCs w:val="24"/>
        </w:rPr>
        <w:t xml:space="preserve">al standard) determination </w:t>
      </w:r>
      <w:r w:rsidRPr="0062749C">
        <w:rPr>
          <w:rFonts w:ascii="Times New Roman" w:hAnsi="Times New Roman"/>
          <w:b w:val="0"/>
          <w:i/>
          <w:sz w:val="24"/>
          <w:szCs w:val="24"/>
        </w:rPr>
        <w:t xml:space="preserve">No. </w:t>
      </w:r>
      <w:r w:rsidR="00C766BE">
        <w:rPr>
          <w:rFonts w:ascii="Times New Roman" w:hAnsi="Times New Roman"/>
          <w:b w:val="0"/>
          <w:i/>
          <w:sz w:val="24"/>
          <w:szCs w:val="24"/>
        </w:rPr>
        <w:t>2</w:t>
      </w:r>
      <w:r w:rsidR="00C766BE" w:rsidRPr="00C93825">
        <w:rPr>
          <w:rFonts w:ascii="Times New Roman" w:hAnsi="Times New Roman"/>
          <w:b w:val="0"/>
          <w:i/>
          <w:sz w:val="24"/>
          <w:szCs w:val="24"/>
        </w:rPr>
        <w:t xml:space="preserve"> </w:t>
      </w:r>
      <w:r w:rsidRPr="00C93825">
        <w:rPr>
          <w:rFonts w:ascii="Times New Roman" w:hAnsi="Times New Roman"/>
          <w:b w:val="0"/>
          <w:i/>
          <w:sz w:val="24"/>
          <w:szCs w:val="24"/>
        </w:rPr>
        <w:t>of 201</w:t>
      </w:r>
      <w:r w:rsidR="00D2171D">
        <w:rPr>
          <w:rFonts w:ascii="Times New Roman" w:hAnsi="Times New Roman"/>
          <w:b w:val="0"/>
          <w:i/>
          <w:sz w:val="24"/>
          <w:szCs w:val="24"/>
        </w:rPr>
        <w:t>9</w:t>
      </w:r>
    </w:p>
    <w:p w14:paraId="15F5EFC2" w14:textId="07B71D5E" w:rsidR="00002EFB" w:rsidRDefault="00002EFB" w:rsidP="00E31872">
      <w:pPr>
        <w:pStyle w:val="Heading"/>
        <w:spacing w:after="240"/>
        <w:rPr>
          <w:rFonts w:ascii="Times New Roman" w:hAnsi="Times New Roman"/>
          <w:b w:val="0"/>
          <w:sz w:val="24"/>
          <w:szCs w:val="24"/>
        </w:rPr>
      </w:pPr>
      <w:r w:rsidRPr="008D4169">
        <w:rPr>
          <w:rFonts w:ascii="Times New Roman" w:hAnsi="Times New Roman"/>
          <w:b w:val="0"/>
          <w:sz w:val="24"/>
          <w:szCs w:val="24"/>
        </w:rPr>
        <w:t>The purpose of this instrument is to</w:t>
      </w:r>
      <w:r>
        <w:rPr>
          <w:rFonts w:ascii="Times New Roman" w:hAnsi="Times New Roman"/>
          <w:b w:val="0"/>
          <w:sz w:val="24"/>
          <w:szCs w:val="24"/>
        </w:rPr>
        <w:t xml:space="preserve"> revoke</w:t>
      </w:r>
      <w:r w:rsidR="00334E2E">
        <w:rPr>
          <w:rFonts w:ascii="Times New Roman" w:hAnsi="Times New Roman"/>
          <w:b w:val="0"/>
          <w:sz w:val="24"/>
          <w:szCs w:val="24"/>
        </w:rPr>
        <w:t xml:space="preserve"> </w:t>
      </w:r>
      <w:r>
        <w:rPr>
          <w:rFonts w:ascii="Times New Roman" w:hAnsi="Times New Roman"/>
          <w:b w:val="0"/>
          <w:sz w:val="24"/>
          <w:szCs w:val="24"/>
        </w:rPr>
        <w:t>APS 310 and replace it with a new version of</w:t>
      </w:r>
      <w:r w:rsidRPr="008D4169">
        <w:rPr>
          <w:rFonts w:ascii="Times New Roman" w:hAnsi="Times New Roman"/>
          <w:b w:val="0"/>
          <w:sz w:val="24"/>
          <w:szCs w:val="24"/>
        </w:rPr>
        <w:t xml:space="preserve"> APS </w:t>
      </w:r>
      <w:r>
        <w:rPr>
          <w:rFonts w:ascii="Times New Roman" w:hAnsi="Times New Roman"/>
          <w:b w:val="0"/>
          <w:sz w:val="24"/>
          <w:szCs w:val="24"/>
        </w:rPr>
        <w:t>310</w:t>
      </w:r>
      <w:r w:rsidR="00180477">
        <w:rPr>
          <w:rFonts w:ascii="Times New Roman" w:hAnsi="Times New Roman"/>
          <w:b w:val="0"/>
          <w:sz w:val="24"/>
          <w:szCs w:val="24"/>
        </w:rPr>
        <w:t xml:space="preserve"> to reflect the regulatory developments</w:t>
      </w:r>
      <w:r>
        <w:rPr>
          <w:rFonts w:ascii="Times New Roman" w:hAnsi="Times New Roman"/>
          <w:b w:val="0"/>
          <w:sz w:val="24"/>
          <w:szCs w:val="24"/>
        </w:rPr>
        <w:t>.</w:t>
      </w:r>
    </w:p>
    <w:p w14:paraId="6F0EFBAB" w14:textId="1B48B7BA" w:rsidR="00002EFB" w:rsidRDefault="00002EFB" w:rsidP="005B0BAF">
      <w:pPr>
        <w:pStyle w:val="Heading"/>
        <w:spacing w:after="240"/>
        <w:rPr>
          <w:rFonts w:ascii="Times New Roman" w:hAnsi="Times New Roman"/>
          <w:b w:val="0"/>
          <w:sz w:val="24"/>
          <w:szCs w:val="24"/>
        </w:rPr>
      </w:pPr>
      <w:r>
        <w:rPr>
          <w:rFonts w:ascii="Times New Roman" w:hAnsi="Times New Roman"/>
          <w:b w:val="0"/>
          <w:sz w:val="24"/>
          <w:szCs w:val="24"/>
        </w:rPr>
        <w:t xml:space="preserve">The instrument makes minor alterations to APS 310 to update references to </w:t>
      </w:r>
      <w:r w:rsidR="002514C0">
        <w:rPr>
          <w:rFonts w:ascii="Times New Roman" w:hAnsi="Times New Roman"/>
          <w:b w:val="0"/>
          <w:sz w:val="24"/>
          <w:szCs w:val="24"/>
        </w:rPr>
        <w:t>ARF 320.0, which</w:t>
      </w:r>
      <w:r>
        <w:rPr>
          <w:rFonts w:ascii="Times New Roman" w:hAnsi="Times New Roman"/>
          <w:b w:val="0"/>
          <w:sz w:val="24"/>
          <w:szCs w:val="24"/>
        </w:rPr>
        <w:t xml:space="preserve"> will be revoked and replaced with </w:t>
      </w:r>
      <w:r w:rsidR="002514C0">
        <w:rPr>
          <w:rFonts w:ascii="Times New Roman" w:hAnsi="Times New Roman"/>
          <w:b w:val="0"/>
          <w:sz w:val="24"/>
          <w:szCs w:val="24"/>
        </w:rPr>
        <w:t xml:space="preserve">the following </w:t>
      </w:r>
      <w:r>
        <w:rPr>
          <w:rFonts w:ascii="Times New Roman" w:hAnsi="Times New Roman"/>
          <w:b w:val="0"/>
          <w:sz w:val="24"/>
          <w:szCs w:val="24"/>
        </w:rPr>
        <w:t>EFS data collection reporting forms</w:t>
      </w:r>
      <w:r w:rsidR="002514C0">
        <w:rPr>
          <w:rFonts w:ascii="Times New Roman" w:hAnsi="Times New Roman"/>
          <w:b w:val="0"/>
          <w:sz w:val="24"/>
          <w:szCs w:val="24"/>
        </w:rPr>
        <w:t xml:space="preserve">: </w:t>
      </w:r>
    </w:p>
    <w:p w14:paraId="0A6BCBEC" w14:textId="2A76C52F" w:rsidR="002514C0" w:rsidRPr="002514C0" w:rsidRDefault="002514C0" w:rsidP="002514C0">
      <w:pPr>
        <w:pStyle w:val="Heading"/>
        <w:numPr>
          <w:ilvl w:val="0"/>
          <w:numId w:val="8"/>
        </w:numPr>
        <w:rPr>
          <w:rFonts w:ascii="Times New Roman" w:hAnsi="Times New Roman"/>
          <w:b w:val="0"/>
          <w:sz w:val="24"/>
          <w:szCs w:val="24"/>
        </w:rPr>
      </w:pPr>
      <w:r>
        <w:rPr>
          <w:rFonts w:ascii="Times New Roman" w:hAnsi="Times New Roman"/>
          <w:b w:val="0"/>
          <w:sz w:val="24"/>
          <w:szCs w:val="24"/>
        </w:rPr>
        <w:t>ARF 720.0</w:t>
      </w:r>
      <w:r w:rsidRPr="002514C0">
        <w:rPr>
          <w:rFonts w:ascii="Times New Roman" w:hAnsi="Times New Roman"/>
          <w:b w:val="0"/>
          <w:sz w:val="24"/>
          <w:szCs w:val="24"/>
        </w:rPr>
        <w:t>;</w:t>
      </w:r>
    </w:p>
    <w:p w14:paraId="647AE1AB" w14:textId="3F78A39D" w:rsidR="002514C0" w:rsidRPr="002514C0" w:rsidRDefault="002514C0" w:rsidP="002514C0">
      <w:pPr>
        <w:pStyle w:val="Heading"/>
        <w:numPr>
          <w:ilvl w:val="0"/>
          <w:numId w:val="8"/>
        </w:numPr>
        <w:rPr>
          <w:rFonts w:ascii="Times New Roman" w:hAnsi="Times New Roman"/>
          <w:b w:val="0"/>
          <w:sz w:val="24"/>
          <w:szCs w:val="24"/>
        </w:rPr>
      </w:pPr>
      <w:r w:rsidRPr="002514C0">
        <w:rPr>
          <w:rFonts w:ascii="Times New Roman" w:hAnsi="Times New Roman"/>
          <w:b w:val="0"/>
          <w:i/>
          <w:sz w:val="24"/>
          <w:szCs w:val="24"/>
        </w:rPr>
        <w:t xml:space="preserve">Reporting </w:t>
      </w:r>
      <w:r>
        <w:rPr>
          <w:rFonts w:ascii="Times New Roman" w:hAnsi="Times New Roman"/>
          <w:b w:val="0"/>
          <w:i/>
          <w:sz w:val="24"/>
          <w:szCs w:val="24"/>
        </w:rPr>
        <w:t>Form ARF 720.1 ABS/RBA Loans and Leases</w:t>
      </w:r>
      <w:r w:rsidR="002F4137">
        <w:rPr>
          <w:rFonts w:ascii="Times New Roman" w:hAnsi="Times New Roman"/>
          <w:b w:val="0"/>
          <w:i/>
          <w:sz w:val="24"/>
          <w:szCs w:val="24"/>
        </w:rPr>
        <w:t xml:space="preserve"> </w:t>
      </w:r>
      <w:r w:rsidR="002F4137">
        <w:rPr>
          <w:rFonts w:ascii="Times New Roman" w:hAnsi="Times New Roman"/>
          <w:b w:val="0"/>
          <w:sz w:val="24"/>
          <w:szCs w:val="24"/>
        </w:rPr>
        <w:t xml:space="preserve">under </w:t>
      </w:r>
      <w:r w:rsidR="002F4137">
        <w:rPr>
          <w:rFonts w:ascii="Times New Roman" w:hAnsi="Times New Roman"/>
          <w:b w:val="0"/>
          <w:i/>
          <w:sz w:val="24"/>
          <w:szCs w:val="24"/>
        </w:rPr>
        <w:t>Reporting Standard ARS 720.1 ABS/RBA Loans and Finance Leases</w:t>
      </w:r>
      <w:r w:rsidRPr="002514C0">
        <w:rPr>
          <w:rFonts w:ascii="Times New Roman" w:hAnsi="Times New Roman"/>
          <w:b w:val="0"/>
          <w:sz w:val="24"/>
          <w:szCs w:val="24"/>
        </w:rPr>
        <w:t>; and</w:t>
      </w:r>
    </w:p>
    <w:p w14:paraId="59303B28" w14:textId="655548A0" w:rsidR="002514C0" w:rsidRDefault="002514C0" w:rsidP="002514C0">
      <w:pPr>
        <w:pStyle w:val="Heading"/>
        <w:numPr>
          <w:ilvl w:val="0"/>
          <w:numId w:val="8"/>
        </w:numPr>
        <w:spacing w:after="240"/>
        <w:rPr>
          <w:rFonts w:ascii="Times New Roman" w:hAnsi="Times New Roman"/>
          <w:b w:val="0"/>
          <w:sz w:val="24"/>
          <w:szCs w:val="24"/>
        </w:rPr>
      </w:pPr>
      <w:r>
        <w:rPr>
          <w:rFonts w:ascii="Times New Roman" w:hAnsi="Times New Roman"/>
          <w:b w:val="0"/>
          <w:i/>
          <w:sz w:val="24"/>
          <w:szCs w:val="24"/>
        </w:rPr>
        <w:t>Reporting Form ARF 720.2 ABS/RBA Deposits</w:t>
      </w:r>
      <w:r w:rsidR="002F4137">
        <w:rPr>
          <w:rFonts w:ascii="Times New Roman" w:hAnsi="Times New Roman"/>
          <w:b w:val="0"/>
          <w:i/>
          <w:sz w:val="24"/>
          <w:szCs w:val="24"/>
        </w:rPr>
        <w:t xml:space="preserve"> </w:t>
      </w:r>
      <w:r w:rsidR="002F4137">
        <w:rPr>
          <w:rFonts w:ascii="Times New Roman" w:hAnsi="Times New Roman"/>
          <w:b w:val="0"/>
          <w:sz w:val="24"/>
          <w:szCs w:val="24"/>
        </w:rPr>
        <w:t xml:space="preserve">under </w:t>
      </w:r>
      <w:r w:rsidR="002F4137">
        <w:rPr>
          <w:rFonts w:ascii="Times New Roman" w:hAnsi="Times New Roman"/>
          <w:b w:val="0"/>
          <w:i/>
          <w:sz w:val="24"/>
          <w:szCs w:val="24"/>
        </w:rPr>
        <w:t>Reporting Standard ARS 720.0 ABS/RBA Deposits</w:t>
      </w:r>
      <w:r w:rsidRPr="002514C0">
        <w:rPr>
          <w:rFonts w:ascii="Times New Roman" w:hAnsi="Times New Roman"/>
          <w:b w:val="0"/>
          <w:sz w:val="24"/>
          <w:szCs w:val="24"/>
        </w:rPr>
        <w:t>.</w:t>
      </w:r>
    </w:p>
    <w:p w14:paraId="7AD7B06C" w14:textId="10B65DCB" w:rsidR="002514C0" w:rsidRDefault="002514C0" w:rsidP="005B0BAF">
      <w:pPr>
        <w:pStyle w:val="Heading"/>
        <w:spacing w:after="240"/>
        <w:rPr>
          <w:rFonts w:ascii="Times New Roman" w:hAnsi="Times New Roman"/>
          <w:b w:val="0"/>
          <w:sz w:val="24"/>
          <w:szCs w:val="24"/>
        </w:rPr>
      </w:pPr>
      <w:r>
        <w:rPr>
          <w:rFonts w:ascii="Times New Roman" w:hAnsi="Times New Roman"/>
          <w:b w:val="0"/>
          <w:sz w:val="24"/>
          <w:szCs w:val="24"/>
        </w:rPr>
        <w:lastRenderedPageBreak/>
        <w:t xml:space="preserve">The instrument also adds the following reporting forms </w:t>
      </w:r>
      <w:r w:rsidR="00E31872" w:rsidRPr="00561BA7">
        <w:rPr>
          <w:rFonts w:ascii="Times New Roman" w:hAnsi="Times New Roman"/>
          <w:b w:val="0"/>
          <w:sz w:val="24"/>
          <w:szCs w:val="24"/>
        </w:rPr>
        <w:t xml:space="preserve">collected under </w:t>
      </w:r>
      <w:r w:rsidR="00E31872">
        <w:rPr>
          <w:rFonts w:ascii="Times New Roman" w:hAnsi="Times New Roman"/>
          <w:b w:val="0"/>
          <w:i/>
          <w:sz w:val="24"/>
          <w:szCs w:val="24"/>
        </w:rPr>
        <w:t xml:space="preserve">Reporting Standard </w:t>
      </w:r>
      <w:r w:rsidR="00E31872" w:rsidRPr="00561BA7">
        <w:rPr>
          <w:rFonts w:ascii="Times New Roman" w:hAnsi="Times New Roman"/>
          <w:b w:val="0"/>
          <w:i/>
          <w:sz w:val="24"/>
          <w:szCs w:val="24"/>
        </w:rPr>
        <w:t>ARS 210.0 Liquidity</w:t>
      </w:r>
      <w:r w:rsidR="00E31872" w:rsidRPr="00561BA7">
        <w:rPr>
          <w:rFonts w:ascii="Times New Roman" w:hAnsi="Times New Roman"/>
          <w:b w:val="0"/>
          <w:sz w:val="24"/>
          <w:szCs w:val="24"/>
        </w:rPr>
        <w:t xml:space="preserve"> </w:t>
      </w:r>
      <w:r>
        <w:rPr>
          <w:rFonts w:ascii="Times New Roman" w:hAnsi="Times New Roman"/>
          <w:b w:val="0"/>
          <w:sz w:val="24"/>
          <w:szCs w:val="24"/>
        </w:rPr>
        <w:t xml:space="preserve">to the list of reporting forms subject to reasonable and/or limited assurance under </w:t>
      </w:r>
      <w:r w:rsidR="00800066">
        <w:rPr>
          <w:rFonts w:ascii="Times New Roman" w:hAnsi="Times New Roman"/>
          <w:b w:val="0"/>
          <w:sz w:val="24"/>
          <w:szCs w:val="24"/>
        </w:rPr>
        <w:t xml:space="preserve">the new </w:t>
      </w:r>
      <w:r>
        <w:rPr>
          <w:rFonts w:ascii="Times New Roman" w:hAnsi="Times New Roman"/>
          <w:b w:val="0"/>
          <w:sz w:val="24"/>
          <w:szCs w:val="24"/>
        </w:rPr>
        <w:t>APS 310:</w:t>
      </w:r>
    </w:p>
    <w:p w14:paraId="409D40BB" w14:textId="77777777" w:rsidR="002514C0" w:rsidRPr="002514C0" w:rsidRDefault="002514C0" w:rsidP="002514C0">
      <w:pPr>
        <w:pStyle w:val="Heading"/>
        <w:numPr>
          <w:ilvl w:val="0"/>
          <w:numId w:val="9"/>
        </w:numPr>
        <w:rPr>
          <w:rFonts w:ascii="Times New Roman" w:hAnsi="Times New Roman"/>
          <w:b w:val="0"/>
          <w:sz w:val="24"/>
          <w:szCs w:val="24"/>
        </w:rPr>
      </w:pPr>
      <w:r w:rsidRPr="002514C0">
        <w:rPr>
          <w:rFonts w:ascii="Times New Roman" w:hAnsi="Times New Roman"/>
          <w:b w:val="0"/>
          <w:i/>
          <w:sz w:val="24"/>
          <w:szCs w:val="24"/>
        </w:rPr>
        <w:t>Reporting Form ARF 210.1A Liquidity Coverage Ratio – all currencies</w:t>
      </w:r>
      <w:r w:rsidRPr="002514C0">
        <w:rPr>
          <w:rFonts w:ascii="Times New Roman" w:hAnsi="Times New Roman"/>
          <w:b w:val="0"/>
          <w:sz w:val="24"/>
          <w:szCs w:val="24"/>
        </w:rPr>
        <w:t>;</w:t>
      </w:r>
    </w:p>
    <w:p w14:paraId="6BC917F1" w14:textId="77777777" w:rsidR="002514C0" w:rsidRPr="002514C0" w:rsidRDefault="002514C0" w:rsidP="002514C0">
      <w:pPr>
        <w:pStyle w:val="Heading"/>
        <w:numPr>
          <w:ilvl w:val="0"/>
          <w:numId w:val="9"/>
        </w:numPr>
        <w:rPr>
          <w:rFonts w:ascii="Times New Roman" w:hAnsi="Times New Roman"/>
          <w:b w:val="0"/>
          <w:sz w:val="24"/>
          <w:szCs w:val="24"/>
        </w:rPr>
      </w:pPr>
      <w:r w:rsidRPr="002514C0">
        <w:rPr>
          <w:rFonts w:ascii="Times New Roman" w:hAnsi="Times New Roman"/>
          <w:b w:val="0"/>
          <w:i/>
          <w:sz w:val="24"/>
          <w:szCs w:val="24"/>
        </w:rPr>
        <w:t>Reporting Form ARF 210.1B Liquidity Coverage Ratio – AUD only</w:t>
      </w:r>
      <w:r w:rsidRPr="002514C0">
        <w:rPr>
          <w:rFonts w:ascii="Times New Roman" w:hAnsi="Times New Roman"/>
          <w:b w:val="0"/>
          <w:sz w:val="24"/>
          <w:szCs w:val="24"/>
        </w:rPr>
        <w:t>; and</w:t>
      </w:r>
    </w:p>
    <w:p w14:paraId="3494EBC1" w14:textId="174CA903" w:rsidR="001C304F" w:rsidRPr="00264196" w:rsidRDefault="002514C0">
      <w:pPr>
        <w:pStyle w:val="Heading"/>
        <w:numPr>
          <w:ilvl w:val="0"/>
          <w:numId w:val="9"/>
        </w:numPr>
        <w:rPr>
          <w:rFonts w:ascii="Times New Roman" w:hAnsi="Times New Roman"/>
          <w:b w:val="0"/>
          <w:sz w:val="24"/>
          <w:szCs w:val="24"/>
        </w:rPr>
      </w:pPr>
      <w:r w:rsidRPr="002514C0">
        <w:rPr>
          <w:rFonts w:ascii="Times New Roman" w:hAnsi="Times New Roman"/>
          <w:b w:val="0"/>
          <w:i/>
          <w:sz w:val="24"/>
          <w:szCs w:val="24"/>
        </w:rPr>
        <w:t>Reporting Form ARF 210</w:t>
      </w:r>
      <w:r w:rsidRPr="002514C0">
        <w:rPr>
          <w:rFonts w:ascii="Times New Roman" w:hAnsi="Times New Roman"/>
          <w:b w:val="0"/>
          <w:sz w:val="24"/>
          <w:szCs w:val="24"/>
        </w:rPr>
        <w:t>.</w:t>
      </w:r>
      <w:r w:rsidRPr="002514C0">
        <w:rPr>
          <w:rFonts w:ascii="Times New Roman" w:hAnsi="Times New Roman"/>
          <w:b w:val="0"/>
          <w:i/>
          <w:sz w:val="24"/>
          <w:szCs w:val="24"/>
        </w:rPr>
        <w:t>6 Net Stable Funding Ratio</w:t>
      </w:r>
      <w:r w:rsidR="00E91E30">
        <w:rPr>
          <w:rFonts w:ascii="Times New Roman" w:hAnsi="Times New Roman"/>
          <w:b w:val="0"/>
          <w:i/>
          <w:sz w:val="24"/>
          <w:szCs w:val="24"/>
        </w:rPr>
        <w:t xml:space="preserve">. </w:t>
      </w:r>
    </w:p>
    <w:p w14:paraId="152DD883" w14:textId="0D5A5FCA" w:rsidR="005B0BAF" w:rsidRDefault="005B0BAF" w:rsidP="002B4D6F">
      <w:pPr>
        <w:pStyle w:val="Heading"/>
        <w:ind w:left="720"/>
        <w:rPr>
          <w:rFonts w:ascii="Times New Roman" w:hAnsi="Times New Roman"/>
          <w:b w:val="0"/>
          <w:sz w:val="24"/>
          <w:szCs w:val="24"/>
        </w:rPr>
      </w:pPr>
    </w:p>
    <w:p w14:paraId="06498B72" w14:textId="5F198A9E" w:rsidR="00334E2E" w:rsidRDefault="00334E2E" w:rsidP="005B0BAF">
      <w:pPr>
        <w:pStyle w:val="Heading"/>
        <w:spacing w:after="240"/>
        <w:rPr>
          <w:rFonts w:ascii="Times New Roman" w:hAnsi="Times New Roman"/>
          <w:b w:val="0"/>
          <w:sz w:val="24"/>
          <w:szCs w:val="24"/>
        </w:rPr>
      </w:pPr>
      <w:r>
        <w:rPr>
          <w:rFonts w:ascii="Times New Roman" w:hAnsi="Times New Roman"/>
          <w:b w:val="0"/>
          <w:sz w:val="24"/>
          <w:szCs w:val="24"/>
        </w:rPr>
        <w:t xml:space="preserve">Both instruments make minor alterations to </w:t>
      </w:r>
      <w:r w:rsidR="008B6958">
        <w:rPr>
          <w:rFonts w:ascii="Times New Roman" w:hAnsi="Times New Roman"/>
          <w:b w:val="0"/>
          <w:sz w:val="24"/>
          <w:szCs w:val="24"/>
        </w:rPr>
        <w:t>include</w:t>
      </w:r>
      <w:r>
        <w:rPr>
          <w:rFonts w:ascii="Times New Roman" w:hAnsi="Times New Roman"/>
          <w:b w:val="0"/>
          <w:sz w:val="24"/>
          <w:szCs w:val="24"/>
        </w:rPr>
        <w:t xml:space="preserve"> up-to-date standardised paragraphs in APRA’s prudential standards. </w:t>
      </w:r>
      <w:r w:rsidR="00736574">
        <w:rPr>
          <w:rFonts w:ascii="Times New Roman" w:hAnsi="Times New Roman"/>
          <w:b w:val="0"/>
          <w:sz w:val="24"/>
          <w:szCs w:val="24"/>
        </w:rPr>
        <w:t>These minor alterations do not alter the interests of the financial sector entities to which APS 121 and APS 310 apply.</w:t>
      </w:r>
    </w:p>
    <w:p w14:paraId="6EA4E9EC" w14:textId="71E7BF1D" w:rsidR="00A03225" w:rsidRPr="000804B3" w:rsidRDefault="00A03225" w:rsidP="005B0BAF">
      <w:pPr>
        <w:pStyle w:val="Heading"/>
        <w:spacing w:after="240"/>
        <w:rPr>
          <w:rFonts w:ascii="Times New Roman" w:hAnsi="Times New Roman"/>
          <w:b w:val="0"/>
          <w:iCs/>
          <w:sz w:val="24"/>
          <w:szCs w:val="24"/>
        </w:rPr>
      </w:pPr>
      <w:r>
        <w:rPr>
          <w:rFonts w:ascii="Times New Roman" w:hAnsi="Times New Roman"/>
          <w:b w:val="0"/>
          <w:iCs/>
          <w:sz w:val="24"/>
          <w:szCs w:val="24"/>
        </w:rPr>
        <w:t xml:space="preserve">APS 121 and APS 310 incorporates by reference certain provisions of the </w:t>
      </w:r>
      <w:r w:rsidR="00C5655E">
        <w:rPr>
          <w:rFonts w:ascii="Times New Roman" w:hAnsi="Times New Roman"/>
          <w:b w:val="0"/>
          <w:iCs/>
          <w:sz w:val="24"/>
          <w:szCs w:val="24"/>
        </w:rPr>
        <w:t>Act</w:t>
      </w:r>
      <w:r>
        <w:rPr>
          <w:rFonts w:ascii="Times New Roman" w:hAnsi="Times New Roman"/>
          <w:b w:val="0"/>
          <w:iCs/>
          <w:sz w:val="24"/>
          <w:szCs w:val="24"/>
        </w:rPr>
        <w:t>, Prudential Standards and Reporting Standards</w:t>
      </w:r>
      <w:r w:rsidR="006C2CCC">
        <w:rPr>
          <w:rFonts w:ascii="Times New Roman" w:hAnsi="Times New Roman"/>
          <w:b w:val="0"/>
          <w:iCs/>
          <w:sz w:val="24"/>
          <w:szCs w:val="24"/>
        </w:rPr>
        <w:t>.</w:t>
      </w:r>
      <w:r>
        <w:rPr>
          <w:rStyle w:val="FootnoteReference"/>
          <w:rFonts w:ascii="Times New Roman" w:hAnsi="Times New Roman"/>
          <w:b w:val="0"/>
          <w:iCs/>
          <w:sz w:val="24"/>
          <w:szCs w:val="24"/>
        </w:rPr>
        <w:footnoteReference w:id="2"/>
      </w:r>
      <w:r>
        <w:rPr>
          <w:rFonts w:ascii="Times New Roman" w:hAnsi="Times New Roman"/>
          <w:b w:val="0"/>
          <w:iCs/>
          <w:sz w:val="24"/>
          <w:szCs w:val="24"/>
        </w:rPr>
        <w:t xml:space="preserve"> All of these references are references to the instruments as they exist from time to time. These instruments are available on the Federal Register of Legislation at www.legislation.gov.au</w:t>
      </w:r>
      <w:r w:rsidR="000804B3">
        <w:rPr>
          <w:rFonts w:ascii="Times New Roman" w:hAnsi="Times New Roman"/>
          <w:b w:val="0"/>
          <w:iCs/>
          <w:sz w:val="24"/>
          <w:szCs w:val="24"/>
        </w:rPr>
        <w:t>.</w:t>
      </w:r>
      <w:r>
        <w:rPr>
          <w:rFonts w:ascii="Times New Roman" w:hAnsi="Times New Roman"/>
          <w:b w:val="0"/>
          <w:iCs/>
          <w:sz w:val="24"/>
          <w:szCs w:val="24"/>
        </w:rPr>
        <w:t xml:space="preserve"> </w:t>
      </w:r>
    </w:p>
    <w:p w14:paraId="63BA98A8" w14:textId="77777777" w:rsidR="002436BD" w:rsidRDefault="002436BD" w:rsidP="00D85E77">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28895B56" w14:textId="7738CD50" w:rsidR="00561BA7" w:rsidRPr="0025566E" w:rsidRDefault="00F122C1" w:rsidP="00561BA7">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In January 2019, </w:t>
      </w:r>
      <w:r w:rsidR="00561BA7" w:rsidRPr="00B4169D">
        <w:rPr>
          <w:rFonts w:ascii="Times New Roman" w:hAnsi="Times New Roman"/>
          <w:b w:val="0"/>
          <w:sz w:val="24"/>
          <w:szCs w:val="24"/>
        </w:rPr>
        <w:t xml:space="preserve">APRA </w:t>
      </w:r>
      <w:r w:rsidR="00334E2E">
        <w:rPr>
          <w:rFonts w:ascii="Times New Roman" w:hAnsi="Times New Roman"/>
          <w:b w:val="0"/>
          <w:sz w:val="24"/>
          <w:szCs w:val="24"/>
        </w:rPr>
        <w:t xml:space="preserve">conducted </w:t>
      </w:r>
      <w:r w:rsidR="00561BA7">
        <w:rPr>
          <w:rFonts w:ascii="Times New Roman" w:hAnsi="Times New Roman"/>
          <w:b w:val="0"/>
          <w:sz w:val="24"/>
          <w:szCs w:val="24"/>
        </w:rPr>
        <w:t xml:space="preserve">a consultation on </w:t>
      </w:r>
      <w:r w:rsidR="00561BA7" w:rsidRPr="00B4169D">
        <w:rPr>
          <w:rFonts w:ascii="Times New Roman" w:hAnsi="Times New Roman"/>
          <w:b w:val="0"/>
          <w:sz w:val="24"/>
          <w:szCs w:val="24"/>
        </w:rPr>
        <w:t>propose</w:t>
      </w:r>
      <w:r w:rsidR="00561BA7">
        <w:rPr>
          <w:rFonts w:ascii="Times New Roman" w:hAnsi="Times New Roman"/>
          <w:b w:val="0"/>
          <w:sz w:val="24"/>
          <w:szCs w:val="24"/>
        </w:rPr>
        <w:t>d</w:t>
      </w:r>
      <w:r w:rsidR="00561BA7" w:rsidRPr="00B4169D">
        <w:rPr>
          <w:rFonts w:ascii="Times New Roman" w:hAnsi="Times New Roman"/>
          <w:b w:val="0"/>
          <w:sz w:val="24"/>
          <w:szCs w:val="24"/>
        </w:rPr>
        <w:t xml:space="preserve"> changes to </w:t>
      </w:r>
      <w:r w:rsidR="00334E2E">
        <w:rPr>
          <w:rFonts w:ascii="Times New Roman" w:hAnsi="Times New Roman"/>
          <w:b w:val="0"/>
          <w:sz w:val="24"/>
          <w:szCs w:val="24"/>
        </w:rPr>
        <w:t xml:space="preserve">APS 121, APS 310 and </w:t>
      </w:r>
      <w:r w:rsidR="00561BA7" w:rsidRPr="00B4169D">
        <w:rPr>
          <w:rFonts w:ascii="Times New Roman" w:hAnsi="Times New Roman"/>
          <w:b w:val="0"/>
          <w:sz w:val="24"/>
          <w:szCs w:val="24"/>
        </w:rPr>
        <w:t xml:space="preserve">two reporting standards </w:t>
      </w:r>
      <w:r w:rsidR="00561BA7">
        <w:rPr>
          <w:rFonts w:ascii="Times New Roman" w:hAnsi="Times New Roman"/>
          <w:b w:val="0"/>
          <w:sz w:val="24"/>
          <w:szCs w:val="24"/>
        </w:rPr>
        <w:t>in January 2019</w:t>
      </w:r>
      <w:r w:rsidR="00561BA7" w:rsidRPr="00B4169D">
        <w:rPr>
          <w:rFonts w:ascii="Times New Roman" w:hAnsi="Times New Roman"/>
          <w:b w:val="0"/>
          <w:sz w:val="24"/>
          <w:szCs w:val="24"/>
        </w:rPr>
        <w:t>.</w:t>
      </w:r>
      <w:r w:rsidR="00561BA7">
        <w:rPr>
          <w:rFonts w:ascii="Times New Roman" w:hAnsi="Times New Roman"/>
          <w:b w:val="0"/>
          <w:sz w:val="24"/>
          <w:szCs w:val="24"/>
        </w:rPr>
        <w:t xml:space="preserve"> APRA released a letter to ADIs </w:t>
      </w:r>
      <w:r w:rsidR="00561BA7" w:rsidRPr="00C04FE5">
        <w:rPr>
          <w:rFonts w:ascii="Times New Roman" w:hAnsi="Times New Roman"/>
          <w:b w:val="0"/>
          <w:i/>
          <w:sz w:val="24"/>
          <w:szCs w:val="24"/>
        </w:rPr>
        <w:t xml:space="preserve">Consultation </w:t>
      </w:r>
      <w:r w:rsidR="00561BA7">
        <w:rPr>
          <w:rFonts w:ascii="Times New Roman" w:hAnsi="Times New Roman"/>
          <w:b w:val="0"/>
          <w:i/>
          <w:sz w:val="24"/>
          <w:szCs w:val="24"/>
        </w:rPr>
        <w:t xml:space="preserve">on Proposed Changes to Reporting and Prudential Standards Resulting from </w:t>
      </w:r>
      <w:r w:rsidR="00561BA7" w:rsidRPr="002B4D6F">
        <w:rPr>
          <w:rFonts w:ascii="Times New Roman" w:hAnsi="Times New Roman"/>
          <w:b w:val="0"/>
          <w:i/>
          <w:sz w:val="24"/>
          <w:szCs w:val="24"/>
        </w:rPr>
        <w:t>Modernised Economic and Financial Statistics</w:t>
      </w:r>
      <w:r w:rsidR="00561BA7">
        <w:rPr>
          <w:rFonts w:ascii="Times New Roman" w:hAnsi="Times New Roman"/>
          <w:b w:val="0"/>
          <w:sz w:val="24"/>
          <w:szCs w:val="24"/>
        </w:rPr>
        <w:t xml:space="preserve"> </w:t>
      </w:r>
      <w:r w:rsidR="00561BA7">
        <w:rPr>
          <w:rFonts w:ascii="Times New Roman" w:hAnsi="Times New Roman"/>
          <w:b w:val="0"/>
          <w:i/>
          <w:sz w:val="24"/>
          <w:szCs w:val="24"/>
        </w:rPr>
        <w:t>(EFS) Data Collection Implementation</w:t>
      </w:r>
      <w:r w:rsidR="00561BA7">
        <w:rPr>
          <w:rFonts w:ascii="Times New Roman" w:hAnsi="Times New Roman"/>
          <w:b w:val="0"/>
          <w:sz w:val="24"/>
          <w:szCs w:val="24"/>
        </w:rPr>
        <w:t xml:space="preserve"> with draft copies of the prudential and reporting standards.</w:t>
      </w:r>
    </w:p>
    <w:p w14:paraId="17702219" w14:textId="7A121128" w:rsidR="002436BD" w:rsidRDefault="0098543A" w:rsidP="00B4169D">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received </w:t>
      </w:r>
      <w:r w:rsidR="00561BA7">
        <w:rPr>
          <w:rFonts w:ascii="Times New Roman" w:hAnsi="Times New Roman"/>
          <w:b w:val="0"/>
          <w:sz w:val="24"/>
          <w:szCs w:val="24"/>
        </w:rPr>
        <w:t>six</w:t>
      </w:r>
      <w:r>
        <w:rPr>
          <w:rFonts w:ascii="Times New Roman" w:hAnsi="Times New Roman"/>
          <w:b w:val="0"/>
          <w:sz w:val="24"/>
          <w:szCs w:val="24"/>
        </w:rPr>
        <w:t xml:space="preserve"> submissions in response. </w:t>
      </w:r>
      <w:r w:rsidR="002B3D71">
        <w:rPr>
          <w:rFonts w:ascii="Times New Roman" w:hAnsi="Times New Roman"/>
          <w:b w:val="0"/>
          <w:sz w:val="24"/>
          <w:szCs w:val="24"/>
        </w:rPr>
        <w:t xml:space="preserve">Submissions were generally supportive of APRA’s proposals but raised concerns </w:t>
      </w:r>
      <w:r w:rsidR="00561BA7">
        <w:rPr>
          <w:rFonts w:ascii="Times New Roman" w:hAnsi="Times New Roman"/>
          <w:b w:val="0"/>
          <w:sz w:val="24"/>
          <w:szCs w:val="24"/>
        </w:rPr>
        <w:t>regarding implementation timing</w:t>
      </w:r>
      <w:r w:rsidR="002B3D71">
        <w:rPr>
          <w:rFonts w:ascii="Times New Roman" w:hAnsi="Times New Roman"/>
          <w:b w:val="0"/>
          <w:sz w:val="24"/>
          <w:szCs w:val="24"/>
        </w:rPr>
        <w:t xml:space="preserve"> </w:t>
      </w:r>
      <w:r w:rsidR="00561BA7">
        <w:rPr>
          <w:rFonts w:ascii="Times New Roman" w:hAnsi="Times New Roman"/>
          <w:b w:val="0"/>
          <w:sz w:val="24"/>
          <w:szCs w:val="24"/>
        </w:rPr>
        <w:t>and changes to reporting due dates</w:t>
      </w:r>
      <w:r w:rsidR="002B3D71">
        <w:rPr>
          <w:rFonts w:ascii="Times New Roman" w:hAnsi="Times New Roman"/>
          <w:b w:val="0"/>
          <w:sz w:val="24"/>
          <w:szCs w:val="24"/>
        </w:rPr>
        <w:t xml:space="preserve">. </w:t>
      </w:r>
      <w:r w:rsidR="00B27C5F">
        <w:rPr>
          <w:rFonts w:ascii="Times New Roman" w:hAnsi="Times New Roman"/>
          <w:b w:val="0"/>
          <w:sz w:val="24"/>
          <w:szCs w:val="24"/>
        </w:rPr>
        <w:t xml:space="preserve">Submissions </w:t>
      </w:r>
      <w:r w:rsidR="00561BA7">
        <w:rPr>
          <w:rFonts w:ascii="Times New Roman" w:hAnsi="Times New Roman"/>
          <w:b w:val="0"/>
          <w:sz w:val="24"/>
          <w:szCs w:val="24"/>
        </w:rPr>
        <w:t>also requested clarification</w:t>
      </w:r>
      <w:r w:rsidR="00B27C5F">
        <w:rPr>
          <w:rFonts w:ascii="Times New Roman" w:hAnsi="Times New Roman"/>
          <w:b w:val="0"/>
          <w:sz w:val="24"/>
          <w:szCs w:val="24"/>
        </w:rPr>
        <w:t xml:space="preserve"> </w:t>
      </w:r>
      <w:r w:rsidR="00561BA7">
        <w:rPr>
          <w:rFonts w:ascii="Times New Roman" w:hAnsi="Times New Roman"/>
          <w:b w:val="0"/>
          <w:sz w:val="24"/>
          <w:szCs w:val="24"/>
        </w:rPr>
        <w:t>of</w:t>
      </w:r>
      <w:r w:rsidR="00B27C5F">
        <w:rPr>
          <w:rFonts w:ascii="Times New Roman" w:hAnsi="Times New Roman"/>
          <w:b w:val="0"/>
          <w:sz w:val="24"/>
          <w:szCs w:val="24"/>
        </w:rPr>
        <w:t xml:space="preserve"> technical aspects of the </w:t>
      </w:r>
      <w:r w:rsidR="00561BA7">
        <w:rPr>
          <w:rFonts w:ascii="Times New Roman" w:hAnsi="Times New Roman"/>
          <w:b w:val="0"/>
          <w:sz w:val="24"/>
          <w:szCs w:val="24"/>
        </w:rPr>
        <w:t>changes</w:t>
      </w:r>
      <w:r w:rsidR="00B27C5F">
        <w:rPr>
          <w:rFonts w:ascii="Times New Roman" w:hAnsi="Times New Roman"/>
          <w:b w:val="0"/>
          <w:sz w:val="24"/>
          <w:szCs w:val="24"/>
        </w:rPr>
        <w:t xml:space="preserve"> set out in the prudential and reporting standards.</w:t>
      </w:r>
    </w:p>
    <w:p w14:paraId="447C7920" w14:textId="77777777" w:rsidR="002436BD" w:rsidRDefault="00DF524E" w:rsidP="00D85E77">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763F9597" w14:textId="5DF5C017" w:rsidR="002436BD" w:rsidRDefault="00D2171D" w:rsidP="00D85E77">
      <w:pPr>
        <w:pStyle w:val="Heading"/>
        <w:spacing w:after="240"/>
        <w:rPr>
          <w:rFonts w:ascii="Times New Roman" w:hAnsi="Times New Roman"/>
          <w:b w:val="0"/>
          <w:sz w:val="24"/>
          <w:szCs w:val="24"/>
        </w:rPr>
      </w:pPr>
      <w:r w:rsidRPr="00D2171D">
        <w:rPr>
          <w:rFonts w:ascii="Times New Roman" w:hAnsi="Times New Roman"/>
          <w:b w:val="0"/>
          <w:sz w:val="24"/>
          <w:szCs w:val="24"/>
        </w:rPr>
        <w:t>The Office of Best Practice Regulation has advised that a Regulation Impact Statement is not required for these legislative instruments</w:t>
      </w:r>
      <w:r w:rsidR="00A279AF">
        <w:rPr>
          <w:rFonts w:ascii="Times New Roman" w:hAnsi="Times New Roman"/>
          <w:b w:val="0"/>
          <w:sz w:val="24"/>
          <w:szCs w:val="24"/>
        </w:rPr>
        <w:t>.</w:t>
      </w:r>
      <w:bookmarkEnd w:id="10"/>
    </w:p>
    <w:p w14:paraId="63CFBA9D" w14:textId="77777777" w:rsidR="002436BD" w:rsidRPr="00B3165F" w:rsidRDefault="00DF524E" w:rsidP="00D85E77">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33371425" w14:textId="77777777"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3F29E0D8" w14:textId="77777777" w:rsidR="0095163E" w:rsidRDefault="0095163E" w:rsidP="00D85E77">
      <w:pPr>
        <w:spacing w:after="240"/>
        <w:jc w:val="both"/>
        <w:sectPr w:rsidR="0095163E" w:rsidSect="003D5032">
          <w:footerReference w:type="default" r:id="rId13"/>
          <w:pgSz w:w="11906" w:h="16838" w:code="9"/>
          <w:pgMar w:top="1440" w:right="1800" w:bottom="1440" w:left="1800" w:header="709" w:footer="709" w:gutter="0"/>
          <w:cols w:space="708"/>
          <w:docGrid w:linePitch="360"/>
        </w:sectPr>
      </w:pPr>
    </w:p>
    <w:p w14:paraId="36277C2C" w14:textId="77777777" w:rsidR="00536EC9" w:rsidRPr="00B7647D" w:rsidRDefault="00536EC9" w:rsidP="00536EC9">
      <w:pPr>
        <w:spacing w:after="360"/>
        <w:outlineLvl w:val="0"/>
        <w:rPr>
          <w:rFonts w:ascii="Times New Roman" w:hAnsi="Times New Roman"/>
          <w:b/>
          <w:sz w:val="24"/>
          <w:szCs w:val="24"/>
        </w:rPr>
      </w:pPr>
      <w:r w:rsidRPr="00B7647D">
        <w:rPr>
          <w:rFonts w:ascii="Times New Roman" w:hAnsi="Times New Roman"/>
          <w:b/>
          <w:sz w:val="24"/>
          <w:szCs w:val="24"/>
        </w:rPr>
        <w:lastRenderedPageBreak/>
        <w:t>ATTACHMENT A</w:t>
      </w:r>
    </w:p>
    <w:p w14:paraId="23D36327" w14:textId="77777777" w:rsidR="00536EC9" w:rsidRPr="00B7647D" w:rsidRDefault="00536EC9" w:rsidP="00536EC9">
      <w:pPr>
        <w:shd w:val="clear" w:color="auto" w:fill="FFFFFF"/>
        <w:spacing w:before="100" w:beforeAutospacing="1" w:after="240"/>
        <w:jc w:val="center"/>
        <w:rPr>
          <w:rFonts w:ascii="Times New Roman" w:hAnsi="Times New Roman"/>
          <w:sz w:val="24"/>
          <w:szCs w:val="24"/>
          <w:lang w:val="en-US"/>
        </w:rPr>
      </w:pPr>
      <w:r w:rsidRPr="00B7647D">
        <w:rPr>
          <w:rFonts w:ascii="Times New Roman" w:hAnsi="Times New Roman"/>
          <w:b/>
          <w:bCs/>
          <w:sz w:val="24"/>
          <w:szCs w:val="24"/>
        </w:rPr>
        <w:t>Statement of Compatibility with Human Rights</w:t>
      </w:r>
    </w:p>
    <w:p w14:paraId="7F8F875C" w14:textId="77777777" w:rsidR="00536EC9" w:rsidRPr="00B7647D" w:rsidRDefault="00536EC9" w:rsidP="00536EC9">
      <w:pPr>
        <w:shd w:val="clear" w:color="auto" w:fill="FFFFFF"/>
        <w:spacing w:before="100" w:beforeAutospacing="1" w:after="240"/>
        <w:jc w:val="center"/>
        <w:rPr>
          <w:rFonts w:ascii="Times New Roman" w:hAnsi="Times New Roman"/>
          <w:sz w:val="24"/>
          <w:szCs w:val="24"/>
          <w:lang w:val="en-US"/>
        </w:rPr>
      </w:pPr>
      <w:r w:rsidRPr="00B7647D">
        <w:rPr>
          <w:rFonts w:ascii="Times New Roman" w:hAnsi="Times New Roman"/>
          <w:sz w:val="24"/>
          <w:szCs w:val="24"/>
        </w:rPr>
        <w:t xml:space="preserve">Prepared in accordance with Part 3 of the </w:t>
      </w:r>
      <w:r w:rsidRPr="00B7647D">
        <w:rPr>
          <w:rFonts w:ascii="Times New Roman" w:hAnsi="Times New Roman"/>
          <w:i/>
          <w:iCs/>
          <w:sz w:val="24"/>
          <w:szCs w:val="24"/>
        </w:rPr>
        <w:t>Human Rights (Parliamentary Scrutiny) Act 2011</w:t>
      </w:r>
    </w:p>
    <w:p w14:paraId="4048DD77" w14:textId="62B2EAA4" w:rsidR="00536EC9" w:rsidRPr="00B7647D" w:rsidRDefault="00536EC9" w:rsidP="00536EC9">
      <w:pPr>
        <w:shd w:val="clear" w:color="auto" w:fill="FFFFFF"/>
        <w:spacing w:before="100" w:beforeAutospacing="1" w:after="240"/>
        <w:jc w:val="center"/>
        <w:rPr>
          <w:rFonts w:ascii="Times New Roman" w:hAnsi="Times New Roman"/>
          <w:sz w:val="24"/>
          <w:szCs w:val="24"/>
          <w:lang w:val="en-US"/>
        </w:rPr>
      </w:pPr>
      <w:r w:rsidRPr="00B7647D">
        <w:rPr>
          <w:rFonts w:ascii="Times New Roman" w:hAnsi="Times New Roman"/>
          <w:b/>
          <w:bCs/>
          <w:sz w:val="24"/>
          <w:szCs w:val="24"/>
        </w:rPr>
        <w:t>Banking (prudential standard) determination</w:t>
      </w:r>
      <w:r w:rsidR="002629A4" w:rsidRPr="00B7647D">
        <w:rPr>
          <w:rFonts w:ascii="Times New Roman" w:hAnsi="Times New Roman"/>
          <w:b/>
          <w:bCs/>
          <w:sz w:val="24"/>
          <w:szCs w:val="24"/>
        </w:rPr>
        <w:t>s</w:t>
      </w:r>
      <w:r w:rsidRPr="00B7647D">
        <w:rPr>
          <w:rFonts w:ascii="Times New Roman" w:hAnsi="Times New Roman"/>
          <w:b/>
          <w:bCs/>
          <w:sz w:val="24"/>
          <w:szCs w:val="24"/>
        </w:rPr>
        <w:t xml:space="preserve"> No</w:t>
      </w:r>
      <w:r w:rsidR="002629A4" w:rsidRPr="00B7647D">
        <w:rPr>
          <w:rFonts w:ascii="Times New Roman" w:hAnsi="Times New Roman"/>
          <w:b/>
          <w:bCs/>
          <w:sz w:val="24"/>
          <w:szCs w:val="24"/>
        </w:rPr>
        <w:t>s</w:t>
      </w:r>
      <w:r w:rsidRPr="00B7647D">
        <w:rPr>
          <w:rFonts w:ascii="Times New Roman" w:hAnsi="Times New Roman"/>
          <w:b/>
          <w:bCs/>
          <w:sz w:val="24"/>
          <w:szCs w:val="24"/>
        </w:rPr>
        <w:t xml:space="preserve">. </w:t>
      </w:r>
      <w:r w:rsidR="00C766BE">
        <w:rPr>
          <w:rFonts w:ascii="Times New Roman" w:hAnsi="Times New Roman"/>
          <w:b/>
          <w:bCs/>
          <w:sz w:val="24"/>
          <w:szCs w:val="24"/>
        </w:rPr>
        <w:t>1</w:t>
      </w:r>
      <w:r w:rsidR="00C766BE" w:rsidRPr="00B7647D">
        <w:rPr>
          <w:rFonts w:ascii="Times New Roman" w:hAnsi="Times New Roman"/>
          <w:b/>
          <w:bCs/>
          <w:sz w:val="24"/>
          <w:szCs w:val="24"/>
        </w:rPr>
        <w:t xml:space="preserve"> </w:t>
      </w:r>
      <w:r w:rsidR="002629A4" w:rsidRPr="00B7647D">
        <w:rPr>
          <w:rFonts w:ascii="Times New Roman" w:hAnsi="Times New Roman"/>
          <w:b/>
          <w:bCs/>
          <w:sz w:val="24"/>
          <w:szCs w:val="24"/>
        </w:rPr>
        <w:t>a</w:t>
      </w:r>
      <w:r w:rsidR="005059CC" w:rsidRPr="00B7647D">
        <w:rPr>
          <w:rFonts w:ascii="Times New Roman" w:hAnsi="Times New Roman"/>
          <w:b/>
          <w:bCs/>
          <w:sz w:val="24"/>
          <w:szCs w:val="24"/>
        </w:rPr>
        <w:t xml:space="preserve">nd </w:t>
      </w:r>
      <w:r w:rsidR="00C766BE">
        <w:rPr>
          <w:rFonts w:ascii="Times New Roman" w:hAnsi="Times New Roman"/>
          <w:b/>
          <w:bCs/>
          <w:sz w:val="24"/>
          <w:szCs w:val="24"/>
        </w:rPr>
        <w:t>2</w:t>
      </w:r>
      <w:r w:rsidR="00C766BE" w:rsidRPr="00B7647D">
        <w:rPr>
          <w:rFonts w:ascii="Times New Roman" w:hAnsi="Times New Roman"/>
          <w:b/>
          <w:bCs/>
          <w:sz w:val="24"/>
          <w:szCs w:val="24"/>
        </w:rPr>
        <w:t xml:space="preserve"> </w:t>
      </w:r>
      <w:r w:rsidRPr="00B7647D">
        <w:rPr>
          <w:rFonts w:ascii="Times New Roman" w:hAnsi="Times New Roman"/>
          <w:b/>
          <w:bCs/>
          <w:sz w:val="24"/>
          <w:szCs w:val="24"/>
        </w:rPr>
        <w:t>of 201</w:t>
      </w:r>
      <w:r w:rsidR="004A11D0">
        <w:rPr>
          <w:rFonts w:ascii="Times New Roman" w:hAnsi="Times New Roman"/>
          <w:b/>
          <w:bCs/>
          <w:sz w:val="24"/>
          <w:szCs w:val="24"/>
        </w:rPr>
        <w:t>9</w:t>
      </w:r>
    </w:p>
    <w:p w14:paraId="4665009C" w14:textId="499955E2" w:rsidR="00536EC9" w:rsidRPr="00B7647D" w:rsidRDefault="00536EC9" w:rsidP="00536EC9">
      <w:pPr>
        <w:shd w:val="clear" w:color="auto" w:fill="FFFFFF"/>
        <w:spacing w:before="100" w:beforeAutospacing="1" w:after="240"/>
        <w:jc w:val="both"/>
        <w:rPr>
          <w:rFonts w:ascii="Times New Roman" w:hAnsi="Times New Roman"/>
          <w:sz w:val="24"/>
          <w:szCs w:val="24"/>
          <w:lang w:val="en-US"/>
        </w:rPr>
      </w:pPr>
      <w:r w:rsidRPr="00B7647D">
        <w:rPr>
          <w:rFonts w:ascii="Times New Roman" w:hAnsi="Times New Roman"/>
          <w:sz w:val="24"/>
          <w:szCs w:val="24"/>
        </w:rPr>
        <w:t>The legislative instrument</w:t>
      </w:r>
      <w:r w:rsidR="002629A4" w:rsidRPr="00B7647D">
        <w:rPr>
          <w:rFonts w:ascii="Times New Roman" w:hAnsi="Times New Roman"/>
          <w:sz w:val="24"/>
          <w:szCs w:val="24"/>
        </w:rPr>
        <w:t>s are</w:t>
      </w:r>
      <w:r w:rsidRPr="00B7647D">
        <w:rPr>
          <w:rFonts w:ascii="Times New Roman" w:hAnsi="Times New Roman"/>
          <w:sz w:val="24"/>
          <w:szCs w:val="24"/>
        </w:rPr>
        <w:t xml:space="preserve"> compatible with the human rights and freedoms recognised or declared in the international instrument</w:t>
      </w:r>
      <w:r w:rsidR="00C5655E">
        <w:rPr>
          <w:rFonts w:ascii="Times New Roman" w:hAnsi="Times New Roman"/>
          <w:sz w:val="24"/>
          <w:szCs w:val="24"/>
        </w:rPr>
        <w:t>s</w:t>
      </w:r>
      <w:r w:rsidRPr="00B7647D">
        <w:rPr>
          <w:rFonts w:ascii="Times New Roman" w:hAnsi="Times New Roman"/>
          <w:sz w:val="24"/>
          <w:szCs w:val="24"/>
        </w:rPr>
        <w:t xml:space="preserve"> listed in section 3 of the </w:t>
      </w:r>
      <w:r w:rsidRPr="00B7647D">
        <w:rPr>
          <w:rFonts w:ascii="Times New Roman" w:hAnsi="Times New Roman"/>
          <w:i/>
          <w:iCs/>
          <w:sz w:val="24"/>
          <w:szCs w:val="24"/>
        </w:rPr>
        <w:t>Human Rights (Parliamentary Scrutiny) Act 2011</w:t>
      </w:r>
      <w:r w:rsidRPr="00B7647D">
        <w:rPr>
          <w:rFonts w:ascii="Times New Roman" w:hAnsi="Times New Roman"/>
          <w:sz w:val="24"/>
          <w:szCs w:val="24"/>
        </w:rPr>
        <w:t xml:space="preserve"> (HRPS Act).</w:t>
      </w:r>
    </w:p>
    <w:p w14:paraId="2BD54D78" w14:textId="4B642820" w:rsidR="00536EC9" w:rsidRPr="00B7647D" w:rsidRDefault="00536EC9" w:rsidP="00536EC9">
      <w:pPr>
        <w:shd w:val="clear" w:color="auto" w:fill="FFFFFF"/>
        <w:spacing w:before="100" w:beforeAutospacing="1" w:after="240"/>
        <w:jc w:val="both"/>
        <w:rPr>
          <w:rFonts w:ascii="Times New Roman" w:hAnsi="Times New Roman"/>
          <w:sz w:val="24"/>
          <w:szCs w:val="24"/>
          <w:lang w:val="en-US"/>
        </w:rPr>
      </w:pPr>
      <w:r w:rsidRPr="00B7647D">
        <w:rPr>
          <w:rFonts w:ascii="Times New Roman" w:hAnsi="Times New Roman"/>
          <w:b/>
          <w:bCs/>
          <w:sz w:val="24"/>
          <w:szCs w:val="24"/>
        </w:rPr>
        <w:t>Overview of the Legislative Instrument</w:t>
      </w:r>
      <w:r w:rsidR="008B69A9" w:rsidRPr="00B7647D">
        <w:rPr>
          <w:rFonts w:ascii="Times New Roman" w:hAnsi="Times New Roman"/>
          <w:b/>
          <w:bCs/>
          <w:sz w:val="24"/>
          <w:szCs w:val="24"/>
        </w:rPr>
        <w:t>s</w:t>
      </w:r>
    </w:p>
    <w:p w14:paraId="3109C48B" w14:textId="355DBCA9" w:rsidR="00536EC9" w:rsidRPr="00B7647D" w:rsidRDefault="00536EC9" w:rsidP="00536EC9">
      <w:pPr>
        <w:spacing w:after="240"/>
        <w:jc w:val="both"/>
        <w:rPr>
          <w:rFonts w:ascii="Times New Roman" w:hAnsi="Times New Roman"/>
          <w:sz w:val="24"/>
          <w:szCs w:val="24"/>
        </w:rPr>
      </w:pPr>
      <w:r w:rsidRPr="00B7647D">
        <w:rPr>
          <w:rFonts w:ascii="Times New Roman" w:hAnsi="Times New Roman"/>
          <w:sz w:val="24"/>
          <w:szCs w:val="24"/>
        </w:rPr>
        <w:t>The purpose of the instrument is to</w:t>
      </w:r>
      <w:r w:rsidR="002B2861" w:rsidRPr="00B7647D">
        <w:rPr>
          <w:rFonts w:ascii="Times New Roman" w:hAnsi="Times New Roman"/>
          <w:sz w:val="24"/>
          <w:szCs w:val="24"/>
        </w:rPr>
        <w:t xml:space="preserve"> </w:t>
      </w:r>
      <w:r w:rsidRPr="00B7647D">
        <w:rPr>
          <w:rFonts w:ascii="Times New Roman" w:hAnsi="Times New Roman"/>
          <w:sz w:val="24"/>
          <w:szCs w:val="24"/>
        </w:rPr>
        <w:t xml:space="preserve">revoke </w:t>
      </w:r>
      <w:r w:rsidRPr="00B7647D">
        <w:rPr>
          <w:rFonts w:ascii="Times New Roman" w:hAnsi="Times New Roman"/>
          <w:i/>
          <w:sz w:val="24"/>
          <w:szCs w:val="24"/>
        </w:rPr>
        <w:t xml:space="preserve">Prudential Standard APS </w:t>
      </w:r>
      <w:r w:rsidR="00261422">
        <w:rPr>
          <w:rFonts w:ascii="Times New Roman" w:hAnsi="Times New Roman"/>
          <w:i/>
          <w:sz w:val="24"/>
          <w:szCs w:val="24"/>
        </w:rPr>
        <w:t>1</w:t>
      </w:r>
      <w:r w:rsidR="002B2861" w:rsidRPr="00B7647D">
        <w:rPr>
          <w:rFonts w:ascii="Times New Roman" w:hAnsi="Times New Roman"/>
          <w:i/>
          <w:sz w:val="24"/>
          <w:szCs w:val="24"/>
        </w:rPr>
        <w:t>2</w:t>
      </w:r>
      <w:r w:rsidR="00261422">
        <w:rPr>
          <w:rFonts w:ascii="Times New Roman" w:hAnsi="Times New Roman"/>
          <w:i/>
          <w:sz w:val="24"/>
          <w:szCs w:val="24"/>
        </w:rPr>
        <w:t>1</w:t>
      </w:r>
      <w:r w:rsidRPr="00B7647D">
        <w:rPr>
          <w:rFonts w:ascii="Times New Roman" w:hAnsi="Times New Roman"/>
          <w:i/>
          <w:sz w:val="24"/>
          <w:szCs w:val="24"/>
        </w:rPr>
        <w:t xml:space="preserve"> </w:t>
      </w:r>
      <w:r w:rsidR="00261422">
        <w:rPr>
          <w:rFonts w:ascii="Times New Roman" w:hAnsi="Times New Roman"/>
          <w:i/>
          <w:sz w:val="24"/>
          <w:szCs w:val="24"/>
        </w:rPr>
        <w:t>Covered Bonds</w:t>
      </w:r>
      <w:r w:rsidRPr="00B7647D">
        <w:rPr>
          <w:rFonts w:ascii="Times New Roman" w:hAnsi="Times New Roman"/>
          <w:i/>
          <w:sz w:val="24"/>
          <w:szCs w:val="24"/>
        </w:rPr>
        <w:t xml:space="preserve"> </w:t>
      </w:r>
      <w:r w:rsidRPr="00B7647D">
        <w:rPr>
          <w:rFonts w:ascii="Times New Roman" w:hAnsi="Times New Roman"/>
          <w:sz w:val="24"/>
          <w:szCs w:val="24"/>
        </w:rPr>
        <w:t>determined by APRA in 201</w:t>
      </w:r>
      <w:r w:rsidR="002B2861" w:rsidRPr="00B7647D">
        <w:rPr>
          <w:rFonts w:ascii="Times New Roman" w:hAnsi="Times New Roman"/>
          <w:sz w:val="24"/>
          <w:szCs w:val="24"/>
        </w:rPr>
        <w:t>2</w:t>
      </w:r>
      <w:r w:rsidRPr="00B7647D">
        <w:rPr>
          <w:rFonts w:ascii="Times New Roman" w:hAnsi="Times New Roman"/>
          <w:sz w:val="24"/>
          <w:szCs w:val="24"/>
        </w:rPr>
        <w:t xml:space="preserve"> and replace it with a new </w:t>
      </w:r>
      <w:r w:rsidR="002B2861" w:rsidRPr="00B7647D">
        <w:rPr>
          <w:rFonts w:ascii="Times New Roman" w:hAnsi="Times New Roman"/>
          <w:i/>
          <w:sz w:val="24"/>
          <w:szCs w:val="24"/>
        </w:rPr>
        <w:t xml:space="preserve">Prudential Standard APS </w:t>
      </w:r>
      <w:r w:rsidR="00261422">
        <w:rPr>
          <w:rFonts w:ascii="Times New Roman" w:hAnsi="Times New Roman"/>
          <w:i/>
          <w:sz w:val="24"/>
          <w:szCs w:val="24"/>
        </w:rPr>
        <w:t>121 Covered Bonds</w:t>
      </w:r>
      <w:r w:rsidR="002D6CF2" w:rsidRPr="00B7647D">
        <w:rPr>
          <w:rFonts w:ascii="Times New Roman" w:hAnsi="Times New Roman"/>
          <w:sz w:val="24"/>
          <w:szCs w:val="24"/>
        </w:rPr>
        <w:t xml:space="preserve"> (APS 12</w:t>
      </w:r>
      <w:r w:rsidR="00261422">
        <w:rPr>
          <w:rFonts w:ascii="Times New Roman" w:hAnsi="Times New Roman"/>
          <w:sz w:val="24"/>
          <w:szCs w:val="24"/>
        </w:rPr>
        <w:t>1</w:t>
      </w:r>
      <w:r w:rsidR="002D6CF2" w:rsidRPr="00B7647D">
        <w:rPr>
          <w:rFonts w:ascii="Times New Roman" w:hAnsi="Times New Roman"/>
          <w:sz w:val="24"/>
          <w:szCs w:val="24"/>
        </w:rPr>
        <w:t>)</w:t>
      </w:r>
      <w:r w:rsidR="004A11D0">
        <w:rPr>
          <w:rFonts w:ascii="Times New Roman" w:hAnsi="Times New Roman"/>
          <w:sz w:val="24"/>
          <w:szCs w:val="24"/>
        </w:rPr>
        <w:t xml:space="preserve">, and to </w:t>
      </w:r>
      <w:r w:rsidR="004A11D0" w:rsidRPr="00B7647D">
        <w:rPr>
          <w:rFonts w:ascii="Times New Roman" w:hAnsi="Times New Roman"/>
          <w:sz w:val="24"/>
          <w:szCs w:val="24"/>
        </w:rPr>
        <w:t xml:space="preserve">revoke </w:t>
      </w:r>
      <w:r w:rsidR="004A11D0" w:rsidRPr="00B7647D">
        <w:rPr>
          <w:rFonts w:ascii="Times New Roman" w:hAnsi="Times New Roman"/>
          <w:i/>
          <w:sz w:val="24"/>
          <w:szCs w:val="24"/>
        </w:rPr>
        <w:t xml:space="preserve">Prudential Standard APS </w:t>
      </w:r>
      <w:r w:rsidR="00261422">
        <w:rPr>
          <w:rFonts w:ascii="Times New Roman" w:hAnsi="Times New Roman"/>
          <w:i/>
          <w:sz w:val="24"/>
          <w:szCs w:val="24"/>
        </w:rPr>
        <w:t>310 Audit and Related Matters</w:t>
      </w:r>
      <w:r w:rsidR="004A11D0" w:rsidRPr="00B7647D">
        <w:rPr>
          <w:rFonts w:ascii="Times New Roman" w:hAnsi="Times New Roman"/>
          <w:i/>
          <w:sz w:val="24"/>
          <w:szCs w:val="24"/>
        </w:rPr>
        <w:t xml:space="preserve"> </w:t>
      </w:r>
      <w:r w:rsidR="004A11D0" w:rsidRPr="00B7647D">
        <w:rPr>
          <w:rFonts w:ascii="Times New Roman" w:hAnsi="Times New Roman"/>
          <w:sz w:val="24"/>
          <w:szCs w:val="24"/>
        </w:rPr>
        <w:t xml:space="preserve">determined by APRA in </w:t>
      </w:r>
      <w:r w:rsidR="003151E9" w:rsidRPr="00B7647D">
        <w:rPr>
          <w:rFonts w:ascii="Times New Roman" w:hAnsi="Times New Roman"/>
          <w:sz w:val="24"/>
          <w:szCs w:val="24"/>
        </w:rPr>
        <w:t>201</w:t>
      </w:r>
      <w:r w:rsidR="003151E9">
        <w:rPr>
          <w:rFonts w:ascii="Times New Roman" w:hAnsi="Times New Roman"/>
          <w:sz w:val="24"/>
          <w:szCs w:val="24"/>
        </w:rPr>
        <w:t>4</w:t>
      </w:r>
      <w:r w:rsidR="003151E9" w:rsidRPr="00B7647D">
        <w:rPr>
          <w:rFonts w:ascii="Times New Roman" w:hAnsi="Times New Roman"/>
          <w:sz w:val="24"/>
          <w:szCs w:val="24"/>
        </w:rPr>
        <w:t xml:space="preserve"> </w:t>
      </w:r>
      <w:r w:rsidR="004A11D0" w:rsidRPr="00B7647D">
        <w:rPr>
          <w:rFonts w:ascii="Times New Roman" w:hAnsi="Times New Roman"/>
          <w:sz w:val="24"/>
          <w:szCs w:val="24"/>
        </w:rPr>
        <w:t xml:space="preserve">and replace it with a new </w:t>
      </w:r>
      <w:r w:rsidR="004A11D0" w:rsidRPr="00B7647D">
        <w:rPr>
          <w:rFonts w:ascii="Times New Roman" w:hAnsi="Times New Roman"/>
          <w:i/>
          <w:sz w:val="24"/>
          <w:szCs w:val="24"/>
        </w:rPr>
        <w:t xml:space="preserve">Prudential Standard </w:t>
      </w:r>
      <w:r w:rsidR="00261422" w:rsidRPr="00B7647D">
        <w:rPr>
          <w:rFonts w:ascii="Times New Roman" w:hAnsi="Times New Roman"/>
          <w:i/>
          <w:sz w:val="24"/>
          <w:szCs w:val="24"/>
        </w:rPr>
        <w:t xml:space="preserve">APS </w:t>
      </w:r>
      <w:r w:rsidR="00261422">
        <w:rPr>
          <w:rFonts w:ascii="Times New Roman" w:hAnsi="Times New Roman"/>
          <w:i/>
          <w:sz w:val="24"/>
          <w:szCs w:val="24"/>
        </w:rPr>
        <w:t>310 Audit and Related Matters</w:t>
      </w:r>
      <w:r w:rsidR="00261422" w:rsidRPr="00B7647D">
        <w:rPr>
          <w:rFonts w:ascii="Times New Roman" w:hAnsi="Times New Roman"/>
          <w:i/>
          <w:sz w:val="24"/>
          <w:szCs w:val="24"/>
        </w:rPr>
        <w:t xml:space="preserve"> </w:t>
      </w:r>
      <w:r w:rsidR="00261422">
        <w:rPr>
          <w:rFonts w:ascii="Times New Roman" w:hAnsi="Times New Roman"/>
          <w:sz w:val="24"/>
          <w:szCs w:val="24"/>
        </w:rPr>
        <w:t>(APS 310</w:t>
      </w:r>
      <w:r w:rsidR="004A11D0" w:rsidRPr="00B7647D">
        <w:rPr>
          <w:rFonts w:ascii="Times New Roman" w:hAnsi="Times New Roman"/>
          <w:sz w:val="24"/>
          <w:szCs w:val="24"/>
        </w:rPr>
        <w:t>)</w:t>
      </w:r>
      <w:r w:rsidRPr="00B7647D">
        <w:rPr>
          <w:rFonts w:ascii="Times New Roman" w:hAnsi="Times New Roman"/>
          <w:sz w:val="24"/>
          <w:szCs w:val="24"/>
        </w:rPr>
        <w:t>.</w:t>
      </w:r>
    </w:p>
    <w:p w14:paraId="5EC5DB11" w14:textId="4B5A458D" w:rsidR="00536EC9" w:rsidRDefault="00536EC9" w:rsidP="00536EC9">
      <w:pPr>
        <w:spacing w:after="240"/>
        <w:jc w:val="both"/>
        <w:rPr>
          <w:rFonts w:ascii="Times New Roman" w:hAnsi="Times New Roman"/>
          <w:sz w:val="24"/>
          <w:szCs w:val="24"/>
        </w:rPr>
      </w:pPr>
      <w:r w:rsidRPr="00B7647D">
        <w:rPr>
          <w:rFonts w:ascii="Times New Roman" w:hAnsi="Times New Roman"/>
          <w:sz w:val="24"/>
          <w:szCs w:val="24"/>
        </w:rPr>
        <w:t xml:space="preserve">APS </w:t>
      </w:r>
      <w:r w:rsidR="002D6CF2" w:rsidRPr="00B7647D">
        <w:rPr>
          <w:rFonts w:ascii="Times New Roman" w:hAnsi="Times New Roman"/>
          <w:sz w:val="24"/>
          <w:szCs w:val="24"/>
        </w:rPr>
        <w:t>1</w:t>
      </w:r>
      <w:r w:rsidR="004A11D0">
        <w:rPr>
          <w:rFonts w:ascii="Times New Roman" w:hAnsi="Times New Roman"/>
          <w:sz w:val="24"/>
          <w:szCs w:val="24"/>
        </w:rPr>
        <w:t>21</w:t>
      </w:r>
      <w:r w:rsidR="002D6CF2" w:rsidRPr="00B7647D">
        <w:rPr>
          <w:rFonts w:ascii="Times New Roman" w:hAnsi="Times New Roman"/>
          <w:sz w:val="24"/>
          <w:szCs w:val="24"/>
        </w:rPr>
        <w:t xml:space="preserve"> is being remade to </w:t>
      </w:r>
      <w:r w:rsidR="004A11D0">
        <w:rPr>
          <w:rFonts w:ascii="Times New Roman" w:hAnsi="Times New Roman"/>
          <w:sz w:val="24"/>
          <w:szCs w:val="24"/>
        </w:rPr>
        <w:t>update</w:t>
      </w:r>
      <w:r w:rsidR="002D6CF2" w:rsidRPr="00B7647D">
        <w:rPr>
          <w:rFonts w:ascii="Times New Roman" w:hAnsi="Times New Roman"/>
          <w:sz w:val="24"/>
          <w:szCs w:val="24"/>
        </w:rPr>
        <w:t xml:space="preserve"> </w:t>
      </w:r>
      <w:r w:rsidR="004A11D0">
        <w:rPr>
          <w:rFonts w:ascii="Times New Roman" w:hAnsi="Times New Roman"/>
          <w:sz w:val="24"/>
          <w:szCs w:val="24"/>
        </w:rPr>
        <w:t>references to reporting forms</w:t>
      </w:r>
      <w:r w:rsidR="003151E9">
        <w:rPr>
          <w:rFonts w:ascii="Times New Roman" w:hAnsi="Times New Roman"/>
          <w:sz w:val="24"/>
          <w:szCs w:val="24"/>
        </w:rPr>
        <w:t xml:space="preserve"> that form part of APRA’s reporting standards</w:t>
      </w:r>
      <w:r w:rsidR="004A11D0">
        <w:rPr>
          <w:rFonts w:ascii="Times New Roman" w:hAnsi="Times New Roman"/>
          <w:sz w:val="24"/>
          <w:szCs w:val="24"/>
        </w:rPr>
        <w:t xml:space="preserve"> that will be revoked and replaced</w:t>
      </w:r>
      <w:r w:rsidR="00B27079">
        <w:rPr>
          <w:rFonts w:ascii="Times New Roman" w:hAnsi="Times New Roman"/>
          <w:sz w:val="24"/>
          <w:szCs w:val="24"/>
        </w:rPr>
        <w:t xml:space="preserve"> in 2019</w:t>
      </w:r>
      <w:r w:rsidR="002D6CF2" w:rsidRPr="00B7647D">
        <w:rPr>
          <w:rFonts w:ascii="Times New Roman" w:hAnsi="Times New Roman"/>
          <w:sz w:val="24"/>
          <w:szCs w:val="24"/>
        </w:rPr>
        <w:t>.</w:t>
      </w:r>
    </w:p>
    <w:p w14:paraId="5777489D" w14:textId="638273F3" w:rsidR="004A11D0" w:rsidRPr="00B7647D" w:rsidRDefault="004A11D0" w:rsidP="004A11D0">
      <w:pPr>
        <w:spacing w:after="240"/>
        <w:jc w:val="both"/>
        <w:rPr>
          <w:rFonts w:ascii="Times New Roman" w:hAnsi="Times New Roman"/>
          <w:sz w:val="24"/>
          <w:szCs w:val="24"/>
        </w:rPr>
      </w:pPr>
      <w:r w:rsidRPr="00B7647D">
        <w:rPr>
          <w:rFonts w:ascii="Times New Roman" w:hAnsi="Times New Roman"/>
          <w:sz w:val="24"/>
          <w:szCs w:val="24"/>
        </w:rPr>
        <w:t xml:space="preserve">APS </w:t>
      </w:r>
      <w:r>
        <w:rPr>
          <w:rFonts w:ascii="Times New Roman" w:hAnsi="Times New Roman"/>
          <w:sz w:val="24"/>
          <w:szCs w:val="24"/>
        </w:rPr>
        <w:t>310</w:t>
      </w:r>
      <w:r w:rsidRPr="00B7647D">
        <w:rPr>
          <w:rFonts w:ascii="Times New Roman" w:hAnsi="Times New Roman"/>
          <w:sz w:val="24"/>
          <w:szCs w:val="24"/>
        </w:rPr>
        <w:t xml:space="preserve"> is being remade to </w:t>
      </w:r>
      <w:r>
        <w:rPr>
          <w:rFonts w:ascii="Times New Roman" w:hAnsi="Times New Roman"/>
          <w:sz w:val="24"/>
          <w:szCs w:val="24"/>
        </w:rPr>
        <w:t>update</w:t>
      </w:r>
      <w:r w:rsidRPr="00B7647D">
        <w:rPr>
          <w:rFonts w:ascii="Times New Roman" w:hAnsi="Times New Roman"/>
          <w:sz w:val="24"/>
          <w:szCs w:val="24"/>
        </w:rPr>
        <w:t xml:space="preserve"> </w:t>
      </w:r>
      <w:r>
        <w:rPr>
          <w:rFonts w:ascii="Times New Roman" w:hAnsi="Times New Roman"/>
          <w:sz w:val="24"/>
          <w:szCs w:val="24"/>
        </w:rPr>
        <w:t>references to reporting forms that will be revoked and replaced</w:t>
      </w:r>
      <w:r w:rsidR="00B27079">
        <w:rPr>
          <w:rFonts w:ascii="Times New Roman" w:hAnsi="Times New Roman"/>
          <w:sz w:val="24"/>
          <w:szCs w:val="24"/>
        </w:rPr>
        <w:t xml:space="preserve"> in 2019</w:t>
      </w:r>
      <w:r>
        <w:rPr>
          <w:rFonts w:ascii="Times New Roman" w:hAnsi="Times New Roman"/>
          <w:sz w:val="24"/>
          <w:szCs w:val="24"/>
        </w:rPr>
        <w:t xml:space="preserve">, and to </w:t>
      </w:r>
      <w:r w:rsidR="006E1C32">
        <w:rPr>
          <w:rFonts w:ascii="Times New Roman" w:hAnsi="Times New Roman"/>
          <w:sz w:val="24"/>
          <w:szCs w:val="24"/>
        </w:rPr>
        <w:t>include</w:t>
      </w:r>
      <w:r>
        <w:rPr>
          <w:rFonts w:ascii="Times New Roman" w:hAnsi="Times New Roman"/>
          <w:sz w:val="24"/>
          <w:szCs w:val="24"/>
        </w:rPr>
        <w:t xml:space="preserve"> </w:t>
      </w:r>
      <w:r w:rsidRPr="004A11D0">
        <w:rPr>
          <w:rFonts w:ascii="Times New Roman" w:hAnsi="Times New Roman"/>
          <w:sz w:val="24"/>
          <w:szCs w:val="24"/>
        </w:rPr>
        <w:t xml:space="preserve">data collected </w:t>
      </w:r>
      <w:r w:rsidR="003151E9" w:rsidRPr="004A11D0">
        <w:rPr>
          <w:rFonts w:ascii="Times New Roman" w:hAnsi="Times New Roman"/>
          <w:sz w:val="24"/>
          <w:szCs w:val="24"/>
        </w:rPr>
        <w:t>for the purposes of the liquidity coverage ratio and net stable funding</w:t>
      </w:r>
      <w:r w:rsidR="003151E9" w:rsidRPr="003151E9">
        <w:rPr>
          <w:rFonts w:ascii="Times New Roman" w:hAnsi="Times New Roman"/>
          <w:b/>
          <w:sz w:val="24"/>
          <w:szCs w:val="24"/>
        </w:rPr>
        <w:t xml:space="preserve"> </w:t>
      </w:r>
      <w:r w:rsidR="003151E9" w:rsidRPr="00BE0A66">
        <w:rPr>
          <w:rFonts w:ascii="Times New Roman" w:hAnsi="Times New Roman"/>
          <w:sz w:val="24"/>
          <w:szCs w:val="24"/>
        </w:rPr>
        <w:t>ratio</w:t>
      </w:r>
      <w:r w:rsidR="003151E9">
        <w:rPr>
          <w:rFonts w:ascii="Times New Roman" w:hAnsi="Times New Roman"/>
          <w:b/>
          <w:sz w:val="24"/>
          <w:szCs w:val="24"/>
        </w:rPr>
        <w:t xml:space="preserve"> </w:t>
      </w:r>
      <w:r w:rsidRPr="004A11D0">
        <w:rPr>
          <w:rFonts w:ascii="Times New Roman" w:hAnsi="Times New Roman"/>
          <w:sz w:val="24"/>
          <w:szCs w:val="24"/>
        </w:rPr>
        <w:t xml:space="preserve">under </w:t>
      </w:r>
      <w:r>
        <w:rPr>
          <w:rFonts w:ascii="Times New Roman" w:hAnsi="Times New Roman"/>
          <w:i/>
          <w:sz w:val="24"/>
          <w:szCs w:val="24"/>
        </w:rPr>
        <w:t xml:space="preserve">Reporting Standard </w:t>
      </w:r>
      <w:r w:rsidRPr="004A11D0">
        <w:rPr>
          <w:rFonts w:ascii="Times New Roman" w:hAnsi="Times New Roman"/>
          <w:i/>
          <w:sz w:val="24"/>
          <w:szCs w:val="24"/>
        </w:rPr>
        <w:t>ARS 210.0 Liquidity</w:t>
      </w:r>
      <w:r w:rsidR="003151E9">
        <w:rPr>
          <w:rFonts w:ascii="Times New Roman" w:hAnsi="Times New Roman"/>
          <w:sz w:val="24"/>
          <w:szCs w:val="24"/>
        </w:rPr>
        <w:t xml:space="preserve"> in the </w:t>
      </w:r>
      <w:r w:rsidR="003151E9" w:rsidRPr="002B4D6F">
        <w:rPr>
          <w:rFonts w:ascii="Times New Roman" w:hAnsi="Times New Roman"/>
          <w:sz w:val="24"/>
          <w:szCs w:val="24"/>
        </w:rPr>
        <w:t xml:space="preserve">appointed auditor’s assurance responsibilities required </w:t>
      </w:r>
      <w:r w:rsidR="00B27079">
        <w:rPr>
          <w:rFonts w:ascii="Times New Roman" w:hAnsi="Times New Roman"/>
          <w:sz w:val="24"/>
          <w:szCs w:val="24"/>
        </w:rPr>
        <w:t>under</w:t>
      </w:r>
      <w:r w:rsidR="003151E9" w:rsidRPr="00561BA7">
        <w:rPr>
          <w:rFonts w:ascii="Times New Roman" w:hAnsi="Times New Roman"/>
          <w:sz w:val="24"/>
          <w:szCs w:val="24"/>
        </w:rPr>
        <w:t xml:space="preserve"> APS 310</w:t>
      </w:r>
      <w:r w:rsidR="00171EB1">
        <w:rPr>
          <w:rFonts w:ascii="Times New Roman" w:hAnsi="Times New Roman"/>
          <w:sz w:val="24"/>
          <w:szCs w:val="24"/>
        </w:rPr>
        <w:t>.</w:t>
      </w:r>
    </w:p>
    <w:p w14:paraId="1DD5739D" w14:textId="77777777" w:rsidR="00536EC9" w:rsidRPr="00B7647D" w:rsidRDefault="00536EC9" w:rsidP="00536EC9">
      <w:pPr>
        <w:keepNext/>
        <w:shd w:val="clear" w:color="auto" w:fill="FFFFFF"/>
        <w:spacing w:before="100" w:beforeAutospacing="1" w:after="240"/>
        <w:jc w:val="both"/>
        <w:rPr>
          <w:rFonts w:ascii="Times New Roman" w:hAnsi="Times New Roman"/>
          <w:sz w:val="24"/>
          <w:szCs w:val="24"/>
          <w:lang w:val="en-US"/>
        </w:rPr>
      </w:pPr>
      <w:r w:rsidRPr="00B7647D">
        <w:rPr>
          <w:rFonts w:ascii="Times New Roman" w:hAnsi="Times New Roman"/>
          <w:b/>
          <w:bCs/>
          <w:sz w:val="24"/>
          <w:szCs w:val="24"/>
        </w:rPr>
        <w:t>Human rights implications</w:t>
      </w:r>
    </w:p>
    <w:p w14:paraId="20C1161E" w14:textId="01EA54BF" w:rsidR="00536EC9" w:rsidRPr="00B7647D" w:rsidRDefault="00536EC9" w:rsidP="00536EC9">
      <w:pPr>
        <w:keepNext/>
        <w:shd w:val="clear" w:color="auto" w:fill="FFFFFF"/>
        <w:spacing w:before="100" w:beforeAutospacing="1" w:after="240"/>
        <w:jc w:val="both"/>
        <w:rPr>
          <w:rFonts w:ascii="Times New Roman" w:hAnsi="Times New Roman"/>
          <w:sz w:val="24"/>
          <w:szCs w:val="24"/>
        </w:rPr>
      </w:pPr>
      <w:r w:rsidRPr="00B7647D">
        <w:rPr>
          <w:rFonts w:ascii="Times New Roman" w:hAnsi="Times New Roman"/>
          <w:sz w:val="24"/>
          <w:szCs w:val="24"/>
        </w:rPr>
        <w:t>APRA has assessed the instrument</w:t>
      </w:r>
      <w:r w:rsidR="00DF078D" w:rsidRPr="00B7647D">
        <w:rPr>
          <w:rFonts w:ascii="Times New Roman" w:hAnsi="Times New Roman"/>
          <w:sz w:val="24"/>
          <w:szCs w:val="24"/>
        </w:rPr>
        <w:t>s</w:t>
      </w:r>
      <w:r w:rsidRPr="00B7647D">
        <w:rPr>
          <w:rFonts w:ascii="Times New Roman" w:hAnsi="Times New Roman"/>
          <w:sz w:val="24"/>
          <w:szCs w:val="24"/>
        </w:rPr>
        <w:t xml:space="preserve"> and is of the view that </w:t>
      </w:r>
      <w:r w:rsidR="00DF078D" w:rsidRPr="00B7647D">
        <w:rPr>
          <w:rFonts w:ascii="Times New Roman" w:hAnsi="Times New Roman"/>
          <w:sz w:val="24"/>
          <w:szCs w:val="24"/>
        </w:rPr>
        <w:t xml:space="preserve">they do </w:t>
      </w:r>
      <w:r w:rsidRPr="00B7647D">
        <w:rPr>
          <w:rFonts w:ascii="Times New Roman" w:hAnsi="Times New Roman"/>
          <w:sz w:val="24"/>
          <w:szCs w:val="24"/>
        </w:rPr>
        <w:t>not engage any of the applicable rights or freedoms recognised or declared in the international instruments listed in section 3 of the HRPS Act. Accordingly, in APRA’s assessment, the instrument</w:t>
      </w:r>
      <w:r w:rsidR="00DF078D" w:rsidRPr="00B7647D">
        <w:rPr>
          <w:rFonts w:ascii="Times New Roman" w:hAnsi="Times New Roman"/>
          <w:sz w:val="24"/>
          <w:szCs w:val="24"/>
        </w:rPr>
        <w:t>s are</w:t>
      </w:r>
      <w:r w:rsidRPr="00B7647D">
        <w:rPr>
          <w:rFonts w:ascii="Times New Roman" w:hAnsi="Times New Roman"/>
          <w:sz w:val="24"/>
          <w:szCs w:val="24"/>
        </w:rPr>
        <w:t xml:space="preserve"> compatible with human rights.</w:t>
      </w:r>
    </w:p>
    <w:p w14:paraId="2A7A4CB3" w14:textId="77777777" w:rsidR="00536EC9" w:rsidRPr="00B7647D" w:rsidRDefault="00536EC9" w:rsidP="00536EC9">
      <w:pPr>
        <w:shd w:val="clear" w:color="auto" w:fill="FFFFFF"/>
        <w:spacing w:before="100" w:beforeAutospacing="1" w:after="240"/>
        <w:jc w:val="both"/>
        <w:rPr>
          <w:rFonts w:ascii="Times New Roman" w:hAnsi="Times New Roman"/>
          <w:sz w:val="24"/>
          <w:szCs w:val="24"/>
          <w:lang w:val="en-US"/>
        </w:rPr>
      </w:pPr>
      <w:r w:rsidRPr="00B7647D">
        <w:rPr>
          <w:rFonts w:ascii="Times New Roman" w:hAnsi="Times New Roman"/>
          <w:b/>
          <w:bCs/>
          <w:sz w:val="24"/>
          <w:szCs w:val="24"/>
        </w:rPr>
        <w:t>Conclusion</w:t>
      </w:r>
    </w:p>
    <w:p w14:paraId="630C93A0" w14:textId="4984C0A3" w:rsidR="00B04B20" w:rsidRPr="00B7647D" w:rsidRDefault="00536EC9" w:rsidP="00536EC9">
      <w:pPr>
        <w:spacing w:after="240"/>
        <w:jc w:val="both"/>
        <w:rPr>
          <w:sz w:val="24"/>
          <w:szCs w:val="24"/>
        </w:rPr>
      </w:pPr>
      <w:r w:rsidRPr="00B7647D">
        <w:rPr>
          <w:rFonts w:ascii="Times New Roman" w:hAnsi="Times New Roman"/>
          <w:sz w:val="24"/>
          <w:szCs w:val="24"/>
        </w:rPr>
        <w:t>The instrument</w:t>
      </w:r>
      <w:r w:rsidR="00DF078D" w:rsidRPr="00B7647D">
        <w:rPr>
          <w:rFonts w:ascii="Times New Roman" w:hAnsi="Times New Roman"/>
          <w:sz w:val="24"/>
          <w:szCs w:val="24"/>
        </w:rPr>
        <w:t>s are</w:t>
      </w:r>
      <w:r w:rsidRPr="00B7647D">
        <w:rPr>
          <w:rFonts w:ascii="Times New Roman" w:hAnsi="Times New Roman"/>
          <w:sz w:val="24"/>
          <w:szCs w:val="24"/>
        </w:rPr>
        <w:t xml:space="preserve"> compatible with human rights as </w:t>
      </w:r>
      <w:r w:rsidR="00DF078D" w:rsidRPr="00B7647D">
        <w:rPr>
          <w:rFonts w:ascii="Times New Roman" w:hAnsi="Times New Roman"/>
          <w:sz w:val="24"/>
          <w:szCs w:val="24"/>
        </w:rPr>
        <w:t xml:space="preserve">they do </w:t>
      </w:r>
      <w:r w:rsidRPr="00B7647D">
        <w:rPr>
          <w:rFonts w:ascii="Times New Roman" w:hAnsi="Times New Roman"/>
          <w:sz w:val="24"/>
          <w:szCs w:val="24"/>
        </w:rPr>
        <w:t>not raise any human rights issues.</w:t>
      </w:r>
    </w:p>
    <w:sectPr w:rsidR="00B04B20" w:rsidRPr="00B7647D" w:rsidSect="003D503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61868" w14:textId="77777777" w:rsidR="00130161" w:rsidRDefault="00130161" w:rsidP="00D85E77">
      <w:r>
        <w:separator/>
      </w:r>
    </w:p>
  </w:endnote>
  <w:endnote w:type="continuationSeparator" w:id="0">
    <w:p w14:paraId="21E24CA5" w14:textId="77777777" w:rsidR="00130161" w:rsidRDefault="00130161" w:rsidP="00D85E77">
      <w:r>
        <w:continuationSeparator/>
      </w:r>
    </w:p>
  </w:endnote>
  <w:endnote w:type="continuationNotice" w:id="1">
    <w:p w14:paraId="6A05B900" w14:textId="77777777" w:rsidR="00130161" w:rsidRDefault="00130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095C3545" w14:textId="77777777" w:rsidR="00A70F6A" w:rsidRPr="00D85E77" w:rsidRDefault="00A70F6A"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BD5840">
          <w:rPr>
            <w:rFonts w:ascii="Times New Roman" w:hAnsi="Times New Roman"/>
            <w:bCs/>
            <w:noProof/>
            <w:sz w:val="24"/>
            <w:szCs w:val="24"/>
          </w:rPr>
          <w:t>4</w:t>
        </w:r>
        <w:r w:rsidRPr="00D85E77">
          <w:rPr>
            <w:rFonts w:ascii="Times New Roman" w:hAnsi="Times New Roman"/>
            <w:bCs/>
            <w:sz w:val="24"/>
            <w:szCs w:val="24"/>
          </w:rPr>
          <w:fldChar w:fldCharType="end"/>
        </w:r>
      </w:p>
    </w:sdtContent>
  </w:sdt>
  <w:p w14:paraId="3174513B" w14:textId="77777777" w:rsidR="00A70F6A" w:rsidRDefault="00A7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330CC" w14:textId="77777777" w:rsidR="00130161" w:rsidRDefault="00130161" w:rsidP="00D85E77">
      <w:r>
        <w:separator/>
      </w:r>
    </w:p>
  </w:footnote>
  <w:footnote w:type="continuationSeparator" w:id="0">
    <w:p w14:paraId="3CDD74EA" w14:textId="77777777" w:rsidR="00130161" w:rsidRDefault="00130161" w:rsidP="00D85E77">
      <w:r>
        <w:continuationSeparator/>
      </w:r>
    </w:p>
  </w:footnote>
  <w:footnote w:type="continuationNotice" w:id="1">
    <w:p w14:paraId="6E4DFB8F" w14:textId="77777777" w:rsidR="00130161" w:rsidRDefault="00130161"/>
  </w:footnote>
  <w:footnote w:id="2">
    <w:p w14:paraId="14D59A9F" w14:textId="77777777" w:rsidR="00A03225" w:rsidRPr="00A03225" w:rsidRDefault="00A03225" w:rsidP="00A03225">
      <w:pPr>
        <w:pStyle w:val="BodyText2"/>
        <w:spacing w:line="240" w:lineRule="auto"/>
        <w:jc w:val="both"/>
        <w:rPr>
          <w:color w:val="000000" w:themeColor="text1"/>
          <w:sz w:val="24"/>
          <w:szCs w:val="24"/>
        </w:rPr>
      </w:pPr>
      <w:r w:rsidRPr="00A03225">
        <w:rPr>
          <w:rStyle w:val="FootnoteReference"/>
          <w:color w:val="000000" w:themeColor="text1"/>
        </w:rPr>
        <w:footnoteRef/>
      </w:r>
      <w:r w:rsidRPr="00A03225">
        <w:rPr>
          <w:color w:val="000000" w:themeColor="text1"/>
        </w:rPr>
        <w:t xml:space="preserve"> </w:t>
      </w:r>
      <w:r w:rsidRPr="002B4D6F">
        <w:rPr>
          <w:color w:val="000000" w:themeColor="text1"/>
          <w:sz w:val="20"/>
          <w:szCs w:val="20"/>
        </w:rPr>
        <w:t>A reference to a Reporting Standard includes any reporting form and instructions that form part of the Reporting Standard.</w:t>
      </w:r>
    </w:p>
    <w:p w14:paraId="32B49719" w14:textId="33A82F6C" w:rsidR="00A03225" w:rsidRDefault="00A0322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87520CE"/>
    <w:multiLevelType w:val="hybridMultilevel"/>
    <w:tmpl w:val="5190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C057FE4"/>
    <w:multiLevelType w:val="hybridMultilevel"/>
    <w:tmpl w:val="5C70D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08077F"/>
    <w:multiLevelType w:val="hybridMultilevel"/>
    <w:tmpl w:val="9174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EB26A6"/>
    <w:multiLevelType w:val="hybridMultilevel"/>
    <w:tmpl w:val="CE38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6"/>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attachedTemplate r:id="rId1"/>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D4"/>
    <w:rsid w:val="00002EFB"/>
    <w:rsid w:val="00012BCA"/>
    <w:rsid w:val="00016964"/>
    <w:rsid w:val="000401FC"/>
    <w:rsid w:val="00045605"/>
    <w:rsid w:val="00053D7A"/>
    <w:rsid w:val="000804B3"/>
    <w:rsid w:val="000B60B3"/>
    <w:rsid w:val="000C7350"/>
    <w:rsid w:val="000E369C"/>
    <w:rsid w:val="001036D6"/>
    <w:rsid w:val="00116DC0"/>
    <w:rsid w:val="00130161"/>
    <w:rsid w:val="00131A17"/>
    <w:rsid w:val="00171EB1"/>
    <w:rsid w:val="00180477"/>
    <w:rsid w:val="00182FA1"/>
    <w:rsid w:val="001A1C63"/>
    <w:rsid w:val="001C304F"/>
    <w:rsid w:val="001D0FB8"/>
    <w:rsid w:val="001E475B"/>
    <w:rsid w:val="001F1D89"/>
    <w:rsid w:val="001F295F"/>
    <w:rsid w:val="002436BD"/>
    <w:rsid w:val="00246723"/>
    <w:rsid w:val="002514C0"/>
    <w:rsid w:val="00253500"/>
    <w:rsid w:val="0025566E"/>
    <w:rsid w:val="00260680"/>
    <w:rsid w:val="00261422"/>
    <w:rsid w:val="002629A4"/>
    <w:rsid w:val="00264196"/>
    <w:rsid w:val="00271704"/>
    <w:rsid w:val="00276CBE"/>
    <w:rsid w:val="002A73BD"/>
    <w:rsid w:val="002B2861"/>
    <w:rsid w:val="002B3D71"/>
    <w:rsid w:val="002B4D6F"/>
    <w:rsid w:val="002D6CF2"/>
    <w:rsid w:val="002F0CA1"/>
    <w:rsid w:val="002F4137"/>
    <w:rsid w:val="00303C24"/>
    <w:rsid w:val="0030506B"/>
    <w:rsid w:val="00310CF8"/>
    <w:rsid w:val="003151E9"/>
    <w:rsid w:val="00316E40"/>
    <w:rsid w:val="0033238B"/>
    <w:rsid w:val="00334E2E"/>
    <w:rsid w:val="00342C44"/>
    <w:rsid w:val="00354CB8"/>
    <w:rsid w:val="003802D4"/>
    <w:rsid w:val="003866AD"/>
    <w:rsid w:val="003A3314"/>
    <w:rsid w:val="003A52A5"/>
    <w:rsid w:val="003D0580"/>
    <w:rsid w:val="003D0C62"/>
    <w:rsid w:val="003D32E8"/>
    <w:rsid w:val="003D4909"/>
    <w:rsid w:val="003D5032"/>
    <w:rsid w:val="0040175E"/>
    <w:rsid w:val="004132FE"/>
    <w:rsid w:val="00422164"/>
    <w:rsid w:val="00436C21"/>
    <w:rsid w:val="00443A02"/>
    <w:rsid w:val="00444768"/>
    <w:rsid w:val="004819AE"/>
    <w:rsid w:val="004A11D0"/>
    <w:rsid w:val="004A7A7B"/>
    <w:rsid w:val="004C3D07"/>
    <w:rsid w:val="004E2008"/>
    <w:rsid w:val="005059CC"/>
    <w:rsid w:val="00533990"/>
    <w:rsid w:val="00536EC9"/>
    <w:rsid w:val="00551260"/>
    <w:rsid w:val="00556FA2"/>
    <w:rsid w:val="0056141D"/>
    <w:rsid w:val="00561BA7"/>
    <w:rsid w:val="00566A2A"/>
    <w:rsid w:val="005721BC"/>
    <w:rsid w:val="005A4122"/>
    <w:rsid w:val="005B0BAF"/>
    <w:rsid w:val="005D3013"/>
    <w:rsid w:val="005D6F68"/>
    <w:rsid w:val="005E5910"/>
    <w:rsid w:val="00607981"/>
    <w:rsid w:val="00622480"/>
    <w:rsid w:val="0062749C"/>
    <w:rsid w:val="00641984"/>
    <w:rsid w:val="00647D58"/>
    <w:rsid w:val="00657678"/>
    <w:rsid w:val="00680DE7"/>
    <w:rsid w:val="0068160D"/>
    <w:rsid w:val="00682865"/>
    <w:rsid w:val="00684F73"/>
    <w:rsid w:val="006A3958"/>
    <w:rsid w:val="006B093F"/>
    <w:rsid w:val="006B3253"/>
    <w:rsid w:val="006C2CCC"/>
    <w:rsid w:val="006E1C32"/>
    <w:rsid w:val="006F3324"/>
    <w:rsid w:val="00700566"/>
    <w:rsid w:val="007031F4"/>
    <w:rsid w:val="00703CFA"/>
    <w:rsid w:val="007049CF"/>
    <w:rsid w:val="00712E1A"/>
    <w:rsid w:val="00736574"/>
    <w:rsid w:val="007368AD"/>
    <w:rsid w:val="007428D4"/>
    <w:rsid w:val="00747AFF"/>
    <w:rsid w:val="00761B22"/>
    <w:rsid w:val="00785CDC"/>
    <w:rsid w:val="00786085"/>
    <w:rsid w:val="00786FDD"/>
    <w:rsid w:val="00797DB5"/>
    <w:rsid w:val="007B37C7"/>
    <w:rsid w:val="007C2298"/>
    <w:rsid w:val="007E04BF"/>
    <w:rsid w:val="007E472C"/>
    <w:rsid w:val="007E4B2A"/>
    <w:rsid w:val="007F674B"/>
    <w:rsid w:val="00800066"/>
    <w:rsid w:val="00823DB2"/>
    <w:rsid w:val="00826A77"/>
    <w:rsid w:val="00830F66"/>
    <w:rsid w:val="00882647"/>
    <w:rsid w:val="00886CA9"/>
    <w:rsid w:val="008A6B10"/>
    <w:rsid w:val="008B12F6"/>
    <w:rsid w:val="008B6958"/>
    <w:rsid w:val="008B69A9"/>
    <w:rsid w:val="008D4169"/>
    <w:rsid w:val="00932EFA"/>
    <w:rsid w:val="0094395D"/>
    <w:rsid w:val="009460E1"/>
    <w:rsid w:val="0095163E"/>
    <w:rsid w:val="00967D16"/>
    <w:rsid w:val="0098543A"/>
    <w:rsid w:val="00987F8C"/>
    <w:rsid w:val="00991E53"/>
    <w:rsid w:val="009B2829"/>
    <w:rsid w:val="009B475E"/>
    <w:rsid w:val="009B6BA1"/>
    <w:rsid w:val="009C4C66"/>
    <w:rsid w:val="009C5368"/>
    <w:rsid w:val="009E358A"/>
    <w:rsid w:val="00A03225"/>
    <w:rsid w:val="00A061BE"/>
    <w:rsid w:val="00A07548"/>
    <w:rsid w:val="00A16A90"/>
    <w:rsid w:val="00A279AF"/>
    <w:rsid w:val="00A33550"/>
    <w:rsid w:val="00A35D95"/>
    <w:rsid w:val="00A4133B"/>
    <w:rsid w:val="00A54C23"/>
    <w:rsid w:val="00A63A2B"/>
    <w:rsid w:val="00A70F6A"/>
    <w:rsid w:val="00A93DC5"/>
    <w:rsid w:val="00AA1493"/>
    <w:rsid w:val="00AA3E4A"/>
    <w:rsid w:val="00AB6CFD"/>
    <w:rsid w:val="00AC2517"/>
    <w:rsid w:val="00AC7A56"/>
    <w:rsid w:val="00AD1B24"/>
    <w:rsid w:val="00AD492F"/>
    <w:rsid w:val="00AE1D6B"/>
    <w:rsid w:val="00B00F58"/>
    <w:rsid w:val="00B04B20"/>
    <w:rsid w:val="00B1637D"/>
    <w:rsid w:val="00B27079"/>
    <w:rsid w:val="00B27C5F"/>
    <w:rsid w:val="00B27F38"/>
    <w:rsid w:val="00B4169D"/>
    <w:rsid w:val="00B42DE3"/>
    <w:rsid w:val="00B64B2E"/>
    <w:rsid w:val="00B7647D"/>
    <w:rsid w:val="00B85B6E"/>
    <w:rsid w:val="00BB1678"/>
    <w:rsid w:val="00BB5566"/>
    <w:rsid w:val="00BD5517"/>
    <w:rsid w:val="00BD5840"/>
    <w:rsid w:val="00BE36B6"/>
    <w:rsid w:val="00BF2953"/>
    <w:rsid w:val="00C04FE5"/>
    <w:rsid w:val="00C169AF"/>
    <w:rsid w:val="00C277A6"/>
    <w:rsid w:val="00C302FA"/>
    <w:rsid w:val="00C4298E"/>
    <w:rsid w:val="00C5655E"/>
    <w:rsid w:val="00C766BE"/>
    <w:rsid w:val="00C8345E"/>
    <w:rsid w:val="00C841F9"/>
    <w:rsid w:val="00C93825"/>
    <w:rsid w:val="00C948AA"/>
    <w:rsid w:val="00CA6CB3"/>
    <w:rsid w:val="00CB384A"/>
    <w:rsid w:val="00CC3797"/>
    <w:rsid w:val="00CD1947"/>
    <w:rsid w:val="00CD43F7"/>
    <w:rsid w:val="00CE3EF2"/>
    <w:rsid w:val="00CF7395"/>
    <w:rsid w:val="00D119F5"/>
    <w:rsid w:val="00D1516D"/>
    <w:rsid w:val="00D2171D"/>
    <w:rsid w:val="00D3484E"/>
    <w:rsid w:val="00D43CC6"/>
    <w:rsid w:val="00D511D3"/>
    <w:rsid w:val="00D53B59"/>
    <w:rsid w:val="00D57A21"/>
    <w:rsid w:val="00D64906"/>
    <w:rsid w:val="00D74760"/>
    <w:rsid w:val="00D83531"/>
    <w:rsid w:val="00D84605"/>
    <w:rsid w:val="00D85E77"/>
    <w:rsid w:val="00D87E36"/>
    <w:rsid w:val="00DA6928"/>
    <w:rsid w:val="00DB6266"/>
    <w:rsid w:val="00DC63A5"/>
    <w:rsid w:val="00DD0BE3"/>
    <w:rsid w:val="00DF078D"/>
    <w:rsid w:val="00DF524E"/>
    <w:rsid w:val="00E0417C"/>
    <w:rsid w:val="00E15497"/>
    <w:rsid w:val="00E154A3"/>
    <w:rsid w:val="00E16789"/>
    <w:rsid w:val="00E201A8"/>
    <w:rsid w:val="00E31872"/>
    <w:rsid w:val="00E50859"/>
    <w:rsid w:val="00E52DFE"/>
    <w:rsid w:val="00E57292"/>
    <w:rsid w:val="00E61B19"/>
    <w:rsid w:val="00E7602C"/>
    <w:rsid w:val="00E90C89"/>
    <w:rsid w:val="00E91E30"/>
    <w:rsid w:val="00E9695A"/>
    <w:rsid w:val="00EC067D"/>
    <w:rsid w:val="00EC5653"/>
    <w:rsid w:val="00ED596E"/>
    <w:rsid w:val="00F05FFD"/>
    <w:rsid w:val="00F122C1"/>
    <w:rsid w:val="00F436BC"/>
    <w:rsid w:val="00F44E79"/>
    <w:rsid w:val="00F75E3A"/>
    <w:rsid w:val="00F7706D"/>
    <w:rsid w:val="00F8129B"/>
    <w:rsid w:val="00F86822"/>
    <w:rsid w:val="00F86C72"/>
    <w:rsid w:val="00F94EA1"/>
    <w:rsid w:val="00FA5345"/>
    <w:rsid w:val="00FA69B0"/>
    <w:rsid w:val="00FD3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E3F8A8A"/>
  <w15:docId w15:val="{219AA689-7646-480E-8ECC-0B20A654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styleId="FootnoteText">
    <w:name w:val="footnote text"/>
    <w:basedOn w:val="Normal"/>
    <w:link w:val="FootnoteTextChar"/>
    <w:uiPriority w:val="99"/>
    <w:semiHidden/>
    <w:unhideWhenUsed/>
    <w:rsid w:val="004819AE"/>
    <w:rPr>
      <w:sz w:val="20"/>
    </w:rPr>
  </w:style>
  <w:style w:type="character" w:customStyle="1" w:styleId="FootnoteTextChar">
    <w:name w:val="Footnote Text Char"/>
    <w:basedOn w:val="DefaultParagraphFont"/>
    <w:link w:val="FootnoteText"/>
    <w:uiPriority w:val="99"/>
    <w:semiHidden/>
    <w:rsid w:val="004819AE"/>
    <w:rPr>
      <w:rFonts w:ascii="Trebuchet MS" w:eastAsia="Times New Roman" w:hAnsi="Trebuchet MS"/>
    </w:rPr>
  </w:style>
  <w:style w:type="character" w:styleId="FootnoteReference">
    <w:name w:val="footnote reference"/>
    <w:basedOn w:val="DefaultParagraphFont"/>
    <w:uiPriority w:val="99"/>
    <w:semiHidden/>
    <w:unhideWhenUsed/>
    <w:rsid w:val="004819AE"/>
    <w:rPr>
      <w:vertAlign w:val="superscript"/>
    </w:rPr>
  </w:style>
  <w:style w:type="paragraph" w:styleId="BodyText2">
    <w:name w:val="Body Text 2"/>
    <w:basedOn w:val="Normal"/>
    <w:link w:val="BodyText2Char"/>
    <w:uiPriority w:val="99"/>
    <w:semiHidden/>
    <w:unhideWhenUsed/>
    <w:qFormat/>
    <w:rsid w:val="00A03225"/>
    <w:pPr>
      <w:spacing w:after="240" w:line="360" w:lineRule="auto"/>
    </w:pPr>
    <w:rPr>
      <w:rFonts w:ascii="Times New Roman" w:eastAsiaTheme="minorHAnsi" w:hAnsi="Times New Roman"/>
      <w:sz w:val="28"/>
      <w:szCs w:val="28"/>
    </w:rPr>
  </w:style>
  <w:style w:type="character" w:customStyle="1" w:styleId="BodyText2Char">
    <w:name w:val="Body Text 2 Char"/>
    <w:basedOn w:val="DefaultParagraphFont"/>
    <w:link w:val="BodyText2"/>
    <w:uiPriority w:val="99"/>
    <w:semiHidden/>
    <w:rsid w:val="00A03225"/>
    <w:rPr>
      <w:rFonts w:ascii="Times New Roman" w:eastAsiaTheme="minorHAnsi"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4283">
      <w:bodyDiv w:val="1"/>
      <w:marLeft w:val="0"/>
      <w:marRight w:val="0"/>
      <w:marTop w:val="0"/>
      <w:marBottom w:val="0"/>
      <w:divBdr>
        <w:top w:val="none" w:sz="0" w:space="0" w:color="auto"/>
        <w:left w:val="none" w:sz="0" w:space="0" w:color="auto"/>
        <w:bottom w:val="none" w:sz="0" w:space="0" w:color="auto"/>
        <w:right w:val="none" w:sz="0" w:space="0" w:color="auto"/>
      </w:divBdr>
    </w:div>
    <w:div w:id="288245085">
      <w:bodyDiv w:val="1"/>
      <w:marLeft w:val="0"/>
      <w:marRight w:val="0"/>
      <w:marTop w:val="0"/>
      <w:marBottom w:val="0"/>
      <w:divBdr>
        <w:top w:val="none" w:sz="0" w:space="0" w:color="auto"/>
        <w:left w:val="none" w:sz="0" w:space="0" w:color="auto"/>
        <w:bottom w:val="none" w:sz="0" w:space="0" w:color="auto"/>
        <w:right w:val="none" w:sz="0" w:space="0" w:color="auto"/>
      </w:divBdr>
    </w:div>
    <w:div w:id="924337355">
      <w:bodyDiv w:val="1"/>
      <w:marLeft w:val="0"/>
      <w:marRight w:val="0"/>
      <w:marTop w:val="0"/>
      <w:marBottom w:val="0"/>
      <w:divBdr>
        <w:top w:val="none" w:sz="0" w:space="0" w:color="auto"/>
        <w:left w:val="none" w:sz="0" w:space="0" w:color="auto"/>
        <w:bottom w:val="none" w:sz="0" w:space="0" w:color="auto"/>
        <w:right w:val="none" w:sz="0" w:space="0" w:color="auto"/>
      </w:divBdr>
      <w:divsChild>
        <w:div w:id="2004889057">
          <w:marLeft w:val="0"/>
          <w:marRight w:val="0"/>
          <w:marTop w:val="0"/>
          <w:marBottom w:val="0"/>
          <w:divBdr>
            <w:top w:val="none" w:sz="0" w:space="0" w:color="auto"/>
            <w:left w:val="none" w:sz="0" w:space="0" w:color="auto"/>
            <w:bottom w:val="none" w:sz="0" w:space="0" w:color="auto"/>
            <w:right w:val="none" w:sz="0" w:space="0" w:color="auto"/>
          </w:divBdr>
          <w:divsChild>
            <w:div w:id="1548250386">
              <w:marLeft w:val="0"/>
              <w:marRight w:val="0"/>
              <w:marTop w:val="0"/>
              <w:marBottom w:val="0"/>
              <w:divBdr>
                <w:top w:val="none" w:sz="0" w:space="0" w:color="auto"/>
                <w:left w:val="none" w:sz="0" w:space="0" w:color="auto"/>
                <w:bottom w:val="none" w:sz="0" w:space="0" w:color="auto"/>
                <w:right w:val="none" w:sz="0" w:space="0" w:color="auto"/>
              </w:divBdr>
              <w:divsChild>
                <w:div w:id="1222903864">
                  <w:marLeft w:val="0"/>
                  <w:marRight w:val="0"/>
                  <w:marTop w:val="0"/>
                  <w:marBottom w:val="0"/>
                  <w:divBdr>
                    <w:top w:val="none" w:sz="0" w:space="0" w:color="auto"/>
                    <w:left w:val="none" w:sz="0" w:space="0" w:color="auto"/>
                    <w:bottom w:val="none" w:sz="0" w:space="0" w:color="auto"/>
                    <w:right w:val="none" w:sz="0" w:space="0" w:color="auto"/>
                  </w:divBdr>
                  <w:divsChild>
                    <w:div w:id="454909927">
                      <w:marLeft w:val="0"/>
                      <w:marRight w:val="0"/>
                      <w:marTop w:val="0"/>
                      <w:marBottom w:val="0"/>
                      <w:divBdr>
                        <w:top w:val="none" w:sz="0" w:space="0" w:color="auto"/>
                        <w:left w:val="none" w:sz="0" w:space="0" w:color="auto"/>
                        <w:bottom w:val="none" w:sz="0" w:space="0" w:color="auto"/>
                        <w:right w:val="none" w:sz="0" w:space="0" w:color="auto"/>
                      </w:divBdr>
                      <w:divsChild>
                        <w:div w:id="450054156">
                          <w:marLeft w:val="0"/>
                          <w:marRight w:val="0"/>
                          <w:marTop w:val="0"/>
                          <w:marBottom w:val="0"/>
                          <w:divBdr>
                            <w:top w:val="none" w:sz="0" w:space="0" w:color="auto"/>
                            <w:left w:val="none" w:sz="0" w:space="0" w:color="auto"/>
                            <w:bottom w:val="none" w:sz="0" w:space="0" w:color="auto"/>
                            <w:right w:val="none" w:sz="0" w:space="0" w:color="auto"/>
                          </w:divBdr>
                          <w:divsChild>
                            <w:div w:id="1454902674">
                              <w:marLeft w:val="0"/>
                              <w:marRight w:val="0"/>
                              <w:marTop w:val="0"/>
                              <w:marBottom w:val="0"/>
                              <w:divBdr>
                                <w:top w:val="none" w:sz="0" w:space="0" w:color="auto"/>
                                <w:left w:val="none" w:sz="0" w:space="0" w:color="auto"/>
                                <w:bottom w:val="none" w:sz="0" w:space="0" w:color="auto"/>
                                <w:right w:val="none" w:sz="0" w:space="0" w:color="auto"/>
                              </w:divBdr>
                              <w:divsChild>
                                <w:div w:id="104424500">
                                  <w:marLeft w:val="0"/>
                                  <w:marRight w:val="0"/>
                                  <w:marTop w:val="0"/>
                                  <w:marBottom w:val="0"/>
                                  <w:divBdr>
                                    <w:top w:val="none" w:sz="0" w:space="0" w:color="auto"/>
                                    <w:left w:val="none" w:sz="0" w:space="0" w:color="auto"/>
                                    <w:bottom w:val="none" w:sz="0" w:space="0" w:color="auto"/>
                                    <w:right w:val="none" w:sz="0" w:space="0" w:color="auto"/>
                                  </w:divBdr>
                                  <w:divsChild>
                                    <w:div w:id="1494837556">
                                      <w:marLeft w:val="0"/>
                                      <w:marRight w:val="0"/>
                                      <w:marTop w:val="0"/>
                                      <w:marBottom w:val="0"/>
                                      <w:divBdr>
                                        <w:top w:val="none" w:sz="0" w:space="0" w:color="auto"/>
                                        <w:left w:val="none" w:sz="0" w:space="0" w:color="auto"/>
                                        <w:bottom w:val="none" w:sz="0" w:space="0" w:color="auto"/>
                                        <w:right w:val="none" w:sz="0" w:space="0" w:color="auto"/>
                                      </w:divBdr>
                                      <w:divsChild>
                                        <w:div w:id="507908216">
                                          <w:marLeft w:val="0"/>
                                          <w:marRight w:val="0"/>
                                          <w:marTop w:val="0"/>
                                          <w:marBottom w:val="0"/>
                                          <w:divBdr>
                                            <w:top w:val="none" w:sz="0" w:space="0" w:color="auto"/>
                                            <w:left w:val="none" w:sz="0" w:space="0" w:color="auto"/>
                                            <w:bottom w:val="none" w:sz="0" w:space="0" w:color="auto"/>
                                            <w:right w:val="none" w:sz="0" w:space="0" w:color="auto"/>
                                          </w:divBdr>
                                          <w:divsChild>
                                            <w:div w:id="631398040">
                                              <w:marLeft w:val="0"/>
                                              <w:marRight w:val="0"/>
                                              <w:marTop w:val="0"/>
                                              <w:marBottom w:val="0"/>
                                              <w:divBdr>
                                                <w:top w:val="none" w:sz="0" w:space="0" w:color="auto"/>
                                                <w:left w:val="none" w:sz="0" w:space="0" w:color="auto"/>
                                                <w:bottom w:val="none" w:sz="0" w:space="0" w:color="auto"/>
                                                <w:right w:val="none" w:sz="0" w:space="0" w:color="auto"/>
                                              </w:divBdr>
                                              <w:divsChild>
                                                <w:div w:id="173035633">
                                                  <w:marLeft w:val="0"/>
                                                  <w:marRight w:val="0"/>
                                                  <w:marTop w:val="0"/>
                                                  <w:marBottom w:val="0"/>
                                                  <w:divBdr>
                                                    <w:top w:val="none" w:sz="0" w:space="0" w:color="auto"/>
                                                    <w:left w:val="none" w:sz="0" w:space="0" w:color="auto"/>
                                                    <w:bottom w:val="none" w:sz="0" w:space="0" w:color="auto"/>
                                                    <w:right w:val="none" w:sz="0" w:space="0" w:color="auto"/>
                                                  </w:divBdr>
                                                  <w:divsChild>
                                                    <w:div w:id="131678937">
                                                      <w:marLeft w:val="0"/>
                                                      <w:marRight w:val="0"/>
                                                      <w:marTop w:val="0"/>
                                                      <w:marBottom w:val="0"/>
                                                      <w:divBdr>
                                                        <w:top w:val="none" w:sz="0" w:space="0" w:color="auto"/>
                                                        <w:left w:val="none" w:sz="0" w:space="0" w:color="auto"/>
                                                        <w:bottom w:val="none" w:sz="0" w:space="0" w:color="auto"/>
                                                        <w:right w:val="none" w:sz="0" w:space="0" w:color="auto"/>
                                                      </w:divBdr>
                                                      <w:divsChild>
                                                        <w:div w:id="712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6068384">
      <w:bodyDiv w:val="1"/>
      <w:marLeft w:val="0"/>
      <w:marRight w:val="0"/>
      <w:marTop w:val="0"/>
      <w:marBottom w:val="0"/>
      <w:divBdr>
        <w:top w:val="none" w:sz="0" w:space="0" w:color="auto"/>
        <w:left w:val="none" w:sz="0" w:space="0" w:color="auto"/>
        <w:bottom w:val="none" w:sz="0" w:space="0" w:color="auto"/>
        <w:right w:val="none" w:sz="0" w:space="0" w:color="auto"/>
      </w:divBdr>
    </w:div>
    <w:div w:id="18608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new%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example; new prudential standard</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7</Value>
      <Value>291</Value>
      <Value>4</Value>
      <Value>57</Value>
      <Value>56</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ES</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VQVUQ2WUPSKA-1683173573-39733</_dlc_DocId>
    <_dlc_DocIdUrl xmlns="814d62cb-2db6-4c25-ab62-b9075facbc11">
      <Url>https://im/teams/DA/_layouts/15/DocIdRedir.aspx?ID=VQVUQ2WUPSKA-1683173573-39733</Url>
      <Description>VQVUQ2WUPSKA-1683173573-39733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666C-A23D-4571-AF4E-B2B823F51EF4}">
  <ds:schemaRefs>
    <ds:schemaRef ds:uri="http://schemas.microsoft.com/sharepoint/events"/>
  </ds:schemaRefs>
</ds:datastoreItem>
</file>

<file path=customXml/itemProps2.xml><?xml version="1.0" encoding="utf-8"?>
<ds:datastoreItem xmlns:ds="http://schemas.openxmlformats.org/officeDocument/2006/customXml" ds:itemID="{8F869ADA-DA68-4B83-B556-15233D6E3CD6}">
  <ds:schemaRefs>
    <ds:schemaRef ds:uri="Microsoft.SharePoint.Taxonomy.ContentTypeSync"/>
  </ds:schemaRefs>
</ds:datastoreItem>
</file>

<file path=customXml/itemProps3.xml><?xml version="1.0" encoding="utf-8"?>
<ds:datastoreItem xmlns:ds="http://schemas.openxmlformats.org/officeDocument/2006/customXml" ds:itemID="{10872E45-AC27-4C94-95AD-52B82F99D05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E6CF25-204A-4E9C-A33A-8C41061C135A}">
  <ds:schemaRefs>
    <ds:schemaRef ds:uri="http://schemas.microsoft.com/sharepoint/v3/contenttype/forms"/>
  </ds:schemaRefs>
</ds:datastoreItem>
</file>

<file path=customXml/itemProps5.xml><?xml version="1.0" encoding="utf-8"?>
<ds:datastoreItem xmlns:ds="http://schemas.openxmlformats.org/officeDocument/2006/customXml" ds:itemID="{7342F2C5-4915-4805-B53D-6903737B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1C5FBD-6510-4245-8483-969A0968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prudential standard (April 2016).dotx</Template>
  <TotalTime>1</TotalTime>
  <Pages>4</Pages>
  <Words>1316</Words>
  <Characters>7365</Characters>
  <Application>Microsoft Office Word</Application>
  <DocSecurity>0</DocSecurity>
  <Lines>134</Lines>
  <Paragraphs>53</Paragraphs>
  <ScaleCrop>false</ScaleCrop>
  <HeadingPairs>
    <vt:vector size="2" baseType="variant">
      <vt:variant>
        <vt:lpstr>Title</vt:lpstr>
      </vt:variant>
      <vt:variant>
        <vt:i4>1</vt:i4>
      </vt:variant>
    </vt:vector>
  </HeadingPairs>
  <TitlesOfParts>
    <vt:vector size="1" baseType="lpstr">
      <vt:lpstr>Explanatory Statement new prudential standard</vt:lpstr>
    </vt:vector>
  </TitlesOfParts>
  <Company>APRA</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prudential standard</dc:title>
  <dc:subject/>
  <dc:creator>Sullivan, David</dc:creator>
  <cp:keywords>[SEC=UNCLASSIFIED]</cp:keywords>
  <dc:description/>
  <cp:lastModifiedBy>Li, Joanne</cp:lastModifiedBy>
  <cp:revision>3</cp:revision>
  <cp:lastPrinted>2019-06-05T07:15:00Z</cp:lastPrinted>
  <dcterms:created xsi:type="dcterms:W3CDTF">2019-06-13T07:58:00Z</dcterms:created>
  <dcterms:modified xsi:type="dcterms:W3CDTF">2019-06-13T07:58:00Z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932A4D8DEB30F49B5D888DC2081C7FEE0B1F315D</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1446B5E771A042FE7EBE9039065E6F0A38134D8E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F5A18DAB8C524AA98B567E1C7690008C</vt:lpwstr>
  </property>
  <property fmtid="{D5CDD505-2E9C-101B-9397-08002B2CF9AE}" pid="16" name="PM_OriginationTimeStamp">
    <vt:lpwstr>2017-07-27T01:11:02Z</vt:lpwstr>
  </property>
  <property fmtid="{D5CDD505-2E9C-101B-9397-08002B2CF9AE}" pid="17" name="PM_Hash_Version">
    <vt:lpwstr>2016.1</vt:lpwstr>
  </property>
  <property fmtid="{D5CDD505-2E9C-101B-9397-08002B2CF9AE}" pid="18" name="PM_Hash_Salt_Prev">
    <vt:lpwstr>3680D3E932AE77F284832D3DE4C1CDCD</vt:lpwstr>
  </property>
  <property fmtid="{D5CDD505-2E9C-101B-9397-08002B2CF9AE}" pid="19" name="PM_Hash_Salt">
    <vt:lpwstr>3680D3E932AE77F284832D3DE4C1CDCD</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
  </property>
  <property fmtid="{D5CDD505-2E9C-101B-9397-08002B2CF9AE}" pid="24" name="APRAYear">
    <vt:lpwstr/>
  </property>
  <property fmtid="{D5CDD505-2E9C-101B-9397-08002B2CF9AE}" pid="25" name="APRAIndustry">
    <vt:lpwstr>7;#ADI|906b8d6f-8851-e311-9e2e-005056b54f10</vt:lpwstr>
  </property>
  <property fmtid="{D5CDD505-2E9C-101B-9397-08002B2CF9AE}" pid="26" name="APRAPRSG">
    <vt:lpwstr/>
  </property>
  <property fmtid="{D5CDD505-2E9C-101B-9397-08002B2CF9AE}" pid="27" name="_dlc_DocIdItemGuid">
    <vt:lpwstr>35e6e519-84b0-48f1-ba97-6bb40e9588bd</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57;#Precedent|197f51c4-dc37-4f46-99ec-cabda449ee10</vt:lpwstr>
  </property>
  <property fmtid="{D5CDD505-2E9C-101B-9397-08002B2CF9AE}" pid="32" name="APRAStatus">
    <vt:lpwstr>4;#Final|84d6b2d0-8498-4d62-bf46-bab38babbe9e</vt:lpwstr>
  </property>
  <property fmtid="{D5CDD505-2E9C-101B-9397-08002B2CF9AE}" pid="33" name="APRAActivity">
    <vt:lpwstr>291;#Statutory instrument|fe68928c-5a9c-4caf-bc8c-6c18cedcb17f;#56;#Legal advice|47dcad67-54ec-4c15-a2f1-eec9cf2f5637</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{ad6dddf9-383b-42a4-9cb2-33e024a97839}</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ActiveItemUniqueId">
    <vt:lpwstr>{35e6e519-84b0-48f1-ba97-6bb40e9588bd}</vt:lpwstr>
  </property>
  <property fmtid="{D5CDD505-2E9C-101B-9397-08002B2CF9AE}" pid="43" name="RecordPoint_RecordNumberSubmitted">
    <vt:lpwstr>R0000749452</vt:lpwstr>
  </property>
  <property fmtid="{D5CDD505-2E9C-101B-9397-08002B2CF9AE}" pid="44" name="RecordPoint_SubmissionCompleted">
    <vt:lpwstr>2019-06-12T17:12:47.5297251+10:00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ies>
</file>