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9C74" w14:textId="77777777" w:rsidR="000855FC" w:rsidRPr="000855FC" w:rsidRDefault="000855FC" w:rsidP="000855FC">
      <w:pPr>
        <w:keepNext/>
        <w:ind w:left="284"/>
        <w:jc w:val="center"/>
        <w:outlineLvl w:val="0"/>
        <w:rPr>
          <w:b/>
          <w:u w:val="single"/>
          <w:lang w:eastAsia="en-AU"/>
        </w:rPr>
      </w:pPr>
      <w:bookmarkStart w:id="0" w:name="_GoBack"/>
      <w:bookmarkEnd w:id="0"/>
      <w:r w:rsidRPr="000855FC">
        <w:rPr>
          <w:b/>
          <w:u w:val="single"/>
          <w:lang w:eastAsia="en-AU"/>
        </w:rPr>
        <w:t>EXPLANATORY STATEMENT</w:t>
      </w:r>
    </w:p>
    <w:p w14:paraId="44FFC1C4" w14:textId="77777777" w:rsidR="000855FC" w:rsidRPr="000855FC" w:rsidRDefault="000855FC" w:rsidP="000855FC">
      <w:pPr>
        <w:rPr>
          <w:u w:val="single"/>
          <w:lang w:eastAsia="en-AU"/>
        </w:rPr>
      </w:pPr>
    </w:p>
    <w:p w14:paraId="22B95BD0" w14:textId="77777777" w:rsidR="000855FC" w:rsidRPr="000855FC" w:rsidRDefault="000855FC" w:rsidP="000855FC">
      <w:pPr>
        <w:widowControl w:val="0"/>
        <w:tabs>
          <w:tab w:val="left" w:pos="993"/>
          <w:tab w:val="left" w:pos="1418"/>
        </w:tabs>
        <w:jc w:val="center"/>
        <w:rPr>
          <w:i/>
          <w:lang w:eastAsia="en-AU"/>
        </w:rPr>
      </w:pPr>
      <w:r w:rsidRPr="000855FC">
        <w:rPr>
          <w:i/>
          <w:lang w:eastAsia="en-AU"/>
        </w:rPr>
        <w:t>Health Insurance Act 1973</w:t>
      </w:r>
    </w:p>
    <w:p w14:paraId="3C040BB6" w14:textId="77777777" w:rsidR="000855FC" w:rsidRPr="000855FC" w:rsidRDefault="000855FC" w:rsidP="000855FC">
      <w:pPr>
        <w:jc w:val="both"/>
        <w:rPr>
          <w:i/>
          <w:lang w:eastAsia="en-AU"/>
        </w:rPr>
      </w:pPr>
    </w:p>
    <w:p w14:paraId="3C09A16E" w14:textId="1194B2F9" w:rsidR="00010849" w:rsidRPr="000855FC" w:rsidRDefault="006D4345" w:rsidP="006D4345">
      <w:pPr>
        <w:jc w:val="center"/>
        <w:rPr>
          <w:highlight w:val="yellow"/>
          <w:lang w:eastAsia="en-AU"/>
        </w:rPr>
      </w:pPr>
      <w:r w:rsidRPr="006D4345">
        <w:rPr>
          <w:i/>
          <w:lang w:eastAsia="en-AU"/>
        </w:rPr>
        <w:t>Health Insurance (General Medical Services Table) Amendment (Indexation) Regulations 2019</w:t>
      </w:r>
    </w:p>
    <w:p w14:paraId="5BE53294" w14:textId="77777777" w:rsidR="006D4345" w:rsidRDefault="006D4345" w:rsidP="000855FC">
      <w:pPr>
        <w:ind w:right="-483"/>
        <w:rPr>
          <w:lang w:eastAsia="en-AU"/>
        </w:rPr>
      </w:pPr>
    </w:p>
    <w:p w14:paraId="5882C218" w14:textId="76B01366" w:rsidR="000855FC" w:rsidRPr="000855FC" w:rsidRDefault="000855FC" w:rsidP="000855FC">
      <w:pPr>
        <w:ind w:right="-483"/>
        <w:rPr>
          <w:lang w:eastAsia="en-AU"/>
        </w:rPr>
      </w:pPr>
      <w:r w:rsidRPr="000855FC">
        <w:rPr>
          <w:lang w:eastAsia="en-AU"/>
        </w:rPr>
        <w:t xml:space="preserve">Subsection 133(1) of the </w:t>
      </w:r>
      <w:r w:rsidR="00044F99" w:rsidRPr="00EC60E6">
        <w:rPr>
          <w:i/>
          <w:lang w:eastAsia="en-AU"/>
        </w:rPr>
        <w:t>Health Insurance Act 1973</w:t>
      </w:r>
      <w:r w:rsidR="00044F99">
        <w:rPr>
          <w:lang w:eastAsia="en-AU"/>
        </w:rPr>
        <w:t xml:space="preserve"> (the </w:t>
      </w:r>
      <w:r w:rsidRPr="000855FC">
        <w:rPr>
          <w:lang w:eastAsia="en-AU"/>
        </w:rPr>
        <w:t>Act</w:t>
      </w:r>
      <w:r w:rsidR="00044F99">
        <w:rPr>
          <w:lang w:eastAsia="en-AU"/>
        </w:rPr>
        <w:t>)</w:t>
      </w:r>
      <w:r w:rsidRPr="000855F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2B5CE7FD" w14:textId="77777777" w:rsidR="000855FC" w:rsidRPr="000855FC" w:rsidRDefault="000855FC" w:rsidP="000855FC">
      <w:pPr>
        <w:ind w:right="-483"/>
        <w:rPr>
          <w:color w:val="C0504D" w:themeColor="accent2"/>
          <w:spacing w:val="5"/>
          <w:lang w:eastAsia="en-AU"/>
        </w:rPr>
      </w:pPr>
    </w:p>
    <w:p w14:paraId="263CA383" w14:textId="77777777" w:rsidR="000855FC" w:rsidRPr="000855FC" w:rsidRDefault="000855FC" w:rsidP="000855FC">
      <w:pPr>
        <w:ind w:right="-483"/>
        <w:rPr>
          <w:lang w:eastAsia="en-AU"/>
        </w:rPr>
      </w:pPr>
      <w:r w:rsidRPr="000855F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59A0D1" w14:textId="77777777" w:rsidR="000855FC" w:rsidRPr="000855FC" w:rsidRDefault="000855FC" w:rsidP="000855FC">
      <w:pPr>
        <w:rPr>
          <w:lang w:eastAsia="en-AU"/>
        </w:rPr>
      </w:pPr>
    </w:p>
    <w:p w14:paraId="2C7B7607" w14:textId="5EAD296B" w:rsidR="000855FC" w:rsidRPr="000855FC" w:rsidRDefault="000855FC" w:rsidP="000855FC">
      <w:pPr>
        <w:ind w:right="-483"/>
        <w:rPr>
          <w:lang w:eastAsia="en-AU"/>
        </w:rPr>
      </w:pPr>
      <w:r w:rsidRPr="000855FC">
        <w:rPr>
          <w:lang w:eastAsia="en-AU"/>
        </w:rPr>
        <w:t>Subsection 4(1) of the Act provides that regulations may prescribe a table of medical services which sets out items of medical services, the fees applicable for each item, and rules for interpreting the table. </w:t>
      </w:r>
      <w:r w:rsidR="00DC4EE9" w:rsidRPr="00730EA1">
        <w:rPr>
          <w:lang w:eastAsia="en-AU"/>
        </w:rPr>
        <w:t>The table made under this subsection is referred to as the</w:t>
      </w:r>
      <w:r w:rsidR="00DC4EE9">
        <w:rPr>
          <w:lang w:eastAsia="en-AU"/>
        </w:rPr>
        <w:t xml:space="preserve"> </w:t>
      </w:r>
      <w:r w:rsidR="00CD2A03">
        <w:rPr>
          <w:lang w:eastAsia="en-AU"/>
        </w:rPr>
        <w:t>G</w:t>
      </w:r>
      <w:r w:rsidR="00DC4EE9">
        <w:rPr>
          <w:lang w:eastAsia="en-AU"/>
        </w:rPr>
        <w:t xml:space="preserve">eneral </w:t>
      </w:r>
      <w:r w:rsidR="00CD2A03">
        <w:rPr>
          <w:lang w:eastAsia="en-AU"/>
        </w:rPr>
        <w:t>M</w:t>
      </w:r>
      <w:r w:rsidR="00DC4EE9">
        <w:rPr>
          <w:lang w:eastAsia="en-AU"/>
        </w:rPr>
        <w:t xml:space="preserve">edical </w:t>
      </w:r>
      <w:r w:rsidR="00CD2A03">
        <w:rPr>
          <w:lang w:eastAsia="en-AU"/>
        </w:rPr>
        <w:t>S</w:t>
      </w:r>
      <w:r w:rsidR="00DC4EE9">
        <w:rPr>
          <w:lang w:eastAsia="en-AU"/>
        </w:rPr>
        <w:t xml:space="preserve">ervices </w:t>
      </w:r>
      <w:r w:rsidR="00CD2A03">
        <w:rPr>
          <w:lang w:eastAsia="en-AU"/>
        </w:rPr>
        <w:t>T</w:t>
      </w:r>
      <w:r w:rsidR="00DC4EE9">
        <w:rPr>
          <w:lang w:eastAsia="en-AU"/>
        </w:rPr>
        <w:t>able (GMST).</w:t>
      </w:r>
    </w:p>
    <w:p w14:paraId="176BA703" w14:textId="77777777" w:rsidR="00003743" w:rsidRDefault="00003743" w:rsidP="002F3AE3"/>
    <w:p w14:paraId="649FD207" w14:textId="77777777" w:rsidR="000855FC" w:rsidRPr="000855FC" w:rsidRDefault="000855FC" w:rsidP="000855FC">
      <w:pPr>
        <w:autoSpaceDE w:val="0"/>
        <w:autoSpaceDN w:val="0"/>
        <w:adjustRightInd w:val="0"/>
        <w:rPr>
          <w:b/>
          <w:lang w:eastAsia="en-AU"/>
        </w:rPr>
      </w:pPr>
      <w:r w:rsidRPr="000855FC">
        <w:rPr>
          <w:b/>
          <w:lang w:eastAsia="en-AU"/>
        </w:rPr>
        <w:t>Purpose</w:t>
      </w:r>
    </w:p>
    <w:p w14:paraId="7D145A78" w14:textId="70C3DB4D" w:rsidR="003E0381" w:rsidRDefault="003E0381" w:rsidP="003E0381">
      <w:r w:rsidRPr="00331352">
        <w:t xml:space="preserve">The purpose of the </w:t>
      </w:r>
      <w:r w:rsidRPr="00331352">
        <w:rPr>
          <w:i/>
        </w:rPr>
        <w:t xml:space="preserve">Health Insurance (General Medical Services Table) Amendment (Indexation) Regulations 2019 </w:t>
      </w:r>
      <w:r w:rsidRPr="00331352">
        <w:t xml:space="preserve">(the Regulations) is to </w:t>
      </w:r>
      <w:r>
        <w:t xml:space="preserve">amend the </w:t>
      </w:r>
      <w:r w:rsidRPr="00D47D2F">
        <w:rPr>
          <w:i/>
        </w:rPr>
        <w:t>Health Insurance (General Medical Services Table) Regulations 2019</w:t>
      </w:r>
      <w:r w:rsidRPr="00193377">
        <w:t xml:space="preserve"> to</w:t>
      </w:r>
      <w:r>
        <w:t xml:space="preserve"> </w:t>
      </w:r>
      <w:r w:rsidRPr="00331352">
        <w:t xml:space="preserve">increase the </w:t>
      </w:r>
      <w:r>
        <w:t xml:space="preserve">schedule </w:t>
      </w:r>
      <w:r w:rsidRPr="00331352">
        <w:t xml:space="preserve">fees of </w:t>
      </w:r>
      <w:r>
        <w:t xml:space="preserve">89 general practitioner (GP) items </w:t>
      </w:r>
      <w:r w:rsidRPr="00331352">
        <w:t xml:space="preserve">from 1 July 2019. These </w:t>
      </w:r>
      <w:r>
        <w:t>items</w:t>
      </w:r>
      <w:r w:rsidRPr="00331352">
        <w:t xml:space="preserve"> include health assessments, chronic disease management plans and mental health services provided by GPs</w:t>
      </w:r>
      <w:r>
        <w:t>.</w:t>
      </w:r>
    </w:p>
    <w:p w14:paraId="3C2C1D59" w14:textId="77777777" w:rsidR="00616DCB" w:rsidRPr="006D4345" w:rsidRDefault="00616DCB" w:rsidP="006D4345">
      <w:pPr>
        <w:rPr>
          <w:lang w:eastAsia="en-AU"/>
        </w:rPr>
      </w:pPr>
    </w:p>
    <w:p w14:paraId="1304C4BA" w14:textId="3CF53967" w:rsidR="000855FC" w:rsidRDefault="000855FC" w:rsidP="00C23C5F">
      <w:pPr>
        <w:rPr>
          <w:b/>
        </w:rPr>
      </w:pPr>
      <w:r w:rsidRPr="000855FC">
        <w:rPr>
          <w:b/>
        </w:rPr>
        <w:t>Consultation</w:t>
      </w:r>
    </w:p>
    <w:p w14:paraId="70577D77" w14:textId="6F307883" w:rsidR="00B7035A" w:rsidRDefault="003E0381" w:rsidP="003E0381">
      <w:pPr>
        <w:rPr>
          <w:lang w:eastAsia="en-AU"/>
        </w:rPr>
      </w:pPr>
      <w:r>
        <w:t xml:space="preserve">Indexation of the 89 GP items is supported by general practice stakeholders, including the </w:t>
      </w:r>
      <w:r w:rsidR="002B1708" w:rsidRPr="006B3E2F">
        <w:t>Australian Medical Association and the Royal Australian College of General Practitioners</w:t>
      </w:r>
      <w:r w:rsidR="00B7035A" w:rsidRPr="00B7035A">
        <w:rPr>
          <w:lang w:eastAsia="en-AU"/>
        </w:rPr>
        <w:t>.</w:t>
      </w:r>
      <w:r w:rsidR="00B67A99">
        <w:rPr>
          <w:lang w:eastAsia="en-AU"/>
        </w:rPr>
        <w:t xml:space="preserve"> </w:t>
      </w:r>
      <w:r>
        <w:rPr>
          <w:lang w:eastAsia="en-AU"/>
        </w:rPr>
        <w:t>Doctors and patients were advised of the changes in the 2019-20 Budget papers and</w:t>
      </w:r>
      <w:r w:rsidR="009D0B0B">
        <w:rPr>
          <w:lang w:eastAsia="en-AU"/>
        </w:rPr>
        <w:t xml:space="preserve"> the</w:t>
      </w:r>
      <w:r>
        <w:rPr>
          <w:lang w:eastAsia="en-AU"/>
        </w:rPr>
        <w:t xml:space="preserve"> Medicare Indexation Schedule available on </w:t>
      </w:r>
      <w:hyperlink r:id="rId11" w:history="1">
        <w:r w:rsidRPr="00527649">
          <w:rPr>
            <w:rStyle w:val="Hyperlink"/>
            <w:lang w:eastAsia="en-AU"/>
          </w:rPr>
          <w:t>www.mbsonline.gov.au</w:t>
        </w:r>
      </w:hyperlink>
      <w:r>
        <w:rPr>
          <w:lang w:eastAsia="en-AU"/>
        </w:rPr>
        <w:t xml:space="preserve">. </w:t>
      </w:r>
    </w:p>
    <w:p w14:paraId="4BD9E811" w14:textId="77777777" w:rsidR="00F501E8" w:rsidRDefault="00F501E8" w:rsidP="000855FC">
      <w:pPr>
        <w:rPr>
          <w:lang w:eastAsia="en-AU"/>
        </w:rPr>
      </w:pPr>
    </w:p>
    <w:p w14:paraId="1DA618D9" w14:textId="77777777" w:rsidR="000855FC" w:rsidRPr="000855FC" w:rsidRDefault="000855FC" w:rsidP="000855FC">
      <w:pPr>
        <w:rPr>
          <w:lang w:eastAsia="en-AU"/>
        </w:rPr>
      </w:pPr>
      <w:r w:rsidRPr="000855FC">
        <w:rPr>
          <w:lang w:eastAsia="en-AU"/>
        </w:rPr>
        <w:t>Details of the Regulations</w:t>
      </w:r>
      <w:r w:rsidRPr="000855FC">
        <w:rPr>
          <w:i/>
          <w:lang w:eastAsia="en-AU"/>
        </w:rPr>
        <w:t xml:space="preserve"> </w:t>
      </w:r>
      <w:r w:rsidRPr="000855FC">
        <w:rPr>
          <w:lang w:eastAsia="en-AU"/>
        </w:rPr>
        <w:t xml:space="preserve">are set out in the </w:t>
      </w:r>
      <w:r w:rsidRPr="000855FC">
        <w:rPr>
          <w:u w:val="single"/>
          <w:lang w:eastAsia="en-AU"/>
        </w:rPr>
        <w:t>Attachment</w:t>
      </w:r>
      <w:r w:rsidRPr="000855FC">
        <w:rPr>
          <w:lang w:eastAsia="en-AU"/>
        </w:rPr>
        <w:t>.</w:t>
      </w:r>
    </w:p>
    <w:p w14:paraId="0813FACD" w14:textId="77777777" w:rsidR="000855FC" w:rsidRPr="000855FC" w:rsidRDefault="000855FC" w:rsidP="000855FC">
      <w:pPr>
        <w:rPr>
          <w:lang w:eastAsia="en-AU"/>
        </w:rPr>
      </w:pPr>
    </w:p>
    <w:p w14:paraId="01894645" w14:textId="262E061A" w:rsidR="000855FC" w:rsidRPr="000855FC" w:rsidRDefault="000855FC" w:rsidP="000855FC">
      <w:pPr>
        <w:rPr>
          <w:szCs w:val="20"/>
          <w:lang w:eastAsia="en-AU"/>
        </w:rPr>
      </w:pPr>
      <w:r w:rsidRPr="000855FC">
        <w:rPr>
          <w:szCs w:val="20"/>
          <w:lang w:eastAsia="en-AU"/>
        </w:rPr>
        <w:t xml:space="preserve">The Regulations are a legislative instrument for the purposes of the </w:t>
      </w:r>
      <w:r w:rsidRPr="000855FC">
        <w:rPr>
          <w:i/>
          <w:iCs/>
          <w:szCs w:val="20"/>
          <w:lang w:eastAsia="en-AU"/>
        </w:rPr>
        <w:t>Legislation Act 2003</w:t>
      </w:r>
      <w:r w:rsidRPr="000855FC">
        <w:rPr>
          <w:szCs w:val="20"/>
          <w:lang w:eastAsia="en-AU"/>
        </w:rPr>
        <w:t>.</w:t>
      </w:r>
    </w:p>
    <w:p w14:paraId="0A597699" w14:textId="77777777" w:rsidR="000855FC" w:rsidRPr="000855FC" w:rsidRDefault="000855FC" w:rsidP="000855FC">
      <w:pPr>
        <w:rPr>
          <w:iCs/>
          <w:lang w:eastAsia="en-AU"/>
        </w:rPr>
      </w:pPr>
    </w:p>
    <w:p w14:paraId="25278189" w14:textId="77777777" w:rsidR="000855FC" w:rsidRPr="000855FC" w:rsidRDefault="00680570" w:rsidP="000855FC">
      <w:pPr>
        <w:rPr>
          <w:lang w:eastAsia="en-AU"/>
        </w:rPr>
      </w:pPr>
      <w:r>
        <w:rPr>
          <w:lang w:eastAsia="en-AU"/>
        </w:rPr>
        <w:t>The Regulations commence</w:t>
      </w:r>
      <w:r w:rsidR="000855FC" w:rsidRPr="000855FC">
        <w:rPr>
          <w:lang w:eastAsia="en-AU"/>
        </w:rPr>
        <w:t xml:space="preserve"> on </w:t>
      </w:r>
      <w:r w:rsidR="00E3236B">
        <w:rPr>
          <w:lang w:eastAsia="en-AU"/>
        </w:rPr>
        <w:t>1 July 201</w:t>
      </w:r>
      <w:r w:rsidR="009B4A81">
        <w:rPr>
          <w:lang w:eastAsia="en-AU"/>
        </w:rPr>
        <w:t>9</w:t>
      </w:r>
      <w:r w:rsidR="000855FC" w:rsidRPr="000855FC">
        <w:rPr>
          <w:lang w:eastAsia="en-AU"/>
        </w:rPr>
        <w:t xml:space="preserve">.  </w:t>
      </w:r>
    </w:p>
    <w:p w14:paraId="77A11B5A" w14:textId="77777777" w:rsidR="000855FC" w:rsidRPr="000855FC" w:rsidRDefault="000855FC" w:rsidP="000855FC">
      <w:pPr>
        <w:rPr>
          <w:lang w:eastAsia="en-AU"/>
        </w:rPr>
      </w:pPr>
    </w:p>
    <w:p w14:paraId="64A243D6" w14:textId="7FE8D3B3" w:rsidR="000855FC" w:rsidRPr="000855FC" w:rsidRDefault="000855FC" w:rsidP="00261A62">
      <w:pPr>
        <w:tabs>
          <w:tab w:val="left" w:pos="4395"/>
          <w:tab w:val="left" w:pos="5670"/>
        </w:tabs>
        <w:ind w:left="5670" w:hanging="1275"/>
        <w:jc w:val="center"/>
        <w:rPr>
          <w:lang w:eastAsia="en-AU"/>
        </w:rPr>
      </w:pPr>
      <w:r w:rsidRPr="000855FC">
        <w:rPr>
          <w:u w:val="single"/>
          <w:lang w:eastAsia="en-AU"/>
        </w:rPr>
        <w:t>Authority</w:t>
      </w:r>
      <w:r w:rsidRPr="000855FC">
        <w:rPr>
          <w:lang w:eastAsia="en-AU"/>
        </w:rPr>
        <w:t xml:space="preserve">:   Subsection 133(1) of the </w:t>
      </w:r>
      <w:r w:rsidRPr="000855FC">
        <w:rPr>
          <w:i/>
          <w:lang w:eastAsia="en-AU"/>
        </w:rPr>
        <w:t>Health Insurance Act 1973</w:t>
      </w:r>
      <w:r w:rsidRPr="000855FC">
        <w:rPr>
          <w:lang w:eastAsia="en-AU"/>
        </w:rPr>
        <w:t xml:space="preserve">  </w:t>
      </w:r>
    </w:p>
    <w:p w14:paraId="451FE8EC" w14:textId="77777777" w:rsidR="00261A62" w:rsidRDefault="000855FC" w:rsidP="000855FC">
      <w:pPr>
        <w:ind w:left="284"/>
        <w:rPr>
          <w:lang w:eastAsia="en-AU"/>
        </w:rPr>
        <w:sectPr w:rsidR="00261A62" w:rsidSect="00C502D3">
          <w:headerReference w:type="default" r:id="rId12"/>
          <w:pgSz w:w="11906" w:h="16838"/>
          <w:pgMar w:top="1440" w:right="1800" w:bottom="993" w:left="1800" w:header="708" w:footer="708" w:gutter="0"/>
          <w:cols w:space="708"/>
          <w:docGrid w:linePitch="360"/>
        </w:sectPr>
      </w:pPr>
      <w:r w:rsidRPr="000855FC">
        <w:rPr>
          <w:lang w:eastAsia="en-AU"/>
        </w:rPr>
        <w:br w:type="page"/>
      </w:r>
    </w:p>
    <w:p w14:paraId="753371C2" w14:textId="77777777" w:rsidR="000855FC" w:rsidRPr="000855FC" w:rsidRDefault="000855FC" w:rsidP="000855FC">
      <w:pPr>
        <w:jc w:val="right"/>
        <w:rPr>
          <w:b/>
          <w:lang w:eastAsia="en-AU"/>
        </w:rPr>
      </w:pPr>
      <w:r w:rsidRPr="000855FC">
        <w:rPr>
          <w:b/>
          <w:lang w:eastAsia="en-AU"/>
        </w:rPr>
        <w:lastRenderedPageBreak/>
        <w:t xml:space="preserve">ATTACHMENT </w:t>
      </w:r>
    </w:p>
    <w:p w14:paraId="51A015F0" w14:textId="77777777" w:rsidR="000855FC" w:rsidRPr="000855FC" w:rsidRDefault="000855FC" w:rsidP="000855FC">
      <w:pPr>
        <w:rPr>
          <w:b/>
          <w:lang w:eastAsia="en-AU"/>
        </w:rPr>
      </w:pPr>
    </w:p>
    <w:p w14:paraId="4CA66C67" w14:textId="49420CBE" w:rsidR="002B1708" w:rsidRPr="00725EA3" w:rsidRDefault="000855FC" w:rsidP="00E359FE">
      <w:pPr>
        <w:rPr>
          <w:b/>
          <w:i/>
          <w:lang w:eastAsia="en-AU"/>
        </w:rPr>
      </w:pPr>
      <w:r w:rsidRPr="00010849">
        <w:rPr>
          <w:b/>
          <w:lang w:eastAsia="en-AU"/>
        </w:rPr>
        <w:t xml:space="preserve">Details of the </w:t>
      </w:r>
      <w:r w:rsidR="00E359FE" w:rsidRPr="00725EA3">
        <w:rPr>
          <w:b/>
          <w:i/>
          <w:lang w:eastAsia="en-AU"/>
        </w:rPr>
        <w:t>Health Insurance (General Medical Services Table) Amendment (Indexation) Regulations 2019</w:t>
      </w:r>
    </w:p>
    <w:p w14:paraId="2D03FC94" w14:textId="211F665B" w:rsidR="000855FC" w:rsidRDefault="000855FC" w:rsidP="000855FC">
      <w:pPr>
        <w:rPr>
          <w:b/>
          <w:i/>
          <w:lang w:eastAsia="en-AU"/>
        </w:rPr>
      </w:pPr>
    </w:p>
    <w:p w14:paraId="0CFD7988" w14:textId="77777777" w:rsidR="000855FC" w:rsidRPr="000855FC" w:rsidRDefault="000855FC" w:rsidP="000855FC">
      <w:pPr>
        <w:keepNext/>
        <w:tabs>
          <w:tab w:val="left" w:pos="284"/>
        </w:tabs>
        <w:outlineLvl w:val="0"/>
        <w:rPr>
          <w:u w:val="single"/>
          <w:lang w:eastAsia="en-AU"/>
        </w:rPr>
      </w:pPr>
      <w:r w:rsidRPr="000855FC">
        <w:rPr>
          <w:u w:val="single"/>
          <w:lang w:eastAsia="en-AU"/>
        </w:rPr>
        <w:t xml:space="preserve">Section 1 – Name </w:t>
      </w:r>
    </w:p>
    <w:p w14:paraId="732C1FFC" w14:textId="77777777" w:rsidR="000855FC" w:rsidRPr="000855FC" w:rsidRDefault="000855FC" w:rsidP="000855FC">
      <w:pPr>
        <w:keepNext/>
        <w:outlineLvl w:val="0"/>
        <w:rPr>
          <w:sz w:val="16"/>
          <w:szCs w:val="16"/>
          <w:lang w:eastAsia="en-AU"/>
        </w:rPr>
      </w:pPr>
    </w:p>
    <w:p w14:paraId="7ED3EE9E" w14:textId="356A8520" w:rsidR="000855FC" w:rsidRPr="000855FC" w:rsidRDefault="000855FC" w:rsidP="000855FC">
      <w:pPr>
        <w:keepNext/>
        <w:outlineLvl w:val="0"/>
        <w:rPr>
          <w:lang w:eastAsia="en-AU"/>
        </w:rPr>
      </w:pPr>
      <w:r w:rsidRPr="000855FC">
        <w:rPr>
          <w:lang w:eastAsia="en-AU"/>
        </w:rPr>
        <w:t xml:space="preserve">This section </w:t>
      </w:r>
      <w:r>
        <w:rPr>
          <w:lang w:eastAsia="en-AU"/>
        </w:rPr>
        <w:t>p</w:t>
      </w:r>
      <w:r w:rsidRPr="000855FC">
        <w:rPr>
          <w:lang w:eastAsia="en-AU"/>
        </w:rPr>
        <w:t>rovide</w:t>
      </w:r>
      <w:r>
        <w:rPr>
          <w:lang w:eastAsia="en-AU"/>
        </w:rPr>
        <w:t>s</w:t>
      </w:r>
      <w:r w:rsidRPr="000855FC">
        <w:rPr>
          <w:lang w:eastAsia="en-AU"/>
        </w:rPr>
        <w:t xml:space="preserve"> for the Regulations to be referred to as the</w:t>
      </w:r>
      <w:r w:rsidRPr="000855FC">
        <w:rPr>
          <w:i/>
          <w:lang w:eastAsia="en-AU"/>
        </w:rPr>
        <w:t xml:space="preserve"> </w:t>
      </w:r>
      <w:r w:rsidR="00E359FE" w:rsidRPr="00E359FE">
        <w:rPr>
          <w:i/>
          <w:lang w:eastAsia="en-AU"/>
        </w:rPr>
        <w:t>Health Insurance (General Medical Services Table) Amendment (Indexation) Regulations 2019</w:t>
      </w:r>
      <w:r w:rsidRPr="00E359FE">
        <w:rPr>
          <w:i/>
          <w:lang w:eastAsia="en-AU"/>
        </w:rPr>
        <w:t>.</w:t>
      </w:r>
    </w:p>
    <w:p w14:paraId="23762F24" w14:textId="77777777" w:rsidR="000855FC" w:rsidRPr="000855FC" w:rsidRDefault="000855FC" w:rsidP="000855FC">
      <w:pPr>
        <w:rPr>
          <w:highlight w:val="yellow"/>
          <w:lang w:eastAsia="en-AU"/>
        </w:rPr>
      </w:pPr>
    </w:p>
    <w:p w14:paraId="07FB48C8" w14:textId="77777777" w:rsidR="000855FC" w:rsidRPr="000855FC" w:rsidRDefault="000855FC" w:rsidP="000855FC">
      <w:pPr>
        <w:rPr>
          <w:u w:val="single"/>
          <w:lang w:eastAsia="en-AU"/>
        </w:rPr>
      </w:pPr>
      <w:r w:rsidRPr="000855FC">
        <w:rPr>
          <w:u w:val="single"/>
          <w:lang w:eastAsia="en-AU"/>
        </w:rPr>
        <w:t xml:space="preserve">Section 2 – Commencement </w:t>
      </w:r>
    </w:p>
    <w:p w14:paraId="4E23C5D2" w14:textId="77777777" w:rsidR="000855FC" w:rsidRPr="000855FC" w:rsidRDefault="000855FC" w:rsidP="000855FC">
      <w:pPr>
        <w:rPr>
          <w:sz w:val="16"/>
          <w:szCs w:val="16"/>
          <w:lang w:eastAsia="en-AU"/>
        </w:rPr>
      </w:pPr>
    </w:p>
    <w:p w14:paraId="4D68E6B9" w14:textId="61DB731D" w:rsidR="000855FC" w:rsidRPr="000855FC" w:rsidRDefault="000855FC" w:rsidP="000855FC">
      <w:pPr>
        <w:rPr>
          <w:lang w:eastAsia="en-AU"/>
        </w:rPr>
      </w:pPr>
      <w:r w:rsidRPr="000855FC">
        <w:rPr>
          <w:lang w:eastAsia="en-AU"/>
        </w:rPr>
        <w:t>This section provide</w:t>
      </w:r>
      <w:r>
        <w:rPr>
          <w:lang w:eastAsia="en-AU"/>
        </w:rPr>
        <w:t>s</w:t>
      </w:r>
      <w:r w:rsidRPr="000855FC">
        <w:rPr>
          <w:lang w:eastAsia="en-AU"/>
        </w:rPr>
        <w:t xml:space="preserve"> for the Regulations to commence </w:t>
      </w:r>
      <w:r w:rsidR="00430160">
        <w:rPr>
          <w:lang w:eastAsia="en-AU"/>
        </w:rPr>
        <w:t>on 1 July 201</w:t>
      </w:r>
      <w:r w:rsidR="00D34891">
        <w:rPr>
          <w:lang w:eastAsia="en-AU"/>
        </w:rPr>
        <w:t>9</w:t>
      </w:r>
      <w:r w:rsidRPr="000855FC">
        <w:rPr>
          <w:lang w:eastAsia="en-AU"/>
        </w:rPr>
        <w:t>.</w:t>
      </w:r>
    </w:p>
    <w:p w14:paraId="4C683474" w14:textId="77777777" w:rsidR="000855FC" w:rsidRPr="000855FC" w:rsidRDefault="000855FC" w:rsidP="000855FC">
      <w:pPr>
        <w:rPr>
          <w:highlight w:val="yellow"/>
          <w:lang w:eastAsia="en-AU"/>
        </w:rPr>
      </w:pPr>
    </w:p>
    <w:p w14:paraId="54B11989" w14:textId="77777777" w:rsidR="000855FC" w:rsidRPr="000855FC" w:rsidRDefault="000855FC" w:rsidP="000855FC">
      <w:pPr>
        <w:rPr>
          <w:u w:val="single"/>
          <w:lang w:eastAsia="en-AU"/>
        </w:rPr>
      </w:pPr>
      <w:r w:rsidRPr="000855FC">
        <w:rPr>
          <w:u w:val="single"/>
          <w:lang w:eastAsia="en-AU"/>
        </w:rPr>
        <w:t xml:space="preserve">Section 3 – Authority  </w:t>
      </w:r>
    </w:p>
    <w:p w14:paraId="292D7CFB" w14:textId="77777777" w:rsidR="000855FC" w:rsidRPr="000855FC" w:rsidRDefault="000855FC" w:rsidP="000855FC">
      <w:pPr>
        <w:rPr>
          <w:sz w:val="16"/>
          <w:szCs w:val="16"/>
          <w:lang w:eastAsia="en-AU"/>
        </w:rPr>
      </w:pPr>
    </w:p>
    <w:p w14:paraId="5120655A" w14:textId="77777777" w:rsidR="000855FC" w:rsidRPr="000855FC" w:rsidRDefault="000855FC" w:rsidP="000855FC">
      <w:pPr>
        <w:ind w:right="-483"/>
        <w:rPr>
          <w:lang w:eastAsia="en-AU"/>
        </w:rPr>
      </w:pPr>
      <w:r w:rsidRPr="000855FC">
        <w:rPr>
          <w:szCs w:val="20"/>
          <w:lang w:eastAsia="en-AU"/>
        </w:rPr>
        <w:t>This section provide</w:t>
      </w:r>
      <w:r>
        <w:rPr>
          <w:szCs w:val="20"/>
          <w:lang w:eastAsia="en-AU"/>
        </w:rPr>
        <w:t>s</w:t>
      </w:r>
      <w:r w:rsidRPr="000855FC">
        <w:rPr>
          <w:szCs w:val="20"/>
          <w:lang w:eastAsia="en-AU"/>
        </w:rPr>
        <w:t xml:space="preserve"> that the Regulations </w:t>
      </w:r>
      <w:r>
        <w:rPr>
          <w:szCs w:val="20"/>
          <w:lang w:eastAsia="en-AU"/>
        </w:rPr>
        <w:t>are</w:t>
      </w:r>
      <w:r w:rsidRPr="000855FC">
        <w:rPr>
          <w:szCs w:val="20"/>
          <w:lang w:eastAsia="en-AU"/>
        </w:rPr>
        <w:t xml:space="preserve"> made under the </w:t>
      </w:r>
      <w:r w:rsidRPr="000855FC">
        <w:rPr>
          <w:i/>
          <w:szCs w:val="20"/>
          <w:lang w:eastAsia="en-AU"/>
        </w:rPr>
        <w:t>Health Insurance Act 1973</w:t>
      </w:r>
      <w:r w:rsidRPr="000855FC">
        <w:rPr>
          <w:lang w:eastAsia="en-AU"/>
        </w:rPr>
        <w:t>.</w:t>
      </w:r>
    </w:p>
    <w:p w14:paraId="62DD0210" w14:textId="77777777" w:rsidR="000855FC" w:rsidRPr="000855FC" w:rsidRDefault="000855FC" w:rsidP="000855FC">
      <w:pPr>
        <w:tabs>
          <w:tab w:val="num" w:pos="1080"/>
        </w:tabs>
        <w:rPr>
          <w:highlight w:val="yellow"/>
          <w:lang w:eastAsia="en-AU"/>
        </w:rPr>
      </w:pPr>
    </w:p>
    <w:p w14:paraId="53A50DE2" w14:textId="1E82E4F7" w:rsidR="000855FC" w:rsidRPr="000855FC" w:rsidRDefault="000855FC" w:rsidP="000855FC">
      <w:pPr>
        <w:tabs>
          <w:tab w:val="num" w:pos="1080"/>
        </w:tabs>
        <w:rPr>
          <w:u w:val="single"/>
          <w:lang w:eastAsia="en-AU"/>
        </w:rPr>
      </w:pPr>
      <w:r w:rsidRPr="000855FC">
        <w:rPr>
          <w:u w:val="single"/>
          <w:lang w:eastAsia="en-AU"/>
        </w:rPr>
        <w:t xml:space="preserve">Section </w:t>
      </w:r>
      <w:r w:rsidR="00C3673D">
        <w:rPr>
          <w:u w:val="single"/>
          <w:lang w:eastAsia="en-AU"/>
        </w:rPr>
        <w:t>4</w:t>
      </w:r>
      <w:r w:rsidRPr="000855FC">
        <w:rPr>
          <w:u w:val="single"/>
          <w:lang w:eastAsia="en-AU"/>
        </w:rPr>
        <w:t xml:space="preserve"> – </w:t>
      </w:r>
      <w:r w:rsidR="00E359FE">
        <w:rPr>
          <w:u w:val="single"/>
          <w:lang w:eastAsia="en-AU"/>
        </w:rPr>
        <w:t>Schedules</w:t>
      </w:r>
    </w:p>
    <w:p w14:paraId="7E126A6B" w14:textId="77777777" w:rsidR="000855FC" w:rsidRPr="00E251ED" w:rsidRDefault="000855FC" w:rsidP="000855FC">
      <w:pPr>
        <w:tabs>
          <w:tab w:val="num" w:pos="1080"/>
        </w:tabs>
        <w:rPr>
          <w:lang w:eastAsia="en-AU"/>
        </w:rPr>
      </w:pPr>
    </w:p>
    <w:p w14:paraId="5863C08D" w14:textId="77777777" w:rsidR="00E359FE" w:rsidRPr="00E359FE" w:rsidRDefault="00E359FE" w:rsidP="00E359FE">
      <w:pPr>
        <w:ind w:right="-483"/>
        <w:rPr>
          <w:szCs w:val="20"/>
          <w:lang w:eastAsia="en-AU"/>
        </w:rPr>
      </w:pPr>
      <w:r w:rsidRPr="00E359FE">
        <w:rPr>
          <w:szCs w:val="20"/>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6E922AAE" w14:textId="77777777" w:rsidR="000855FC" w:rsidRPr="000855FC" w:rsidRDefault="000855FC" w:rsidP="000855FC">
      <w:pPr>
        <w:tabs>
          <w:tab w:val="num" w:pos="1080"/>
        </w:tabs>
        <w:rPr>
          <w:lang w:eastAsia="en-AU"/>
        </w:rPr>
      </w:pPr>
    </w:p>
    <w:p w14:paraId="30120BBE" w14:textId="13005F2A" w:rsidR="008F38BA" w:rsidRDefault="008F38BA" w:rsidP="008F38BA">
      <w:pPr>
        <w:tabs>
          <w:tab w:val="num" w:pos="2289"/>
        </w:tabs>
        <w:rPr>
          <w:u w:val="single"/>
          <w:lang w:val="en-US"/>
        </w:rPr>
      </w:pPr>
      <w:r w:rsidRPr="00016DAD">
        <w:rPr>
          <w:u w:val="single"/>
          <w:lang w:val="en-US"/>
        </w:rPr>
        <w:t xml:space="preserve">Schedule 1 – </w:t>
      </w:r>
      <w:r w:rsidR="00E359FE">
        <w:rPr>
          <w:u w:val="single"/>
          <w:lang w:val="en-US"/>
        </w:rPr>
        <w:t>Amendments</w:t>
      </w:r>
    </w:p>
    <w:p w14:paraId="104F797F" w14:textId="795B28B0" w:rsidR="00E359FE" w:rsidRDefault="00E359FE" w:rsidP="008F38BA">
      <w:pPr>
        <w:tabs>
          <w:tab w:val="num" w:pos="2289"/>
        </w:tabs>
        <w:rPr>
          <w:u w:val="single"/>
          <w:lang w:val="en-US"/>
        </w:rPr>
      </w:pPr>
    </w:p>
    <w:p w14:paraId="3934ECA3" w14:textId="1AD23104" w:rsidR="00E359FE" w:rsidRPr="00836BA2" w:rsidRDefault="00836BA2" w:rsidP="008F38BA">
      <w:pPr>
        <w:tabs>
          <w:tab w:val="num" w:pos="2289"/>
        </w:tabs>
        <w:rPr>
          <w:b/>
          <w:i/>
          <w:lang w:val="en-US"/>
        </w:rPr>
      </w:pPr>
      <w:r w:rsidRPr="00836BA2">
        <w:rPr>
          <w:b/>
          <w:i/>
          <w:lang w:val="en-US"/>
        </w:rPr>
        <w:t>Health Insurance (General Medical Services Table) Regulations 2019</w:t>
      </w:r>
    </w:p>
    <w:p w14:paraId="1D88ABDC" w14:textId="1B93B562" w:rsidR="00E359FE" w:rsidRDefault="00E359FE" w:rsidP="008F38BA">
      <w:pPr>
        <w:tabs>
          <w:tab w:val="num" w:pos="2289"/>
        </w:tabs>
        <w:rPr>
          <w:u w:val="single"/>
          <w:lang w:val="en-US"/>
        </w:rPr>
      </w:pPr>
    </w:p>
    <w:p w14:paraId="73357D11" w14:textId="32BE41CF" w:rsidR="001F2167" w:rsidRPr="00706990" w:rsidRDefault="001F2167" w:rsidP="008F38BA">
      <w:pPr>
        <w:tabs>
          <w:tab w:val="num" w:pos="2289"/>
        </w:tabs>
        <w:rPr>
          <w:b/>
          <w:lang w:val="en-US"/>
        </w:rPr>
      </w:pPr>
      <w:r w:rsidRPr="00706990">
        <w:rPr>
          <w:b/>
          <w:lang w:eastAsia="en-AU"/>
        </w:rPr>
        <w:t>Amendments 1 to 4</w:t>
      </w:r>
    </w:p>
    <w:p w14:paraId="62A89BAF" w14:textId="494A9A5B" w:rsidR="00E359FE" w:rsidRDefault="001F2167" w:rsidP="001F2167">
      <w:pPr>
        <w:tabs>
          <w:tab w:val="num" w:pos="2289"/>
        </w:tabs>
        <w:rPr>
          <w:lang w:val="en-US"/>
        </w:rPr>
      </w:pPr>
      <w:r>
        <w:rPr>
          <w:lang w:val="en-US"/>
        </w:rPr>
        <w:t xml:space="preserve">These amendments </w:t>
      </w:r>
      <w:r w:rsidR="00FF494F">
        <w:rPr>
          <w:lang w:val="en-US"/>
        </w:rPr>
        <w:t xml:space="preserve">index </w:t>
      </w:r>
      <w:r w:rsidR="00FF494F" w:rsidRPr="00FF494F">
        <w:rPr>
          <w:lang w:val="en-US"/>
        </w:rPr>
        <w:t>the fees of 8</w:t>
      </w:r>
      <w:r w:rsidR="005D6753">
        <w:rPr>
          <w:lang w:val="en-US"/>
        </w:rPr>
        <w:t>9</w:t>
      </w:r>
      <w:r w:rsidR="00FF494F" w:rsidRPr="00FF494F">
        <w:rPr>
          <w:lang w:val="en-US"/>
        </w:rPr>
        <w:t xml:space="preserve"> MBS items provided by GPs, including health assessments, chronic disease management and mental health services.</w:t>
      </w:r>
    </w:p>
    <w:p w14:paraId="0BC4006B" w14:textId="77777777" w:rsidR="008E7715" w:rsidRDefault="008E7715" w:rsidP="008E7715">
      <w:pPr>
        <w:tabs>
          <w:tab w:val="num" w:pos="2289"/>
        </w:tabs>
        <w:rPr>
          <w:lang w:val="en-US"/>
        </w:rPr>
      </w:pPr>
    </w:p>
    <w:p w14:paraId="2B549C4B" w14:textId="06B2F3FA" w:rsidR="008E7715" w:rsidRPr="00B4026C" w:rsidRDefault="00E85C0E" w:rsidP="008E7715">
      <w:pPr>
        <w:tabs>
          <w:tab w:val="num" w:pos="2289"/>
        </w:tabs>
        <w:rPr>
          <w:lang w:eastAsia="en-AU"/>
        </w:rPr>
      </w:pPr>
      <w:r w:rsidRPr="00B4026C">
        <w:rPr>
          <w:lang w:eastAsia="en-AU"/>
        </w:rPr>
        <w:t>The changes in a</w:t>
      </w:r>
      <w:r w:rsidR="008E7715" w:rsidRPr="00B4026C">
        <w:rPr>
          <w:lang w:eastAsia="en-AU"/>
        </w:rPr>
        <w:t xml:space="preserve">mendments 1 to 3 </w:t>
      </w:r>
      <w:r w:rsidRPr="00B4026C">
        <w:rPr>
          <w:lang w:eastAsia="en-AU"/>
        </w:rPr>
        <w:t xml:space="preserve">will </w:t>
      </w:r>
      <w:r w:rsidR="008E7715" w:rsidRPr="00B4026C">
        <w:rPr>
          <w:lang w:eastAsia="en-AU"/>
        </w:rPr>
        <w:t>index ‘ready reckoner’ items. These items have a derived fee calculated on a nominal amount plus a modifier. The modifier must be divided or multiplied (6 or fewer patients is divided, 7 or more patients is multiplied) by the number of patients seen by the medical practitioner. To apply indexation to these items, the two distinct modifiers must be indexed. The</w:t>
      </w:r>
      <w:r w:rsidRPr="00B4026C">
        <w:rPr>
          <w:lang w:eastAsia="en-AU"/>
        </w:rPr>
        <w:t>se amendments</w:t>
      </w:r>
      <w:r w:rsidR="008E7715" w:rsidRPr="00B4026C">
        <w:rPr>
          <w:lang w:eastAsia="en-AU"/>
        </w:rPr>
        <w:t xml:space="preserve"> </w:t>
      </w:r>
      <w:r w:rsidRPr="00B4026C">
        <w:rPr>
          <w:lang w:eastAsia="en-AU"/>
        </w:rPr>
        <w:t xml:space="preserve">will </w:t>
      </w:r>
      <w:r w:rsidR="00503B58" w:rsidRPr="00B4026C">
        <w:rPr>
          <w:lang w:eastAsia="en-AU"/>
        </w:rPr>
        <w:t>apply</w:t>
      </w:r>
      <w:r w:rsidR="008E7715" w:rsidRPr="00B4026C">
        <w:rPr>
          <w:lang w:eastAsia="en-AU"/>
        </w:rPr>
        <w:t xml:space="preserve"> </w:t>
      </w:r>
      <w:r w:rsidR="00503B58" w:rsidRPr="00B4026C">
        <w:rPr>
          <w:lang w:eastAsia="en-AU"/>
        </w:rPr>
        <w:t>indexation to these items by amending the</w:t>
      </w:r>
      <w:r w:rsidR="008E7715" w:rsidRPr="00B4026C">
        <w:rPr>
          <w:lang w:eastAsia="en-AU"/>
        </w:rPr>
        <w:t xml:space="preserve"> individual modifiers in separate line items. For example, the first two rows in the table of amendment 1 apply indexation for a single item</w:t>
      </w:r>
      <w:r w:rsidR="00503B58" w:rsidRPr="00B4026C">
        <w:rPr>
          <w:lang w:eastAsia="en-AU"/>
        </w:rPr>
        <w:t xml:space="preserve"> (item 195)</w:t>
      </w:r>
      <w:r w:rsidR="008E7715" w:rsidRPr="00B4026C">
        <w:rPr>
          <w:lang w:eastAsia="en-AU"/>
        </w:rPr>
        <w:t>.</w:t>
      </w:r>
    </w:p>
    <w:p w14:paraId="318FE5E2" w14:textId="7859D8FA" w:rsidR="001F2167" w:rsidRPr="00B4026C" w:rsidRDefault="001F2167" w:rsidP="001F2167">
      <w:pPr>
        <w:tabs>
          <w:tab w:val="num" w:pos="2289"/>
        </w:tabs>
        <w:rPr>
          <w:lang w:val="en-US"/>
        </w:rPr>
      </w:pPr>
    </w:p>
    <w:p w14:paraId="29E5E9A1" w14:textId="729B4048" w:rsidR="001F2167" w:rsidRPr="00706990" w:rsidRDefault="001F2167" w:rsidP="001F2167">
      <w:pPr>
        <w:tabs>
          <w:tab w:val="num" w:pos="2289"/>
        </w:tabs>
        <w:rPr>
          <w:b/>
          <w:lang w:val="en-US"/>
        </w:rPr>
      </w:pPr>
      <w:r w:rsidRPr="00706990">
        <w:rPr>
          <w:b/>
          <w:lang w:val="en-US"/>
        </w:rPr>
        <w:t>Amendments 5 and 6</w:t>
      </w:r>
    </w:p>
    <w:p w14:paraId="3A872F2B" w14:textId="5BDD64D2" w:rsidR="00DD0101" w:rsidRPr="00DD0101" w:rsidRDefault="00DD0101" w:rsidP="00DD0101">
      <w:pPr>
        <w:rPr>
          <w:i/>
        </w:rPr>
      </w:pPr>
      <w:r w:rsidRPr="00DD0101">
        <w:t xml:space="preserve">Items 51300 and 51303 provide a Medicare benefit where a second medical practitioner provides assistance at an eligible operation. The relevant assistance item to claim depends on the fee for the operation. </w:t>
      </w:r>
      <w:r>
        <w:t>A</w:t>
      </w:r>
      <w:r w:rsidRPr="00DD0101">
        <w:t xml:space="preserve">mendment five would index this amount in the descriptors of items 51300 and 51303 to keep the value comparative to the fees for operations in Group T8, which </w:t>
      </w:r>
      <w:r w:rsidR="009F79BB">
        <w:t xml:space="preserve">will be indexed from 1 July 2019 </w:t>
      </w:r>
      <w:r w:rsidR="009D0B0B">
        <w:t>by</w:t>
      </w:r>
      <w:r w:rsidRPr="00DD0101">
        <w:t xml:space="preserve"> the </w:t>
      </w:r>
      <w:r w:rsidRPr="00DD0101">
        <w:rPr>
          <w:i/>
        </w:rPr>
        <w:t>Health Insurance (General Medical Services Table) Regulations 2019.</w:t>
      </w:r>
    </w:p>
    <w:p w14:paraId="6F29540B" w14:textId="77777777" w:rsidR="00DD0101" w:rsidRPr="00DD0101" w:rsidRDefault="00DD0101" w:rsidP="00DD0101">
      <w:pPr>
        <w:rPr>
          <w:i/>
        </w:rPr>
      </w:pPr>
    </w:p>
    <w:p w14:paraId="1F8A1885" w14:textId="2311EE38" w:rsidR="00DD0101" w:rsidRPr="00DD0101" w:rsidRDefault="00DD0101" w:rsidP="00DD0101">
      <w:r w:rsidRPr="00DD0101">
        <w:t xml:space="preserve">Items 51800 and 51803 provide a Medicare benefit where an approved dental practitioner in the practice of oral and maxillofacial surgery provides assistance at an eligible operation. The relevant assistance item to claim depends on the fee for the operation. </w:t>
      </w:r>
      <w:r>
        <w:t>A</w:t>
      </w:r>
      <w:r w:rsidRPr="00DD0101">
        <w:t xml:space="preserve">mendment six would index this amount in the descriptors of items 51800 </w:t>
      </w:r>
      <w:r w:rsidRPr="00DD0101">
        <w:lastRenderedPageBreak/>
        <w:t xml:space="preserve">and 51803 to keep the value comparative to the fees for oral and maxillofacial </w:t>
      </w:r>
      <w:r w:rsidR="009D0B0B">
        <w:t>operations</w:t>
      </w:r>
      <w:r w:rsidRPr="00DD0101">
        <w:t xml:space="preserve"> in Groups O3 to O9, which </w:t>
      </w:r>
      <w:r w:rsidR="009F79BB">
        <w:t xml:space="preserve">will be indexed from 1 July 2019 </w:t>
      </w:r>
      <w:r w:rsidR="009D0B0B">
        <w:t>by</w:t>
      </w:r>
      <w:r w:rsidRPr="00DD0101">
        <w:t xml:space="preserve"> the </w:t>
      </w:r>
      <w:r w:rsidRPr="00DD0101">
        <w:rPr>
          <w:i/>
        </w:rPr>
        <w:t>Health Insurance (General Medical Services Table) Regulations 2019</w:t>
      </w:r>
      <w:r w:rsidRPr="00DD0101">
        <w:t xml:space="preserve">. </w:t>
      </w:r>
    </w:p>
    <w:p w14:paraId="578AEFCC" w14:textId="77777777" w:rsidR="00725EA3" w:rsidRDefault="00706990">
      <w:pPr>
        <w:rPr>
          <w:b/>
          <w:sz w:val="28"/>
          <w:szCs w:val="28"/>
          <w:lang w:eastAsia="en-AU"/>
        </w:rPr>
        <w:sectPr w:rsidR="00725EA3" w:rsidSect="00261A62">
          <w:pgSz w:w="11906" w:h="16838"/>
          <w:pgMar w:top="1440" w:right="1800" w:bottom="993" w:left="1800" w:header="708" w:footer="708" w:gutter="0"/>
          <w:pgNumType w:start="1"/>
          <w:cols w:space="708"/>
          <w:docGrid w:linePitch="360"/>
        </w:sectPr>
      </w:pPr>
      <w:r>
        <w:rPr>
          <w:b/>
          <w:sz w:val="28"/>
          <w:szCs w:val="28"/>
          <w:lang w:eastAsia="en-AU"/>
        </w:rPr>
        <w:br w:type="page"/>
      </w:r>
    </w:p>
    <w:p w14:paraId="54244B82" w14:textId="69FAF86A" w:rsidR="00261A62" w:rsidRPr="006807AA" w:rsidRDefault="00261A62" w:rsidP="00AA0B23">
      <w:pPr>
        <w:spacing w:before="120" w:after="120"/>
        <w:jc w:val="center"/>
        <w:rPr>
          <w:b/>
          <w:sz w:val="28"/>
          <w:szCs w:val="28"/>
          <w:lang w:eastAsia="en-AU"/>
        </w:rPr>
      </w:pPr>
      <w:r w:rsidRPr="006807AA">
        <w:rPr>
          <w:b/>
          <w:sz w:val="28"/>
          <w:szCs w:val="28"/>
          <w:lang w:eastAsia="en-AU"/>
        </w:rPr>
        <w:lastRenderedPageBreak/>
        <w:t>Statement of Compatibility with Human Rights</w:t>
      </w:r>
    </w:p>
    <w:p w14:paraId="0F71998A" w14:textId="77777777" w:rsidR="00261A62" w:rsidRPr="006807AA" w:rsidRDefault="00261A62" w:rsidP="00261A62">
      <w:pPr>
        <w:spacing w:before="120" w:after="120"/>
        <w:jc w:val="center"/>
        <w:rPr>
          <w:lang w:eastAsia="en-AU"/>
        </w:rPr>
      </w:pPr>
      <w:r w:rsidRPr="006807AA">
        <w:rPr>
          <w:i/>
          <w:lang w:eastAsia="en-AU"/>
        </w:rPr>
        <w:t>Prepared in accordance with Part 3 of the Human Rights (Parliamentary Scrutiny) Act 2011</w:t>
      </w:r>
    </w:p>
    <w:p w14:paraId="2793DB62" w14:textId="77777777" w:rsidR="00AF62E2" w:rsidRPr="00AF62E2" w:rsidRDefault="00AF62E2" w:rsidP="00556E98">
      <w:pPr>
        <w:jc w:val="center"/>
        <w:rPr>
          <w:b/>
          <w:i/>
          <w:lang w:eastAsia="en-AU"/>
        </w:rPr>
      </w:pPr>
      <w:r w:rsidRPr="00AF62E2">
        <w:rPr>
          <w:b/>
          <w:i/>
          <w:lang w:eastAsia="en-AU"/>
        </w:rPr>
        <w:t>Health Insurance (General Medical Services Table) Amendment (Indexation) Regulations 2019</w:t>
      </w:r>
    </w:p>
    <w:p w14:paraId="10158D3E" w14:textId="77777777" w:rsidR="00261A62" w:rsidRPr="006807AA" w:rsidRDefault="00261A62" w:rsidP="00261A62">
      <w:pPr>
        <w:tabs>
          <w:tab w:val="left" w:pos="1418"/>
        </w:tabs>
        <w:ind w:left="851"/>
        <w:jc w:val="center"/>
        <w:rPr>
          <w:b/>
          <w:i/>
          <w:lang w:eastAsia="en-AU"/>
        </w:rPr>
      </w:pPr>
    </w:p>
    <w:p w14:paraId="25D846BC" w14:textId="77777777" w:rsidR="00261A62" w:rsidRPr="006807AA" w:rsidRDefault="00261A62" w:rsidP="00261A62">
      <w:pPr>
        <w:jc w:val="center"/>
        <w:rPr>
          <w:lang w:eastAsia="en-AU"/>
        </w:rPr>
      </w:pPr>
      <w:r w:rsidRPr="006807AA">
        <w:rPr>
          <w:lang w:eastAsia="en-AU"/>
        </w:rPr>
        <w:t xml:space="preserve">This Regulation is compatible with the human rights and freedoms recognised or declared in the international instruments listed in section 3 of the </w:t>
      </w:r>
      <w:r w:rsidRPr="006807AA">
        <w:rPr>
          <w:i/>
          <w:lang w:eastAsia="en-AU"/>
        </w:rPr>
        <w:t>Human Rights (Parliamentary Scrutiny) Act 2011</w:t>
      </w:r>
      <w:r w:rsidRPr="006807AA">
        <w:rPr>
          <w:lang w:eastAsia="en-AU"/>
        </w:rPr>
        <w:t>.</w:t>
      </w:r>
    </w:p>
    <w:p w14:paraId="751E7183" w14:textId="77777777" w:rsidR="00261A62" w:rsidRPr="00AE205D" w:rsidRDefault="00261A62" w:rsidP="00261A62">
      <w:pPr>
        <w:jc w:val="center"/>
        <w:rPr>
          <w:highlight w:val="yellow"/>
          <w:lang w:eastAsia="en-AU"/>
        </w:rPr>
      </w:pPr>
    </w:p>
    <w:p w14:paraId="2BF598EA" w14:textId="5AC901BC" w:rsidR="00261A62" w:rsidRPr="00865BE4" w:rsidRDefault="00261A62" w:rsidP="00AF62E2">
      <w:pPr>
        <w:spacing w:after="120"/>
        <w:ind w:right="-482"/>
        <w:rPr>
          <w:b/>
          <w:lang w:eastAsia="en-AU"/>
        </w:rPr>
      </w:pPr>
      <w:r w:rsidRPr="00865BE4">
        <w:rPr>
          <w:b/>
          <w:lang w:eastAsia="en-AU"/>
        </w:rPr>
        <w:t xml:space="preserve">Overview of the </w:t>
      </w:r>
      <w:r w:rsidR="00AF62E2">
        <w:rPr>
          <w:b/>
          <w:lang w:eastAsia="en-AU"/>
        </w:rPr>
        <w:t>Regulations</w:t>
      </w:r>
    </w:p>
    <w:p w14:paraId="6E7AFF93" w14:textId="77777777" w:rsidR="009D0B0B" w:rsidRDefault="009D0B0B" w:rsidP="009D0B0B">
      <w:r w:rsidRPr="00331352">
        <w:t xml:space="preserve">The purpose of the </w:t>
      </w:r>
      <w:r w:rsidRPr="00331352">
        <w:rPr>
          <w:i/>
        </w:rPr>
        <w:t xml:space="preserve">Health Insurance (General Medical Services Table) Amendment (Indexation) Regulations 2019 </w:t>
      </w:r>
      <w:r w:rsidRPr="00331352">
        <w:t xml:space="preserve">(the Regulations) is to </w:t>
      </w:r>
      <w:r>
        <w:t xml:space="preserve">amend the </w:t>
      </w:r>
      <w:r w:rsidRPr="00D47D2F">
        <w:rPr>
          <w:i/>
        </w:rPr>
        <w:t>Health Insurance (General Medical Services Table) Regulations 2019</w:t>
      </w:r>
      <w:r w:rsidRPr="00193377">
        <w:t xml:space="preserve"> to</w:t>
      </w:r>
      <w:r>
        <w:t xml:space="preserve"> </w:t>
      </w:r>
      <w:r w:rsidRPr="00331352">
        <w:t xml:space="preserve">increase the </w:t>
      </w:r>
      <w:r>
        <w:t xml:space="preserve">schedule </w:t>
      </w:r>
      <w:r w:rsidRPr="00331352">
        <w:t xml:space="preserve">fees of </w:t>
      </w:r>
      <w:r>
        <w:t xml:space="preserve">89 general practitioner (GP) items </w:t>
      </w:r>
      <w:r w:rsidRPr="00331352">
        <w:t xml:space="preserve">from 1 July 2019. These </w:t>
      </w:r>
      <w:r>
        <w:t>items</w:t>
      </w:r>
      <w:r w:rsidRPr="00331352">
        <w:t xml:space="preserve"> include health assessments, chronic disease management plans and mental health services provided by GPs</w:t>
      </w:r>
      <w:r>
        <w:t>.</w:t>
      </w:r>
    </w:p>
    <w:p w14:paraId="646CA246" w14:textId="41D8B0F2" w:rsidR="00D24D87" w:rsidRPr="006D4345" w:rsidRDefault="00D24D87" w:rsidP="00D24D87">
      <w:pPr>
        <w:rPr>
          <w:lang w:eastAsia="en-AU"/>
        </w:rPr>
      </w:pPr>
    </w:p>
    <w:p w14:paraId="63142C3F" w14:textId="06217778" w:rsidR="00261A62" w:rsidRPr="00865BE4" w:rsidRDefault="00261A62" w:rsidP="00556E98">
      <w:pPr>
        <w:spacing w:after="120"/>
        <w:rPr>
          <w:b/>
          <w:lang w:eastAsia="en-AU"/>
        </w:rPr>
      </w:pPr>
      <w:r w:rsidRPr="00AF62E2">
        <w:rPr>
          <w:b/>
          <w:iCs/>
          <w:szCs w:val="20"/>
          <w:lang w:eastAsia="en-AU"/>
        </w:rPr>
        <w:t>Human</w:t>
      </w:r>
      <w:r w:rsidRPr="00865BE4">
        <w:rPr>
          <w:b/>
          <w:lang w:eastAsia="en-AU"/>
        </w:rPr>
        <w:t xml:space="preserve"> rights implications</w:t>
      </w:r>
    </w:p>
    <w:p w14:paraId="17F257E3" w14:textId="77777777" w:rsidR="00261A62" w:rsidRPr="00865BE4" w:rsidRDefault="00261A62" w:rsidP="00AF62E2">
      <w:pPr>
        <w:spacing w:after="120"/>
        <w:ind w:right="-483"/>
        <w:rPr>
          <w:lang w:eastAsia="en-AU"/>
        </w:rPr>
      </w:pPr>
      <w:r w:rsidRPr="00865BE4">
        <w:rPr>
          <w:lang w:eastAsia="en-AU"/>
        </w:rPr>
        <w:t xml:space="preserve">The Regulations engage Articles 9 and 12 of the International Covenant on Economic Social and Cultural Rights (ICESCR), specifically the rights to health and social security. </w:t>
      </w:r>
    </w:p>
    <w:p w14:paraId="472261A0" w14:textId="77777777" w:rsidR="00261A62" w:rsidRPr="00865BE4" w:rsidRDefault="00261A62" w:rsidP="00261A62">
      <w:pPr>
        <w:spacing w:before="120" w:after="120"/>
        <w:rPr>
          <w:i/>
          <w:lang w:eastAsia="en-AU"/>
        </w:rPr>
      </w:pPr>
      <w:r w:rsidRPr="00865BE4">
        <w:rPr>
          <w:i/>
          <w:lang w:eastAsia="en-AU"/>
        </w:rPr>
        <w:t>The Right to Health</w:t>
      </w:r>
    </w:p>
    <w:p w14:paraId="0D081FE1" w14:textId="77777777" w:rsidR="00261A62" w:rsidRPr="00865BE4" w:rsidRDefault="00261A62" w:rsidP="00261A62">
      <w:pPr>
        <w:spacing w:before="120" w:after="120"/>
        <w:rPr>
          <w:lang w:eastAsia="en-AU"/>
        </w:rPr>
      </w:pPr>
      <w:r w:rsidRPr="00865BE4">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BBBABAC" w14:textId="77777777" w:rsidR="00261A62" w:rsidRPr="00865BE4" w:rsidRDefault="00261A62" w:rsidP="00261A62">
      <w:pPr>
        <w:spacing w:before="120" w:after="120"/>
        <w:rPr>
          <w:lang w:eastAsia="en-AU"/>
        </w:rPr>
      </w:pPr>
      <w:r w:rsidRPr="00865BE4">
        <w:rPr>
          <w:lang w:eastAsia="en-AU"/>
        </w:rPr>
        <w:t xml:space="preserve">The Committee reports that the </w:t>
      </w:r>
      <w:r w:rsidRPr="00865BE4">
        <w:rPr>
          <w:i/>
          <w:lang w:eastAsia="en-AU"/>
        </w:rPr>
        <w:t>‘highest attainable standard of health’</w:t>
      </w:r>
      <w:r w:rsidRPr="00865BE4">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39B58A0D" w14:textId="77777777" w:rsidR="00261A62" w:rsidRPr="00865BE4" w:rsidRDefault="00261A62" w:rsidP="00261A62">
      <w:pPr>
        <w:spacing w:before="120" w:after="120"/>
        <w:rPr>
          <w:i/>
          <w:lang w:eastAsia="en-AU"/>
        </w:rPr>
      </w:pPr>
      <w:r w:rsidRPr="00865BE4">
        <w:rPr>
          <w:i/>
          <w:lang w:eastAsia="en-AU"/>
        </w:rPr>
        <w:t xml:space="preserve">The Right to Social Security </w:t>
      </w:r>
    </w:p>
    <w:p w14:paraId="047DE0C7" w14:textId="77777777" w:rsidR="00261A62" w:rsidRPr="00865BE4" w:rsidRDefault="00261A62" w:rsidP="00261A62">
      <w:pPr>
        <w:spacing w:before="120" w:after="120"/>
        <w:rPr>
          <w:lang w:eastAsia="en-AU"/>
        </w:rPr>
      </w:pPr>
      <w:r w:rsidRPr="00865BE4">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C24F3C7" w14:textId="77777777" w:rsidR="00261A62" w:rsidRPr="00865BE4" w:rsidRDefault="00261A62" w:rsidP="00261A62">
      <w:pPr>
        <w:spacing w:before="120" w:after="120"/>
        <w:rPr>
          <w:lang w:eastAsia="en-AU"/>
        </w:rPr>
      </w:pPr>
      <w:r w:rsidRPr="00865BE4">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0A9100D" w14:textId="77777777" w:rsidR="00261A62" w:rsidRPr="00865BE4" w:rsidRDefault="00261A62" w:rsidP="00261A62">
      <w:pPr>
        <w:rPr>
          <w:lang w:eastAsia="en-AU"/>
        </w:rPr>
      </w:pPr>
      <w:r w:rsidRPr="00865BE4">
        <w:rPr>
          <w:u w:val="single"/>
          <w:lang w:eastAsia="en-AU"/>
        </w:rPr>
        <w:t xml:space="preserve">Analysis </w:t>
      </w:r>
    </w:p>
    <w:p w14:paraId="50D9BF2E" w14:textId="58C20071" w:rsidR="00261A62" w:rsidRDefault="00261A62" w:rsidP="00261A62">
      <w:pPr>
        <w:spacing w:before="120" w:after="120"/>
        <w:rPr>
          <w:lang w:eastAsia="en-AU"/>
        </w:rPr>
      </w:pPr>
      <w:r w:rsidRPr="00865BE4">
        <w:rPr>
          <w:szCs w:val="20"/>
          <w:lang w:eastAsia="en-AU"/>
        </w:rPr>
        <w:t xml:space="preserve">The Regulations maintain rights to health and social security by ensuring </w:t>
      </w:r>
      <w:r w:rsidRPr="00865BE4">
        <w:rPr>
          <w:lang w:eastAsia="en-AU"/>
        </w:rPr>
        <w:t>access to publicly</w:t>
      </w:r>
      <w:r w:rsidR="00725EA3">
        <w:rPr>
          <w:lang w:eastAsia="en-AU"/>
        </w:rPr>
        <w:t>-</w:t>
      </w:r>
      <w:r w:rsidRPr="00865BE4">
        <w:rPr>
          <w:lang w:eastAsia="en-AU"/>
        </w:rPr>
        <w:t xml:space="preserve">subsidised </w:t>
      </w:r>
      <w:r w:rsidR="00E07028">
        <w:rPr>
          <w:lang w:eastAsia="en-AU"/>
        </w:rPr>
        <w:t>general practice</w:t>
      </w:r>
      <w:r w:rsidRPr="00865BE4">
        <w:rPr>
          <w:lang w:eastAsia="en-AU"/>
        </w:rPr>
        <w:t xml:space="preserve"> services which are clinically and cost-effective.</w:t>
      </w:r>
    </w:p>
    <w:p w14:paraId="4C88163C" w14:textId="77777777" w:rsidR="00261A62" w:rsidRPr="00865BE4" w:rsidRDefault="00261A62" w:rsidP="00261A62">
      <w:pPr>
        <w:spacing w:before="120" w:after="120" w:line="276" w:lineRule="auto"/>
        <w:rPr>
          <w:rFonts w:eastAsia="Calibri"/>
          <w:b/>
        </w:rPr>
      </w:pPr>
      <w:r w:rsidRPr="00865BE4">
        <w:rPr>
          <w:rFonts w:eastAsia="Calibri"/>
          <w:b/>
        </w:rPr>
        <w:t xml:space="preserve">Conclusion </w:t>
      </w:r>
    </w:p>
    <w:p w14:paraId="1BC9E36D" w14:textId="77777777" w:rsidR="00261A62" w:rsidRPr="00865BE4" w:rsidRDefault="00261A62" w:rsidP="00261A62">
      <w:pPr>
        <w:spacing w:before="120" w:after="120"/>
        <w:rPr>
          <w:lang w:eastAsia="en-AU"/>
        </w:rPr>
      </w:pPr>
      <w:r w:rsidRPr="00865BE4">
        <w:rPr>
          <w:lang w:eastAsia="en-AU"/>
        </w:rPr>
        <w:t>This instrument is compatible with human rights because it maintains existing arrangements and the protection of human rights.</w:t>
      </w:r>
    </w:p>
    <w:p w14:paraId="2B268818" w14:textId="77777777" w:rsidR="00261A62" w:rsidRPr="00865BE4" w:rsidRDefault="00261A62" w:rsidP="00261A62">
      <w:pPr>
        <w:rPr>
          <w:rFonts w:eastAsia="Calibri"/>
        </w:rPr>
      </w:pPr>
    </w:p>
    <w:p w14:paraId="003FBCBE" w14:textId="53F50632" w:rsidR="00261A62" w:rsidRPr="00A3070B" w:rsidRDefault="00A3070B" w:rsidP="00261A62">
      <w:pPr>
        <w:spacing w:before="120" w:after="120" w:line="276" w:lineRule="auto"/>
        <w:jc w:val="center"/>
        <w:rPr>
          <w:rFonts w:eastAsia="Calibri"/>
          <w:b/>
          <w:bCs/>
        </w:rPr>
      </w:pPr>
      <w:r w:rsidRPr="00A3070B">
        <w:rPr>
          <w:rFonts w:eastAsia="Calibri"/>
          <w:b/>
          <w:bCs/>
        </w:rPr>
        <w:t>Greg Hunt</w:t>
      </w:r>
    </w:p>
    <w:p w14:paraId="043A6A9E" w14:textId="45C5DFEE" w:rsidR="000855FC" w:rsidRPr="000855FC" w:rsidRDefault="00261A62" w:rsidP="00261A62">
      <w:pPr>
        <w:spacing w:before="120" w:after="120" w:line="276" w:lineRule="auto"/>
        <w:jc w:val="center"/>
        <w:rPr>
          <w:b/>
        </w:rPr>
      </w:pPr>
      <w:r w:rsidRPr="00A3070B">
        <w:rPr>
          <w:rFonts w:eastAsia="Calibri"/>
          <w:b/>
          <w:bCs/>
        </w:rPr>
        <w:t>Minister for Health</w:t>
      </w:r>
      <w:r w:rsidRPr="00E17FA1">
        <w:rPr>
          <w:rFonts w:eastAsia="Calibri"/>
          <w:b/>
          <w:bCs/>
        </w:rPr>
        <w:t xml:space="preserve"> </w:t>
      </w:r>
    </w:p>
    <w:sectPr w:rsidR="000855FC" w:rsidRPr="000855FC" w:rsidSect="00261A62">
      <w:pgSz w:w="11906" w:h="16838"/>
      <w:pgMar w:top="1440" w:right="1800" w:bottom="993"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E4CEE" w14:textId="77777777" w:rsidR="00223451" w:rsidRDefault="00223451" w:rsidP="000855FC">
      <w:r>
        <w:separator/>
      </w:r>
    </w:p>
  </w:endnote>
  <w:endnote w:type="continuationSeparator" w:id="0">
    <w:p w14:paraId="7CFA90F7" w14:textId="77777777" w:rsidR="00223451" w:rsidRDefault="00223451" w:rsidP="000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C6EE" w14:textId="77777777" w:rsidR="00223451" w:rsidRDefault="00223451" w:rsidP="000855FC">
      <w:r>
        <w:separator/>
      </w:r>
    </w:p>
  </w:footnote>
  <w:footnote w:type="continuationSeparator" w:id="0">
    <w:p w14:paraId="2C9C2229" w14:textId="77777777" w:rsidR="00223451" w:rsidRDefault="00223451" w:rsidP="0008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01426"/>
      <w:docPartObj>
        <w:docPartGallery w:val="Page Numbers (Top of Page)"/>
        <w:docPartUnique/>
      </w:docPartObj>
    </w:sdtPr>
    <w:sdtEndPr>
      <w:rPr>
        <w:noProof/>
      </w:rPr>
    </w:sdtEndPr>
    <w:sdtContent>
      <w:p w14:paraId="73326817" w14:textId="6DF2C331" w:rsidR="000855FC" w:rsidRDefault="000855FC">
        <w:pPr>
          <w:pStyle w:val="Header"/>
          <w:jc w:val="center"/>
        </w:pPr>
        <w:r>
          <w:fldChar w:fldCharType="begin"/>
        </w:r>
        <w:r>
          <w:instrText xml:space="preserve"> PAGE   \* MERGEFORMAT </w:instrText>
        </w:r>
        <w:r>
          <w:fldChar w:fldCharType="separate"/>
        </w:r>
        <w:r w:rsidR="00F47B43">
          <w:rPr>
            <w:noProof/>
          </w:rPr>
          <w:t>1</w:t>
        </w:r>
        <w:r>
          <w:rPr>
            <w:noProof/>
          </w:rPr>
          <w:fldChar w:fldCharType="end"/>
        </w:r>
      </w:p>
    </w:sdtContent>
  </w:sdt>
  <w:p w14:paraId="6FD02833" w14:textId="77777777" w:rsidR="000855FC" w:rsidRDefault="00085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2000"/>
    <w:multiLevelType w:val="hybridMultilevel"/>
    <w:tmpl w:val="A2FE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DF1329"/>
    <w:multiLevelType w:val="hybridMultilevel"/>
    <w:tmpl w:val="A6E2AD06"/>
    <w:lvl w:ilvl="0" w:tplc="82A6862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1F049E"/>
    <w:multiLevelType w:val="hybridMultilevel"/>
    <w:tmpl w:val="8F90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FC"/>
    <w:rsid w:val="00003743"/>
    <w:rsid w:val="00010849"/>
    <w:rsid w:val="00012BC0"/>
    <w:rsid w:val="00031FD8"/>
    <w:rsid w:val="0003228D"/>
    <w:rsid w:val="00033681"/>
    <w:rsid w:val="00034234"/>
    <w:rsid w:val="000356FB"/>
    <w:rsid w:val="00044F99"/>
    <w:rsid w:val="00050373"/>
    <w:rsid w:val="00065031"/>
    <w:rsid w:val="0006587A"/>
    <w:rsid w:val="00067456"/>
    <w:rsid w:val="00083D2D"/>
    <w:rsid w:val="000855FC"/>
    <w:rsid w:val="000977BC"/>
    <w:rsid w:val="000A3F79"/>
    <w:rsid w:val="000B52B3"/>
    <w:rsid w:val="000B555A"/>
    <w:rsid w:val="000C6A22"/>
    <w:rsid w:val="00100524"/>
    <w:rsid w:val="001055DD"/>
    <w:rsid w:val="00110452"/>
    <w:rsid w:val="001300F6"/>
    <w:rsid w:val="001331BD"/>
    <w:rsid w:val="00135A8C"/>
    <w:rsid w:val="00140DEA"/>
    <w:rsid w:val="0017672B"/>
    <w:rsid w:val="00196CBE"/>
    <w:rsid w:val="001B0FA5"/>
    <w:rsid w:val="001B3443"/>
    <w:rsid w:val="001B45E6"/>
    <w:rsid w:val="001D4738"/>
    <w:rsid w:val="001F2167"/>
    <w:rsid w:val="00207867"/>
    <w:rsid w:val="00223451"/>
    <w:rsid w:val="002363BF"/>
    <w:rsid w:val="00255E6A"/>
    <w:rsid w:val="00261A62"/>
    <w:rsid w:val="002803B1"/>
    <w:rsid w:val="00281959"/>
    <w:rsid w:val="0029018C"/>
    <w:rsid w:val="002B1708"/>
    <w:rsid w:val="002B1E3F"/>
    <w:rsid w:val="002D50B8"/>
    <w:rsid w:val="002F3AE3"/>
    <w:rsid w:val="00300E49"/>
    <w:rsid w:val="00301E8E"/>
    <w:rsid w:val="003066AF"/>
    <w:rsid w:val="0030786C"/>
    <w:rsid w:val="003151AF"/>
    <w:rsid w:val="003415ED"/>
    <w:rsid w:val="003424A7"/>
    <w:rsid w:val="00342722"/>
    <w:rsid w:val="00343296"/>
    <w:rsid w:val="00344E32"/>
    <w:rsid w:val="00347F74"/>
    <w:rsid w:val="0036434A"/>
    <w:rsid w:val="00385D88"/>
    <w:rsid w:val="0039160D"/>
    <w:rsid w:val="003A1963"/>
    <w:rsid w:val="003A2F02"/>
    <w:rsid w:val="003B198A"/>
    <w:rsid w:val="003B74E0"/>
    <w:rsid w:val="003D17F9"/>
    <w:rsid w:val="003D608A"/>
    <w:rsid w:val="003E0381"/>
    <w:rsid w:val="003E2FE6"/>
    <w:rsid w:val="004016AA"/>
    <w:rsid w:val="00415E6D"/>
    <w:rsid w:val="00423EB1"/>
    <w:rsid w:val="004259A3"/>
    <w:rsid w:val="00430160"/>
    <w:rsid w:val="004350D6"/>
    <w:rsid w:val="00442208"/>
    <w:rsid w:val="00476435"/>
    <w:rsid w:val="004813AA"/>
    <w:rsid w:val="004867E2"/>
    <w:rsid w:val="004C44E8"/>
    <w:rsid w:val="004F451E"/>
    <w:rsid w:val="00503B58"/>
    <w:rsid w:val="0050639C"/>
    <w:rsid w:val="00507E1D"/>
    <w:rsid w:val="00526332"/>
    <w:rsid w:val="005272AE"/>
    <w:rsid w:val="00551F61"/>
    <w:rsid w:val="00553198"/>
    <w:rsid w:val="00556E98"/>
    <w:rsid w:val="00573A4B"/>
    <w:rsid w:val="00582A92"/>
    <w:rsid w:val="00590BFB"/>
    <w:rsid w:val="005931B3"/>
    <w:rsid w:val="00595FF9"/>
    <w:rsid w:val="005A0AF2"/>
    <w:rsid w:val="005A1AE6"/>
    <w:rsid w:val="005A40D4"/>
    <w:rsid w:val="005B4719"/>
    <w:rsid w:val="005B71F4"/>
    <w:rsid w:val="005D6753"/>
    <w:rsid w:val="005F1EF5"/>
    <w:rsid w:val="00616DCB"/>
    <w:rsid w:val="006457D2"/>
    <w:rsid w:val="006503C6"/>
    <w:rsid w:val="00652866"/>
    <w:rsid w:val="00665255"/>
    <w:rsid w:val="00680570"/>
    <w:rsid w:val="006807AA"/>
    <w:rsid w:val="006D1BE6"/>
    <w:rsid w:val="006D4281"/>
    <w:rsid w:val="006D4345"/>
    <w:rsid w:val="006F5787"/>
    <w:rsid w:val="006F6BED"/>
    <w:rsid w:val="00706990"/>
    <w:rsid w:val="007165F3"/>
    <w:rsid w:val="00725EA3"/>
    <w:rsid w:val="00726C38"/>
    <w:rsid w:val="00742D61"/>
    <w:rsid w:val="00767A9A"/>
    <w:rsid w:val="0077571C"/>
    <w:rsid w:val="007D0719"/>
    <w:rsid w:val="007D1E97"/>
    <w:rsid w:val="007E405F"/>
    <w:rsid w:val="008264EB"/>
    <w:rsid w:val="00836BA2"/>
    <w:rsid w:val="00845338"/>
    <w:rsid w:val="00856B5D"/>
    <w:rsid w:val="008649FB"/>
    <w:rsid w:val="008654C8"/>
    <w:rsid w:val="00865BE4"/>
    <w:rsid w:val="00876FF2"/>
    <w:rsid w:val="008A3246"/>
    <w:rsid w:val="008A6B0E"/>
    <w:rsid w:val="008B11A6"/>
    <w:rsid w:val="008B7308"/>
    <w:rsid w:val="008C7EE5"/>
    <w:rsid w:val="008E295D"/>
    <w:rsid w:val="008E7715"/>
    <w:rsid w:val="008F12CB"/>
    <w:rsid w:val="008F38BA"/>
    <w:rsid w:val="00901BB6"/>
    <w:rsid w:val="00911EA7"/>
    <w:rsid w:val="0094467A"/>
    <w:rsid w:val="00960061"/>
    <w:rsid w:val="009719D1"/>
    <w:rsid w:val="009756EA"/>
    <w:rsid w:val="009A43FE"/>
    <w:rsid w:val="009B4A81"/>
    <w:rsid w:val="009C2B86"/>
    <w:rsid w:val="009C634D"/>
    <w:rsid w:val="009C6662"/>
    <w:rsid w:val="009D0B0B"/>
    <w:rsid w:val="009D3549"/>
    <w:rsid w:val="009F1D03"/>
    <w:rsid w:val="009F79BB"/>
    <w:rsid w:val="00A16541"/>
    <w:rsid w:val="00A3070B"/>
    <w:rsid w:val="00A34605"/>
    <w:rsid w:val="00A40F63"/>
    <w:rsid w:val="00A4512D"/>
    <w:rsid w:val="00A61AD1"/>
    <w:rsid w:val="00A636FC"/>
    <w:rsid w:val="00A705AF"/>
    <w:rsid w:val="00A73D69"/>
    <w:rsid w:val="00A753DB"/>
    <w:rsid w:val="00AA0B23"/>
    <w:rsid w:val="00AE020A"/>
    <w:rsid w:val="00AE205D"/>
    <w:rsid w:val="00AF01B8"/>
    <w:rsid w:val="00AF62E2"/>
    <w:rsid w:val="00B07DF7"/>
    <w:rsid w:val="00B2623B"/>
    <w:rsid w:val="00B33590"/>
    <w:rsid w:val="00B37545"/>
    <w:rsid w:val="00B4026C"/>
    <w:rsid w:val="00B42851"/>
    <w:rsid w:val="00B67A99"/>
    <w:rsid w:val="00B7035A"/>
    <w:rsid w:val="00BC1A17"/>
    <w:rsid w:val="00BE6EDC"/>
    <w:rsid w:val="00C23C5F"/>
    <w:rsid w:val="00C3673D"/>
    <w:rsid w:val="00C502D3"/>
    <w:rsid w:val="00C71FF7"/>
    <w:rsid w:val="00C810B1"/>
    <w:rsid w:val="00C918A4"/>
    <w:rsid w:val="00CB2385"/>
    <w:rsid w:val="00CB2651"/>
    <w:rsid w:val="00CB4828"/>
    <w:rsid w:val="00CB5B1A"/>
    <w:rsid w:val="00CC5E0C"/>
    <w:rsid w:val="00CC6898"/>
    <w:rsid w:val="00CD2A03"/>
    <w:rsid w:val="00CE594F"/>
    <w:rsid w:val="00CE6237"/>
    <w:rsid w:val="00CF5E2A"/>
    <w:rsid w:val="00D02187"/>
    <w:rsid w:val="00D14E9E"/>
    <w:rsid w:val="00D24D87"/>
    <w:rsid w:val="00D34891"/>
    <w:rsid w:val="00D5694A"/>
    <w:rsid w:val="00D6174B"/>
    <w:rsid w:val="00D77EBE"/>
    <w:rsid w:val="00DB6EB6"/>
    <w:rsid w:val="00DC4EE9"/>
    <w:rsid w:val="00DD0101"/>
    <w:rsid w:val="00DE6300"/>
    <w:rsid w:val="00DF2FAB"/>
    <w:rsid w:val="00DF3AF6"/>
    <w:rsid w:val="00E00ADF"/>
    <w:rsid w:val="00E00FA2"/>
    <w:rsid w:val="00E0666D"/>
    <w:rsid w:val="00E07028"/>
    <w:rsid w:val="00E251ED"/>
    <w:rsid w:val="00E3236B"/>
    <w:rsid w:val="00E340C9"/>
    <w:rsid w:val="00E359FE"/>
    <w:rsid w:val="00E43817"/>
    <w:rsid w:val="00E740DD"/>
    <w:rsid w:val="00E75ACC"/>
    <w:rsid w:val="00E85C0E"/>
    <w:rsid w:val="00E864BC"/>
    <w:rsid w:val="00EB3185"/>
    <w:rsid w:val="00EB58A5"/>
    <w:rsid w:val="00EB5FE3"/>
    <w:rsid w:val="00EC3BB2"/>
    <w:rsid w:val="00EC60E6"/>
    <w:rsid w:val="00ED2BB8"/>
    <w:rsid w:val="00EE1FD4"/>
    <w:rsid w:val="00EF5621"/>
    <w:rsid w:val="00F0467B"/>
    <w:rsid w:val="00F24D71"/>
    <w:rsid w:val="00F3679A"/>
    <w:rsid w:val="00F37D68"/>
    <w:rsid w:val="00F4294E"/>
    <w:rsid w:val="00F43216"/>
    <w:rsid w:val="00F47B43"/>
    <w:rsid w:val="00F501E8"/>
    <w:rsid w:val="00F550F1"/>
    <w:rsid w:val="00FC59C7"/>
    <w:rsid w:val="00FD6B74"/>
    <w:rsid w:val="00FE14C4"/>
    <w:rsid w:val="00FE2068"/>
    <w:rsid w:val="00FF1F9B"/>
    <w:rsid w:val="00FF4291"/>
    <w:rsid w:val="00FF494F"/>
    <w:rsid w:val="00FF7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49356"/>
  <w15:docId w15:val="{76472EFA-4548-4975-B860-975CFD7E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 w:type="character" w:styleId="CommentReference">
    <w:name w:val="annotation reference"/>
    <w:basedOn w:val="DefaultParagraphFont"/>
    <w:rsid w:val="00033681"/>
    <w:rPr>
      <w:sz w:val="16"/>
      <w:szCs w:val="16"/>
    </w:rPr>
  </w:style>
  <w:style w:type="paragraph" w:styleId="CommentText">
    <w:name w:val="annotation text"/>
    <w:basedOn w:val="Normal"/>
    <w:link w:val="CommentTextChar"/>
    <w:rsid w:val="00033681"/>
    <w:rPr>
      <w:sz w:val="20"/>
      <w:szCs w:val="20"/>
    </w:rPr>
  </w:style>
  <w:style w:type="character" w:customStyle="1" w:styleId="CommentTextChar">
    <w:name w:val="Comment Text Char"/>
    <w:basedOn w:val="DefaultParagraphFont"/>
    <w:link w:val="CommentText"/>
    <w:rsid w:val="00033681"/>
    <w:rPr>
      <w:lang w:eastAsia="en-US"/>
    </w:rPr>
  </w:style>
  <w:style w:type="paragraph" w:styleId="CommentSubject">
    <w:name w:val="annotation subject"/>
    <w:basedOn w:val="CommentText"/>
    <w:next w:val="CommentText"/>
    <w:link w:val="CommentSubjectChar"/>
    <w:rsid w:val="00033681"/>
    <w:rPr>
      <w:b/>
      <w:bCs/>
    </w:rPr>
  </w:style>
  <w:style w:type="character" w:customStyle="1" w:styleId="CommentSubjectChar">
    <w:name w:val="Comment Subject Char"/>
    <w:basedOn w:val="CommentTextChar"/>
    <w:link w:val="CommentSubject"/>
    <w:rsid w:val="00033681"/>
    <w:rPr>
      <w:b/>
      <w:bCs/>
      <w:lang w:eastAsia="en-US"/>
    </w:rPr>
  </w:style>
  <w:style w:type="character" w:styleId="FollowedHyperlink">
    <w:name w:val="FollowedHyperlink"/>
    <w:basedOn w:val="DefaultParagraphFont"/>
    <w:rsid w:val="00EB3185"/>
    <w:rPr>
      <w:color w:val="800080" w:themeColor="followedHyperlink"/>
      <w:u w:val="single"/>
    </w:rPr>
  </w:style>
  <w:style w:type="paragraph" w:styleId="Revision">
    <w:name w:val="Revision"/>
    <w:hidden/>
    <w:uiPriority w:val="99"/>
    <w:semiHidden/>
    <w:rsid w:val="00F429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0696">
      <w:bodyDiv w:val="1"/>
      <w:marLeft w:val="0"/>
      <w:marRight w:val="0"/>
      <w:marTop w:val="0"/>
      <w:marBottom w:val="0"/>
      <w:divBdr>
        <w:top w:val="none" w:sz="0" w:space="0" w:color="auto"/>
        <w:left w:val="none" w:sz="0" w:space="0" w:color="auto"/>
        <w:bottom w:val="none" w:sz="0" w:space="0" w:color="auto"/>
        <w:right w:val="none" w:sz="0" w:space="0" w:color="auto"/>
      </w:divBdr>
    </w:div>
    <w:div w:id="1290017877">
      <w:bodyDiv w:val="1"/>
      <w:marLeft w:val="0"/>
      <w:marRight w:val="0"/>
      <w:marTop w:val="0"/>
      <w:marBottom w:val="0"/>
      <w:divBdr>
        <w:top w:val="none" w:sz="0" w:space="0" w:color="auto"/>
        <w:left w:val="none" w:sz="0" w:space="0" w:color="auto"/>
        <w:bottom w:val="none" w:sz="0" w:space="0" w:color="auto"/>
        <w:right w:val="none" w:sz="0" w:space="0" w:color="auto"/>
      </w:divBdr>
    </w:div>
    <w:div w:id="1513110691">
      <w:bodyDiv w:val="1"/>
      <w:marLeft w:val="0"/>
      <w:marRight w:val="0"/>
      <w:marTop w:val="0"/>
      <w:marBottom w:val="0"/>
      <w:divBdr>
        <w:top w:val="none" w:sz="0" w:space="0" w:color="auto"/>
        <w:left w:val="none" w:sz="0" w:space="0" w:color="auto"/>
        <w:bottom w:val="none" w:sz="0" w:space="0" w:color="auto"/>
        <w:right w:val="none" w:sz="0" w:space="0" w:color="auto"/>
      </w:divBdr>
      <w:divsChild>
        <w:div w:id="247543344">
          <w:marLeft w:val="0"/>
          <w:marRight w:val="0"/>
          <w:marTop w:val="0"/>
          <w:marBottom w:val="0"/>
          <w:divBdr>
            <w:top w:val="none" w:sz="0" w:space="0" w:color="auto"/>
            <w:left w:val="none" w:sz="0" w:space="0" w:color="auto"/>
            <w:bottom w:val="none" w:sz="0" w:space="0" w:color="auto"/>
            <w:right w:val="none" w:sz="0" w:space="0" w:color="auto"/>
          </w:divBdr>
          <w:divsChild>
            <w:div w:id="569314775">
              <w:marLeft w:val="0"/>
              <w:marRight w:val="0"/>
              <w:marTop w:val="0"/>
              <w:marBottom w:val="0"/>
              <w:divBdr>
                <w:top w:val="none" w:sz="0" w:space="0" w:color="auto"/>
                <w:left w:val="none" w:sz="0" w:space="0" w:color="auto"/>
                <w:bottom w:val="none" w:sz="0" w:space="0" w:color="auto"/>
                <w:right w:val="none" w:sz="0" w:space="0" w:color="auto"/>
              </w:divBdr>
              <w:divsChild>
                <w:div w:id="138570220">
                  <w:marLeft w:val="0"/>
                  <w:marRight w:val="0"/>
                  <w:marTop w:val="0"/>
                  <w:marBottom w:val="0"/>
                  <w:divBdr>
                    <w:top w:val="none" w:sz="0" w:space="0" w:color="auto"/>
                    <w:left w:val="none" w:sz="0" w:space="0" w:color="auto"/>
                    <w:bottom w:val="none" w:sz="0" w:space="0" w:color="auto"/>
                    <w:right w:val="none" w:sz="0" w:space="0" w:color="auto"/>
                  </w:divBdr>
                  <w:divsChild>
                    <w:div w:id="272246497">
                      <w:marLeft w:val="0"/>
                      <w:marRight w:val="0"/>
                      <w:marTop w:val="0"/>
                      <w:marBottom w:val="0"/>
                      <w:divBdr>
                        <w:top w:val="none" w:sz="0" w:space="0" w:color="auto"/>
                        <w:left w:val="none" w:sz="0" w:space="0" w:color="auto"/>
                        <w:bottom w:val="none" w:sz="0" w:space="0" w:color="auto"/>
                        <w:right w:val="none" w:sz="0" w:space="0" w:color="auto"/>
                      </w:divBdr>
                      <w:divsChild>
                        <w:div w:id="400955527">
                          <w:marLeft w:val="0"/>
                          <w:marRight w:val="0"/>
                          <w:marTop w:val="0"/>
                          <w:marBottom w:val="0"/>
                          <w:divBdr>
                            <w:top w:val="none" w:sz="0" w:space="0" w:color="auto"/>
                            <w:left w:val="none" w:sz="0" w:space="0" w:color="auto"/>
                            <w:bottom w:val="none" w:sz="0" w:space="0" w:color="auto"/>
                            <w:right w:val="none" w:sz="0" w:space="0" w:color="auto"/>
                          </w:divBdr>
                          <w:divsChild>
                            <w:div w:id="1530338577">
                              <w:marLeft w:val="0"/>
                              <w:marRight w:val="0"/>
                              <w:marTop w:val="0"/>
                              <w:marBottom w:val="0"/>
                              <w:divBdr>
                                <w:top w:val="none" w:sz="0" w:space="0" w:color="auto"/>
                                <w:left w:val="none" w:sz="0" w:space="0" w:color="auto"/>
                                <w:bottom w:val="none" w:sz="0" w:space="0" w:color="auto"/>
                                <w:right w:val="none" w:sz="0" w:space="0" w:color="auto"/>
                              </w:divBdr>
                              <w:divsChild>
                                <w:div w:id="541752705">
                                  <w:marLeft w:val="0"/>
                                  <w:marRight w:val="0"/>
                                  <w:marTop w:val="0"/>
                                  <w:marBottom w:val="0"/>
                                  <w:divBdr>
                                    <w:top w:val="none" w:sz="0" w:space="0" w:color="auto"/>
                                    <w:left w:val="none" w:sz="0" w:space="0" w:color="auto"/>
                                    <w:bottom w:val="none" w:sz="0" w:space="0" w:color="auto"/>
                                    <w:right w:val="none" w:sz="0" w:space="0" w:color="auto"/>
                                  </w:divBdr>
                                  <w:divsChild>
                                    <w:div w:id="1516722910">
                                      <w:marLeft w:val="0"/>
                                      <w:marRight w:val="0"/>
                                      <w:marTop w:val="0"/>
                                      <w:marBottom w:val="0"/>
                                      <w:divBdr>
                                        <w:top w:val="none" w:sz="0" w:space="0" w:color="auto"/>
                                        <w:left w:val="none" w:sz="0" w:space="0" w:color="auto"/>
                                        <w:bottom w:val="none" w:sz="0" w:space="0" w:color="auto"/>
                                        <w:right w:val="none" w:sz="0" w:space="0" w:color="auto"/>
                                      </w:divBdr>
                                      <w:divsChild>
                                        <w:div w:id="1601058849">
                                          <w:marLeft w:val="0"/>
                                          <w:marRight w:val="0"/>
                                          <w:marTop w:val="0"/>
                                          <w:marBottom w:val="0"/>
                                          <w:divBdr>
                                            <w:top w:val="none" w:sz="0" w:space="0" w:color="auto"/>
                                            <w:left w:val="none" w:sz="0" w:space="0" w:color="auto"/>
                                            <w:bottom w:val="none" w:sz="0" w:space="0" w:color="auto"/>
                                            <w:right w:val="none" w:sz="0" w:space="0" w:color="auto"/>
                                          </w:divBdr>
                                          <w:divsChild>
                                            <w:div w:id="1813012145">
                                              <w:marLeft w:val="0"/>
                                              <w:marRight w:val="0"/>
                                              <w:marTop w:val="0"/>
                                              <w:marBottom w:val="0"/>
                                              <w:divBdr>
                                                <w:top w:val="none" w:sz="0" w:space="0" w:color="auto"/>
                                                <w:left w:val="none" w:sz="0" w:space="0" w:color="auto"/>
                                                <w:bottom w:val="none" w:sz="0" w:space="0" w:color="auto"/>
                                                <w:right w:val="none" w:sz="0" w:space="0" w:color="auto"/>
                                              </w:divBdr>
                                              <w:divsChild>
                                                <w:div w:id="1028020033">
                                                  <w:marLeft w:val="0"/>
                                                  <w:marRight w:val="0"/>
                                                  <w:marTop w:val="0"/>
                                                  <w:marBottom w:val="0"/>
                                                  <w:divBdr>
                                                    <w:top w:val="none" w:sz="0" w:space="0" w:color="auto"/>
                                                    <w:left w:val="none" w:sz="0" w:space="0" w:color="auto"/>
                                                    <w:bottom w:val="none" w:sz="0" w:space="0" w:color="auto"/>
                                                    <w:right w:val="none" w:sz="0" w:space="0" w:color="auto"/>
                                                  </w:divBdr>
                                                  <w:divsChild>
                                                    <w:div w:id="485510034">
                                                      <w:marLeft w:val="0"/>
                                                      <w:marRight w:val="0"/>
                                                      <w:marTop w:val="0"/>
                                                      <w:marBottom w:val="0"/>
                                                      <w:divBdr>
                                                        <w:top w:val="none" w:sz="0" w:space="0" w:color="auto"/>
                                                        <w:left w:val="none" w:sz="0" w:space="0" w:color="auto"/>
                                                        <w:bottom w:val="none" w:sz="0" w:space="0" w:color="auto"/>
                                                        <w:right w:val="none" w:sz="0" w:space="0" w:color="auto"/>
                                                      </w:divBdr>
                                                      <w:divsChild>
                                                        <w:div w:id="18879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BCB8AD4-AF3B-4958-A24F-3B34DFF3CF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7159C5965C3E4281FA4D4FC2F6CF20" ma:contentTypeVersion="" ma:contentTypeDescription="PDMS Document Site Content Type" ma:contentTypeScope="" ma:versionID="672d82534ded58074123096d97bfd344">
  <xsd:schema xmlns:xsd="http://www.w3.org/2001/XMLSchema" xmlns:xs="http://www.w3.org/2001/XMLSchema" xmlns:p="http://schemas.microsoft.com/office/2006/metadata/properties" xmlns:ns2="DBCB8AD4-AF3B-4958-A24F-3B34DFF3CF1C" targetNamespace="http://schemas.microsoft.com/office/2006/metadata/properties" ma:root="true" ma:fieldsID="2c5dc91312884ff886664731bf60cc5c" ns2:_="">
    <xsd:import namespace="DBCB8AD4-AF3B-4958-A24F-3B34DFF3CF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B8AD4-AF3B-4958-A24F-3B34DFF3CF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1291-1047-47C5-96AF-DAF5E346D482}">
  <ds:schemaRefs>
    <ds:schemaRef ds:uri="http://purl.org/dc/terms/"/>
    <ds:schemaRef ds:uri="DBCB8AD4-AF3B-4958-A24F-3B34DFF3CF1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6497B2-E054-4FDB-9F0D-9C6AEE136E72}">
  <ds:schemaRefs>
    <ds:schemaRef ds:uri="http://schemas.microsoft.com/sharepoint/v3/contenttype/forms"/>
  </ds:schemaRefs>
</ds:datastoreItem>
</file>

<file path=customXml/itemProps3.xml><?xml version="1.0" encoding="utf-8"?>
<ds:datastoreItem xmlns:ds="http://schemas.openxmlformats.org/officeDocument/2006/customXml" ds:itemID="{05EF8093-7D67-47BF-A457-EC432FD5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B8AD4-AF3B-4958-A24F-3B34DFF3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97B2C-489E-4A7E-BB5C-9B52D29E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Golkowski, Izabel</cp:lastModifiedBy>
  <cp:revision>2</cp:revision>
  <cp:lastPrinted>2019-04-30T05:50:00Z</cp:lastPrinted>
  <dcterms:created xsi:type="dcterms:W3CDTF">2019-06-13T05:49:00Z</dcterms:created>
  <dcterms:modified xsi:type="dcterms:W3CDTF">2019-06-13T05:49:00Z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0x010100266966F133664895A6EE3632470D45F5007B7159C5965C3E4281FA4D4FC2F6CF20</vt:lpwstr>
  </property>
</Properties>
</file>