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4F0DE4" w14:textId="77777777" w:rsidR="001F2A16" w:rsidRPr="007E0A01" w:rsidRDefault="001F2A16" w:rsidP="00AF4CAF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34"/>
          <w:szCs w:val="34"/>
        </w:rPr>
      </w:pPr>
      <w:bookmarkStart w:id="0" w:name="FDocName"/>
      <w:r w:rsidRPr="007E0A01">
        <w:rPr>
          <w:rFonts w:ascii="Arial" w:hAnsi="Arial" w:cs="Arial"/>
          <w:sz w:val="34"/>
          <w:szCs w:val="34"/>
        </w:rPr>
        <w:t>Explanatory Statement</w:t>
      </w:r>
    </w:p>
    <w:p w14:paraId="6E4F0DE5" w14:textId="77777777" w:rsidR="001F2A16" w:rsidRPr="007E0A01" w:rsidRDefault="001F2A16" w:rsidP="00AF4CAF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34"/>
          <w:szCs w:val="34"/>
        </w:rPr>
      </w:pPr>
    </w:p>
    <w:p w14:paraId="6E4F0DE6" w14:textId="753595F7" w:rsidR="0099555F" w:rsidRPr="007E0A01" w:rsidRDefault="003E2540" w:rsidP="00AF4CAF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 xml:space="preserve">Income Tax (Effective Life of Depreciating Assets) Amendment Determination 2019 (No 1) </w:t>
      </w:r>
      <w:r w:rsidR="00380CC4" w:rsidRPr="007E0A01">
        <w:rPr>
          <w:rFonts w:ascii="Arial" w:hAnsi="Arial" w:cs="Arial"/>
          <w:sz w:val="34"/>
          <w:szCs w:val="34"/>
        </w:rPr>
        <w:t xml:space="preserve"> </w:t>
      </w:r>
    </w:p>
    <w:p w14:paraId="6E4F0DE7" w14:textId="77777777" w:rsidR="0099555F" w:rsidRPr="007E0A01" w:rsidRDefault="0099555F" w:rsidP="0099555F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szCs w:val="24"/>
        </w:rPr>
      </w:pPr>
    </w:p>
    <w:p w14:paraId="6E4F0DE8" w14:textId="77777777" w:rsidR="001F2A16" w:rsidRPr="007E0A01" w:rsidRDefault="001F2A16" w:rsidP="0099555F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szCs w:val="24"/>
        </w:rPr>
      </w:pPr>
    </w:p>
    <w:p w14:paraId="6E4F0DE9" w14:textId="77777777" w:rsidR="00486653" w:rsidRPr="007E0A01" w:rsidRDefault="00486653" w:rsidP="007C5C8E">
      <w:pPr>
        <w:pStyle w:val="Heading2"/>
        <w:spacing w:after="0"/>
        <w:rPr>
          <w:rFonts w:cs="Arial"/>
          <w:sz w:val="24"/>
          <w:szCs w:val="24"/>
        </w:rPr>
      </w:pPr>
      <w:bookmarkStart w:id="1" w:name="EDisclaimer"/>
      <w:bookmarkStart w:id="2" w:name="HBody"/>
      <w:bookmarkStart w:id="3" w:name="LReferences"/>
      <w:bookmarkStart w:id="4" w:name="NRulingRef"/>
      <w:bookmarkStart w:id="5" w:name="OSubjectRef"/>
      <w:bookmarkStart w:id="6" w:name="PLegrefText"/>
      <w:bookmarkStart w:id="7" w:name="QLegref"/>
      <w:bookmarkStart w:id="8" w:name="RCaseRefText"/>
      <w:bookmarkStart w:id="9" w:name="SCaseRef"/>
      <w:bookmarkStart w:id="10" w:name="VISSN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7E0A01">
        <w:rPr>
          <w:rFonts w:cs="Arial"/>
          <w:sz w:val="24"/>
          <w:szCs w:val="24"/>
        </w:rPr>
        <w:t>General Outline of Instrument</w:t>
      </w:r>
    </w:p>
    <w:p w14:paraId="6E4F0DEA" w14:textId="77777777" w:rsidR="00486653" w:rsidRPr="007E0A01" w:rsidRDefault="00486653" w:rsidP="007C5C8E">
      <w:pPr>
        <w:rPr>
          <w:rFonts w:ascii="Arial" w:hAnsi="Arial" w:cs="Arial"/>
        </w:rPr>
      </w:pPr>
    </w:p>
    <w:p w14:paraId="65D3B70F" w14:textId="77777777" w:rsidR="003E2540" w:rsidRPr="00770BEE" w:rsidRDefault="00486653" w:rsidP="003E2540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bookmarkStart w:id="11" w:name="IComments"/>
      <w:r w:rsidRPr="007E0A01">
        <w:rPr>
          <w:rFonts w:ascii="Arial" w:hAnsi="Arial" w:cs="Arial"/>
          <w:sz w:val="22"/>
          <w:szCs w:val="22"/>
        </w:rPr>
        <w:t>Th</w:t>
      </w:r>
      <w:r w:rsidR="003E2540">
        <w:rPr>
          <w:rFonts w:ascii="Arial" w:hAnsi="Arial" w:cs="Arial"/>
          <w:sz w:val="22"/>
          <w:szCs w:val="22"/>
        </w:rPr>
        <w:t xml:space="preserve">e authority for making an effective life determination is provided by subsection 40-100(1) of the </w:t>
      </w:r>
      <w:r w:rsidR="003E2540">
        <w:rPr>
          <w:rFonts w:ascii="Arial" w:hAnsi="Arial" w:cs="Arial"/>
          <w:i/>
          <w:sz w:val="22"/>
          <w:szCs w:val="22"/>
        </w:rPr>
        <w:t>Income Tax Assessment Act 1997</w:t>
      </w:r>
      <w:r w:rsidR="003E2540">
        <w:rPr>
          <w:rFonts w:ascii="Arial" w:hAnsi="Arial" w:cs="Arial"/>
          <w:sz w:val="22"/>
          <w:szCs w:val="22"/>
        </w:rPr>
        <w:t xml:space="preserve"> (ITAA 1997)</w:t>
      </w:r>
      <w:r w:rsidR="003E2540">
        <w:rPr>
          <w:rFonts w:ascii="Arial" w:hAnsi="Arial" w:cs="Arial"/>
          <w:i/>
          <w:sz w:val="22"/>
          <w:szCs w:val="22"/>
        </w:rPr>
        <w:t>.</w:t>
      </w:r>
    </w:p>
    <w:p w14:paraId="6E4F0DEF" w14:textId="77777777" w:rsidR="00D77015" w:rsidRPr="007E0A01" w:rsidRDefault="00D77015" w:rsidP="007C5C8E">
      <w:pPr>
        <w:ind w:left="1080"/>
        <w:rPr>
          <w:rFonts w:ascii="Arial" w:hAnsi="Arial" w:cs="Arial"/>
          <w:sz w:val="22"/>
          <w:szCs w:val="22"/>
        </w:rPr>
      </w:pPr>
    </w:p>
    <w:p w14:paraId="6E4F0DF3" w14:textId="7962F83F" w:rsidR="008C66CC" w:rsidRPr="003E2540" w:rsidRDefault="003E2540" w:rsidP="003E2540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3E2540">
        <w:rPr>
          <w:rFonts w:ascii="Arial" w:hAnsi="Arial" w:cs="Arial"/>
          <w:sz w:val="22"/>
          <w:szCs w:val="22"/>
        </w:rPr>
        <w:t xml:space="preserve">This is a legislative instrument for the purposes of the </w:t>
      </w:r>
      <w:r w:rsidRPr="003E2540">
        <w:rPr>
          <w:rFonts w:ascii="Arial" w:hAnsi="Arial" w:cs="Arial"/>
          <w:i/>
          <w:sz w:val="22"/>
          <w:szCs w:val="22"/>
        </w:rPr>
        <w:t>Legislation Act 2003</w:t>
      </w:r>
      <w:r w:rsidRPr="003E2540">
        <w:rPr>
          <w:rFonts w:ascii="Arial" w:hAnsi="Arial" w:cs="Arial"/>
          <w:sz w:val="22"/>
          <w:szCs w:val="22"/>
        </w:rPr>
        <w:t xml:space="preserve">. </w:t>
      </w:r>
    </w:p>
    <w:p w14:paraId="64DA8DCF" w14:textId="77777777" w:rsidR="003E2540" w:rsidRPr="007E0A01" w:rsidRDefault="003E2540" w:rsidP="003E2540">
      <w:pPr>
        <w:ind w:left="360"/>
        <w:rPr>
          <w:rFonts w:ascii="Arial" w:hAnsi="Arial" w:cs="Arial"/>
          <w:sz w:val="22"/>
          <w:szCs w:val="22"/>
        </w:rPr>
      </w:pPr>
    </w:p>
    <w:p w14:paraId="6E4F0DF5" w14:textId="53F18D0A" w:rsidR="00486653" w:rsidRDefault="003E2540" w:rsidP="007C5C8E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3E2540">
        <w:rPr>
          <w:rFonts w:ascii="Arial" w:hAnsi="Arial" w:cs="Arial"/>
          <w:sz w:val="22"/>
          <w:szCs w:val="22"/>
        </w:rPr>
        <w:t xml:space="preserve">Under subsection 33(3) of the </w:t>
      </w:r>
      <w:r w:rsidRPr="003E2540">
        <w:rPr>
          <w:rFonts w:ascii="Arial" w:hAnsi="Arial" w:cs="Arial"/>
          <w:i/>
          <w:sz w:val="22"/>
          <w:szCs w:val="22"/>
        </w:rPr>
        <w:t>Acts Interpretation Act 1901,</w:t>
      </w:r>
      <w:r w:rsidRPr="003E2540">
        <w:rPr>
          <w:rFonts w:ascii="Arial" w:hAnsi="Arial" w:cs="Arial"/>
          <w:sz w:val="22"/>
          <w:szCs w:val="22"/>
        </w:rPr>
        <w:t xml:space="preserve"> where an Act confers a power to make, grant or issue any instrument of a legislative or administrative character (including rules, regulations or by-laws), the power shall be construed as including a power exercisable in the like manner and subject to the like conditions (if any) to repeal, rescind, revoke, amend, or vary any such instrument</w:t>
      </w:r>
    </w:p>
    <w:p w14:paraId="61F74B9D" w14:textId="77777777" w:rsidR="003E2540" w:rsidRPr="003E2540" w:rsidRDefault="003E2540" w:rsidP="003E2540">
      <w:pPr>
        <w:ind w:left="360"/>
        <w:rPr>
          <w:rFonts w:ascii="Arial" w:hAnsi="Arial" w:cs="Arial"/>
          <w:sz w:val="22"/>
          <w:szCs w:val="22"/>
        </w:rPr>
      </w:pPr>
    </w:p>
    <w:bookmarkEnd w:id="11"/>
    <w:p w14:paraId="6E4F0DF6" w14:textId="77777777" w:rsidR="00486653" w:rsidRPr="007E0A01" w:rsidRDefault="00486653" w:rsidP="007C5C8E">
      <w:pPr>
        <w:pStyle w:val="Heading2"/>
        <w:spacing w:after="0"/>
        <w:rPr>
          <w:rFonts w:cs="Arial"/>
          <w:sz w:val="24"/>
          <w:szCs w:val="24"/>
        </w:rPr>
      </w:pPr>
      <w:r w:rsidRPr="007E0A01">
        <w:rPr>
          <w:rFonts w:cs="Arial"/>
          <w:sz w:val="24"/>
          <w:szCs w:val="24"/>
        </w:rPr>
        <w:t>Date of effect</w:t>
      </w:r>
    </w:p>
    <w:p w14:paraId="6E4F0DF7" w14:textId="77777777" w:rsidR="00486653" w:rsidRPr="007E0A01" w:rsidRDefault="00486653" w:rsidP="007C5C8E">
      <w:pPr>
        <w:ind w:left="771"/>
        <w:rPr>
          <w:rFonts w:ascii="Arial" w:hAnsi="Arial" w:cs="Arial"/>
          <w:sz w:val="22"/>
          <w:szCs w:val="22"/>
        </w:rPr>
      </w:pPr>
    </w:p>
    <w:p w14:paraId="6E4F0DF8" w14:textId="7E753716" w:rsidR="00380CC4" w:rsidRPr="003E2540" w:rsidRDefault="00380CC4" w:rsidP="007C5C8E">
      <w:pPr>
        <w:numPr>
          <w:ilvl w:val="0"/>
          <w:numId w:val="16"/>
        </w:numPr>
        <w:rPr>
          <w:rFonts w:ascii="Arial" w:hAnsi="Arial" w:cs="Arial"/>
          <w:color w:val="000000"/>
          <w:sz w:val="22"/>
          <w:szCs w:val="22"/>
        </w:rPr>
      </w:pPr>
      <w:r w:rsidRPr="007E0A01">
        <w:rPr>
          <w:rFonts w:ascii="Arial" w:hAnsi="Arial" w:cs="Arial"/>
          <w:sz w:val="22"/>
          <w:szCs w:val="22"/>
        </w:rPr>
        <w:t xml:space="preserve">The instrument </w:t>
      </w:r>
      <w:r w:rsidR="003E2540">
        <w:rPr>
          <w:rFonts w:ascii="Arial" w:hAnsi="Arial" w:cs="Arial"/>
          <w:sz w:val="22"/>
          <w:szCs w:val="22"/>
        </w:rPr>
        <w:t xml:space="preserve">applies from 1 July 2019. </w:t>
      </w:r>
    </w:p>
    <w:p w14:paraId="0B87EB16" w14:textId="77777777" w:rsidR="003E2540" w:rsidRDefault="003E2540" w:rsidP="003E2540">
      <w:pPr>
        <w:rPr>
          <w:rFonts w:ascii="Arial" w:hAnsi="Arial" w:cs="Arial"/>
          <w:sz w:val="22"/>
          <w:szCs w:val="22"/>
        </w:rPr>
      </w:pPr>
    </w:p>
    <w:p w14:paraId="785253D3" w14:textId="45509167" w:rsidR="003E2540" w:rsidRDefault="003E2540" w:rsidP="003E2540">
      <w:pPr>
        <w:rPr>
          <w:rFonts w:ascii="Arial" w:hAnsi="Arial" w:cs="Arial"/>
          <w:b/>
          <w:szCs w:val="24"/>
        </w:rPr>
      </w:pPr>
      <w:r w:rsidRPr="00EF4D48">
        <w:rPr>
          <w:rFonts w:ascii="Arial" w:hAnsi="Arial" w:cs="Arial"/>
          <w:b/>
          <w:szCs w:val="24"/>
        </w:rPr>
        <w:t xml:space="preserve">What is this instrument </w:t>
      </w:r>
      <w:proofErr w:type="gramStart"/>
      <w:r w:rsidRPr="00EF4D48">
        <w:rPr>
          <w:rFonts w:ascii="Arial" w:hAnsi="Arial" w:cs="Arial"/>
          <w:b/>
          <w:szCs w:val="24"/>
        </w:rPr>
        <w:t>about</w:t>
      </w:r>
      <w:proofErr w:type="gramEnd"/>
    </w:p>
    <w:p w14:paraId="3EE70325" w14:textId="77777777" w:rsidR="003E2540" w:rsidRDefault="003E2540" w:rsidP="00ED560D">
      <w:pPr>
        <w:ind w:left="714" w:hanging="357"/>
        <w:rPr>
          <w:rFonts w:ascii="Arial" w:hAnsi="Arial" w:cs="Arial"/>
          <w:b/>
          <w:szCs w:val="24"/>
        </w:rPr>
      </w:pPr>
    </w:p>
    <w:p w14:paraId="3F707D68" w14:textId="428BC13C" w:rsidR="003E2540" w:rsidRPr="009A2908" w:rsidRDefault="003E2540" w:rsidP="00ED560D">
      <w:pPr>
        <w:pStyle w:val="ListParagraph"/>
        <w:numPr>
          <w:ilvl w:val="0"/>
          <w:numId w:val="16"/>
        </w:numPr>
        <w:spacing w:after="0" w:line="240" w:lineRule="auto"/>
        <w:ind w:left="714" w:hanging="3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instrument provides </w:t>
      </w:r>
      <w:r>
        <w:rPr>
          <w:rFonts w:ascii="Arial" w:hAnsi="Arial" w:cs="Arial"/>
        </w:rPr>
        <w:t xml:space="preserve">taxpayers in specific industries and for specific assets with effective lives as a basis to calculate the decline in value (depreciation) of a depreciating asset for income tax purposes. </w:t>
      </w:r>
    </w:p>
    <w:p w14:paraId="5371D736" w14:textId="77777777" w:rsidR="009A2908" w:rsidRDefault="009A2908" w:rsidP="009A2908">
      <w:pPr>
        <w:rPr>
          <w:rFonts w:ascii="Arial" w:hAnsi="Arial" w:cs="Arial"/>
          <w:color w:val="000000"/>
        </w:rPr>
      </w:pPr>
    </w:p>
    <w:p w14:paraId="309F20B8" w14:textId="1801A3C4" w:rsidR="009A2908" w:rsidRDefault="009A2908" w:rsidP="009A2908">
      <w:pPr>
        <w:rPr>
          <w:rFonts w:ascii="Arial" w:hAnsi="Arial" w:cs="Arial"/>
          <w:b/>
          <w:color w:val="000000"/>
        </w:rPr>
      </w:pPr>
      <w:r w:rsidRPr="009A2908">
        <w:rPr>
          <w:rFonts w:ascii="Arial" w:hAnsi="Arial" w:cs="Arial"/>
          <w:b/>
          <w:color w:val="000000"/>
        </w:rPr>
        <w:t xml:space="preserve">What </w:t>
      </w:r>
      <w:r w:rsidR="00F616D7">
        <w:rPr>
          <w:rFonts w:ascii="Arial" w:hAnsi="Arial" w:cs="Arial"/>
          <w:b/>
          <w:color w:val="000000"/>
        </w:rPr>
        <w:t xml:space="preserve">is </w:t>
      </w:r>
      <w:r w:rsidRPr="009A2908">
        <w:rPr>
          <w:rFonts w:ascii="Arial" w:hAnsi="Arial" w:cs="Arial"/>
          <w:b/>
          <w:color w:val="000000"/>
        </w:rPr>
        <w:t xml:space="preserve">the effect of this </w:t>
      </w:r>
      <w:proofErr w:type="gramStart"/>
      <w:r w:rsidRPr="009A2908">
        <w:rPr>
          <w:rFonts w:ascii="Arial" w:hAnsi="Arial" w:cs="Arial"/>
          <w:b/>
          <w:color w:val="000000"/>
        </w:rPr>
        <w:t>instrument</w:t>
      </w:r>
      <w:proofErr w:type="gramEnd"/>
    </w:p>
    <w:p w14:paraId="18CE2183" w14:textId="77777777" w:rsidR="009A2908" w:rsidRDefault="009A2908" w:rsidP="009A2908">
      <w:pPr>
        <w:rPr>
          <w:rFonts w:ascii="Arial" w:hAnsi="Arial" w:cs="Arial"/>
          <w:color w:val="000000"/>
        </w:rPr>
      </w:pPr>
    </w:p>
    <w:p w14:paraId="36E85776" w14:textId="51416541" w:rsidR="009A2908" w:rsidRDefault="009A2908" w:rsidP="009A2908">
      <w:pPr>
        <w:pStyle w:val="ListParagraph"/>
        <w:numPr>
          <w:ilvl w:val="0"/>
          <w:numId w:val="16"/>
        </w:numPr>
        <w:spacing w:after="0" w:line="240" w:lineRule="auto"/>
        <w:ind w:left="714" w:hanging="3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Compliance cost impact: Minor. The instrument will affect only a small proportion of businesses and conf</w:t>
      </w:r>
      <w:r w:rsidR="00D10794">
        <w:rPr>
          <w:rFonts w:ascii="Arial" w:hAnsi="Arial" w:cs="Arial"/>
          <w:color w:val="000000"/>
        </w:rPr>
        <w:t xml:space="preserve">irms existing practice. There </w:t>
      </w:r>
      <w:r w:rsidR="00820204">
        <w:rPr>
          <w:rFonts w:ascii="Arial" w:hAnsi="Arial" w:cs="Arial"/>
          <w:color w:val="000000"/>
        </w:rPr>
        <w:t xml:space="preserve">will be </w:t>
      </w:r>
      <w:r w:rsidR="00820204" w:rsidRPr="00820204">
        <w:rPr>
          <w:rFonts w:ascii="Arial" w:hAnsi="Arial" w:cs="Arial"/>
          <w:color w:val="000000"/>
        </w:rPr>
        <w:t>no or minimal impacts for both implementation and ongoing compliance costs</w:t>
      </w:r>
      <w:r>
        <w:rPr>
          <w:rFonts w:ascii="Arial" w:hAnsi="Arial" w:cs="Arial"/>
          <w:color w:val="000000"/>
        </w:rPr>
        <w:t>.</w:t>
      </w:r>
      <w:r w:rsidR="00A90777" w:rsidRPr="00A90777">
        <w:t xml:space="preserve"> </w:t>
      </w:r>
      <w:r w:rsidR="00A90777" w:rsidRPr="00D53AFC">
        <w:rPr>
          <w:rFonts w:ascii="Arial" w:hAnsi="Arial" w:cs="Arial"/>
          <w:color w:val="000000"/>
        </w:rPr>
        <w:t>The legislative instrument is minor or machinery in nature.</w:t>
      </w:r>
      <w:r w:rsidR="0082020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However, affected taxpayers will nonetheless need to be aware of</w:t>
      </w:r>
      <w:r w:rsidR="00C779D6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and learn about</w:t>
      </w:r>
      <w:r w:rsidR="00C779D6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the changes. </w:t>
      </w:r>
    </w:p>
    <w:p w14:paraId="71721B67" w14:textId="77777777" w:rsidR="009A2908" w:rsidRPr="009A2908" w:rsidRDefault="009A2908" w:rsidP="009A2908">
      <w:pPr>
        <w:ind w:left="357"/>
        <w:rPr>
          <w:rFonts w:ascii="Arial" w:hAnsi="Arial" w:cs="Arial"/>
          <w:color w:val="000000"/>
        </w:rPr>
      </w:pPr>
    </w:p>
    <w:p w14:paraId="6C6E5A8F" w14:textId="2609CFD6" w:rsidR="009A2908" w:rsidRDefault="00564076" w:rsidP="009A2908">
      <w:pPr>
        <w:pStyle w:val="ListParagraph"/>
        <w:numPr>
          <w:ilvl w:val="0"/>
          <w:numId w:val="16"/>
        </w:numPr>
        <w:spacing w:after="0" w:line="240" w:lineRule="auto"/>
        <w:ind w:left="714" w:hanging="3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</w:t>
      </w:r>
      <w:r w:rsidR="009A2908">
        <w:rPr>
          <w:rFonts w:ascii="Arial" w:hAnsi="Arial" w:cs="Arial"/>
          <w:color w:val="000000"/>
        </w:rPr>
        <w:t xml:space="preserve">axpayers </w:t>
      </w:r>
      <w:r>
        <w:rPr>
          <w:rFonts w:ascii="Arial" w:hAnsi="Arial" w:cs="Arial"/>
          <w:color w:val="000000"/>
        </w:rPr>
        <w:t xml:space="preserve">are provided with </w:t>
      </w:r>
      <w:r w:rsidR="009A2908">
        <w:rPr>
          <w:rFonts w:ascii="Arial" w:hAnsi="Arial" w:cs="Arial"/>
          <w:color w:val="000000"/>
        </w:rPr>
        <w:t xml:space="preserve">a choice under the ITAA 1997 when measuring the decline in value (depreciation) of a depreciating asset. A taxpayer can either use an effective life determined by the Commissioner, or work out (self-assess) their own effective life of a depreciating asset in accordance with section 40-105 of the ITAA 1997. </w:t>
      </w:r>
    </w:p>
    <w:p w14:paraId="566B3332" w14:textId="77777777" w:rsidR="009A2908" w:rsidRPr="009A2908" w:rsidRDefault="009A2908" w:rsidP="009A2908">
      <w:pPr>
        <w:ind w:left="357"/>
        <w:rPr>
          <w:rFonts w:ascii="Arial" w:hAnsi="Arial" w:cs="Arial"/>
          <w:color w:val="000000"/>
        </w:rPr>
      </w:pPr>
    </w:p>
    <w:p w14:paraId="4F5C1F40" w14:textId="7F1490F8" w:rsidR="009A2908" w:rsidRDefault="009A2908" w:rsidP="009A2908">
      <w:pPr>
        <w:pStyle w:val="ListParagraph"/>
        <w:numPr>
          <w:ilvl w:val="0"/>
          <w:numId w:val="16"/>
        </w:numPr>
        <w:spacing w:after="0" w:line="240" w:lineRule="auto"/>
        <w:ind w:left="714" w:hanging="3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Effective lives determined by the Commissioner provide what is referred to as a ‘safe harbour’ for taxpayers as </w:t>
      </w:r>
      <w:r w:rsidR="00AE1A14">
        <w:rPr>
          <w:rFonts w:ascii="Arial" w:hAnsi="Arial" w:cs="Arial"/>
          <w:color w:val="000000"/>
        </w:rPr>
        <w:t xml:space="preserve">they have certainty </w:t>
      </w:r>
      <w:r>
        <w:rPr>
          <w:rFonts w:ascii="Arial" w:hAnsi="Arial" w:cs="Arial"/>
          <w:color w:val="000000"/>
        </w:rPr>
        <w:t xml:space="preserve">these lives will be accepted by the Commissioner. </w:t>
      </w:r>
    </w:p>
    <w:p w14:paraId="12417363" w14:textId="77777777" w:rsidR="009A2908" w:rsidRDefault="009A2908" w:rsidP="009A2908">
      <w:pPr>
        <w:pStyle w:val="ListParagraph"/>
        <w:rPr>
          <w:rFonts w:ascii="Arial" w:hAnsi="Arial" w:cs="Arial"/>
          <w:color w:val="000000"/>
        </w:rPr>
      </w:pPr>
    </w:p>
    <w:p w14:paraId="3F36CDA1" w14:textId="4B35DA8B" w:rsidR="00606400" w:rsidRPr="009E065D" w:rsidRDefault="008B66B6" w:rsidP="008B66B6">
      <w:pPr>
        <w:pStyle w:val="ListParagraph"/>
        <w:numPr>
          <w:ilvl w:val="0"/>
          <w:numId w:val="16"/>
        </w:numPr>
        <w:spacing w:after="0" w:line="240" w:lineRule="auto"/>
        <w:ind w:left="714" w:hanging="3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The </w:t>
      </w:r>
      <w:r w:rsidRPr="008B66B6">
        <w:rPr>
          <w:rFonts w:ascii="Arial" w:hAnsi="Arial" w:cs="Arial"/>
          <w:color w:val="000000"/>
        </w:rPr>
        <w:t xml:space="preserve">effective life determinations in the instrument apply on a prospective basis. The effective life determinations with an application date earlier than 1 July 2019 are included in the instrument because there is a need to update the asset description, correct a previous mistake or extend the current industry listing.  </w:t>
      </w:r>
    </w:p>
    <w:p w14:paraId="1AA654DE" w14:textId="77777777" w:rsidR="008B66B6" w:rsidRDefault="008B66B6" w:rsidP="007C5C8E">
      <w:pPr>
        <w:pStyle w:val="Heading2"/>
        <w:spacing w:after="0"/>
        <w:rPr>
          <w:rFonts w:cs="Arial"/>
          <w:sz w:val="24"/>
          <w:szCs w:val="24"/>
        </w:rPr>
      </w:pPr>
    </w:p>
    <w:p w14:paraId="6E4F0E0B" w14:textId="77777777" w:rsidR="00486653" w:rsidRPr="007E0A01" w:rsidRDefault="00486653" w:rsidP="007C5C8E">
      <w:pPr>
        <w:pStyle w:val="Heading2"/>
        <w:spacing w:after="0"/>
        <w:rPr>
          <w:rFonts w:cs="Arial"/>
          <w:sz w:val="24"/>
          <w:szCs w:val="24"/>
        </w:rPr>
      </w:pPr>
      <w:r w:rsidRPr="007E0A01">
        <w:rPr>
          <w:rFonts w:cs="Arial"/>
          <w:sz w:val="24"/>
          <w:szCs w:val="24"/>
        </w:rPr>
        <w:t>Background</w:t>
      </w:r>
    </w:p>
    <w:p w14:paraId="6E4F0E0C" w14:textId="77777777" w:rsidR="00486653" w:rsidRPr="007E0A01" w:rsidRDefault="00486653" w:rsidP="007C5C8E">
      <w:pPr>
        <w:keepNext/>
        <w:keepLines/>
        <w:rPr>
          <w:rFonts w:ascii="Arial" w:hAnsi="Arial" w:cs="Arial"/>
          <w:b/>
        </w:rPr>
      </w:pPr>
    </w:p>
    <w:p w14:paraId="01937FD4" w14:textId="6C0DE4E7" w:rsidR="00F616D7" w:rsidRDefault="009A2908" w:rsidP="001642C9">
      <w:pPr>
        <w:numPr>
          <w:ilvl w:val="0"/>
          <w:numId w:val="16"/>
        </w:numPr>
        <w:ind w:left="714" w:hanging="357"/>
        <w:rPr>
          <w:rFonts w:ascii="Arial" w:hAnsi="Arial" w:cs="Arial"/>
          <w:sz w:val="22"/>
          <w:szCs w:val="22"/>
        </w:rPr>
      </w:pPr>
      <w:r w:rsidRPr="001642C9">
        <w:rPr>
          <w:rFonts w:ascii="Arial" w:hAnsi="Arial" w:cs="Arial"/>
          <w:sz w:val="22"/>
          <w:szCs w:val="22"/>
        </w:rPr>
        <w:t>The policy of effective life deprec</w:t>
      </w:r>
      <w:r w:rsidR="00F616D7">
        <w:rPr>
          <w:rFonts w:ascii="Arial" w:hAnsi="Arial" w:cs="Arial"/>
          <w:sz w:val="22"/>
          <w:szCs w:val="22"/>
        </w:rPr>
        <w:t>i</w:t>
      </w:r>
      <w:r w:rsidRPr="001642C9">
        <w:rPr>
          <w:rFonts w:ascii="Arial" w:hAnsi="Arial" w:cs="Arial"/>
          <w:sz w:val="22"/>
          <w:szCs w:val="22"/>
        </w:rPr>
        <w:t xml:space="preserve">ation came into effect on 1 July 1991. </w:t>
      </w:r>
    </w:p>
    <w:p w14:paraId="767B0483" w14:textId="77777777" w:rsidR="00F616D7" w:rsidRDefault="00F616D7" w:rsidP="00F616D7">
      <w:pPr>
        <w:ind w:left="714"/>
        <w:rPr>
          <w:rFonts w:ascii="Arial" w:hAnsi="Arial" w:cs="Arial"/>
          <w:sz w:val="22"/>
          <w:szCs w:val="22"/>
        </w:rPr>
      </w:pPr>
    </w:p>
    <w:p w14:paraId="2D746C0E" w14:textId="01C9C999" w:rsidR="009A2908" w:rsidRPr="00F616D7" w:rsidRDefault="009A2908" w:rsidP="00026FC9">
      <w:pPr>
        <w:numPr>
          <w:ilvl w:val="0"/>
          <w:numId w:val="16"/>
        </w:numPr>
        <w:ind w:left="714" w:hanging="357"/>
        <w:rPr>
          <w:rFonts w:ascii="Arial" w:hAnsi="Arial" w:cs="Arial"/>
        </w:rPr>
      </w:pPr>
      <w:r w:rsidRPr="001642C9">
        <w:rPr>
          <w:rFonts w:ascii="Arial" w:hAnsi="Arial" w:cs="Arial"/>
          <w:sz w:val="22"/>
          <w:szCs w:val="22"/>
        </w:rPr>
        <w:t>On 21 September 1999, accelerated depreciation was remove</w:t>
      </w:r>
      <w:r w:rsidRPr="00F616D7">
        <w:rPr>
          <w:rFonts w:ascii="Arial" w:hAnsi="Arial" w:cs="Arial"/>
          <w:sz w:val="22"/>
          <w:szCs w:val="22"/>
        </w:rPr>
        <w:t xml:space="preserve">d. As part of that policy, the Government also endorsed the Review of Business Taxation’s recommendation that the </w:t>
      </w:r>
      <w:r w:rsidR="001642C9" w:rsidRPr="00F616D7">
        <w:rPr>
          <w:rFonts w:ascii="Arial" w:hAnsi="Arial" w:cs="Arial"/>
          <w:sz w:val="22"/>
          <w:szCs w:val="22"/>
        </w:rPr>
        <w:t xml:space="preserve">Commissioner institute an ongoing revision of the effective life schedule (Recommendation 8.5 of </w:t>
      </w:r>
      <w:proofErr w:type="gramStart"/>
      <w:r w:rsidR="001642C9" w:rsidRPr="00F616D7">
        <w:rPr>
          <w:rFonts w:ascii="Arial" w:hAnsi="Arial" w:cs="Arial"/>
          <w:i/>
          <w:sz w:val="22"/>
          <w:szCs w:val="22"/>
        </w:rPr>
        <w:t>A</w:t>
      </w:r>
      <w:proofErr w:type="gramEnd"/>
      <w:r w:rsidR="001642C9" w:rsidRPr="00F616D7">
        <w:rPr>
          <w:rFonts w:ascii="Arial" w:hAnsi="Arial" w:cs="Arial"/>
          <w:i/>
          <w:sz w:val="22"/>
          <w:szCs w:val="22"/>
        </w:rPr>
        <w:t xml:space="preserve"> Tax System Redesigned</w:t>
      </w:r>
      <w:r w:rsidR="001642C9" w:rsidRPr="00F616D7">
        <w:rPr>
          <w:rFonts w:ascii="Arial" w:hAnsi="Arial" w:cs="Arial"/>
          <w:sz w:val="22"/>
          <w:szCs w:val="22"/>
        </w:rPr>
        <w:t xml:space="preserve">). </w:t>
      </w:r>
    </w:p>
    <w:p w14:paraId="5B1C5101" w14:textId="77777777" w:rsidR="001642C9" w:rsidRPr="001642C9" w:rsidRDefault="001642C9" w:rsidP="001642C9">
      <w:pPr>
        <w:pStyle w:val="ListParagraph"/>
        <w:spacing w:after="0" w:line="240" w:lineRule="auto"/>
        <w:ind w:left="714" w:hanging="357"/>
        <w:rPr>
          <w:rFonts w:ascii="Arial" w:hAnsi="Arial" w:cs="Arial"/>
        </w:rPr>
      </w:pPr>
    </w:p>
    <w:p w14:paraId="2020A652" w14:textId="09430B10" w:rsidR="001642C9" w:rsidRPr="001642C9" w:rsidRDefault="001642C9" w:rsidP="001642C9">
      <w:pPr>
        <w:pStyle w:val="ListParagraph"/>
        <w:numPr>
          <w:ilvl w:val="0"/>
          <w:numId w:val="16"/>
        </w:numPr>
        <w:spacing w:after="0" w:line="240" w:lineRule="auto"/>
        <w:ind w:left="714" w:hanging="357"/>
        <w:rPr>
          <w:rFonts w:ascii="Arial" w:hAnsi="Arial" w:cs="Arial"/>
        </w:rPr>
      </w:pPr>
      <w:r w:rsidRPr="001642C9">
        <w:rPr>
          <w:rFonts w:ascii="Arial" w:hAnsi="Arial" w:cs="Arial"/>
        </w:rPr>
        <w:t xml:space="preserve">As a result, the ATO has been undertaking ongoing annual reviews of the Commissioner’s determinations of effective life. In doing so, the Commissioner consults with a number of key stakeholders, including users of the assets, industry associations, manufacturers and suppliers of the assets and, when necessary, industry consultants. </w:t>
      </w:r>
    </w:p>
    <w:p w14:paraId="00858A79" w14:textId="77777777" w:rsidR="001642C9" w:rsidRPr="001642C9" w:rsidRDefault="001642C9" w:rsidP="001642C9">
      <w:pPr>
        <w:ind w:left="714" w:hanging="357"/>
        <w:rPr>
          <w:rFonts w:ascii="Arial" w:hAnsi="Arial" w:cs="Arial"/>
          <w:sz w:val="22"/>
          <w:szCs w:val="22"/>
        </w:rPr>
      </w:pPr>
    </w:p>
    <w:p w14:paraId="119927A1" w14:textId="771389AB" w:rsidR="001642C9" w:rsidRDefault="001642C9" w:rsidP="001642C9">
      <w:pPr>
        <w:pStyle w:val="ListParagraph"/>
        <w:numPr>
          <w:ilvl w:val="0"/>
          <w:numId w:val="16"/>
        </w:numPr>
        <w:spacing w:after="0" w:line="240" w:lineRule="auto"/>
        <w:ind w:left="714" w:hanging="357"/>
        <w:rPr>
          <w:rFonts w:ascii="Arial" w:hAnsi="Arial" w:cs="Arial"/>
        </w:rPr>
      </w:pPr>
      <w:r w:rsidRPr="001642C9">
        <w:rPr>
          <w:rFonts w:ascii="Arial" w:hAnsi="Arial" w:cs="Arial"/>
        </w:rPr>
        <w:t xml:space="preserve">The reviews are comprehensive in terms of the information gathered and the consideration given to different factors. </w:t>
      </w:r>
    </w:p>
    <w:p w14:paraId="6D8988B5" w14:textId="77777777" w:rsidR="001642C9" w:rsidRPr="001642C9" w:rsidRDefault="001642C9" w:rsidP="001642C9">
      <w:pPr>
        <w:ind w:left="357"/>
        <w:rPr>
          <w:rFonts w:ascii="Arial" w:hAnsi="Arial" w:cs="Arial"/>
        </w:rPr>
      </w:pPr>
    </w:p>
    <w:p w14:paraId="120D935E" w14:textId="4733D9BF" w:rsidR="001642C9" w:rsidRPr="001642C9" w:rsidRDefault="001642C9" w:rsidP="001642C9">
      <w:pPr>
        <w:numPr>
          <w:ilvl w:val="0"/>
          <w:numId w:val="16"/>
        </w:numPr>
        <w:ind w:left="714" w:hanging="357"/>
        <w:rPr>
          <w:rFonts w:ascii="Arial" w:hAnsi="Arial" w:cs="Arial"/>
          <w:sz w:val="22"/>
          <w:szCs w:val="22"/>
        </w:rPr>
      </w:pPr>
      <w:r w:rsidRPr="001642C9">
        <w:rPr>
          <w:rFonts w:ascii="Arial" w:hAnsi="Arial" w:cs="Arial"/>
          <w:sz w:val="22"/>
          <w:szCs w:val="22"/>
        </w:rPr>
        <w:t>Taxation Ruling 2019/</w:t>
      </w:r>
      <w:r w:rsidR="00C40C91">
        <w:rPr>
          <w:rFonts w:ascii="Arial" w:hAnsi="Arial" w:cs="Arial"/>
          <w:sz w:val="22"/>
          <w:szCs w:val="22"/>
        </w:rPr>
        <w:t>5</w:t>
      </w:r>
      <w:r w:rsidRPr="001642C9">
        <w:rPr>
          <w:rFonts w:ascii="Arial" w:hAnsi="Arial" w:cs="Arial"/>
          <w:sz w:val="22"/>
          <w:szCs w:val="22"/>
        </w:rPr>
        <w:t xml:space="preserve"> explains the factors the Com</w:t>
      </w:r>
      <w:r w:rsidR="00026FC9">
        <w:rPr>
          <w:rFonts w:ascii="Arial" w:hAnsi="Arial" w:cs="Arial"/>
          <w:sz w:val="22"/>
          <w:szCs w:val="22"/>
        </w:rPr>
        <w:t>m</w:t>
      </w:r>
      <w:r w:rsidRPr="001642C9">
        <w:rPr>
          <w:rFonts w:ascii="Arial" w:hAnsi="Arial" w:cs="Arial"/>
          <w:sz w:val="22"/>
          <w:szCs w:val="22"/>
        </w:rPr>
        <w:t xml:space="preserve">issioner takes into account when making effective life determinations. Those factors include commercial and technical </w:t>
      </w:r>
      <w:proofErr w:type="gramStart"/>
      <w:r w:rsidRPr="001642C9">
        <w:rPr>
          <w:rFonts w:ascii="Arial" w:hAnsi="Arial" w:cs="Arial"/>
          <w:sz w:val="22"/>
          <w:szCs w:val="22"/>
        </w:rPr>
        <w:t>obsolescence</w:t>
      </w:r>
      <w:r w:rsidR="00776ABF">
        <w:rPr>
          <w:rFonts w:ascii="Arial" w:hAnsi="Arial" w:cs="Arial"/>
          <w:sz w:val="22"/>
          <w:szCs w:val="22"/>
        </w:rPr>
        <w:t>,</w:t>
      </w:r>
      <w:proofErr w:type="gramEnd"/>
      <w:r w:rsidRPr="001642C9">
        <w:rPr>
          <w:rFonts w:ascii="Arial" w:hAnsi="Arial" w:cs="Arial"/>
          <w:sz w:val="22"/>
          <w:szCs w:val="22"/>
        </w:rPr>
        <w:t xml:space="preserve"> to the extent </w:t>
      </w:r>
      <w:r w:rsidR="001C0A2F">
        <w:rPr>
          <w:rFonts w:ascii="Arial" w:hAnsi="Arial" w:cs="Arial"/>
          <w:sz w:val="22"/>
          <w:szCs w:val="22"/>
        </w:rPr>
        <w:t>this can be</w:t>
      </w:r>
      <w:r w:rsidRPr="001642C9">
        <w:rPr>
          <w:rFonts w:ascii="Arial" w:hAnsi="Arial" w:cs="Arial"/>
          <w:sz w:val="22"/>
          <w:szCs w:val="22"/>
        </w:rPr>
        <w:t xml:space="preserve"> predict</w:t>
      </w:r>
      <w:r w:rsidR="001C0A2F">
        <w:rPr>
          <w:rFonts w:ascii="Arial" w:hAnsi="Arial" w:cs="Arial"/>
          <w:sz w:val="22"/>
          <w:szCs w:val="22"/>
        </w:rPr>
        <w:t>ed</w:t>
      </w:r>
      <w:r w:rsidRPr="001642C9">
        <w:rPr>
          <w:rFonts w:ascii="Arial" w:hAnsi="Arial" w:cs="Arial"/>
          <w:sz w:val="22"/>
          <w:szCs w:val="22"/>
        </w:rPr>
        <w:t xml:space="preserve">. The review </w:t>
      </w:r>
      <w:r w:rsidR="001C0A2F">
        <w:rPr>
          <w:rFonts w:ascii="Arial" w:hAnsi="Arial" w:cs="Arial"/>
          <w:sz w:val="22"/>
          <w:szCs w:val="22"/>
        </w:rPr>
        <w:t>does</w:t>
      </w:r>
      <w:r w:rsidR="001C0A2F" w:rsidRPr="001642C9">
        <w:rPr>
          <w:rFonts w:ascii="Arial" w:hAnsi="Arial" w:cs="Arial"/>
          <w:sz w:val="22"/>
          <w:szCs w:val="22"/>
        </w:rPr>
        <w:t xml:space="preserve"> </w:t>
      </w:r>
      <w:r w:rsidRPr="001642C9">
        <w:rPr>
          <w:rFonts w:ascii="Arial" w:hAnsi="Arial" w:cs="Arial"/>
          <w:sz w:val="22"/>
          <w:szCs w:val="22"/>
        </w:rPr>
        <w:t xml:space="preserve">not focus on the physical life of assets to the exclusion of economic influences on </w:t>
      </w:r>
      <w:r w:rsidR="001C0A2F">
        <w:rPr>
          <w:rFonts w:ascii="Arial" w:hAnsi="Arial" w:cs="Arial"/>
          <w:sz w:val="22"/>
          <w:szCs w:val="22"/>
        </w:rPr>
        <w:t xml:space="preserve">its </w:t>
      </w:r>
      <w:r w:rsidRPr="001642C9">
        <w:rPr>
          <w:rFonts w:ascii="Arial" w:hAnsi="Arial" w:cs="Arial"/>
          <w:sz w:val="22"/>
          <w:szCs w:val="22"/>
        </w:rPr>
        <w:t>effective life.</w:t>
      </w:r>
    </w:p>
    <w:p w14:paraId="2DDB266F" w14:textId="77777777" w:rsidR="001642C9" w:rsidRPr="001642C9" w:rsidRDefault="001642C9" w:rsidP="001642C9">
      <w:pPr>
        <w:ind w:left="714" w:hanging="357"/>
        <w:rPr>
          <w:rFonts w:ascii="Arial" w:hAnsi="Arial" w:cs="Arial"/>
          <w:sz w:val="22"/>
          <w:szCs w:val="22"/>
        </w:rPr>
      </w:pPr>
    </w:p>
    <w:p w14:paraId="4B5E4D63" w14:textId="116DD246" w:rsidR="001642C9" w:rsidRPr="001642C9" w:rsidRDefault="001642C9" w:rsidP="001642C9">
      <w:pPr>
        <w:numPr>
          <w:ilvl w:val="0"/>
          <w:numId w:val="16"/>
        </w:numPr>
        <w:ind w:left="714" w:hanging="357"/>
        <w:rPr>
          <w:rFonts w:ascii="Arial" w:hAnsi="Arial" w:cs="Arial"/>
          <w:sz w:val="22"/>
          <w:szCs w:val="22"/>
        </w:rPr>
      </w:pPr>
      <w:r w:rsidRPr="001642C9">
        <w:rPr>
          <w:rFonts w:ascii="Arial" w:hAnsi="Arial" w:cs="Arial"/>
          <w:sz w:val="22"/>
          <w:szCs w:val="22"/>
        </w:rPr>
        <w:t xml:space="preserve">Ultimately, the Commissioner’s determinations must satisfy the question of how long the depreciating asset can be used by any entity for </w:t>
      </w:r>
      <w:r w:rsidR="0046522B">
        <w:rPr>
          <w:rFonts w:ascii="Arial" w:hAnsi="Arial" w:cs="Arial"/>
          <w:sz w:val="22"/>
          <w:szCs w:val="22"/>
        </w:rPr>
        <w:t>one or more</w:t>
      </w:r>
      <w:r w:rsidRPr="001642C9">
        <w:rPr>
          <w:rFonts w:ascii="Arial" w:hAnsi="Arial" w:cs="Arial"/>
          <w:sz w:val="22"/>
          <w:szCs w:val="22"/>
        </w:rPr>
        <w:t xml:space="preserve"> specified purpose</w:t>
      </w:r>
      <w:r w:rsidR="0046522B">
        <w:rPr>
          <w:rFonts w:ascii="Arial" w:hAnsi="Arial" w:cs="Arial"/>
          <w:sz w:val="22"/>
          <w:szCs w:val="22"/>
        </w:rPr>
        <w:t>s</w:t>
      </w:r>
      <w:r w:rsidRPr="001642C9">
        <w:rPr>
          <w:rFonts w:ascii="Arial" w:hAnsi="Arial" w:cs="Arial"/>
          <w:sz w:val="22"/>
          <w:szCs w:val="22"/>
        </w:rPr>
        <w:t xml:space="preserve">, </w:t>
      </w:r>
      <w:r w:rsidR="0046522B">
        <w:rPr>
          <w:rFonts w:ascii="Arial" w:hAnsi="Arial" w:cs="Arial"/>
          <w:sz w:val="22"/>
          <w:szCs w:val="22"/>
        </w:rPr>
        <w:t>including</w:t>
      </w:r>
      <w:r w:rsidRPr="001642C9">
        <w:rPr>
          <w:rFonts w:ascii="Arial" w:hAnsi="Arial" w:cs="Arial"/>
          <w:sz w:val="22"/>
          <w:szCs w:val="22"/>
        </w:rPr>
        <w:t xml:space="preserve"> a taxable purpose.</w:t>
      </w:r>
    </w:p>
    <w:p w14:paraId="7BCB995E" w14:textId="77777777" w:rsidR="001642C9" w:rsidRPr="001642C9" w:rsidRDefault="001642C9" w:rsidP="001642C9">
      <w:pPr>
        <w:ind w:left="714" w:hanging="357"/>
        <w:rPr>
          <w:rFonts w:ascii="Arial" w:hAnsi="Arial" w:cs="Arial"/>
          <w:sz w:val="22"/>
          <w:szCs w:val="22"/>
        </w:rPr>
      </w:pPr>
    </w:p>
    <w:p w14:paraId="4CC79326" w14:textId="77777777" w:rsidR="001642C9" w:rsidRPr="001642C9" w:rsidRDefault="001642C9" w:rsidP="001642C9">
      <w:pPr>
        <w:numPr>
          <w:ilvl w:val="0"/>
          <w:numId w:val="16"/>
        </w:numPr>
        <w:ind w:left="714" w:hanging="357"/>
        <w:rPr>
          <w:rFonts w:ascii="Arial" w:hAnsi="Arial" w:cs="Arial"/>
          <w:sz w:val="22"/>
          <w:szCs w:val="22"/>
        </w:rPr>
      </w:pPr>
      <w:r w:rsidRPr="001642C9">
        <w:rPr>
          <w:rFonts w:ascii="Arial" w:hAnsi="Arial" w:cs="Arial"/>
          <w:sz w:val="22"/>
          <w:szCs w:val="22"/>
        </w:rPr>
        <w:t>The new determinations of effective life do not represent any change in policy. They represent proper administration of the law.</w:t>
      </w:r>
    </w:p>
    <w:p w14:paraId="1F64F724" w14:textId="77777777" w:rsidR="001642C9" w:rsidRPr="001642C9" w:rsidRDefault="001642C9" w:rsidP="001642C9">
      <w:pPr>
        <w:tabs>
          <w:tab w:val="left" w:pos="6405"/>
        </w:tabs>
        <w:ind w:left="714" w:hanging="357"/>
        <w:rPr>
          <w:rFonts w:ascii="Arial" w:hAnsi="Arial" w:cs="Arial"/>
          <w:sz w:val="22"/>
          <w:szCs w:val="22"/>
        </w:rPr>
      </w:pPr>
    </w:p>
    <w:p w14:paraId="2B0F4C84" w14:textId="77777777" w:rsidR="00F616D7" w:rsidRDefault="001642C9" w:rsidP="00F616D7">
      <w:pPr>
        <w:numPr>
          <w:ilvl w:val="0"/>
          <w:numId w:val="16"/>
        </w:numPr>
        <w:ind w:left="714" w:hanging="357"/>
        <w:rPr>
          <w:rFonts w:ascii="Arial" w:hAnsi="Arial" w:cs="Arial"/>
          <w:sz w:val="22"/>
          <w:szCs w:val="22"/>
        </w:rPr>
      </w:pPr>
      <w:r w:rsidRPr="001642C9">
        <w:rPr>
          <w:rFonts w:ascii="Arial" w:hAnsi="Arial" w:cs="Arial"/>
          <w:sz w:val="22"/>
          <w:szCs w:val="22"/>
        </w:rPr>
        <w:t xml:space="preserve">The new determinations have been arrived at by a proper process. An independent review panel has confirmed that sufficient consultation was undertaken. </w:t>
      </w:r>
    </w:p>
    <w:p w14:paraId="1983A385" w14:textId="77777777" w:rsidR="00F616D7" w:rsidRPr="00F616D7" w:rsidRDefault="00F616D7" w:rsidP="00F616D7">
      <w:pPr>
        <w:rPr>
          <w:rFonts w:ascii="Arial" w:hAnsi="Arial" w:cs="Arial"/>
        </w:rPr>
      </w:pPr>
    </w:p>
    <w:p w14:paraId="537304D8" w14:textId="04F72CF0" w:rsidR="00F616D7" w:rsidRPr="00F616D7" w:rsidRDefault="00F616D7" w:rsidP="00F616D7">
      <w:pPr>
        <w:numPr>
          <w:ilvl w:val="0"/>
          <w:numId w:val="16"/>
        </w:numPr>
        <w:ind w:left="714" w:hanging="357"/>
        <w:rPr>
          <w:rFonts w:ascii="Arial" w:hAnsi="Arial" w:cs="Arial"/>
          <w:sz w:val="22"/>
          <w:szCs w:val="22"/>
        </w:rPr>
      </w:pPr>
      <w:r w:rsidRPr="00F616D7">
        <w:rPr>
          <w:rFonts w:ascii="Arial" w:hAnsi="Arial" w:cs="Arial"/>
          <w:sz w:val="22"/>
          <w:szCs w:val="22"/>
        </w:rPr>
        <w:t>An Assistant Commissioner from the ATO is responsible for signing the legislative instrument.</w:t>
      </w:r>
    </w:p>
    <w:p w14:paraId="7E8DBA64" w14:textId="77777777" w:rsidR="00F616D7" w:rsidRDefault="00F616D7" w:rsidP="00F616D7">
      <w:pPr>
        <w:keepNext/>
        <w:keepLines/>
        <w:rPr>
          <w:rFonts w:ascii="Arial" w:hAnsi="Arial" w:cs="Arial"/>
          <w:color w:val="000000"/>
        </w:rPr>
      </w:pPr>
    </w:p>
    <w:p w14:paraId="70107DEB" w14:textId="77777777" w:rsidR="001642C9" w:rsidRPr="00F616D7" w:rsidRDefault="001642C9" w:rsidP="00F616D7">
      <w:pPr>
        <w:ind w:left="714"/>
        <w:rPr>
          <w:rFonts w:ascii="Arial" w:hAnsi="Arial" w:cs="Arial"/>
        </w:rPr>
      </w:pPr>
    </w:p>
    <w:p w14:paraId="6E4F0E0F" w14:textId="77777777" w:rsidR="00486653" w:rsidRPr="007E0A01" w:rsidRDefault="00486653" w:rsidP="007C5C8E">
      <w:pPr>
        <w:pStyle w:val="Heading2"/>
        <w:spacing w:after="0"/>
        <w:rPr>
          <w:rFonts w:cs="Arial"/>
          <w:sz w:val="24"/>
          <w:szCs w:val="24"/>
        </w:rPr>
      </w:pPr>
      <w:r w:rsidRPr="007E0A01">
        <w:rPr>
          <w:rFonts w:cs="Arial"/>
          <w:sz w:val="24"/>
          <w:szCs w:val="24"/>
        </w:rPr>
        <w:t>Consultation:</w:t>
      </w:r>
    </w:p>
    <w:p w14:paraId="6E4F0E10" w14:textId="77777777" w:rsidR="00486653" w:rsidRPr="007E0A01" w:rsidRDefault="00486653" w:rsidP="007C5C8E">
      <w:pPr>
        <w:keepNext/>
        <w:keepLines/>
        <w:rPr>
          <w:rFonts w:ascii="Arial" w:hAnsi="Arial" w:cs="Arial"/>
          <w:color w:val="000000"/>
        </w:rPr>
      </w:pPr>
    </w:p>
    <w:p w14:paraId="12001375" w14:textId="77777777" w:rsidR="001642C9" w:rsidRDefault="001642C9" w:rsidP="00F616D7">
      <w:pPr>
        <w:numPr>
          <w:ilvl w:val="0"/>
          <w:numId w:val="16"/>
        </w:numPr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Notifications of the various reviews being conducted are listed on the ATO website with an invitation to participate in the reviews.</w:t>
      </w:r>
    </w:p>
    <w:p w14:paraId="27F72455" w14:textId="77777777" w:rsidR="001642C9" w:rsidRDefault="001642C9" w:rsidP="001642C9">
      <w:pPr>
        <w:rPr>
          <w:rFonts w:ascii="Arial" w:hAnsi="Arial" w:cs="Arial"/>
          <w:sz w:val="22"/>
          <w:szCs w:val="22"/>
        </w:rPr>
      </w:pPr>
    </w:p>
    <w:p w14:paraId="416092B9" w14:textId="34F310AB" w:rsidR="00F616D7" w:rsidRPr="00F616D7" w:rsidRDefault="001642C9" w:rsidP="00F616D7">
      <w:pPr>
        <w:numPr>
          <w:ilvl w:val="0"/>
          <w:numId w:val="16"/>
        </w:numPr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Draft effective lives are published along with requests for </w:t>
      </w:r>
      <w:proofErr w:type="spellStart"/>
      <w:r>
        <w:rPr>
          <w:rFonts w:ascii="Arial" w:hAnsi="Arial" w:cs="Arial"/>
          <w:sz w:val="22"/>
          <w:szCs w:val="22"/>
        </w:rPr>
        <w:t>feedback</w:t>
      </w:r>
      <w:r w:rsidR="00C779D6">
        <w:rPr>
          <w:rFonts w:ascii="Arial" w:hAnsi="Arial" w:cs="Arial"/>
          <w:sz w:val="22"/>
          <w:szCs w:val="22"/>
        </w:rPr>
        <w:t>.T</w:t>
      </w:r>
      <w:r>
        <w:rPr>
          <w:rFonts w:ascii="Arial" w:hAnsi="Arial" w:cs="Arial"/>
          <w:sz w:val="22"/>
          <w:szCs w:val="22"/>
        </w:rPr>
        <w:t>hese</w:t>
      </w:r>
      <w:proofErr w:type="spellEnd"/>
      <w:r>
        <w:rPr>
          <w:rFonts w:ascii="Arial" w:hAnsi="Arial" w:cs="Arial"/>
          <w:sz w:val="22"/>
          <w:szCs w:val="22"/>
        </w:rPr>
        <w:t xml:space="preserve"> drafts are also sent to key stakeholders, including industry participants and associations, for comment. After considering the feedback, final effective lives are published in </w:t>
      </w:r>
      <w:r w:rsidRPr="00483397">
        <w:rPr>
          <w:rFonts w:ascii="Arial" w:hAnsi="Arial" w:cs="Arial"/>
          <w:sz w:val="22"/>
          <w:szCs w:val="22"/>
        </w:rPr>
        <w:t xml:space="preserve">Taxation Ruling </w:t>
      </w:r>
      <w:r w:rsidRPr="009D40CF">
        <w:rPr>
          <w:rFonts w:ascii="Arial" w:hAnsi="Arial" w:cs="Arial"/>
          <w:sz w:val="22"/>
          <w:szCs w:val="22"/>
        </w:rPr>
        <w:t>201</w:t>
      </w:r>
      <w:r w:rsidR="008B66B6">
        <w:rPr>
          <w:rFonts w:ascii="Arial" w:hAnsi="Arial" w:cs="Arial"/>
          <w:sz w:val="22"/>
          <w:szCs w:val="22"/>
        </w:rPr>
        <w:t>9</w:t>
      </w:r>
      <w:r w:rsidRPr="009D40CF">
        <w:rPr>
          <w:rFonts w:ascii="Arial" w:hAnsi="Arial" w:cs="Arial"/>
          <w:sz w:val="22"/>
          <w:szCs w:val="22"/>
        </w:rPr>
        <w:t>/</w:t>
      </w:r>
      <w:r w:rsidR="00C40C91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on the ATO website.</w:t>
      </w:r>
    </w:p>
    <w:p w14:paraId="6CEAC4FA" w14:textId="77777777" w:rsidR="001642C9" w:rsidRDefault="001642C9" w:rsidP="001642C9">
      <w:pPr>
        <w:tabs>
          <w:tab w:val="left" w:pos="7060"/>
          <w:tab w:val="left" w:pos="7534"/>
        </w:tabs>
        <w:rPr>
          <w:rFonts w:ascii="Arial" w:hAnsi="Arial" w:cs="Arial"/>
          <w:sz w:val="22"/>
          <w:szCs w:val="22"/>
        </w:rPr>
      </w:pPr>
    </w:p>
    <w:p w14:paraId="58CD697D" w14:textId="7F5DFE4B" w:rsidR="00F616D7" w:rsidRPr="00C779D6" w:rsidRDefault="001642C9" w:rsidP="000F616F">
      <w:pPr>
        <w:numPr>
          <w:ilvl w:val="0"/>
          <w:numId w:val="16"/>
        </w:numPr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review panel, typically including representatives from the Corporate Tax Association, </w:t>
      </w:r>
      <w:r w:rsidRPr="00172C85">
        <w:rPr>
          <w:rFonts w:ascii="Arial" w:hAnsi="Arial" w:cs="Arial"/>
          <w:sz w:val="22"/>
          <w:szCs w:val="22"/>
        </w:rPr>
        <w:t>Chartered Accountants Australia and New Zealand</w:t>
      </w:r>
      <w:r>
        <w:rPr>
          <w:rFonts w:ascii="Arial" w:hAnsi="Arial" w:cs="Arial"/>
          <w:sz w:val="22"/>
          <w:szCs w:val="22"/>
        </w:rPr>
        <w:t>, Australian Finance Industry Association</w:t>
      </w:r>
      <w:r w:rsidR="000A0FBC">
        <w:rPr>
          <w:rFonts w:ascii="Arial" w:hAnsi="Arial" w:cs="Arial"/>
          <w:sz w:val="22"/>
          <w:szCs w:val="22"/>
        </w:rPr>
        <w:t xml:space="preserve">, </w:t>
      </w:r>
      <w:r w:rsidR="00407515">
        <w:rPr>
          <w:rFonts w:ascii="Arial" w:hAnsi="Arial" w:cs="Arial"/>
          <w:sz w:val="22"/>
          <w:szCs w:val="22"/>
        </w:rPr>
        <w:t>National Australia Bank</w:t>
      </w:r>
      <w:r w:rsidR="00145002">
        <w:rPr>
          <w:rFonts w:ascii="Arial" w:hAnsi="Arial" w:cs="Arial"/>
          <w:sz w:val="22"/>
          <w:szCs w:val="22"/>
        </w:rPr>
        <w:t xml:space="preserve"> Finance</w:t>
      </w:r>
      <w:r>
        <w:rPr>
          <w:rFonts w:ascii="Arial" w:hAnsi="Arial" w:cs="Arial"/>
          <w:sz w:val="22"/>
          <w:szCs w:val="22"/>
        </w:rPr>
        <w:t xml:space="preserve"> and the ATO is involved in reviewing the proposed effective lives. The involvement of review panel members ensures that a full consultative process has been carried out with key stakeholders when conducting effective life reviews.</w:t>
      </w:r>
    </w:p>
    <w:p w14:paraId="0C59FF43" w14:textId="2DE2E6F6" w:rsidR="001642C9" w:rsidRDefault="001642C9" w:rsidP="001642C9">
      <w:pPr>
        <w:rPr>
          <w:rFonts w:ascii="Arial" w:hAnsi="Arial" w:cs="Arial"/>
          <w:sz w:val="22"/>
          <w:szCs w:val="22"/>
        </w:rPr>
      </w:pPr>
    </w:p>
    <w:p w14:paraId="165BB831" w14:textId="63DFE3B0" w:rsidR="00F616D7" w:rsidRPr="00F616D7" w:rsidRDefault="001642C9" w:rsidP="00F616D7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final effective life determinations are sent to all taxpayers that participated in the review and are </w:t>
      </w:r>
      <w:r w:rsidR="00026FC9">
        <w:rPr>
          <w:rFonts w:ascii="Arial" w:hAnsi="Arial" w:cs="Arial"/>
          <w:sz w:val="22"/>
          <w:szCs w:val="22"/>
        </w:rPr>
        <w:t xml:space="preserve">also </w:t>
      </w:r>
      <w:r>
        <w:rPr>
          <w:rFonts w:ascii="Arial" w:hAnsi="Arial" w:cs="Arial"/>
          <w:sz w:val="22"/>
          <w:szCs w:val="22"/>
        </w:rPr>
        <w:t>published on the ATO website.</w:t>
      </w:r>
    </w:p>
    <w:p w14:paraId="373DE58A" w14:textId="7B47A528" w:rsidR="001642C9" w:rsidRDefault="001642C9" w:rsidP="001642C9">
      <w:pPr>
        <w:keepNext/>
        <w:keepLines/>
        <w:rPr>
          <w:rFonts w:ascii="Arial" w:hAnsi="Arial" w:cs="Arial"/>
          <w:color w:val="000000"/>
        </w:rPr>
      </w:pPr>
    </w:p>
    <w:p w14:paraId="4A579DA4" w14:textId="77777777" w:rsidR="00DB1F02" w:rsidRDefault="00DB1F02" w:rsidP="001642C9">
      <w:pPr>
        <w:keepNext/>
        <w:keepLines/>
        <w:rPr>
          <w:rFonts w:ascii="Arial" w:hAnsi="Arial" w:cs="Arial"/>
          <w:color w:val="000000"/>
        </w:rPr>
      </w:pPr>
    </w:p>
    <w:p w14:paraId="101A4084" w14:textId="77777777" w:rsidR="001642C9" w:rsidRDefault="001642C9" w:rsidP="001642C9">
      <w:pPr>
        <w:spacing w:after="60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Legislative references:</w:t>
      </w:r>
    </w:p>
    <w:p w14:paraId="5A29D38E" w14:textId="77777777" w:rsidR="001642C9" w:rsidRPr="007D427A" w:rsidRDefault="001642C9" w:rsidP="001642C9">
      <w:pPr>
        <w:numPr>
          <w:ilvl w:val="0"/>
          <w:numId w:val="39"/>
        </w:numPr>
        <w:tabs>
          <w:tab w:val="clear" w:pos="360"/>
        </w:tabs>
        <w:ind w:left="284" w:hanging="284"/>
        <w:rPr>
          <w:rFonts w:ascii="Arial" w:hAnsi="Arial" w:cs="Arial"/>
          <w:i/>
          <w:color w:val="000000"/>
          <w:sz w:val="20"/>
        </w:rPr>
      </w:pPr>
      <w:r>
        <w:rPr>
          <w:rFonts w:ascii="Arial" w:hAnsi="Arial" w:cs="Arial"/>
          <w:i/>
          <w:sz w:val="20"/>
        </w:rPr>
        <w:t>Acts Interpretation Act 1901</w:t>
      </w:r>
    </w:p>
    <w:p w14:paraId="11A5D2FE" w14:textId="77777777" w:rsidR="001642C9" w:rsidRPr="00770BEE" w:rsidRDefault="001642C9" w:rsidP="001642C9">
      <w:pPr>
        <w:numPr>
          <w:ilvl w:val="0"/>
          <w:numId w:val="39"/>
        </w:numPr>
        <w:tabs>
          <w:tab w:val="clear" w:pos="360"/>
        </w:tabs>
        <w:ind w:left="284" w:hanging="284"/>
        <w:rPr>
          <w:rFonts w:ascii="Arial" w:hAnsi="Arial" w:cs="Arial"/>
          <w:i/>
          <w:color w:val="000000"/>
          <w:sz w:val="20"/>
        </w:rPr>
      </w:pPr>
      <w:r>
        <w:rPr>
          <w:rFonts w:ascii="Arial" w:hAnsi="Arial" w:cs="Arial"/>
          <w:i/>
          <w:sz w:val="20"/>
        </w:rPr>
        <w:t>Human Rights (Parliamentary Scrutiny) Act 2011</w:t>
      </w:r>
    </w:p>
    <w:p w14:paraId="219C1D09" w14:textId="77777777" w:rsidR="001642C9" w:rsidRDefault="001642C9" w:rsidP="001642C9">
      <w:pPr>
        <w:numPr>
          <w:ilvl w:val="0"/>
          <w:numId w:val="39"/>
        </w:numPr>
        <w:tabs>
          <w:tab w:val="clear" w:pos="360"/>
        </w:tabs>
        <w:ind w:left="284" w:hanging="284"/>
        <w:rPr>
          <w:rFonts w:ascii="Arial" w:hAnsi="Arial" w:cs="Arial"/>
          <w:color w:val="000000"/>
          <w:sz w:val="20"/>
        </w:rPr>
      </w:pPr>
      <w:r w:rsidRPr="00770BEE">
        <w:rPr>
          <w:rFonts w:ascii="Arial" w:hAnsi="Arial" w:cs="Arial"/>
          <w:i/>
          <w:color w:val="000000"/>
          <w:sz w:val="20"/>
        </w:rPr>
        <w:t xml:space="preserve">Income Tax Assessment Act 1997 </w:t>
      </w:r>
    </w:p>
    <w:p w14:paraId="7D12B609" w14:textId="77777777" w:rsidR="001642C9" w:rsidRPr="00A1162E" w:rsidRDefault="001642C9" w:rsidP="001642C9">
      <w:pPr>
        <w:numPr>
          <w:ilvl w:val="0"/>
          <w:numId w:val="39"/>
        </w:numPr>
        <w:tabs>
          <w:tab w:val="clear" w:pos="360"/>
        </w:tabs>
        <w:ind w:left="284" w:hanging="284"/>
        <w:rPr>
          <w:rFonts w:ascii="Arial" w:hAnsi="Arial" w:cs="Arial"/>
          <w:i/>
          <w:sz w:val="20"/>
        </w:rPr>
      </w:pPr>
      <w:r w:rsidRPr="00A1162E">
        <w:rPr>
          <w:rFonts w:ascii="Arial" w:hAnsi="Arial" w:cs="Arial"/>
          <w:i/>
          <w:color w:val="000000"/>
          <w:sz w:val="20"/>
        </w:rPr>
        <w:t xml:space="preserve">Income Tax (Effective </w:t>
      </w:r>
      <w:r>
        <w:rPr>
          <w:rFonts w:ascii="Arial" w:hAnsi="Arial" w:cs="Arial"/>
          <w:i/>
          <w:color w:val="000000"/>
          <w:sz w:val="20"/>
        </w:rPr>
        <w:t>L</w:t>
      </w:r>
      <w:r w:rsidRPr="00A1162E">
        <w:rPr>
          <w:rFonts w:ascii="Arial" w:hAnsi="Arial" w:cs="Arial"/>
          <w:i/>
          <w:color w:val="000000"/>
          <w:sz w:val="20"/>
        </w:rPr>
        <w:t>ife of Depreciating Assets) Determination</w:t>
      </w:r>
      <w:r>
        <w:rPr>
          <w:rFonts w:ascii="Arial" w:hAnsi="Arial" w:cs="Arial"/>
          <w:i/>
          <w:color w:val="000000"/>
          <w:sz w:val="20"/>
        </w:rPr>
        <w:t xml:space="preserve"> 2015</w:t>
      </w:r>
      <w:r w:rsidRPr="00A1162E">
        <w:rPr>
          <w:rFonts w:ascii="Arial" w:hAnsi="Arial" w:cs="Arial"/>
          <w:i/>
          <w:color w:val="000000"/>
          <w:sz w:val="20"/>
        </w:rPr>
        <w:t xml:space="preserve"> </w:t>
      </w:r>
    </w:p>
    <w:p w14:paraId="51DE7A51" w14:textId="77777777" w:rsidR="001642C9" w:rsidRPr="00770BEE" w:rsidRDefault="001642C9" w:rsidP="001642C9">
      <w:pPr>
        <w:numPr>
          <w:ilvl w:val="0"/>
          <w:numId w:val="39"/>
        </w:numPr>
        <w:tabs>
          <w:tab w:val="clear" w:pos="360"/>
        </w:tabs>
        <w:ind w:left="284" w:hanging="284"/>
        <w:rPr>
          <w:rFonts w:ascii="Arial" w:hAnsi="Arial" w:cs="Arial"/>
          <w:i/>
          <w:color w:val="000000"/>
          <w:sz w:val="20"/>
        </w:rPr>
      </w:pPr>
      <w:r>
        <w:rPr>
          <w:rFonts w:ascii="Arial" w:hAnsi="Arial" w:cs="Arial"/>
          <w:i/>
          <w:sz w:val="20"/>
        </w:rPr>
        <w:t>Legislation</w:t>
      </w:r>
      <w:r w:rsidRPr="005E4AE6">
        <w:rPr>
          <w:rFonts w:ascii="Arial" w:hAnsi="Arial" w:cs="Arial"/>
          <w:i/>
          <w:sz w:val="20"/>
        </w:rPr>
        <w:t xml:space="preserve"> Act 2003</w:t>
      </w:r>
    </w:p>
    <w:p w14:paraId="5F0769CA" w14:textId="77777777" w:rsidR="001642C9" w:rsidRDefault="001642C9" w:rsidP="001642C9">
      <w:pPr>
        <w:rPr>
          <w:rFonts w:ascii="Arial" w:hAnsi="Arial" w:cs="Arial"/>
          <w:sz w:val="22"/>
          <w:szCs w:val="22"/>
        </w:rPr>
      </w:pPr>
    </w:p>
    <w:p w14:paraId="3A724798" w14:textId="77777777" w:rsidR="001642C9" w:rsidRPr="005E4AE6" w:rsidRDefault="001642C9" w:rsidP="001642C9">
      <w:pPr>
        <w:spacing w:after="60"/>
        <w:rPr>
          <w:rFonts w:ascii="Arial" w:hAnsi="Arial" w:cs="Arial"/>
          <w:i/>
          <w:sz w:val="20"/>
        </w:rPr>
      </w:pPr>
      <w:r w:rsidRPr="005E4AE6">
        <w:rPr>
          <w:rFonts w:ascii="Arial" w:hAnsi="Arial" w:cs="Arial"/>
          <w:i/>
          <w:sz w:val="20"/>
        </w:rPr>
        <w:t xml:space="preserve">Other References </w:t>
      </w:r>
    </w:p>
    <w:p w14:paraId="4D316A8F" w14:textId="77777777" w:rsidR="001642C9" w:rsidRPr="005E4AE6" w:rsidRDefault="001642C9" w:rsidP="001642C9">
      <w:pPr>
        <w:numPr>
          <w:ilvl w:val="0"/>
          <w:numId w:val="39"/>
        </w:numPr>
        <w:rPr>
          <w:rFonts w:ascii="Arial" w:hAnsi="Arial" w:cs="Arial"/>
          <w:sz w:val="20"/>
        </w:rPr>
      </w:pPr>
      <w:r w:rsidRPr="005E4AE6">
        <w:rPr>
          <w:rFonts w:ascii="Arial" w:hAnsi="Arial" w:cs="Arial"/>
          <w:sz w:val="20"/>
        </w:rPr>
        <w:t xml:space="preserve">Recommendation 8.5 of The Review of Business Taxation Report: </w:t>
      </w:r>
      <w:r w:rsidRPr="005E4AE6">
        <w:rPr>
          <w:rFonts w:ascii="Arial" w:hAnsi="Arial" w:cs="Arial"/>
          <w:i/>
          <w:sz w:val="20"/>
        </w:rPr>
        <w:t>A Tax System Redesigned</w:t>
      </w:r>
    </w:p>
    <w:p w14:paraId="4FFD8D63" w14:textId="77777777" w:rsidR="007C5C8E" w:rsidRPr="007E0A01" w:rsidRDefault="007C5C8E" w:rsidP="00E53399">
      <w:pPr>
        <w:pStyle w:val="Heading3"/>
      </w:pPr>
      <w:r w:rsidRPr="007E0A01">
        <w:br/>
      </w:r>
      <w:r w:rsidRPr="007E0A01">
        <w:br/>
      </w:r>
      <w:r w:rsidRPr="007E0A01">
        <w:br/>
      </w:r>
      <w:r w:rsidRPr="007E0A01">
        <w:br/>
      </w:r>
    </w:p>
    <w:p w14:paraId="42D9B314" w14:textId="77777777" w:rsidR="007C5C8E" w:rsidRPr="007E0A01" w:rsidRDefault="007C5C8E" w:rsidP="00E53399">
      <w:pPr>
        <w:pStyle w:val="Heading3"/>
      </w:pPr>
    </w:p>
    <w:p w14:paraId="083FE6D7" w14:textId="4D25EBF3" w:rsidR="00333567" w:rsidRPr="007E0A01" w:rsidRDefault="00333567" w:rsidP="00E53399">
      <w:pPr>
        <w:pStyle w:val="Heading3"/>
      </w:pPr>
      <w:r w:rsidRPr="007E0A01">
        <w:br/>
      </w:r>
      <w:r w:rsidRPr="007E0A01">
        <w:br/>
      </w:r>
    </w:p>
    <w:p w14:paraId="312BDD8C" w14:textId="77777777" w:rsidR="00333567" w:rsidRPr="007E0A01" w:rsidRDefault="00333567" w:rsidP="00333567">
      <w:pPr>
        <w:rPr>
          <w:rFonts w:ascii="Arial" w:hAnsi="Arial" w:cs="Arial"/>
        </w:rPr>
      </w:pPr>
    </w:p>
    <w:p w14:paraId="7ADF1BE6" w14:textId="77777777" w:rsidR="00333567" w:rsidRPr="007E0A01" w:rsidRDefault="00333567" w:rsidP="00333567">
      <w:pPr>
        <w:rPr>
          <w:rFonts w:ascii="Arial" w:hAnsi="Arial" w:cs="Arial"/>
        </w:rPr>
      </w:pPr>
    </w:p>
    <w:p w14:paraId="5C3E30CD" w14:textId="77777777" w:rsidR="00333567" w:rsidRPr="007E0A01" w:rsidRDefault="00333567" w:rsidP="00333567">
      <w:pPr>
        <w:rPr>
          <w:rFonts w:ascii="Arial" w:hAnsi="Arial" w:cs="Arial"/>
        </w:rPr>
      </w:pPr>
    </w:p>
    <w:p w14:paraId="58E31831" w14:textId="77777777" w:rsidR="00333567" w:rsidRDefault="00333567" w:rsidP="00333567">
      <w:pPr>
        <w:rPr>
          <w:rFonts w:ascii="Arial" w:hAnsi="Arial" w:cs="Arial"/>
        </w:rPr>
      </w:pPr>
    </w:p>
    <w:p w14:paraId="3559B144" w14:textId="77777777" w:rsidR="00A14FAC" w:rsidRDefault="00A14FAC" w:rsidP="00333567">
      <w:pPr>
        <w:rPr>
          <w:rFonts w:ascii="Arial" w:hAnsi="Arial" w:cs="Arial"/>
        </w:rPr>
      </w:pPr>
    </w:p>
    <w:p w14:paraId="4CF24EA0" w14:textId="77777777" w:rsidR="00A14FAC" w:rsidRDefault="00A14FAC" w:rsidP="00333567">
      <w:pPr>
        <w:rPr>
          <w:rFonts w:ascii="Arial" w:hAnsi="Arial" w:cs="Arial"/>
        </w:rPr>
      </w:pPr>
    </w:p>
    <w:p w14:paraId="06BF3090" w14:textId="77777777" w:rsidR="00A14FAC" w:rsidRDefault="00A14FAC" w:rsidP="00333567">
      <w:pPr>
        <w:rPr>
          <w:rFonts w:ascii="Arial" w:hAnsi="Arial" w:cs="Arial"/>
        </w:rPr>
      </w:pPr>
    </w:p>
    <w:p w14:paraId="6FB6AF05" w14:textId="77777777" w:rsidR="00A14FAC" w:rsidRDefault="00A14FAC" w:rsidP="00333567">
      <w:pPr>
        <w:rPr>
          <w:rFonts w:ascii="Arial" w:hAnsi="Arial" w:cs="Arial"/>
        </w:rPr>
      </w:pPr>
    </w:p>
    <w:p w14:paraId="4E65412F" w14:textId="77777777" w:rsidR="00A14FAC" w:rsidRDefault="00A14FAC" w:rsidP="00333567">
      <w:pPr>
        <w:rPr>
          <w:rFonts w:ascii="Arial" w:hAnsi="Arial" w:cs="Arial"/>
        </w:rPr>
      </w:pPr>
    </w:p>
    <w:p w14:paraId="1D829758" w14:textId="77777777" w:rsidR="00A14FAC" w:rsidRDefault="00A14FAC" w:rsidP="00333567">
      <w:pPr>
        <w:rPr>
          <w:rFonts w:ascii="Arial" w:hAnsi="Arial" w:cs="Arial"/>
        </w:rPr>
      </w:pPr>
    </w:p>
    <w:p w14:paraId="35F4DAB2" w14:textId="77777777" w:rsidR="00A14FAC" w:rsidRPr="007E0A01" w:rsidRDefault="00A14FAC" w:rsidP="00333567">
      <w:pPr>
        <w:rPr>
          <w:rFonts w:ascii="Arial" w:hAnsi="Arial" w:cs="Arial"/>
        </w:rPr>
      </w:pPr>
    </w:p>
    <w:p w14:paraId="1B23E2F9" w14:textId="77777777" w:rsidR="00333567" w:rsidRPr="007E0A01" w:rsidRDefault="00333567" w:rsidP="00333567">
      <w:pPr>
        <w:rPr>
          <w:rFonts w:ascii="Arial" w:hAnsi="Arial" w:cs="Arial"/>
        </w:rPr>
      </w:pPr>
    </w:p>
    <w:p w14:paraId="4AC735C2" w14:textId="77777777" w:rsidR="00333567" w:rsidRPr="007E0A01" w:rsidRDefault="00333567" w:rsidP="00333567">
      <w:pPr>
        <w:rPr>
          <w:rFonts w:ascii="Arial" w:hAnsi="Arial" w:cs="Arial"/>
        </w:rPr>
      </w:pPr>
    </w:p>
    <w:p w14:paraId="5766425F" w14:textId="77777777" w:rsidR="00333567" w:rsidRPr="007E0A01" w:rsidRDefault="00333567" w:rsidP="00333567">
      <w:pPr>
        <w:rPr>
          <w:rFonts w:ascii="Arial" w:hAnsi="Arial" w:cs="Arial"/>
        </w:rPr>
      </w:pPr>
    </w:p>
    <w:p w14:paraId="2E559C44" w14:textId="77777777" w:rsidR="00DB1F02" w:rsidRDefault="00DB1F02" w:rsidP="007C5C8E">
      <w:pPr>
        <w:pStyle w:val="Heading3"/>
        <w:spacing w:before="0" w:after="0"/>
        <w:jc w:val="center"/>
        <w:rPr>
          <w:sz w:val="24"/>
        </w:rPr>
      </w:pPr>
    </w:p>
    <w:p w14:paraId="19AEE635" w14:textId="77777777" w:rsidR="00DB1F02" w:rsidRDefault="00DB1F02" w:rsidP="007C5C8E">
      <w:pPr>
        <w:pStyle w:val="Heading3"/>
        <w:spacing w:before="0" w:after="0"/>
        <w:jc w:val="center"/>
        <w:rPr>
          <w:sz w:val="24"/>
        </w:rPr>
      </w:pPr>
    </w:p>
    <w:p w14:paraId="333C9845" w14:textId="2DD684BC" w:rsidR="00333567" w:rsidRPr="007E0A01" w:rsidRDefault="00E53399" w:rsidP="007C5C8E">
      <w:pPr>
        <w:pStyle w:val="Heading3"/>
        <w:spacing w:before="0" w:after="0"/>
        <w:jc w:val="center"/>
        <w:rPr>
          <w:sz w:val="24"/>
        </w:rPr>
      </w:pPr>
      <w:r w:rsidRPr="007E0A01">
        <w:rPr>
          <w:sz w:val="24"/>
        </w:rPr>
        <w:t xml:space="preserve">Statement of compatibility </w:t>
      </w:r>
      <w:r w:rsidR="00C11D03" w:rsidRPr="007E0A01">
        <w:rPr>
          <w:sz w:val="24"/>
        </w:rPr>
        <w:t xml:space="preserve">with Human Rights                                 </w:t>
      </w:r>
    </w:p>
    <w:p w14:paraId="6E4F0E1B" w14:textId="282138D9" w:rsidR="00E53399" w:rsidRPr="007E0A01" w:rsidRDefault="00333567" w:rsidP="00333567">
      <w:pPr>
        <w:pStyle w:val="Heading3"/>
        <w:spacing w:before="0" w:after="0"/>
        <w:rPr>
          <w:sz w:val="24"/>
        </w:rPr>
      </w:pPr>
      <w:r w:rsidRPr="007E0A01">
        <w:rPr>
          <w:sz w:val="24"/>
        </w:rPr>
        <w:br/>
      </w:r>
      <w:r w:rsidR="00DB1F02">
        <w:rPr>
          <w:b w:val="0"/>
          <w:sz w:val="22"/>
          <w:szCs w:val="20"/>
        </w:rPr>
        <w:t>This statement is p</w:t>
      </w:r>
      <w:r w:rsidR="00E53399" w:rsidRPr="007E0A01">
        <w:rPr>
          <w:b w:val="0"/>
          <w:sz w:val="22"/>
          <w:szCs w:val="20"/>
        </w:rPr>
        <w:t xml:space="preserve">repared in accordance with Part 3 of the </w:t>
      </w:r>
      <w:r w:rsidR="00E53399" w:rsidRPr="007E0A01">
        <w:rPr>
          <w:b w:val="0"/>
          <w:i/>
          <w:sz w:val="22"/>
          <w:szCs w:val="20"/>
        </w:rPr>
        <w:t>Human Rights (Parliamentary Scrutiny) Act 2011</w:t>
      </w:r>
      <w:r w:rsidR="00DB1F02">
        <w:rPr>
          <w:b w:val="0"/>
          <w:i/>
          <w:sz w:val="22"/>
          <w:szCs w:val="20"/>
        </w:rPr>
        <w:t>.</w:t>
      </w:r>
    </w:p>
    <w:p w14:paraId="6F2768AE" w14:textId="7D27A137" w:rsidR="00DB1F02" w:rsidRDefault="00F70C2E" w:rsidP="00DB1F02">
      <w:pPr>
        <w:jc w:val="center"/>
        <w:rPr>
          <w:rFonts w:ascii="Arial" w:hAnsi="Arial" w:cs="Arial"/>
          <w:b/>
          <w:sz w:val="22"/>
          <w:szCs w:val="22"/>
        </w:rPr>
      </w:pPr>
      <w:r w:rsidRPr="007E0A01">
        <w:rPr>
          <w:rFonts w:ascii="Arial" w:hAnsi="Arial" w:cs="Arial"/>
          <w:color w:val="0000FF"/>
          <w:sz w:val="22"/>
          <w:szCs w:val="22"/>
        </w:rPr>
        <w:br/>
      </w:r>
      <w:r w:rsidR="00DB1F02">
        <w:rPr>
          <w:rFonts w:ascii="Arial" w:hAnsi="Arial" w:cs="Arial"/>
          <w:b/>
          <w:sz w:val="22"/>
          <w:szCs w:val="22"/>
        </w:rPr>
        <w:t xml:space="preserve">Income Tax (Effective Life of Depreciating Assets) Amendment Determination 2019 (No 1) </w:t>
      </w:r>
    </w:p>
    <w:p w14:paraId="6E4F0E1E" w14:textId="1D8E9900" w:rsidR="002A26FE" w:rsidRDefault="002A26FE" w:rsidP="00DB1F02">
      <w:pPr>
        <w:rPr>
          <w:rFonts w:ascii="Arial" w:hAnsi="Arial" w:cs="Arial"/>
          <w:color w:val="000000"/>
          <w:sz w:val="22"/>
          <w:szCs w:val="22"/>
        </w:rPr>
      </w:pPr>
    </w:p>
    <w:p w14:paraId="6E4F0E22" w14:textId="77777777" w:rsidR="00075B58" w:rsidRPr="007E0A01" w:rsidRDefault="00075B58" w:rsidP="00333567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</w:rPr>
      </w:pPr>
      <w:r w:rsidRPr="007E0A01">
        <w:rPr>
          <w:rFonts w:ascii="Arial" w:hAnsi="Arial" w:cs="Arial"/>
          <w:color w:val="000000"/>
          <w:sz w:val="22"/>
        </w:rPr>
        <w:t xml:space="preserve">This Legislative Instrument is compatible with the human rights and freedoms recognised or declared in the international instruments listed in section 3 of the </w:t>
      </w:r>
      <w:r w:rsidRPr="007E0A01">
        <w:rPr>
          <w:rFonts w:ascii="Arial" w:hAnsi="Arial" w:cs="Arial"/>
          <w:i/>
          <w:color w:val="000000"/>
          <w:sz w:val="22"/>
        </w:rPr>
        <w:t>Human Rights (Parliamentary Scrutiny) Act 2011.</w:t>
      </w:r>
      <w:r w:rsidRPr="007E0A01">
        <w:rPr>
          <w:rFonts w:ascii="Arial" w:hAnsi="Arial" w:cs="Arial"/>
          <w:color w:val="000000"/>
          <w:sz w:val="22"/>
        </w:rPr>
        <w:t xml:space="preserve"> </w:t>
      </w:r>
    </w:p>
    <w:p w14:paraId="6E4F0E23" w14:textId="77777777" w:rsidR="00075B58" w:rsidRPr="007E0A01" w:rsidRDefault="00075B58" w:rsidP="0033356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</w:rPr>
      </w:pPr>
    </w:p>
    <w:p w14:paraId="6E4F0E24" w14:textId="329C9BCB" w:rsidR="00075B58" w:rsidRPr="007E0A01" w:rsidRDefault="00075B58" w:rsidP="007E0A01">
      <w:pPr>
        <w:rPr>
          <w:rFonts w:ascii="Arial" w:hAnsi="Arial" w:cs="Arial"/>
          <w:b/>
          <w:sz w:val="22"/>
        </w:rPr>
      </w:pPr>
      <w:r w:rsidRPr="007E0A01">
        <w:rPr>
          <w:rFonts w:ascii="Arial" w:hAnsi="Arial" w:cs="Arial"/>
          <w:b/>
          <w:sz w:val="22"/>
        </w:rPr>
        <w:t xml:space="preserve">Overview of </w:t>
      </w:r>
      <w:r w:rsidR="007E0A01" w:rsidRPr="007E0A01">
        <w:rPr>
          <w:rFonts w:ascii="Arial" w:hAnsi="Arial" w:cs="Arial"/>
          <w:b/>
          <w:sz w:val="22"/>
        </w:rPr>
        <w:t xml:space="preserve">the </w:t>
      </w:r>
      <w:r w:rsidRPr="007E0A01">
        <w:rPr>
          <w:rFonts w:ascii="Arial" w:hAnsi="Arial" w:cs="Arial"/>
          <w:b/>
          <w:sz w:val="22"/>
        </w:rPr>
        <w:t>Legislative Instrument</w:t>
      </w:r>
    </w:p>
    <w:p w14:paraId="7460A7D9" w14:textId="208E9EEB" w:rsidR="00DB1F02" w:rsidRDefault="00F70C2E" w:rsidP="00333567">
      <w:pPr>
        <w:rPr>
          <w:rFonts w:ascii="Arial" w:hAnsi="Arial" w:cs="Arial"/>
          <w:sz w:val="22"/>
          <w:szCs w:val="22"/>
        </w:rPr>
      </w:pPr>
      <w:r w:rsidRPr="007E0A01">
        <w:rPr>
          <w:rFonts w:ascii="Arial" w:hAnsi="Arial" w:cs="Arial"/>
          <w:sz w:val="22"/>
          <w:szCs w:val="22"/>
        </w:rPr>
        <w:br/>
      </w:r>
      <w:bookmarkStart w:id="12" w:name="_GoBack"/>
      <w:r w:rsidR="00DB1F02">
        <w:rPr>
          <w:rFonts w:ascii="Arial" w:hAnsi="Arial" w:cs="Arial"/>
          <w:sz w:val="22"/>
          <w:szCs w:val="22"/>
        </w:rPr>
        <w:t xml:space="preserve">The Legislative Instrument provides taxpayers with a choice </w:t>
      </w:r>
      <w:r w:rsidR="00DB1F02" w:rsidRPr="00DB1F02">
        <w:rPr>
          <w:rFonts w:ascii="Arial" w:hAnsi="Arial" w:cs="Arial"/>
          <w:sz w:val="22"/>
          <w:szCs w:val="22"/>
        </w:rPr>
        <w:t>when measuring the decline in value</w:t>
      </w:r>
      <w:r w:rsidR="00DB1F02">
        <w:rPr>
          <w:rFonts w:ascii="Arial" w:hAnsi="Arial" w:cs="Arial"/>
          <w:sz w:val="22"/>
          <w:szCs w:val="22"/>
        </w:rPr>
        <w:t xml:space="preserve"> </w:t>
      </w:r>
      <w:r w:rsidR="00DB1F02" w:rsidRPr="00DB1F02">
        <w:rPr>
          <w:rFonts w:ascii="Arial" w:hAnsi="Arial" w:cs="Arial"/>
          <w:sz w:val="22"/>
          <w:szCs w:val="22"/>
        </w:rPr>
        <w:t>(depreciation) of a depreciating asset, because a taxpayer can either use an effective life determined by the Commissioner, or work out (self-assess) their own effective life of a depreciating asset</w:t>
      </w:r>
      <w:r w:rsidR="00365F00">
        <w:rPr>
          <w:rFonts w:ascii="Arial" w:hAnsi="Arial" w:cs="Arial"/>
          <w:sz w:val="22"/>
          <w:szCs w:val="22"/>
        </w:rPr>
        <w:t xml:space="preserve">. </w:t>
      </w:r>
      <w:r w:rsidR="00DB1F02" w:rsidRPr="00DB1F02">
        <w:rPr>
          <w:rFonts w:ascii="Arial" w:hAnsi="Arial" w:cs="Arial"/>
          <w:sz w:val="22"/>
          <w:szCs w:val="22"/>
        </w:rPr>
        <w:t xml:space="preserve"> </w:t>
      </w:r>
    </w:p>
    <w:p w14:paraId="10165FEF" w14:textId="77777777" w:rsidR="00DB1F02" w:rsidRDefault="00DB1F02" w:rsidP="00333567">
      <w:pPr>
        <w:rPr>
          <w:rFonts w:ascii="Arial" w:hAnsi="Arial" w:cs="Arial"/>
          <w:sz w:val="22"/>
          <w:szCs w:val="22"/>
        </w:rPr>
      </w:pPr>
    </w:p>
    <w:p w14:paraId="0162F4FA" w14:textId="4C5CCED2" w:rsidR="00DB1F02" w:rsidRDefault="00DB1F02" w:rsidP="00DB1F02">
      <w:pPr>
        <w:keepNext/>
        <w:keepLine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Effective lives determined by the Commissioner provide what is referred to as a ‘safe harbour’ for taxpayers, as it provides certainty to taxpayers that these lives will be accepted by the Commissioner. </w:t>
      </w:r>
    </w:p>
    <w:bookmarkEnd w:id="12"/>
    <w:p w14:paraId="456B10F7" w14:textId="77777777" w:rsidR="00DB1F02" w:rsidRDefault="00DB1F02" w:rsidP="00333567">
      <w:pPr>
        <w:rPr>
          <w:rFonts w:ascii="Arial" w:hAnsi="Arial" w:cs="Arial"/>
          <w:sz w:val="22"/>
          <w:szCs w:val="22"/>
        </w:rPr>
      </w:pPr>
    </w:p>
    <w:p w14:paraId="6E4F0E27" w14:textId="77777777" w:rsidR="00075B58" w:rsidRPr="007E0A01" w:rsidRDefault="00075B58" w:rsidP="00333567">
      <w:pPr>
        <w:rPr>
          <w:rFonts w:ascii="Arial" w:hAnsi="Arial" w:cs="Arial"/>
          <w:b/>
          <w:sz w:val="22"/>
          <w:szCs w:val="22"/>
        </w:rPr>
      </w:pPr>
      <w:r w:rsidRPr="007E0A01">
        <w:rPr>
          <w:rFonts w:ascii="Arial" w:hAnsi="Arial" w:cs="Arial"/>
          <w:b/>
          <w:sz w:val="22"/>
          <w:szCs w:val="22"/>
        </w:rPr>
        <w:t>Human rights implications</w:t>
      </w:r>
    </w:p>
    <w:p w14:paraId="6E4F0E28" w14:textId="069AA0B9" w:rsidR="00075B58" w:rsidRPr="007E0A01" w:rsidRDefault="00F70C2E" w:rsidP="00333567">
      <w:pPr>
        <w:rPr>
          <w:rFonts w:ascii="Arial" w:hAnsi="Arial" w:cs="Arial"/>
          <w:sz w:val="22"/>
        </w:rPr>
      </w:pPr>
      <w:r w:rsidRPr="007E0A01">
        <w:rPr>
          <w:rFonts w:ascii="Arial" w:hAnsi="Arial" w:cs="Arial"/>
          <w:sz w:val="22"/>
        </w:rPr>
        <w:br/>
      </w:r>
      <w:r w:rsidR="00075B58" w:rsidRPr="007E0A01">
        <w:rPr>
          <w:rFonts w:ascii="Arial" w:hAnsi="Arial" w:cs="Arial"/>
          <w:sz w:val="22"/>
        </w:rPr>
        <w:t xml:space="preserve">This Legislative Instrument does not engage </w:t>
      </w:r>
      <w:r w:rsidR="00DB1F02">
        <w:rPr>
          <w:rFonts w:ascii="Arial" w:hAnsi="Arial" w:cs="Arial"/>
          <w:sz w:val="22"/>
        </w:rPr>
        <w:t xml:space="preserve">any of the applicable rights or freedoms. The Instrument provides taxpayers in specific industries and for specific assets with effective lives as a basis to calculate the decline in value (depreciation) of a depreciating asset for income tax purposes. </w:t>
      </w:r>
    </w:p>
    <w:p w14:paraId="6E4F0E29" w14:textId="77777777" w:rsidR="00075B58" w:rsidRPr="007E0A01" w:rsidRDefault="00075B58" w:rsidP="00333567">
      <w:pPr>
        <w:ind w:left="720"/>
        <w:rPr>
          <w:rFonts w:ascii="Arial" w:hAnsi="Arial" w:cs="Arial"/>
          <w:b/>
        </w:rPr>
      </w:pPr>
    </w:p>
    <w:p w14:paraId="6E4F0E2A" w14:textId="77777777" w:rsidR="00075B58" w:rsidRPr="007E0A01" w:rsidRDefault="00075B58" w:rsidP="00333567">
      <w:pPr>
        <w:rPr>
          <w:rFonts w:ascii="Arial" w:hAnsi="Arial" w:cs="Arial"/>
          <w:b/>
          <w:sz w:val="22"/>
        </w:rPr>
      </w:pPr>
      <w:r w:rsidRPr="007E0A01">
        <w:rPr>
          <w:rFonts w:ascii="Arial" w:hAnsi="Arial" w:cs="Arial"/>
          <w:b/>
          <w:sz w:val="22"/>
        </w:rPr>
        <w:t>Conclusion</w:t>
      </w:r>
    </w:p>
    <w:p w14:paraId="6E4F0E2B" w14:textId="18BE26F1" w:rsidR="00075B58" w:rsidRPr="007E0A01" w:rsidRDefault="00F70C2E" w:rsidP="00333567">
      <w:pPr>
        <w:rPr>
          <w:rFonts w:ascii="Arial" w:hAnsi="Arial" w:cs="Arial"/>
          <w:sz w:val="22"/>
          <w:szCs w:val="22"/>
        </w:rPr>
      </w:pPr>
      <w:r w:rsidRPr="007E0A01">
        <w:rPr>
          <w:rFonts w:ascii="Arial" w:hAnsi="Arial" w:cs="Arial"/>
          <w:sz w:val="22"/>
          <w:szCs w:val="22"/>
        </w:rPr>
        <w:br/>
      </w:r>
      <w:r w:rsidR="00075B58" w:rsidRPr="007E0A01">
        <w:rPr>
          <w:rFonts w:ascii="Arial" w:hAnsi="Arial" w:cs="Arial"/>
          <w:sz w:val="22"/>
          <w:szCs w:val="22"/>
        </w:rPr>
        <w:t>This Legislative Instrument is compatible with human rights as it does not raise any human rights issues.</w:t>
      </w:r>
    </w:p>
    <w:sectPr w:rsidR="00075B58" w:rsidRPr="007E0A01" w:rsidSect="00146ED8">
      <w:headerReference w:type="even" r:id="rId15"/>
      <w:headerReference w:type="default" r:id="rId16"/>
      <w:headerReference w:type="first" r:id="rId17"/>
      <w:pgSz w:w="11906" w:h="16838" w:code="9"/>
      <w:pgMar w:top="1440" w:right="1700" w:bottom="1358" w:left="1843" w:header="720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DBB727" w14:textId="77777777" w:rsidR="00971CDB" w:rsidRDefault="00971CDB">
      <w:r>
        <w:separator/>
      </w:r>
    </w:p>
  </w:endnote>
  <w:endnote w:type="continuationSeparator" w:id="0">
    <w:p w14:paraId="5053EFB2" w14:textId="77777777" w:rsidR="00971CDB" w:rsidRDefault="00971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4CE239" w14:textId="77777777" w:rsidR="00971CDB" w:rsidRDefault="00971CDB">
      <w:r>
        <w:separator/>
      </w:r>
    </w:p>
  </w:footnote>
  <w:footnote w:type="continuationSeparator" w:id="0">
    <w:p w14:paraId="7B3BBAEF" w14:textId="77777777" w:rsidR="00971CDB" w:rsidRDefault="00971C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4F0E60" w14:textId="77777777" w:rsidR="00587C50" w:rsidRPr="0067541C" w:rsidRDefault="00587C50">
    <w:pPr>
      <w:pStyle w:val="Header"/>
      <w:rPr>
        <w:rFonts w:ascii="Arial" w:hAnsi="Arial" w:cs="Arial"/>
        <w:sz w:val="52"/>
      </w:rPr>
    </w:pPr>
    <w:r w:rsidRPr="0067541C">
      <w:rPr>
        <w:rFonts w:ascii="Arial" w:hAnsi="Arial" w:cs="Arial"/>
        <w:sz w:val="20"/>
      </w:rPr>
      <w:t>Taxation Determination</w:t>
    </w:r>
  </w:p>
  <w:p w14:paraId="6E4F0E61" w14:textId="77777777" w:rsidR="00587C50" w:rsidRPr="0067541C" w:rsidRDefault="00587C50">
    <w:pPr>
      <w:pStyle w:val="Header"/>
      <w:rPr>
        <w:rFonts w:ascii="Arial" w:hAnsi="Arial" w:cs="Arial"/>
        <w:sz w:val="52"/>
      </w:rPr>
    </w:pPr>
    <w:r w:rsidRPr="0067541C">
      <w:rPr>
        <w:rFonts w:ascii="Arial" w:hAnsi="Arial" w:cs="Arial"/>
        <w:b/>
        <w:sz w:val="52"/>
      </w:rPr>
      <w:t xml:space="preserve">TD </w:t>
    </w:r>
    <w:r w:rsidRPr="0067541C">
      <w:rPr>
        <w:rFonts w:ascii="Arial" w:hAnsi="Arial" w:cs="Arial"/>
        <w:sz w:val="52"/>
      </w:rPr>
      <w:fldChar w:fldCharType="begin"/>
    </w:r>
    <w:r w:rsidRPr="0067541C">
      <w:rPr>
        <w:rFonts w:ascii="Arial" w:hAnsi="Arial" w:cs="Arial"/>
        <w:sz w:val="52"/>
      </w:rPr>
      <w:instrText xml:space="preserve"> REF CDocNum </w:instrText>
    </w:r>
    <w:r>
      <w:rPr>
        <w:rFonts w:ascii="Arial" w:hAnsi="Arial" w:cs="Arial"/>
        <w:sz w:val="52"/>
      </w:rPr>
      <w:instrText xml:space="preserve"> \* MERGEFORMAT </w:instrText>
    </w:r>
    <w:r w:rsidRPr="0067541C">
      <w:rPr>
        <w:rFonts w:ascii="Arial" w:hAnsi="Arial" w:cs="Arial"/>
        <w:sz w:val="52"/>
      </w:rPr>
      <w:fldChar w:fldCharType="end"/>
    </w:r>
  </w:p>
  <w:p w14:paraId="6E4F0E62" w14:textId="77777777" w:rsidR="00587C50" w:rsidRPr="0067541C" w:rsidRDefault="00587C50">
    <w:pPr>
      <w:pStyle w:val="Header"/>
      <w:pBdr>
        <w:top w:val="single" w:sz="4" w:space="1" w:color="auto"/>
        <w:bottom w:val="single" w:sz="4" w:space="1" w:color="auto"/>
      </w:pBdr>
      <w:tabs>
        <w:tab w:val="clear" w:pos="4153"/>
        <w:tab w:val="clear" w:pos="8306"/>
        <w:tab w:val="right" w:pos="8789"/>
      </w:tabs>
      <w:spacing w:after="240"/>
      <w:rPr>
        <w:rFonts w:ascii="Arial" w:hAnsi="Arial" w:cs="Arial"/>
        <w:sz w:val="20"/>
      </w:rPr>
    </w:pPr>
    <w:r w:rsidRPr="0067541C">
      <w:rPr>
        <w:rFonts w:ascii="Arial" w:hAnsi="Arial" w:cs="Arial"/>
        <w:snapToGrid w:val="0"/>
        <w:sz w:val="20"/>
        <w:lang w:eastAsia="en-US"/>
      </w:rPr>
      <w:t xml:space="preserve">Page </w:t>
    </w:r>
    <w:r w:rsidRPr="0067541C">
      <w:rPr>
        <w:rFonts w:ascii="Arial" w:hAnsi="Arial" w:cs="Arial"/>
        <w:snapToGrid w:val="0"/>
        <w:sz w:val="20"/>
        <w:lang w:eastAsia="en-US"/>
      </w:rPr>
      <w:fldChar w:fldCharType="begin"/>
    </w:r>
    <w:r w:rsidRPr="0067541C">
      <w:rPr>
        <w:rFonts w:ascii="Arial" w:hAnsi="Arial" w:cs="Arial"/>
        <w:snapToGrid w:val="0"/>
        <w:sz w:val="20"/>
        <w:lang w:eastAsia="en-US"/>
      </w:rPr>
      <w:instrText xml:space="preserve"> PAGE </w:instrText>
    </w:r>
    <w:r w:rsidRPr="0067541C">
      <w:rPr>
        <w:rFonts w:ascii="Arial" w:hAnsi="Arial" w:cs="Arial"/>
        <w:snapToGrid w:val="0"/>
        <w:sz w:val="20"/>
        <w:lang w:eastAsia="en-US"/>
      </w:rPr>
      <w:fldChar w:fldCharType="separate"/>
    </w:r>
    <w:r>
      <w:rPr>
        <w:rFonts w:ascii="Arial" w:hAnsi="Arial" w:cs="Arial"/>
        <w:noProof/>
        <w:snapToGrid w:val="0"/>
        <w:sz w:val="20"/>
        <w:lang w:eastAsia="en-US"/>
      </w:rPr>
      <w:t>2</w:t>
    </w:r>
    <w:r w:rsidRPr="0067541C">
      <w:rPr>
        <w:rFonts w:ascii="Arial" w:hAnsi="Arial" w:cs="Arial"/>
        <w:snapToGrid w:val="0"/>
        <w:sz w:val="20"/>
        <w:lang w:eastAsia="en-US"/>
      </w:rPr>
      <w:fldChar w:fldCharType="end"/>
    </w:r>
    <w:r w:rsidRPr="0067541C">
      <w:rPr>
        <w:rFonts w:ascii="Arial" w:hAnsi="Arial" w:cs="Arial"/>
        <w:snapToGrid w:val="0"/>
        <w:sz w:val="20"/>
        <w:lang w:eastAsia="en-US"/>
      </w:rPr>
      <w:t xml:space="preserve"> of </w:t>
    </w:r>
    <w:r w:rsidRPr="0067541C">
      <w:rPr>
        <w:rFonts w:ascii="Arial" w:hAnsi="Arial" w:cs="Arial"/>
        <w:snapToGrid w:val="0"/>
        <w:sz w:val="20"/>
        <w:lang w:eastAsia="en-US"/>
      </w:rPr>
      <w:fldChar w:fldCharType="begin"/>
    </w:r>
    <w:r w:rsidRPr="0067541C">
      <w:rPr>
        <w:rFonts w:ascii="Arial" w:hAnsi="Arial" w:cs="Arial"/>
        <w:snapToGrid w:val="0"/>
        <w:sz w:val="20"/>
        <w:lang w:eastAsia="en-US"/>
      </w:rPr>
      <w:instrText xml:space="preserve"> NUMPAGES </w:instrText>
    </w:r>
    <w:r w:rsidRPr="0067541C">
      <w:rPr>
        <w:rFonts w:ascii="Arial" w:hAnsi="Arial" w:cs="Arial"/>
        <w:snapToGrid w:val="0"/>
        <w:sz w:val="20"/>
        <w:lang w:eastAsia="en-US"/>
      </w:rPr>
      <w:fldChar w:fldCharType="separate"/>
    </w:r>
    <w:r w:rsidR="0045590D">
      <w:rPr>
        <w:rFonts w:ascii="Arial" w:hAnsi="Arial" w:cs="Arial"/>
        <w:noProof/>
        <w:snapToGrid w:val="0"/>
        <w:sz w:val="20"/>
        <w:lang w:eastAsia="en-US"/>
      </w:rPr>
      <w:t>5</w:t>
    </w:r>
    <w:r w:rsidRPr="0067541C">
      <w:rPr>
        <w:rFonts w:ascii="Arial" w:hAnsi="Arial" w:cs="Arial"/>
        <w:snapToGrid w:val="0"/>
        <w:sz w:val="20"/>
        <w:lang w:eastAsia="en-US"/>
      </w:rPr>
      <w:fldChar w:fldCharType="end"/>
    </w:r>
    <w:r w:rsidRPr="0067541C">
      <w:rPr>
        <w:rFonts w:ascii="Arial" w:hAnsi="Arial" w:cs="Arial"/>
      </w:rPr>
      <w:tab/>
    </w:r>
    <w:r w:rsidRPr="0067541C">
      <w:rPr>
        <w:rFonts w:ascii="Arial" w:hAnsi="Arial" w:cs="Arial"/>
        <w:sz w:val="20"/>
      </w:rPr>
      <w:t xml:space="preserve">FOI status:  </w:t>
    </w:r>
    <w:r w:rsidRPr="0067541C">
      <w:rPr>
        <w:rFonts w:ascii="Arial" w:hAnsi="Arial" w:cs="Arial"/>
        <w:b/>
        <w:sz w:val="20"/>
      </w:rPr>
      <w:t>may be released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4F0E63" w14:textId="77777777" w:rsidR="00587C50" w:rsidRDefault="00587C50" w:rsidP="001828A4">
    <w:pPr>
      <w:pStyle w:val="Header"/>
      <w:tabs>
        <w:tab w:val="clear" w:pos="4153"/>
        <w:tab w:val="clear" w:pos="8306"/>
        <w:tab w:val="center" w:pos="1418"/>
        <w:tab w:val="right" w:pos="8789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4F0E64" w14:textId="77777777" w:rsidR="00146ED8" w:rsidRPr="00333FE9" w:rsidRDefault="00146ED8" w:rsidP="00E36A38">
    <w:pPr>
      <w:framePr w:w="4381" w:h="732" w:hSpace="180" w:wrap="around" w:vAnchor="page" w:hAnchor="page" w:x="5761" w:y="991"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jc w:val="center"/>
      <w:rPr>
        <w:rFonts w:ascii="Arial" w:hAnsi="Arial" w:cs="Arial"/>
        <w:sz w:val="20"/>
      </w:rPr>
    </w:pPr>
    <w:bookmarkStart w:id="13" w:name="AType"/>
    <w:r>
      <w:rPr>
        <w:rFonts w:ascii="Arial" w:hAnsi="Arial" w:cs="Arial"/>
        <w:sz w:val="20"/>
      </w:rPr>
      <w:t xml:space="preserve">Australian </w:t>
    </w:r>
    <w:r w:rsidRPr="00333FE9">
      <w:rPr>
        <w:rFonts w:ascii="Arial" w:hAnsi="Arial" w:cs="Arial"/>
        <w:sz w:val="20"/>
      </w:rPr>
      <w:t xml:space="preserve">Taxation </w:t>
    </w:r>
    <w:r>
      <w:rPr>
        <w:rFonts w:ascii="Arial" w:hAnsi="Arial" w:cs="Arial"/>
        <w:sz w:val="20"/>
      </w:rPr>
      <w:t>Office Legislative Instrument</w:t>
    </w:r>
  </w:p>
  <w:p w14:paraId="6E4F0E65" w14:textId="7B0F297F" w:rsidR="00146ED8" w:rsidRPr="00146ED8" w:rsidRDefault="00146ED8" w:rsidP="00E36A38">
    <w:pPr>
      <w:framePr w:w="4381" w:h="732" w:hSpace="180" w:wrap="around" w:vAnchor="page" w:hAnchor="page" w:x="5761" w:y="991"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rPr>
        <w:rFonts w:ascii="Arial" w:hAnsi="Arial" w:cs="Arial"/>
        <w:sz w:val="28"/>
        <w:szCs w:val="28"/>
      </w:rPr>
    </w:pPr>
    <w:bookmarkStart w:id="14" w:name="BPrefix"/>
    <w:bookmarkEnd w:id="13"/>
    <w:r>
      <w:rPr>
        <w:rFonts w:ascii="Arial" w:hAnsi="Arial" w:cs="Arial"/>
        <w:b/>
        <w:sz w:val="32"/>
        <w:szCs w:val="32"/>
      </w:rPr>
      <w:t xml:space="preserve">  </w:t>
    </w:r>
    <w:r w:rsidRPr="00146ED8">
      <w:rPr>
        <w:rFonts w:ascii="Arial" w:hAnsi="Arial" w:cs="Arial"/>
        <w:b/>
        <w:sz w:val="28"/>
        <w:szCs w:val="28"/>
      </w:rPr>
      <w:t>Inst</w:t>
    </w:r>
    <w:bookmarkStart w:id="15" w:name="CDocnum"/>
    <w:bookmarkEnd w:id="14"/>
    <w:bookmarkEnd w:id="15"/>
    <w:r w:rsidRPr="00146ED8">
      <w:rPr>
        <w:rFonts w:ascii="Arial" w:hAnsi="Arial" w:cs="Arial"/>
        <w:b/>
        <w:sz w:val="28"/>
        <w:szCs w:val="28"/>
      </w:rPr>
      <w:t xml:space="preserve">rument ID: </w:t>
    </w:r>
    <w:r w:rsidR="007C4BED">
      <w:rPr>
        <w:rFonts w:ascii="Arial" w:hAnsi="Arial" w:cs="Arial"/>
        <w:b/>
        <w:sz w:val="28"/>
        <w:szCs w:val="28"/>
      </w:rPr>
      <w:t>2019</w:t>
    </w:r>
    <w:r w:rsidRPr="00146ED8">
      <w:rPr>
        <w:rFonts w:ascii="Arial" w:hAnsi="Arial" w:cs="Arial"/>
        <w:b/>
        <w:sz w:val="28"/>
        <w:szCs w:val="28"/>
      </w:rPr>
      <w:t>/</w:t>
    </w:r>
    <w:r w:rsidR="007C4BED">
      <w:rPr>
        <w:rFonts w:ascii="Arial" w:hAnsi="Arial" w:cs="Arial"/>
        <w:b/>
        <w:sz w:val="28"/>
        <w:szCs w:val="28"/>
      </w:rPr>
      <w:t>PGI</w:t>
    </w:r>
    <w:r w:rsidRPr="00146ED8">
      <w:rPr>
        <w:rFonts w:ascii="Arial" w:hAnsi="Arial" w:cs="Arial"/>
        <w:b/>
        <w:sz w:val="28"/>
        <w:szCs w:val="28"/>
      </w:rPr>
      <w:t>/</w:t>
    </w:r>
    <w:r w:rsidR="00A7466F">
      <w:rPr>
        <w:rFonts w:ascii="Arial" w:hAnsi="Arial" w:cs="Arial"/>
        <w:b/>
        <w:sz w:val="28"/>
        <w:szCs w:val="28"/>
      </w:rPr>
      <w:t>0022</w:t>
    </w:r>
  </w:p>
  <w:p w14:paraId="6E4F0E66" w14:textId="77777777" w:rsidR="00587C50" w:rsidRDefault="003D0CBA" w:rsidP="001828A4">
    <w:pPr>
      <w:pStyle w:val="Header"/>
      <w:tabs>
        <w:tab w:val="clear" w:pos="4153"/>
        <w:tab w:val="clear" w:pos="8306"/>
      </w:tabs>
      <w:rPr>
        <w:rFonts w:ascii="Arial" w:hAnsi="Arial" w:cs="Arial"/>
        <w:sz w:val="20"/>
      </w:rPr>
    </w:pPr>
    <w:r>
      <w:rPr>
        <w:noProof/>
      </w:rPr>
      <w:drawing>
        <wp:inline distT="0" distB="0" distL="0" distR="0" wp14:anchorId="6E4F0E68" wp14:editId="6E4F0E69">
          <wp:extent cx="2413635" cy="701675"/>
          <wp:effectExtent l="0" t="0" r="5715" b="3175"/>
          <wp:docPr id="3" name="Picture 1" descr="ATO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TO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63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4F0E67" w14:textId="77777777" w:rsidR="00CC1833" w:rsidRPr="001A6644" w:rsidRDefault="00CC1833" w:rsidP="001828A4">
    <w:pPr>
      <w:pStyle w:val="Header"/>
      <w:tabs>
        <w:tab w:val="clear" w:pos="4153"/>
        <w:tab w:val="clear" w:pos="8306"/>
      </w:tabs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4EEF"/>
    <w:multiLevelType w:val="hybridMultilevel"/>
    <w:tmpl w:val="04F6ADC2"/>
    <w:lvl w:ilvl="0" w:tplc="0C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B9F8D416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">
    <w:nsid w:val="02F470ED"/>
    <w:multiLevelType w:val="hybridMultilevel"/>
    <w:tmpl w:val="E8B4F924"/>
    <w:lvl w:ilvl="0" w:tplc="0C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E4E7B46"/>
    <w:multiLevelType w:val="hybridMultilevel"/>
    <w:tmpl w:val="EF6A53B0"/>
    <w:lvl w:ilvl="0" w:tplc="0C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F08690C"/>
    <w:multiLevelType w:val="hybridMultilevel"/>
    <w:tmpl w:val="E05E0C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B42A47D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150589"/>
    <w:multiLevelType w:val="hybridMultilevel"/>
    <w:tmpl w:val="19B0F380"/>
    <w:lvl w:ilvl="0" w:tplc="D68C5180">
      <w:start w:val="1"/>
      <w:numFmt w:val="decimal"/>
      <w:lvlText w:val="%1."/>
      <w:lvlJc w:val="left"/>
      <w:pPr>
        <w:tabs>
          <w:tab w:val="num" w:pos="1134"/>
        </w:tabs>
        <w:ind w:left="1134" w:hanging="774"/>
      </w:pPr>
      <w:rPr>
        <w:rFonts w:hint="default"/>
      </w:rPr>
    </w:lvl>
    <w:lvl w:ilvl="1" w:tplc="6164900A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19AF8E4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03C47C2">
      <w:start w:val="1"/>
      <w:numFmt w:val="decimal"/>
      <w:lvlText w:val="(%4)"/>
      <w:lvlJc w:val="left"/>
      <w:pPr>
        <w:tabs>
          <w:tab w:val="num" w:pos="1701"/>
        </w:tabs>
        <w:ind w:left="1701" w:hanging="567"/>
      </w:pPr>
      <w:rPr>
        <w:rFonts w:hint="default"/>
        <w:b w:val="0"/>
      </w:rPr>
    </w:lvl>
    <w:lvl w:ilvl="4" w:tplc="E6D06A7A">
      <w:start w:val="1"/>
      <w:numFmt w:val="bullet"/>
      <w:lvlText w:val="o"/>
      <w:lvlJc w:val="left"/>
      <w:pPr>
        <w:tabs>
          <w:tab w:val="num" w:pos="3807"/>
        </w:tabs>
        <w:ind w:left="3807" w:hanging="567"/>
      </w:pPr>
      <w:rPr>
        <w:rFonts w:ascii="Courier New" w:hAnsi="Courier New" w:hint="default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5F2E7F"/>
    <w:multiLevelType w:val="multilevel"/>
    <w:tmpl w:val="B91A9E40"/>
    <w:lvl w:ilvl="0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  <w:lvl w:ilvl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6">
    <w:nsid w:val="11D95A5E"/>
    <w:multiLevelType w:val="hybridMultilevel"/>
    <w:tmpl w:val="11BE0E88"/>
    <w:lvl w:ilvl="0" w:tplc="0C09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7">
    <w:nsid w:val="188560D7"/>
    <w:multiLevelType w:val="hybridMultilevel"/>
    <w:tmpl w:val="41803CE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FF24E1"/>
    <w:multiLevelType w:val="hybridMultilevel"/>
    <w:tmpl w:val="E81ADF44"/>
    <w:lvl w:ilvl="0" w:tplc="0C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E3460ED"/>
    <w:multiLevelType w:val="hybridMultilevel"/>
    <w:tmpl w:val="7722D4C2"/>
    <w:lvl w:ilvl="0" w:tplc="9D30D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ACD91E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792F02"/>
    <w:multiLevelType w:val="hybridMultilevel"/>
    <w:tmpl w:val="39723672"/>
    <w:lvl w:ilvl="0" w:tplc="0C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08E213F"/>
    <w:multiLevelType w:val="hybridMultilevel"/>
    <w:tmpl w:val="4D867378"/>
    <w:lvl w:ilvl="0" w:tplc="0C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1AF626B"/>
    <w:multiLevelType w:val="hybridMultilevel"/>
    <w:tmpl w:val="E55A5B82"/>
    <w:lvl w:ilvl="0" w:tplc="0C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B150F4FC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Comic Sans MS" w:eastAsia="Times New Roman" w:hAnsi="Comic Sans MS" w:cs="Times New Roman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3">
    <w:nsid w:val="25167DB5"/>
    <w:multiLevelType w:val="hybridMultilevel"/>
    <w:tmpl w:val="F1946B50"/>
    <w:lvl w:ilvl="0" w:tplc="A95E060A">
      <w:start w:val="10"/>
      <w:numFmt w:val="decimal"/>
      <w:lvlText w:val="%1."/>
      <w:lvlJc w:val="left"/>
      <w:pPr>
        <w:tabs>
          <w:tab w:val="num" w:pos="787"/>
        </w:tabs>
        <w:ind w:left="7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14">
    <w:nsid w:val="264E3A44"/>
    <w:multiLevelType w:val="hybridMultilevel"/>
    <w:tmpl w:val="79D42EEE"/>
    <w:lvl w:ilvl="0" w:tplc="B42A47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AB72B9"/>
    <w:multiLevelType w:val="hybridMultilevel"/>
    <w:tmpl w:val="DCCC069A"/>
    <w:lvl w:ilvl="0" w:tplc="0C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C742781"/>
    <w:multiLevelType w:val="hybridMultilevel"/>
    <w:tmpl w:val="1FE6108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A43D67"/>
    <w:multiLevelType w:val="hybridMultilevel"/>
    <w:tmpl w:val="37668F3A"/>
    <w:lvl w:ilvl="0" w:tplc="0C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8">
    <w:nsid w:val="2DEB45E5"/>
    <w:multiLevelType w:val="hybridMultilevel"/>
    <w:tmpl w:val="E626F830"/>
    <w:lvl w:ilvl="0" w:tplc="0C090005">
      <w:start w:val="1"/>
      <w:numFmt w:val="bullet"/>
      <w:lvlText w:val=""/>
      <w:lvlJc w:val="left"/>
      <w:pPr>
        <w:tabs>
          <w:tab w:val="num" w:pos="1188"/>
        </w:tabs>
        <w:ind w:left="1188" w:hanging="360"/>
      </w:pPr>
      <w:rPr>
        <w:rFonts w:ascii="Wingdings" w:hAnsi="Wingdings" w:hint="default"/>
      </w:rPr>
    </w:lvl>
    <w:lvl w:ilvl="1" w:tplc="0C09000F">
      <w:start w:val="1"/>
      <w:numFmt w:val="decimal"/>
      <w:lvlText w:val="%2."/>
      <w:lvlJc w:val="left"/>
      <w:pPr>
        <w:tabs>
          <w:tab w:val="num" w:pos="1908"/>
        </w:tabs>
        <w:ind w:left="1908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068"/>
        </w:tabs>
        <w:ind w:left="40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228"/>
        </w:tabs>
        <w:ind w:left="62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hint="default"/>
      </w:rPr>
    </w:lvl>
  </w:abstractNum>
  <w:abstractNum w:abstractNumId="19">
    <w:nsid w:val="2E6D52FE"/>
    <w:multiLevelType w:val="hybridMultilevel"/>
    <w:tmpl w:val="2140E7F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0F73340"/>
    <w:multiLevelType w:val="hybridMultilevel"/>
    <w:tmpl w:val="5572781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64900A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FCC3903"/>
    <w:multiLevelType w:val="hybridMultilevel"/>
    <w:tmpl w:val="7722D4C2"/>
    <w:lvl w:ilvl="0" w:tplc="9D30D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ACD91E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6F3673"/>
    <w:multiLevelType w:val="hybridMultilevel"/>
    <w:tmpl w:val="1338B418"/>
    <w:lvl w:ilvl="0" w:tplc="1D82480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133062F"/>
    <w:multiLevelType w:val="hybridMultilevel"/>
    <w:tmpl w:val="D688BEA6"/>
    <w:lvl w:ilvl="0" w:tplc="B150F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1B45D0D"/>
    <w:multiLevelType w:val="hybridMultilevel"/>
    <w:tmpl w:val="D74E4B50"/>
    <w:lvl w:ilvl="0" w:tplc="51D82C2A">
      <w:numFmt w:val="bullet"/>
      <w:lvlText w:val="-"/>
      <w:lvlJc w:val="left"/>
      <w:pPr>
        <w:ind w:left="1449" w:hanging="360"/>
      </w:pPr>
      <w:rPr>
        <w:rFonts w:ascii="Cambria" w:eastAsia="Calibri" w:hAnsi="Cambria" w:cs="Times New Roman" w:hint="default"/>
      </w:rPr>
    </w:lvl>
    <w:lvl w:ilvl="1" w:tplc="0C09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5">
    <w:nsid w:val="45E52BDD"/>
    <w:multiLevelType w:val="hybridMultilevel"/>
    <w:tmpl w:val="02D4D2B2"/>
    <w:lvl w:ilvl="0" w:tplc="B150F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6164900A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19AF8E4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03C47C2">
      <w:start w:val="1"/>
      <w:numFmt w:val="decimal"/>
      <w:lvlText w:val="(%4)"/>
      <w:lvlJc w:val="left"/>
      <w:pPr>
        <w:tabs>
          <w:tab w:val="num" w:pos="1701"/>
        </w:tabs>
        <w:ind w:left="1701" w:hanging="567"/>
      </w:pPr>
      <w:rPr>
        <w:rFonts w:hint="default"/>
        <w:b w:val="0"/>
      </w:rPr>
    </w:lvl>
    <w:lvl w:ilvl="4" w:tplc="E6D06A7A">
      <w:start w:val="1"/>
      <w:numFmt w:val="bullet"/>
      <w:lvlText w:val="o"/>
      <w:lvlJc w:val="left"/>
      <w:pPr>
        <w:tabs>
          <w:tab w:val="num" w:pos="3807"/>
        </w:tabs>
        <w:ind w:left="3807" w:hanging="567"/>
      </w:pPr>
      <w:rPr>
        <w:rFonts w:ascii="Courier New" w:hAnsi="Courier New" w:hint="default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3D0DC4"/>
    <w:multiLevelType w:val="hybridMultilevel"/>
    <w:tmpl w:val="72A0CD90"/>
    <w:lvl w:ilvl="0" w:tplc="0C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1125AA0"/>
    <w:multiLevelType w:val="hybridMultilevel"/>
    <w:tmpl w:val="E8326BD2"/>
    <w:lvl w:ilvl="0" w:tplc="0C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86E3638"/>
    <w:multiLevelType w:val="hybridMultilevel"/>
    <w:tmpl w:val="B63CB6B8"/>
    <w:lvl w:ilvl="0" w:tplc="9D30D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ACD91E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FF45522"/>
    <w:multiLevelType w:val="hybridMultilevel"/>
    <w:tmpl w:val="7234A00E"/>
    <w:lvl w:ilvl="0" w:tplc="0C090005">
      <w:start w:val="1"/>
      <w:numFmt w:val="bullet"/>
      <w:lvlText w:val=""/>
      <w:lvlJc w:val="left"/>
      <w:pPr>
        <w:tabs>
          <w:tab w:val="num" w:pos="1131"/>
        </w:tabs>
        <w:ind w:left="1131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51"/>
        </w:tabs>
        <w:ind w:left="18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71"/>
        </w:tabs>
        <w:ind w:left="25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91"/>
        </w:tabs>
        <w:ind w:left="32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011"/>
        </w:tabs>
        <w:ind w:left="40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731"/>
        </w:tabs>
        <w:ind w:left="47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51"/>
        </w:tabs>
        <w:ind w:left="54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71"/>
        </w:tabs>
        <w:ind w:left="61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91"/>
        </w:tabs>
        <w:ind w:left="6891" w:hanging="360"/>
      </w:pPr>
      <w:rPr>
        <w:rFonts w:ascii="Wingdings" w:hAnsi="Wingdings" w:hint="default"/>
      </w:rPr>
    </w:lvl>
  </w:abstractNum>
  <w:abstractNum w:abstractNumId="30">
    <w:nsid w:val="60655884"/>
    <w:multiLevelType w:val="hybridMultilevel"/>
    <w:tmpl w:val="A5AC3E2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22E3B4F"/>
    <w:multiLevelType w:val="hybridMultilevel"/>
    <w:tmpl w:val="E5AA5036"/>
    <w:lvl w:ilvl="0" w:tplc="B150F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26F15F6"/>
    <w:multiLevelType w:val="hybridMultilevel"/>
    <w:tmpl w:val="47D8BEF2"/>
    <w:lvl w:ilvl="0" w:tplc="B150F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2C27E2D"/>
    <w:multiLevelType w:val="hybridMultilevel"/>
    <w:tmpl w:val="FC388680"/>
    <w:lvl w:ilvl="0" w:tplc="041040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ACD91E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1C00B9"/>
    <w:multiLevelType w:val="multilevel"/>
    <w:tmpl w:val="E7AEABD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381148F"/>
    <w:multiLevelType w:val="hybridMultilevel"/>
    <w:tmpl w:val="904A0026"/>
    <w:lvl w:ilvl="0" w:tplc="37FE764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>
    <w:nsid w:val="69C329BC"/>
    <w:multiLevelType w:val="hybridMultilevel"/>
    <w:tmpl w:val="9B5CA63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A551961"/>
    <w:multiLevelType w:val="hybridMultilevel"/>
    <w:tmpl w:val="C1DE0D4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DA9465B"/>
    <w:multiLevelType w:val="hybridMultilevel"/>
    <w:tmpl w:val="CA7234D0"/>
    <w:lvl w:ilvl="0" w:tplc="B150F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EF13E44"/>
    <w:multiLevelType w:val="hybridMultilevel"/>
    <w:tmpl w:val="E7AEABD2"/>
    <w:lvl w:ilvl="0" w:tplc="B150F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23"/>
  </w:num>
  <w:num w:numId="4">
    <w:abstractNumId w:val="38"/>
  </w:num>
  <w:num w:numId="5">
    <w:abstractNumId w:val="4"/>
  </w:num>
  <w:num w:numId="6">
    <w:abstractNumId w:val="12"/>
  </w:num>
  <w:num w:numId="7">
    <w:abstractNumId w:val="32"/>
  </w:num>
  <w:num w:numId="8">
    <w:abstractNumId w:val="31"/>
  </w:num>
  <w:num w:numId="9">
    <w:abstractNumId w:val="25"/>
  </w:num>
  <w:num w:numId="10">
    <w:abstractNumId w:val="20"/>
  </w:num>
  <w:num w:numId="11">
    <w:abstractNumId w:val="39"/>
  </w:num>
  <w:num w:numId="12">
    <w:abstractNumId w:val="34"/>
  </w:num>
  <w:num w:numId="13">
    <w:abstractNumId w:val="37"/>
  </w:num>
  <w:num w:numId="14">
    <w:abstractNumId w:val="36"/>
  </w:num>
  <w:num w:numId="15">
    <w:abstractNumId w:val="19"/>
  </w:num>
  <w:num w:numId="16">
    <w:abstractNumId w:val="21"/>
  </w:num>
  <w:num w:numId="17">
    <w:abstractNumId w:val="10"/>
  </w:num>
  <w:num w:numId="18">
    <w:abstractNumId w:val="15"/>
  </w:num>
  <w:num w:numId="19">
    <w:abstractNumId w:val="2"/>
  </w:num>
  <w:num w:numId="20">
    <w:abstractNumId w:val="1"/>
  </w:num>
  <w:num w:numId="21">
    <w:abstractNumId w:val="11"/>
  </w:num>
  <w:num w:numId="22">
    <w:abstractNumId w:val="29"/>
  </w:num>
  <w:num w:numId="23">
    <w:abstractNumId w:val="8"/>
  </w:num>
  <w:num w:numId="24">
    <w:abstractNumId w:val="18"/>
  </w:num>
  <w:num w:numId="25">
    <w:abstractNumId w:val="27"/>
  </w:num>
  <w:num w:numId="26">
    <w:abstractNumId w:val="26"/>
  </w:num>
  <w:num w:numId="27">
    <w:abstractNumId w:val="7"/>
  </w:num>
  <w:num w:numId="28">
    <w:abstractNumId w:val="30"/>
  </w:num>
  <w:num w:numId="29">
    <w:abstractNumId w:val="17"/>
  </w:num>
  <w:num w:numId="30">
    <w:abstractNumId w:val="13"/>
  </w:num>
  <w:num w:numId="31">
    <w:abstractNumId w:val="5"/>
  </w:num>
  <w:num w:numId="32">
    <w:abstractNumId w:val="0"/>
  </w:num>
  <w:num w:numId="33">
    <w:abstractNumId w:val="6"/>
  </w:num>
  <w:num w:numId="34">
    <w:abstractNumId w:val="24"/>
  </w:num>
  <w:num w:numId="35">
    <w:abstractNumId w:val="35"/>
  </w:num>
  <w:num w:numId="36">
    <w:abstractNumId w:val="16"/>
  </w:num>
  <w:num w:numId="37">
    <w:abstractNumId w:val="33"/>
  </w:num>
  <w:num w:numId="38">
    <w:abstractNumId w:val="28"/>
  </w:num>
  <w:num w:numId="39">
    <w:abstractNumId w:val="22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718"/>
    <w:rsid w:val="0000519F"/>
    <w:rsid w:val="000117B2"/>
    <w:rsid w:val="00015EE2"/>
    <w:rsid w:val="0001796D"/>
    <w:rsid w:val="00017BF0"/>
    <w:rsid w:val="0002568B"/>
    <w:rsid w:val="00026FC9"/>
    <w:rsid w:val="00043FA7"/>
    <w:rsid w:val="000552E8"/>
    <w:rsid w:val="00056585"/>
    <w:rsid w:val="0005674F"/>
    <w:rsid w:val="00065C6E"/>
    <w:rsid w:val="00073F1B"/>
    <w:rsid w:val="00075B58"/>
    <w:rsid w:val="000A0FBC"/>
    <w:rsid w:val="000B11DD"/>
    <w:rsid w:val="000C390A"/>
    <w:rsid w:val="000C77DD"/>
    <w:rsid w:val="000E295B"/>
    <w:rsid w:val="000E45A0"/>
    <w:rsid w:val="000F616F"/>
    <w:rsid w:val="00104203"/>
    <w:rsid w:val="00107460"/>
    <w:rsid w:val="00112415"/>
    <w:rsid w:val="0013678D"/>
    <w:rsid w:val="00140A34"/>
    <w:rsid w:val="00145002"/>
    <w:rsid w:val="00146ED8"/>
    <w:rsid w:val="001642C9"/>
    <w:rsid w:val="00167202"/>
    <w:rsid w:val="00177D27"/>
    <w:rsid w:val="001828A4"/>
    <w:rsid w:val="00185D79"/>
    <w:rsid w:val="001A3BE2"/>
    <w:rsid w:val="001B2CBB"/>
    <w:rsid w:val="001C0A2F"/>
    <w:rsid w:val="001C35E7"/>
    <w:rsid w:val="001C4578"/>
    <w:rsid w:val="001E703C"/>
    <w:rsid w:val="001F28A6"/>
    <w:rsid w:val="001F2A16"/>
    <w:rsid w:val="001F6921"/>
    <w:rsid w:val="001F7C3E"/>
    <w:rsid w:val="00201969"/>
    <w:rsid w:val="00213FA5"/>
    <w:rsid w:val="0023733A"/>
    <w:rsid w:val="0024044F"/>
    <w:rsid w:val="00243D81"/>
    <w:rsid w:val="00245D00"/>
    <w:rsid w:val="00257F2D"/>
    <w:rsid w:val="00262F9F"/>
    <w:rsid w:val="00266D2D"/>
    <w:rsid w:val="0027331F"/>
    <w:rsid w:val="00285E76"/>
    <w:rsid w:val="002949C3"/>
    <w:rsid w:val="002A10A4"/>
    <w:rsid w:val="002A26FE"/>
    <w:rsid w:val="002B1423"/>
    <w:rsid w:val="002F1257"/>
    <w:rsid w:val="00310C61"/>
    <w:rsid w:val="003171B3"/>
    <w:rsid w:val="0032559D"/>
    <w:rsid w:val="00333567"/>
    <w:rsid w:val="00344575"/>
    <w:rsid w:val="0035113C"/>
    <w:rsid w:val="00354525"/>
    <w:rsid w:val="00365F00"/>
    <w:rsid w:val="00380CC4"/>
    <w:rsid w:val="003B570E"/>
    <w:rsid w:val="003C0686"/>
    <w:rsid w:val="003D08CF"/>
    <w:rsid w:val="003D0CBA"/>
    <w:rsid w:val="003D0F6A"/>
    <w:rsid w:val="003D4BA8"/>
    <w:rsid w:val="003E2540"/>
    <w:rsid w:val="003E5269"/>
    <w:rsid w:val="00405394"/>
    <w:rsid w:val="004066E4"/>
    <w:rsid w:val="0040680B"/>
    <w:rsid w:val="00407361"/>
    <w:rsid w:val="00407515"/>
    <w:rsid w:val="00417C55"/>
    <w:rsid w:val="00424A7B"/>
    <w:rsid w:val="004447C1"/>
    <w:rsid w:val="0045590D"/>
    <w:rsid w:val="0046211F"/>
    <w:rsid w:val="0046522B"/>
    <w:rsid w:val="0046787B"/>
    <w:rsid w:val="00486653"/>
    <w:rsid w:val="004A5FDA"/>
    <w:rsid w:val="004D098C"/>
    <w:rsid w:val="004D24A9"/>
    <w:rsid w:val="004D6050"/>
    <w:rsid w:val="004E5357"/>
    <w:rsid w:val="004F4A07"/>
    <w:rsid w:val="004F5EB1"/>
    <w:rsid w:val="004F6887"/>
    <w:rsid w:val="005030AD"/>
    <w:rsid w:val="0051249C"/>
    <w:rsid w:val="005176E7"/>
    <w:rsid w:val="00520330"/>
    <w:rsid w:val="00522238"/>
    <w:rsid w:val="00524B6B"/>
    <w:rsid w:val="005413EE"/>
    <w:rsid w:val="00564076"/>
    <w:rsid w:val="00587443"/>
    <w:rsid w:val="00587C50"/>
    <w:rsid w:val="005917F3"/>
    <w:rsid w:val="005B0ACD"/>
    <w:rsid w:val="005B50A2"/>
    <w:rsid w:val="005C3408"/>
    <w:rsid w:val="005D611B"/>
    <w:rsid w:val="005F1ACE"/>
    <w:rsid w:val="005F256D"/>
    <w:rsid w:val="0060183A"/>
    <w:rsid w:val="00603110"/>
    <w:rsid w:val="00606400"/>
    <w:rsid w:val="00611C8E"/>
    <w:rsid w:val="00631F30"/>
    <w:rsid w:val="00642420"/>
    <w:rsid w:val="00646158"/>
    <w:rsid w:val="0066622C"/>
    <w:rsid w:val="00666487"/>
    <w:rsid w:val="00673B37"/>
    <w:rsid w:val="006945EA"/>
    <w:rsid w:val="006973B4"/>
    <w:rsid w:val="006B36D4"/>
    <w:rsid w:val="006B5470"/>
    <w:rsid w:val="006D0138"/>
    <w:rsid w:val="006D6F52"/>
    <w:rsid w:val="00701718"/>
    <w:rsid w:val="00710359"/>
    <w:rsid w:val="00712FFF"/>
    <w:rsid w:val="00722DBF"/>
    <w:rsid w:val="00735157"/>
    <w:rsid w:val="007450C6"/>
    <w:rsid w:val="00775490"/>
    <w:rsid w:val="00776ABF"/>
    <w:rsid w:val="0078240A"/>
    <w:rsid w:val="00795D0C"/>
    <w:rsid w:val="007A55BA"/>
    <w:rsid w:val="007C1FBD"/>
    <w:rsid w:val="007C4BED"/>
    <w:rsid w:val="007C5C8E"/>
    <w:rsid w:val="007E0A01"/>
    <w:rsid w:val="007E22F5"/>
    <w:rsid w:val="007F25F3"/>
    <w:rsid w:val="007F4901"/>
    <w:rsid w:val="00820204"/>
    <w:rsid w:val="00836B02"/>
    <w:rsid w:val="008467D4"/>
    <w:rsid w:val="00850FB0"/>
    <w:rsid w:val="0085238E"/>
    <w:rsid w:val="008540EA"/>
    <w:rsid w:val="00866A00"/>
    <w:rsid w:val="008702A6"/>
    <w:rsid w:val="008757CE"/>
    <w:rsid w:val="0088392C"/>
    <w:rsid w:val="00897C0E"/>
    <w:rsid w:val="00897E31"/>
    <w:rsid w:val="008A046F"/>
    <w:rsid w:val="008A405A"/>
    <w:rsid w:val="008A6A6A"/>
    <w:rsid w:val="008B650A"/>
    <w:rsid w:val="008B66B6"/>
    <w:rsid w:val="008B787C"/>
    <w:rsid w:val="008C3898"/>
    <w:rsid w:val="008C66CC"/>
    <w:rsid w:val="008F483C"/>
    <w:rsid w:val="00912D61"/>
    <w:rsid w:val="009309B9"/>
    <w:rsid w:val="009322D7"/>
    <w:rsid w:val="00932BDE"/>
    <w:rsid w:val="00942DDD"/>
    <w:rsid w:val="009566E6"/>
    <w:rsid w:val="00967725"/>
    <w:rsid w:val="00971CDB"/>
    <w:rsid w:val="009902F8"/>
    <w:rsid w:val="00993BB8"/>
    <w:rsid w:val="0099555F"/>
    <w:rsid w:val="009A22A1"/>
    <w:rsid w:val="009A2908"/>
    <w:rsid w:val="009B3A1B"/>
    <w:rsid w:val="009B6332"/>
    <w:rsid w:val="009C0912"/>
    <w:rsid w:val="009D6694"/>
    <w:rsid w:val="009E065D"/>
    <w:rsid w:val="009F0300"/>
    <w:rsid w:val="00A14FAC"/>
    <w:rsid w:val="00A167A8"/>
    <w:rsid w:val="00A21F0A"/>
    <w:rsid w:val="00A26011"/>
    <w:rsid w:val="00A34B73"/>
    <w:rsid w:val="00A506C2"/>
    <w:rsid w:val="00A62886"/>
    <w:rsid w:val="00A7466F"/>
    <w:rsid w:val="00A74C38"/>
    <w:rsid w:val="00A77D24"/>
    <w:rsid w:val="00A8572F"/>
    <w:rsid w:val="00A90777"/>
    <w:rsid w:val="00A93E07"/>
    <w:rsid w:val="00A979CF"/>
    <w:rsid w:val="00AA4DF8"/>
    <w:rsid w:val="00AB780C"/>
    <w:rsid w:val="00AD5ADE"/>
    <w:rsid w:val="00AE1A14"/>
    <w:rsid w:val="00AE7138"/>
    <w:rsid w:val="00AF4CAF"/>
    <w:rsid w:val="00B117BA"/>
    <w:rsid w:val="00B20D87"/>
    <w:rsid w:val="00B578AC"/>
    <w:rsid w:val="00B6433F"/>
    <w:rsid w:val="00B64CF5"/>
    <w:rsid w:val="00B64DAA"/>
    <w:rsid w:val="00B76C9B"/>
    <w:rsid w:val="00B823A1"/>
    <w:rsid w:val="00B8428B"/>
    <w:rsid w:val="00BA41F5"/>
    <w:rsid w:val="00BB3C9C"/>
    <w:rsid w:val="00BF3313"/>
    <w:rsid w:val="00BF4822"/>
    <w:rsid w:val="00C01D22"/>
    <w:rsid w:val="00C104B6"/>
    <w:rsid w:val="00C10F02"/>
    <w:rsid w:val="00C114F4"/>
    <w:rsid w:val="00C11D03"/>
    <w:rsid w:val="00C31967"/>
    <w:rsid w:val="00C371DE"/>
    <w:rsid w:val="00C409AE"/>
    <w:rsid w:val="00C40C91"/>
    <w:rsid w:val="00C42D50"/>
    <w:rsid w:val="00C54DF8"/>
    <w:rsid w:val="00C60B49"/>
    <w:rsid w:val="00C61253"/>
    <w:rsid w:val="00C7440A"/>
    <w:rsid w:val="00C779D6"/>
    <w:rsid w:val="00C865ED"/>
    <w:rsid w:val="00C8775A"/>
    <w:rsid w:val="00C92960"/>
    <w:rsid w:val="00CA0877"/>
    <w:rsid w:val="00CA56D5"/>
    <w:rsid w:val="00CA6B59"/>
    <w:rsid w:val="00CB3B6C"/>
    <w:rsid w:val="00CC1833"/>
    <w:rsid w:val="00CC189F"/>
    <w:rsid w:val="00CC3368"/>
    <w:rsid w:val="00CF19C4"/>
    <w:rsid w:val="00D10794"/>
    <w:rsid w:val="00D13C04"/>
    <w:rsid w:val="00D20A78"/>
    <w:rsid w:val="00D278BA"/>
    <w:rsid w:val="00D40454"/>
    <w:rsid w:val="00D4059C"/>
    <w:rsid w:val="00D53AFC"/>
    <w:rsid w:val="00D53D8F"/>
    <w:rsid w:val="00D61C76"/>
    <w:rsid w:val="00D77015"/>
    <w:rsid w:val="00D92B48"/>
    <w:rsid w:val="00DB1693"/>
    <w:rsid w:val="00DB1F02"/>
    <w:rsid w:val="00DC1361"/>
    <w:rsid w:val="00DC2BAE"/>
    <w:rsid w:val="00DD5B07"/>
    <w:rsid w:val="00DE6821"/>
    <w:rsid w:val="00DF2022"/>
    <w:rsid w:val="00DF34BE"/>
    <w:rsid w:val="00DF5D59"/>
    <w:rsid w:val="00E239E4"/>
    <w:rsid w:val="00E36A38"/>
    <w:rsid w:val="00E53399"/>
    <w:rsid w:val="00E77995"/>
    <w:rsid w:val="00E87099"/>
    <w:rsid w:val="00EA28E6"/>
    <w:rsid w:val="00ED560D"/>
    <w:rsid w:val="00EF78C4"/>
    <w:rsid w:val="00F04CD7"/>
    <w:rsid w:val="00F23E15"/>
    <w:rsid w:val="00F244A2"/>
    <w:rsid w:val="00F35064"/>
    <w:rsid w:val="00F374D8"/>
    <w:rsid w:val="00F5684D"/>
    <w:rsid w:val="00F57AB6"/>
    <w:rsid w:val="00F616D7"/>
    <w:rsid w:val="00F6480F"/>
    <w:rsid w:val="00F70C2E"/>
    <w:rsid w:val="00F86713"/>
    <w:rsid w:val="00F932E0"/>
    <w:rsid w:val="00FB7701"/>
    <w:rsid w:val="00FC40F0"/>
    <w:rsid w:val="00FC6D3B"/>
    <w:rsid w:val="00FD0129"/>
    <w:rsid w:val="00FE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E4F0D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55F"/>
    <w:rPr>
      <w:sz w:val="24"/>
    </w:rPr>
  </w:style>
  <w:style w:type="paragraph" w:styleId="Heading2">
    <w:name w:val="heading 2"/>
    <w:basedOn w:val="Normal"/>
    <w:next w:val="Normal"/>
    <w:qFormat/>
    <w:rsid w:val="0099555F"/>
    <w:pPr>
      <w:keepNext/>
      <w:spacing w:after="120"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rsid w:val="00E533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9555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995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99555F"/>
    <w:pPr>
      <w:spacing w:before="100" w:beforeAutospacing="1" w:after="100" w:afterAutospacing="1"/>
    </w:pPr>
    <w:rPr>
      <w:szCs w:val="24"/>
    </w:rPr>
  </w:style>
  <w:style w:type="paragraph" w:styleId="Footer">
    <w:name w:val="footer"/>
    <w:basedOn w:val="Normal"/>
    <w:rsid w:val="00D4059C"/>
    <w:pPr>
      <w:tabs>
        <w:tab w:val="center" w:pos="4153"/>
        <w:tab w:val="right" w:pos="8306"/>
      </w:tabs>
    </w:pPr>
  </w:style>
  <w:style w:type="paragraph" w:styleId="Title">
    <w:name w:val="Title"/>
    <w:basedOn w:val="Normal"/>
    <w:next w:val="Normal"/>
    <w:qFormat/>
    <w:rsid w:val="00D4059C"/>
    <w:pPr>
      <w:spacing w:before="240" w:after="240"/>
    </w:pPr>
    <w:rPr>
      <w:rFonts w:ascii="Arial" w:hAnsi="Arial"/>
      <w:b/>
      <w:sz w:val="40"/>
      <w:lang w:eastAsia="en-US"/>
    </w:rPr>
  </w:style>
  <w:style w:type="paragraph" w:styleId="FootnoteText">
    <w:name w:val="footnote text"/>
    <w:basedOn w:val="Normal"/>
    <w:semiHidden/>
    <w:rsid w:val="00F35064"/>
    <w:rPr>
      <w:sz w:val="20"/>
    </w:rPr>
  </w:style>
  <w:style w:type="character" w:styleId="FootnoteReference">
    <w:name w:val="footnote reference"/>
    <w:basedOn w:val="DefaultParagraphFont"/>
    <w:semiHidden/>
    <w:rsid w:val="00F35064"/>
    <w:rPr>
      <w:vertAlign w:val="superscript"/>
    </w:rPr>
  </w:style>
  <w:style w:type="paragraph" w:styleId="BalloonText">
    <w:name w:val="Balloon Text"/>
    <w:basedOn w:val="Normal"/>
    <w:semiHidden/>
    <w:rsid w:val="0058744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26011"/>
    <w:rPr>
      <w:sz w:val="16"/>
      <w:szCs w:val="16"/>
    </w:rPr>
  </w:style>
  <w:style w:type="paragraph" w:styleId="CommentText">
    <w:name w:val="annotation text"/>
    <w:basedOn w:val="Normal"/>
    <w:semiHidden/>
    <w:rsid w:val="00A26011"/>
    <w:rPr>
      <w:sz w:val="20"/>
    </w:rPr>
  </w:style>
  <w:style w:type="paragraph" w:styleId="CommentSubject">
    <w:name w:val="annotation subject"/>
    <w:basedOn w:val="CommentText"/>
    <w:next w:val="CommentText"/>
    <w:semiHidden/>
    <w:rsid w:val="00A26011"/>
    <w:rPr>
      <w:b/>
      <w:bCs/>
    </w:rPr>
  </w:style>
  <w:style w:type="paragraph" w:customStyle="1" w:styleId="Heading1a">
    <w:name w:val="Heading 1a"/>
    <w:next w:val="Normal"/>
    <w:rsid w:val="00F86713"/>
    <w:pPr>
      <w:keepNext/>
      <w:keepLines/>
      <w:spacing w:before="480"/>
      <w:outlineLvl w:val="0"/>
    </w:pPr>
    <w:rPr>
      <w:rFonts w:ascii="Verdana" w:hAnsi="Verdana"/>
      <w:b/>
      <w:noProof/>
      <w:sz w:val="28"/>
    </w:rPr>
  </w:style>
  <w:style w:type="paragraph" w:customStyle="1" w:styleId="Char2">
    <w:name w:val="Char2"/>
    <w:basedOn w:val="Normal"/>
    <w:rsid w:val="00E53399"/>
    <w:pPr>
      <w:spacing w:after="160" w:line="240" w:lineRule="exact"/>
    </w:pPr>
    <w:rPr>
      <w:rFonts w:ascii="Verdana" w:hAnsi="Verdana"/>
      <w:sz w:val="21"/>
      <w:lang w:val="en-US" w:eastAsia="en-US"/>
    </w:rPr>
  </w:style>
  <w:style w:type="character" w:styleId="Hyperlink">
    <w:name w:val="Hyperlink"/>
    <w:basedOn w:val="DefaultParagraphFont"/>
    <w:rsid w:val="008F483C"/>
    <w:rPr>
      <w:color w:val="0000FF"/>
      <w:u w:val="single"/>
    </w:rPr>
  </w:style>
  <w:style w:type="paragraph" w:styleId="ListParagraph">
    <w:name w:val="List Paragraph"/>
    <w:basedOn w:val="Normal"/>
    <w:qFormat/>
    <w:rsid w:val="00075B58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FollowedHyperlink">
    <w:name w:val="FollowedHyperlink"/>
    <w:basedOn w:val="DefaultParagraphFont"/>
    <w:rsid w:val="00DB1F02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06400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55F"/>
    <w:rPr>
      <w:sz w:val="24"/>
    </w:rPr>
  </w:style>
  <w:style w:type="paragraph" w:styleId="Heading2">
    <w:name w:val="heading 2"/>
    <w:basedOn w:val="Normal"/>
    <w:next w:val="Normal"/>
    <w:qFormat/>
    <w:rsid w:val="0099555F"/>
    <w:pPr>
      <w:keepNext/>
      <w:spacing w:after="120"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rsid w:val="00E533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9555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995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99555F"/>
    <w:pPr>
      <w:spacing w:before="100" w:beforeAutospacing="1" w:after="100" w:afterAutospacing="1"/>
    </w:pPr>
    <w:rPr>
      <w:szCs w:val="24"/>
    </w:rPr>
  </w:style>
  <w:style w:type="paragraph" w:styleId="Footer">
    <w:name w:val="footer"/>
    <w:basedOn w:val="Normal"/>
    <w:rsid w:val="00D4059C"/>
    <w:pPr>
      <w:tabs>
        <w:tab w:val="center" w:pos="4153"/>
        <w:tab w:val="right" w:pos="8306"/>
      </w:tabs>
    </w:pPr>
  </w:style>
  <w:style w:type="paragraph" w:styleId="Title">
    <w:name w:val="Title"/>
    <w:basedOn w:val="Normal"/>
    <w:next w:val="Normal"/>
    <w:qFormat/>
    <w:rsid w:val="00D4059C"/>
    <w:pPr>
      <w:spacing w:before="240" w:after="240"/>
    </w:pPr>
    <w:rPr>
      <w:rFonts w:ascii="Arial" w:hAnsi="Arial"/>
      <w:b/>
      <w:sz w:val="40"/>
      <w:lang w:eastAsia="en-US"/>
    </w:rPr>
  </w:style>
  <w:style w:type="paragraph" w:styleId="FootnoteText">
    <w:name w:val="footnote text"/>
    <w:basedOn w:val="Normal"/>
    <w:semiHidden/>
    <w:rsid w:val="00F35064"/>
    <w:rPr>
      <w:sz w:val="20"/>
    </w:rPr>
  </w:style>
  <w:style w:type="character" w:styleId="FootnoteReference">
    <w:name w:val="footnote reference"/>
    <w:basedOn w:val="DefaultParagraphFont"/>
    <w:semiHidden/>
    <w:rsid w:val="00F35064"/>
    <w:rPr>
      <w:vertAlign w:val="superscript"/>
    </w:rPr>
  </w:style>
  <w:style w:type="paragraph" w:styleId="BalloonText">
    <w:name w:val="Balloon Text"/>
    <w:basedOn w:val="Normal"/>
    <w:semiHidden/>
    <w:rsid w:val="0058744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26011"/>
    <w:rPr>
      <w:sz w:val="16"/>
      <w:szCs w:val="16"/>
    </w:rPr>
  </w:style>
  <w:style w:type="paragraph" w:styleId="CommentText">
    <w:name w:val="annotation text"/>
    <w:basedOn w:val="Normal"/>
    <w:semiHidden/>
    <w:rsid w:val="00A26011"/>
    <w:rPr>
      <w:sz w:val="20"/>
    </w:rPr>
  </w:style>
  <w:style w:type="paragraph" w:styleId="CommentSubject">
    <w:name w:val="annotation subject"/>
    <w:basedOn w:val="CommentText"/>
    <w:next w:val="CommentText"/>
    <w:semiHidden/>
    <w:rsid w:val="00A26011"/>
    <w:rPr>
      <w:b/>
      <w:bCs/>
    </w:rPr>
  </w:style>
  <w:style w:type="paragraph" w:customStyle="1" w:styleId="Heading1a">
    <w:name w:val="Heading 1a"/>
    <w:next w:val="Normal"/>
    <w:rsid w:val="00F86713"/>
    <w:pPr>
      <w:keepNext/>
      <w:keepLines/>
      <w:spacing w:before="480"/>
      <w:outlineLvl w:val="0"/>
    </w:pPr>
    <w:rPr>
      <w:rFonts w:ascii="Verdana" w:hAnsi="Verdana"/>
      <w:b/>
      <w:noProof/>
      <w:sz w:val="28"/>
    </w:rPr>
  </w:style>
  <w:style w:type="paragraph" w:customStyle="1" w:styleId="Char2">
    <w:name w:val="Char2"/>
    <w:basedOn w:val="Normal"/>
    <w:rsid w:val="00E53399"/>
    <w:pPr>
      <w:spacing w:after="160" w:line="240" w:lineRule="exact"/>
    </w:pPr>
    <w:rPr>
      <w:rFonts w:ascii="Verdana" w:hAnsi="Verdana"/>
      <w:sz w:val="21"/>
      <w:lang w:val="en-US" w:eastAsia="en-US"/>
    </w:rPr>
  </w:style>
  <w:style w:type="character" w:styleId="Hyperlink">
    <w:name w:val="Hyperlink"/>
    <w:basedOn w:val="DefaultParagraphFont"/>
    <w:rsid w:val="008F483C"/>
    <w:rPr>
      <w:color w:val="0000FF"/>
      <w:u w:val="single"/>
    </w:rPr>
  </w:style>
  <w:style w:type="paragraph" w:styleId="ListParagraph">
    <w:name w:val="List Paragraph"/>
    <w:basedOn w:val="Normal"/>
    <w:qFormat/>
    <w:rsid w:val="00075B58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FollowedHyperlink">
    <w:name w:val="FollowedHyperlink"/>
    <w:basedOn w:val="DefaultParagraphFont"/>
    <w:rsid w:val="00DB1F02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0640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629081">
      <w:bodyDiv w:val="1"/>
      <w:marLeft w:val="84"/>
      <w:marRight w:val="84"/>
      <w:marTop w:val="84"/>
      <w:marBottom w:val="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026">
      <w:bodyDiv w:val="1"/>
      <w:marLeft w:val="84"/>
      <w:marRight w:val="84"/>
      <w:marTop w:val="84"/>
      <w:marBottom w:val="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microsoft.com/office/2007/relationships/stylesWithEffects" Target="stylesWithEffect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>http://sharepoint</xsnScope>
</customXsn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c65f9449-2a65-4a94-823f-6ddb40b10aaa">
      <Value>Governance</Value>
    </Category>
    <TaxKeywordTaxHTField xmlns="5e039acd-daf0-4ba3-b421-e9b9ae1a3620">
      <Terms xmlns="http://schemas.microsoft.com/office/infopath/2007/PartnerControls"/>
    </TaxKeywordTaxHTField>
    <n1a6d2b88979416cad2cc3ecb331e44a xmlns="5e039acd-daf0-4ba3-b421-e9b9ae1a362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1bbb598d-ed8e-4faa-b9b5-c952cc7313f8</TermId>
        </TermInfo>
      </Terms>
    </n1a6d2b88979416cad2cc3ecb331e44a>
    <Branch xmlns="c65f9449-2a65-4a94-823f-6ddb40b10aaa">Law Design &amp; Governance</Branch>
    <TaxCatchAll xmlns="5e039acd-daf0-4ba3-b421-e9b9ae1a3620">
      <Value>1</Value>
    </TaxCatchAll>
    <_dlc_ExpireDateSaved xmlns="http://schemas.microsoft.com/sharepoint/v3" xsi:nil="true"/>
    <_dlc_ExpireDate xmlns="http://schemas.microsoft.com/sharepoint/v3">2027-04-21T01:40:16+00:00</_dlc_ExpireDate>
    <_dlc_DocId xmlns="5e039acd-daf0-4ba3-b421-e9b9ae1a3620">5YHNKJZSV77T-1853-1466</_dlc_DocId>
    <_dlc_DocIdUrl xmlns="5e039acd-daf0-4ba3-b421-e9b9ae1a3620">
      <Url>http://sharepoint/GASites/IntegratedTaxDesign/_layouts/DocIdRedir.aspx?ID=5YHNKJZSV77T-1853-1466</Url>
      <Description>5YHNKJZSV77T-1853-1466</Description>
    </_dlc_DocIdUrl>
  </documentManagement>
</p:properties>
</file>

<file path=customXml/item4.xml><?xml version="1.0" encoding="utf-8"?>
<?mso-contentType ?>
<p:Policy xmlns:p="office.server.policy" id="" local="true">
  <p:Name>Word</p:Name>
  <p:Description/>
  <p:Statement/>
  <p:PolicyItems>
    <p:PolicyItem featureId="Microsoft.Office.RecordsManagement.PolicyFeatures.Expiration" staticId="0x010100A64679C44DADA04984EEB770C4791873|1060299444" UniqueId="4cb30c36-7391-4ddd-ab56-a47c5a5217a7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10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Delete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A64679C44DADA04984EEB770C4791873006B50A42D46FE94428A184B3B20B7217F" ma:contentTypeVersion="40" ma:contentTypeDescription="" ma:contentTypeScope="" ma:versionID="648be8763a6aea8338c6a7265d703936">
  <xsd:schema xmlns:xsd="http://www.w3.org/2001/XMLSchema" xmlns:xs="http://www.w3.org/2001/XMLSchema" xmlns:p="http://schemas.microsoft.com/office/2006/metadata/properties" xmlns:ns1="http://schemas.microsoft.com/sharepoint/v3" xmlns:ns2="5e039acd-daf0-4ba3-b421-e9b9ae1a3620" xmlns:ns3="c65f9449-2a65-4a94-823f-6ddb40b10aaa" targetNamespace="http://schemas.microsoft.com/office/2006/metadata/properties" ma:root="true" ma:fieldsID="70f7ab4a0ee816d215b7013c42be5da4" ns1:_="" ns2:_="" ns3:_="">
    <xsd:import namespace="http://schemas.microsoft.com/sharepoint/v3"/>
    <xsd:import namespace="5e039acd-daf0-4ba3-b421-e9b9ae1a3620"/>
    <xsd:import namespace="c65f9449-2a65-4a94-823f-6ddb40b10aa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n1a6d2b88979416cad2cc3ecb331e44a" minOccurs="0"/>
                <xsd:element ref="ns2:TaxCatchAll" minOccurs="0"/>
                <xsd:element ref="ns2:TaxCatchAllLabel" minOccurs="0"/>
                <xsd:element ref="ns1:_dlc_Exempt" minOccurs="0"/>
                <xsd:element ref="ns1:_dlc_ExpireDateSaved" minOccurs="0"/>
                <xsd:element ref="ns1:_dlc_ExpireDate" minOccurs="0"/>
                <xsd:element ref="ns3:Branch" minOccurs="0"/>
                <xsd:element ref="ns3:Category" minOccurs="0"/>
                <xsd:element ref="ns2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5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6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7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39acd-daf0-4ba3-b421-e9b9ae1a362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1a6d2b88979416cad2cc3ecb331e44a" ma:index="11" nillable="true" ma:taxonomy="true" ma:internalName="n1a6d2b88979416cad2cc3ecb331e44a" ma:taxonomyFieldName="Security_x0020_Classification" ma:displayName="Security Classification" ma:readOnly="false" ma:default="1;#UNCLASSIFIED|1bbb598d-ed8e-4faa-b9b5-c952cc7313f8" ma:fieldId="{71a6d2b8-8979-416c-ad2c-c3ecb331e44a}" ma:sspId="552124a6-5639-4054-9398-f49b47b0070b" ma:termSetId="01e0d8d2-6959-4708-b4cf-d9f24a977c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ec2003f9-3252-44e8-804f-d5d14dd81ab1}" ma:internalName="TaxCatchAll" ma:showField="CatchAllData" ma:web="5e039acd-daf0-4ba3-b421-e9b9ae1a3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ec2003f9-3252-44e8-804f-d5d14dd81ab1}" ma:internalName="TaxCatchAllLabel" ma:readOnly="true" ma:showField="CatchAllDataLabel" ma:web="5e039acd-daf0-4ba3-b421-e9b9ae1a3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552124a6-5639-4054-9398-f49b47b0070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f9449-2a65-4a94-823f-6ddb40b10aaa" elementFormDefault="qualified">
    <xsd:import namespace="http://schemas.microsoft.com/office/2006/documentManagement/types"/>
    <xsd:import namespace="http://schemas.microsoft.com/office/infopath/2007/PartnerControls"/>
    <xsd:element name="Branch" ma:index="18" nillable="true" ma:displayName="Branch" ma:format="Dropdown" ma:internalName="Branch" ma:readOnly="false">
      <xsd:simpleType>
        <xsd:restriction base="dms:Choice">
          <xsd:enumeration value="Revenue Analysis Branch"/>
          <xsd:enumeration value="Law Design &amp; Governance"/>
          <xsd:enumeration value="ATO Design &amp; Innovation"/>
          <xsd:enumeration value="ATO Policy Integration"/>
          <xsd:enumeration value="ITD Business Management"/>
        </xsd:restriction>
      </xsd:simpleType>
    </xsd:element>
    <xsd:element name="Category" ma:index="19" nillable="true" ma:displayName="Category" ma:internalName="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TD Talks"/>
                    <xsd:enumeration value="ITD Forum"/>
                    <xsd:enumeration value="Policy Advice"/>
                    <xsd:enumeration value="Data analysis"/>
                    <xsd:enumeration value="Tax Reviews"/>
                    <xsd:enumeration value="Early engagement"/>
                    <xsd:enumeration value="Government relations"/>
                    <xsd:enumeration value="Costings"/>
                    <xsd:enumeration value="ITD Matters"/>
                    <xsd:enumeration value="How to guides"/>
                    <xsd:enumeration value="Governance"/>
                    <xsd:enumeration value="Stakeholder engagement"/>
                    <xsd:enumeration value="Risk management"/>
                    <xsd:enumeration value="Technical advice"/>
                    <xsd:enumeration value="Secondments"/>
                    <xsd:enumeration value="Rotations"/>
                    <xsd:enumeration value="Graduates"/>
                    <xsd:enumeration value="L&amp;D"/>
                    <xsd:enumeration value="Project management"/>
                    <xsd:enumeration value="Technology"/>
                    <xsd:enumeration value="Capability plan"/>
                    <xsd:enumeration value="Innovation"/>
                    <xsd:enumeration value="Support"/>
                    <xsd:enumeration value="Self Service Framework"/>
                    <xsd:enumeration value="Design groups"/>
                    <xsd:enumeration value="Branch Plan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F56F5-71FC-48FA-B98E-E9A58F8032CA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9BBF1B00-FC19-4B1C-9D8B-7145DEC969E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CD597C1-B965-4E1A-A465-326C0C3A3173}">
  <ds:schemaRefs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c65f9449-2a65-4a94-823f-6ddb40b10aaa"/>
    <ds:schemaRef ds:uri="http://schemas.microsoft.com/sharepoint/v3"/>
    <ds:schemaRef ds:uri="http://purl.org/dc/terms/"/>
    <ds:schemaRef ds:uri="5e039acd-daf0-4ba3-b421-e9b9ae1a3620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092B523-521B-4F01-8DAB-0EC284B7888D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A9D21B34-0B68-411B-A3EA-94C6FDB92CD2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FEC8A72-D1DE-4E56-884D-0B4CAFB985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e039acd-daf0-4ba3-b421-e9b9ae1a3620"/>
    <ds:schemaRef ds:uri="c65f9449-2a65-4a94-823f-6ddb40b10a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2858DB09-4893-439A-9C79-9D7C72100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1048</Words>
  <Characters>5911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HERE THE TITLE OF THE INSTRUMENT] Legislative Instrument 200X</vt:lpstr>
    </vt:vector>
  </TitlesOfParts>
  <Company>Australian Taxation Office</Company>
  <LinksUpToDate>false</LinksUpToDate>
  <CharactersWithSpaces>6946</CharactersWithSpaces>
  <SharedDoc>false</SharedDoc>
  <HLinks>
    <vt:vector size="12" baseType="variant">
      <vt:variant>
        <vt:i4>131145</vt:i4>
      </vt:variant>
      <vt:variant>
        <vt:i4>3</vt:i4>
      </vt:variant>
      <vt:variant>
        <vt:i4>0</vt:i4>
      </vt:variant>
      <vt:variant>
        <vt:i4>5</vt:i4>
      </vt:variant>
      <vt:variant>
        <vt:lpwstr>http://www.ag.gov.au/Humanrightsandantidiscrimination/Pages/Statements-of-Compatibility-templates.aspx</vt:lpwstr>
      </vt:variant>
      <vt:variant>
        <vt:lpwstr>doesnot</vt:lpwstr>
      </vt:variant>
      <vt:variant>
        <vt:i4>131145</vt:i4>
      </vt:variant>
      <vt:variant>
        <vt:i4>0</vt:i4>
      </vt:variant>
      <vt:variant>
        <vt:i4>0</vt:i4>
      </vt:variant>
      <vt:variant>
        <vt:i4>5</vt:i4>
      </vt:variant>
      <vt:variant>
        <vt:lpwstr>http://www.ag.gov.au/Humanrightsandantidiscrimination/Pages/Statements-of-Compatibility-templates.aspx</vt:lpwstr>
      </vt:variant>
      <vt:variant>
        <vt:lpwstr>doesnot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HERE THE TITLE OF THE INSTRUMENT] Legislative Instrument 200X</dc:title>
  <dc:creator>Angela Jankovic</dc:creator>
  <cp:lastModifiedBy>Ashlee Spears</cp:lastModifiedBy>
  <cp:revision>2</cp:revision>
  <cp:lastPrinted>2017-04-21T01:19:00Z</cp:lastPrinted>
  <dcterms:created xsi:type="dcterms:W3CDTF">2019-06-14T01:05:00Z</dcterms:created>
  <dcterms:modified xsi:type="dcterms:W3CDTF">2019-06-14T01:05:00Z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0x010100A64679C44DADA04984EEB770C4791873006B50A42D46FE94428A184B3B20B7217F</vt:lpwstr>
  </property>
  <property fmtid="{D5CDD505-2E9C-101B-9397-08002B2CF9AE}" pid="3" name="_dlc_policyId">
    <vt:lpwstr>0x010100A64679C44DADA04984EEB770C4791873|1060299444</vt:lpwstr>
  </property>
  <property fmtid="{D5CDD505-2E9C-101B-9397-08002B2CF9AE}" pid="4" name="ItemRetentionFormula">
    <vt:lpwstr>&lt;formula id="Microsoft.Office.RecordsManagement.PolicyFeatures.Expiration.Formula.BuiltIn"&gt;&lt;number&gt;10&lt;/number&gt;&lt;property&gt;Modified&lt;/property&gt;&lt;propertyId&gt;28cf69c5-fa48-462a-b5cd-27b6f9d2bd5f&lt;/propertyId&gt;&lt;period&gt;years&lt;/period&gt;&lt;/formula&gt;</vt:lpwstr>
  </property>
  <property fmtid="{D5CDD505-2E9C-101B-9397-08002B2CF9AE}" pid="5" name="_dlc_DocIdItemGuid">
    <vt:lpwstr>b7595fec-83a9-468b-b75f-c1145ef2e88e</vt:lpwstr>
  </property>
  <property fmtid="{D5CDD505-2E9C-101B-9397-08002B2CF9AE}" pid="6" name="TaxKeyword">
    <vt:lpwstr/>
  </property>
  <property fmtid="{D5CDD505-2E9C-101B-9397-08002B2CF9AE}" pid="7" name="Security Classification">
    <vt:lpwstr>1;#UNCLASSIFIED|1bbb598d-ed8e-4faa-b9b5-c952cc7313f8</vt:lpwstr>
  </property>
</Properties>
</file>