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06A2" w14:textId="63B4CCB6" w:rsidR="008A4053" w:rsidRPr="00E90783" w:rsidRDefault="00E90783" w:rsidP="00E90783">
      <w:pPr>
        <w:jc w:val="center"/>
        <w:rPr>
          <w:b/>
        </w:rPr>
      </w:pPr>
      <w:r w:rsidRPr="00E90783">
        <w:rPr>
          <w:b/>
        </w:rPr>
        <w:t>EXPLANATORY STATEMENT</w:t>
      </w:r>
    </w:p>
    <w:p w14:paraId="2A1E5B6E" w14:textId="69A6415B" w:rsidR="00E90783" w:rsidRDefault="00E90783" w:rsidP="00E90783">
      <w:pPr>
        <w:jc w:val="center"/>
      </w:pPr>
    </w:p>
    <w:p w14:paraId="2A263B51" w14:textId="68BFC1BB" w:rsidR="00E90783" w:rsidRDefault="00E90783" w:rsidP="00E90783">
      <w:pPr>
        <w:jc w:val="center"/>
      </w:pPr>
      <w:r>
        <w:t>Approved by the Australian Communications and Media Authority</w:t>
      </w:r>
    </w:p>
    <w:p w14:paraId="1F77FFEC" w14:textId="0E879433" w:rsidR="00E90783" w:rsidRDefault="00E90783" w:rsidP="00E90783">
      <w:pPr>
        <w:jc w:val="center"/>
        <w:rPr>
          <w:i/>
        </w:rPr>
      </w:pPr>
      <w:r>
        <w:rPr>
          <w:i/>
        </w:rPr>
        <w:t>Radiocommunications – Maritime Omnibus Variation 2019 (No.1)</w:t>
      </w:r>
    </w:p>
    <w:p w14:paraId="024D3482" w14:textId="6ADE33A1" w:rsidR="00E90783" w:rsidRPr="00E90783" w:rsidRDefault="00E90783" w:rsidP="00E90783">
      <w:pPr>
        <w:jc w:val="center"/>
        <w:rPr>
          <w:b/>
          <w:i/>
        </w:rPr>
      </w:pPr>
      <w:r w:rsidRPr="00E90783">
        <w:rPr>
          <w:b/>
          <w:i/>
        </w:rPr>
        <w:t>Australian Communications and Media Authority Act 2005</w:t>
      </w:r>
    </w:p>
    <w:p w14:paraId="696F849F" w14:textId="5D8BE89A" w:rsidR="00E90783" w:rsidRPr="00E90783" w:rsidRDefault="00E90783" w:rsidP="00E90783">
      <w:pPr>
        <w:jc w:val="center"/>
        <w:rPr>
          <w:b/>
          <w:i/>
        </w:rPr>
      </w:pPr>
      <w:r w:rsidRPr="00E90783">
        <w:rPr>
          <w:b/>
          <w:i/>
        </w:rPr>
        <w:t>Radiocommunications Act 1992</w:t>
      </w:r>
    </w:p>
    <w:p w14:paraId="5B67534E" w14:textId="25F3BEBD" w:rsidR="00E90783" w:rsidRDefault="00E90783" w:rsidP="00E90783"/>
    <w:p w14:paraId="12E9259D" w14:textId="333F9A2F" w:rsidR="00E90783" w:rsidRPr="00E90783" w:rsidRDefault="00E90783" w:rsidP="00E90783">
      <w:pPr>
        <w:rPr>
          <w:b/>
        </w:rPr>
      </w:pPr>
      <w:r w:rsidRPr="00E90783">
        <w:rPr>
          <w:b/>
        </w:rPr>
        <w:t>Authority</w:t>
      </w:r>
    </w:p>
    <w:p w14:paraId="2A0ABA11" w14:textId="64866FC8" w:rsidR="00E90783" w:rsidRDefault="00E90783" w:rsidP="00E90783">
      <w:r>
        <w:t>The Australian Communications and Media Authority (</w:t>
      </w:r>
      <w:r w:rsidRPr="00E90783">
        <w:rPr>
          <w:b/>
        </w:rPr>
        <w:t>ACMA</w:t>
      </w:r>
      <w:r>
        <w:t xml:space="preserve">) has made the </w:t>
      </w:r>
      <w:r w:rsidRPr="00E90783">
        <w:rPr>
          <w:i/>
        </w:rPr>
        <w:t>Radiocommunications – Maritime Omnibus Variation 2019 (No.1)</w:t>
      </w:r>
      <w:r>
        <w:t xml:space="preserve"> (the </w:t>
      </w:r>
      <w:r w:rsidRPr="00E90783">
        <w:rPr>
          <w:b/>
        </w:rPr>
        <w:t>Variation Instrument</w:t>
      </w:r>
      <w:r>
        <w:t xml:space="preserve">) under subsection 64(1) of the </w:t>
      </w:r>
      <w:r w:rsidRPr="00E90783">
        <w:rPr>
          <w:i/>
        </w:rPr>
        <w:t>Australian Communications and Media Authority Act 2005</w:t>
      </w:r>
      <w:r>
        <w:t xml:space="preserve"> </w:t>
      </w:r>
      <w:r w:rsidR="007706C8">
        <w:t xml:space="preserve">(the </w:t>
      </w:r>
      <w:r w:rsidR="007706C8" w:rsidRPr="007706C8">
        <w:rPr>
          <w:b/>
        </w:rPr>
        <w:t>ACMA Act</w:t>
      </w:r>
      <w:r w:rsidR="007706C8">
        <w:t>),</w:t>
      </w:r>
      <w:r>
        <w:t xml:space="preserve"> paragraph 107(1)(f) and subsection 132(1) of the </w:t>
      </w:r>
      <w:r>
        <w:rPr>
          <w:i/>
        </w:rPr>
        <w:t>Radiocommunications Act 1992</w:t>
      </w:r>
      <w:r w:rsidR="007706C8">
        <w:rPr>
          <w:i/>
        </w:rPr>
        <w:t xml:space="preserve"> </w:t>
      </w:r>
      <w:r w:rsidR="007706C8">
        <w:t>(</w:t>
      </w:r>
      <w:r w:rsidR="007706C8" w:rsidRPr="007706C8">
        <w:t xml:space="preserve">the </w:t>
      </w:r>
      <w:r w:rsidR="007706C8" w:rsidRPr="007706C8">
        <w:rPr>
          <w:b/>
        </w:rPr>
        <w:t>Act</w:t>
      </w:r>
      <w:r w:rsidR="007706C8">
        <w:t xml:space="preserve">) and in accordance with subsection 33(3) of the </w:t>
      </w:r>
      <w:r w:rsidR="007706C8">
        <w:rPr>
          <w:i/>
        </w:rPr>
        <w:t xml:space="preserve">Acts Interpretation Act 1901 </w:t>
      </w:r>
      <w:r w:rsidR="007706C8">
        <w:t xml:space="preserve">(the </w:t>
      </w:r>
      <w:r w:rsidR="007706C8" w:rsidRPr="007706C8">
        <w:rPr>
          <w:b/>
        </w:rPr>
        <w:t>AIA</w:t>
      </w:r>
      <w:r w:rsidR="007706C8">
        <w:t>).</w:t>
      </w:r>
    </w:p>
    <w:p w14:paraId="2C907DB1" w14:textId="46BC25B5" w:rsidR="007706C8" w:rsidRDefault="007706C8" w:rsidP="00E90783">
      <w:r>
        <w:t>Subsection 64 (1) of the ACMA Act provides</w:t>
      </w:r>
      <w:r w:rsidR="00271FC9">
        <w:t xml:space="preserve"> that the ACMA may make a written determination defining 1 or more expressions used in specified instruments, being instruments that are made by the ACMA under 1 or more specified laws of the Commonwealth.</w:t>
      </w:r>
    </w:p>
    <w:p w14:paraId="7051B7F6" w14:textId="069B8739" w:rsidR="007706C8" w:rsidRDefault="007706C8" w:rsidP="00E90783">
      <w:r>
        <w:t>Paragraph 107(1)(f) of the Act provides</w:t>
      </w:r>
      <w:r w:rsidR="00271FC9">
        <w:t xml:space="preserve"> that </w:t>
      </w:r>
      <w:r w:rsidR="0094396A">
        <w:t xml:space="preserve">an apparatus licence is subject to </w:t>
      </w:r>
      <w:r w:rsidR="00271FC9">
        <w:t>such conditions (if any) as the ACMA may, by legislative instrument, determine in relation to that particular type of apparatus licence.</w:t>
      </w:r>
    </w:p>
    <w:p w14:paraId="00AFB92F" w14:textId="09052C0A" w:rsidR="007706C8" w:rsidRDefault="007706C8" w:rsidP="00E90783">
      <w:r>
        <w:t>Subsection 132(1) of the Act provides</w:t>
      </w:r>
      <w:r w:rsidR="00271FC9">
        <w:t xml:space="preserve"> that the ACMA may, by legislative instrument, issue class licences</w:t>
      </w:r>
      <w:r w:rsidR="003B3B16">
        <w:t>.</w:t>
      </w:r>
    </w:p>
    <w:p w14:paraId="15566F65" w14:textId="179F4943" w:rsidR="007706C8" w:rsidRDefault="007706C8" w:rsidP="00E90783">
      <w:r>
        <w:t>Under subsection 33(3) of the AIA, where a</w:t>
      </w:r>
      <w:r w:rsidR="0094396A">
        <w:t>n</w:t>
      </w:r>
      <w:r>
        <w:t xml:space="preserve"> Act confers a power to make, grant or issue any instrument of a legislative character, the power shall be construed as including a power exercisable in the like manner and subject to the like conditions (if any) to repeal, rescind, revoke, amend, or vary any such instrument.</w:t>
      </w:r>
    </w:p>
    <w:p w14:paraId="77373AD0" w14:textId="2FD66D64" w:rsidR="007706C8" w:rsidRDefault="007706C8" w:rsidP="00E90783">
      <w:r>
        <w:t>Th</w:t>
      </w:r>
      <w:r w:rsidR="0094396A">
        <w:t>e Variation I</w:t>
      </w:r>
      <w:r>
        <w:t xml:space="preserve">nstrument and the instruments </w:t>
      </w:r>
      <w:r w:rsidR="0094396A">
        <w:t>it amends</w:t>
      </w:r>
      <w:r>
        <w:t xml:space="preserve"> </w:t>
      </w:r>
      <w:r w:rsidR="005C42F1">
        <w:t xml:space="preserve">or varies </w:t>
      </w:r>
      <w:r>
        <w:t xml:space="preserve">are disallowable legislative instruments for the purpose of the </w:t>
      </w:r>
      <w:r>
        <w:rPr>
          <w:i/>
        </w:rPr>
        <w:t xml:space="preserve">Legislation Act 2003 </w:t>
      </w:r>
      <w:r>
        <w:t xml:space="preserve">(the </w:t>
      </w:r>
      <w:r w:rsidRPr="007706C8">
        <w:rPr>
          <w:b/>
        </w:rPr>
        <w:t>LA</w:t>
      </w:r>
      <w:r>
        <w:t>).</w:t>
      </w:r>
    </w:p>
    <w:p w14:paraId="6D01AB0D" w14:textId="172040BA" w:rsidR="008B655E" w:rsidRPr="001C5C7E" w:rsidRDefault="008B655E" w:rsidP="00E90783">
      <w:pPr>
        <w:rPr>
          <w:b/>
        </w:rPr>
      </w:pPr>
      <w:r w:rsidRPr="001C5C7E">
        <w:rPr>
          <w:b/>
        </w:rPr>
        <w:t>Purpose</w:t>
      </w:r>
    </w:p>
    <w:p w14:paraId="6E81B771" w14:textId="22F0D865" w:rsidR="00FD5B79" w:rsidRDefault="00FD5B79" w:rsidP="00FD5B79">
      <w:r>
        <w:t xml:space="preserve">The purpose of the Variation Instrument is to amend </w:t>
      </w:r>
      <w:r w:rsidR="005C42F1">
        <w:t xml:space="preserve">or vary </w:t>
      </w:r>
      <w:r>
        <w:t xml:space="preserve">the following instruments that apply to the </w:t>
      </w:r>
      <w:r w:rsidR="006B3BE0">
        <w:t>V</w:t>
      </w:r>
      <w:r w:rsidR="0094396A">
        <w:t xml:space="preserve">ery </w:t>
      </w:r>
      <w:r w:rsidR="006B3BE0">
        <w:t>H</w:t>
      </w:r>
      <w:r w:rsidR="0094396A">
        <w:t xml:space="preserve">igh </w:t>
      </w:r>
      <w:r w:rsidR="006B3BE0">
        <w:t>F</w:t>
      </w:r>
      <w:r w:rsidR="0094396A">
        <w:t>requency (</w:t>
      </w:r>
      <w:r w:rsidR="00570559">
        <w:t>VHF</w:t>
      </w:r>
      <w:r w:rsidR="0094396A">
        <w:t>)</w:t>
      </w:r>
      <w:r w:rsidR="00570559">
        <w:t xml:space="preserve"> </w:t>
      </w:r>
      <w:r w:rsidR="006B161E">
        <w:t xml:space="preserve">component of the </w:t>
      </w:r>
      <w:r w:rsidR="00570559">
        <w:t>maritime mobile band</w:t>
      </w:r>
      <w:r>
        <w:t>:</w:t>
      </w:r>
    </w:p>
    <w:p w14:paraId="4B5FD43F" w14:textId="79460C71" w:rsidR="001C5C7E" w:rsidRDefault="00A662A7" w:rsidP="00C26188">
      <w:pPr>
        <w:pStyle w:val="ListParagraph"/>
        <w:numPr>
          <w:ilvl w:val="0"/>
          <w:numId w:val="3"/>
        </w:numPr>
      </w:pPr>
      <w:r>
        <w:rPr>
          <w:i/>
        </w:rPr>
        <w:t>Radiocommunications (Interpretation) Determination 2015</w:t>
      </w:r>
      <w:r w:rsidR="00503CCA">
        <w:rPr>
          <w:i/>
        </w:rPr>
        <w:t xml:space="preserve"> </w:t>
      </w:r>
      <w:r w:rsidR="00503CCA">
        <w:t xml:space="preserve">(the </w:t>
      </w:r>
      <w:r w:rsidR="00503CCA" w:rsidRPr="00503CCA">
        <w:rPr>
          <w:b/>
        </w:rPr>
        <w:t>Interpretation Determination</w:t>
      </w:r>
      <w:r w:rsidR="00503CCA">
        <w:t>);</w:t>
      </w:r>
    </w:p>
    <w:p w14:paraId="0F5839B9" w14:textId="232BF74F" w:rsidR="00503CCA" w:rsidRDefault="00C94297" w:rsidP="00C26188">
      <w:pPr>
        <w:pStyle w:val="ListParagraph"/>
        <w:numPr>
          <w:ilvl w:val="0"/>
          <w:numId w:val="3"/>
        </w:numPr>
      </w:pPr>
      <w:r>
        <w:rPr>
          <w:i/>
        </w:rPr>
        <w:t xml:space="preserve">Radiocommunications </w:t>
      </w:r>
      <w:r w:rsidR="002F6451">
        <w:rPr>
          <w:i/>
        </w:rPr>
        <w:t>Licence Conditions (Maritime Coast Licence</w:t>
      </w:r>
      <w:r w:rsidR="00735747">
        <w:rPr>
          <w:i/>
        </w:rPr>
        <w:t xml:space="preserve">) Determination 2015 </w:t>
      </w:r>
      <w:r w:rsidR="00735747">
        <w:t xml:space="preserve">(the </w:t>
      </w:r>
      <w:r w:rsidR="00735747" w:rsidRPr="00B66DA7">
        <w:rPr>
          <w:b/>
        </w:rPr>
        <w:t>Maritime Coast Licence Determination</w:t>
      </w:r>
      <w:r w:rsidR="00735747">
        <w:t>)</w:t>
      </w:r>
      <w:r w:rsidR="00B66DA7">
        <w:t>;</w:t>
      </w:r>
    </w:p>
    <w:p w14:paraId="68BB5475" w14:textId="3425FF7D" w:rsidR="00B66DA7" w:rsidRDefault="00C6365A" w:rsidP="00C26188">
      <w:pPr>
        <w:pStyle w:val="ListParagraph"/>
        <w:numPr>
          <w:ilvl w:val="0"/>
          <w:numId w:val="3"/>
        </w:numPr>
      </w:pPr>
      <w:r>
        <w:rPr>
          <w:i/>
        </w:rPr>
        <w:t>Radiocomm</w:t>
      </w:r>
      <w:r w:rsidR="006A6547">
        <w:rPr>
          <w:i/>
        </w:rPr>
        <w:t xml:space="preserve">unications </w:t>
      </w:r>
      <w:r w:rsidR="00B12758">
        <w:rPr>
          <w:i/>
        </w:rPr>
        <w:t xml:space="preserve">Licence Conditions (Maritime Ship Licence) Determination 2015 </w:t>
      </w:r>
      <w:r w:rsidR="00B12758">
        <w:t xml:space="preserve">(the </w:t>
      </w:r>
      <w:r w:rsidR="00FD03B5" w:rsidRPr="00FD03B5">
        <w:rPr>
          <w:b/>
        </w:rPr>
        <w:t>Maritime Ship Licence Determination</w:t>
      </w:r>
      <w:r w:rsidR="00FD03B5">
        <w:t>);</w:t>
      </w:r>
    </w:p>
    <w:p w14:paraId="30C72080" w14:textId="2AE51ED8" w:rsidR="00FD03B5" w:rsidRDefault="00430D70" w:rsidP="00C26188">
      <w:pPr>
        <w:pStyle w:val="ListParagraph"/>
        <w:numPr>
          <w:ilvl w:val="0"/>
          <w:numId w:val="3"/>
        </w:numPr>
      </w:pPr>
      <w:r>
        <w:rPr>
          <w:i/>
        </w:rPr>
        <w:t>Radiocommunications</w:t>
      </w:r>
      <w:r w:rsidR="00A03EB3">
        <w:rPr>
          <w:i/>
        </w:rPr>
        <w:t xml:space="preserve"> (Maritime Ship Station – 27 MHz and VHF) Class Licence 2015</w:t>
      </w:r>
      <w:r w:rsidR="00F358F6">
        <w:rPr>
          <w:i/>
        </w:rPr>
        <w:t xml:space="preserve"> </w:t>
      </w:r>
      <w:r w:rsidR="00F358F6">
        <w:t xml:space="preserve">(the </w:t>
      </w:r>
      <w:r w:rsidR="00F358F6" w:rsidRPr="00F358F6">
        <w:rPr>
          <w:b/>
        </w:rPr>
        <w:t xml:space="preserve">Class </w:t>
      </w:r>
      <w:r w:rsidR="0094396A">
        <w:rPr>
          <w:b/>
        </w:rPr>
        <w:t>L</w:t>
      </w:r>
      <w:r w:rsidR="00F358F6" w:rsidRPr="00F358F6">
        <w:rPr>
          <w:b/>
        </w:rPr>
        <w:t>icence</w:t>
      </w:r>
      <w:r w:rsidR="00F358F6">
        <w:t>)</w:t>
      </w:r>
      <w:r w:rsidR="001C578C">
        <w:t>.</w:t>
      </w:r>
    </w:p>
    <w:p w14:paraId="0FD52B88" w14:textId="6754F78F" w:rsidR="00161566" w:rsidRDefault="005655F1" w:rsidP="00161566">
      <w:r>
        <w:lastRenderedPageBreak/>
        <w:t xml:space="preserve">Maritime radio in Australia provides search </w:t>
      </w:r>
      <w:r w:rsidR="00C67B34">
        <w:t xml:space="preserve">and rescue assistance </w:t>
      </w:r>
      <w:r w:rsidR="001428A6">
        <w:t>to ships in distress, while also providing commercial and recreational communications uses</w:t>
      </w:r>
      <w:r w:rsidR="0094396A">
        <w:t xml:space="preserve"> for maritime purposes</w:t>
      </w:r>
      <w:r w:rsidR="001428A6">
        <w:t xml:space="preserve">. </w:t>
      </w:r>
      <w:r w:rsidR="0094525C">
        <w:t xml:space="preserve">A large block of spectrum </w:t>
      </w:r>
      <w:r w:rsidR="0029107B">
        <w:t xml:space="preserve">for </w:t>
      </w:r>
      <w:r w:rsidR="0094396A">
        <w:t>maritime</w:t>
      </w:r>
      <w:r w:rsidR="0029107B">
        <w:t xml:space="preserve"> purpose</w:t>
      </w:r>
      <w:r w:rsidR="006B3BE0">
        <w:t>s</w:t>
      </w:r>
      <w:r w:rsidR="0029107B">
        <w:t xml:space="preserve"> </w:t>
      </w:r>
      <w:r w:rsidR="00631BCA">
        <w:t>is provided for in the VHF maritime mobile band</w:t>
      </w:r>
      <w:r w:rsidR="000900B8">
        <w:t xml:space="preserve"> and the regulatory framework </w:t>
      </w:r>
      <w:r w:rsidR="000E48D8">
        <w:t>that regulates channel arrangements and use</w:t>
      </w:r>
      <w:r w:rsidR="006B3BE0">
        <w:t>s</w:t>
      </w:r>
      <w:r w:rsidR="000E48D8">
        <w:t xml:space="preserve"> is </w:t>
      </w:r>
      <w:r w:rsidR="009D3E8A">
        <w:t xml:space="preserve">provided </w:t>
      </w:r>
      <w:r w:rsidR="006B3BE0">
        <w:t xml:space="preserve">for </w:t>
      </w:r>
      <w:r w:rsidR="009D3E8A">
        <w:t xml:space="preserve">in the instruments identified above. </w:t>
      </w:r>
      <w:r w:rsidR="002047E9">
        <w:t xml:space="preserve">The VHF maritime mobile band consists of </w:t>
      </w:r>
      <w:r w:rsidR="0041354E">
        <w:t>channels operating in the frequency range 156.000 MHz to 162.050 MHz</w:t>
      </w:r>
      <w:r w:rsidR="00066851">
        <w:t>, apart from those portions within this frequency range that are allocated to the land mobile service.</w:t>
      </w:r>
    </w:p>
    <w:p w14:paraId="6630D5A0" w14:textId="63C19DD5" w:rsidR="00066851" w:rsidRDefault="008E34A4" w:rsidP="00161566">
      <w:r>
        <w:t>The description of the changes made in the</w:t>
      </w:r>
      <w:r w:rsidR="00496420">
        <w:t xml:space="preserve"> Variation Instrumen</w:t>
      </w:r>
      <w:r w:rsidR="00527535">
        <w:t xml:space="preserve">t </w:t>
      </w:r>
      <w:r w:rsidR="00D65AEB">
        <w:t xml:space="preserve">is </w:t>
      </w:r>
      <w:r w:rsidR="001C5F3E">
        <w:t>set out</w:t>
      </w:r>
      <w:r w:rsidR="00D65AEB">
        <w:t xml:space="preserve"> in </w:t>
      </w:r>
      <w:r w:rsidR="00D65AEB" w:rsidRPr="00D65AEB">
        <w:rPr>
          <w:b/>
        </w:rPr>
        <w:t>Attachment A – Detailed description of instrument</w:t>
      </w:r>
      <w:r w:rsidR="00D65AEB">
        <w:t>.</w:t>
      </w:r>
    </w:p>
    <w:p w14:paraId="1BE631F9" w14:textId="5131BE28" w:rsidR="00323922" w:rsidRPr="001E188D" w:rsidRDefault="00323922" w:rsidP="00161566">
      <w:pPr>
        <w:rPr>
          <w:b/>
        </w:rPr>
      </w:pPr>
      <w:r w:rsidRPr="001E188D">
        <w:rPr>
          <w:b/>
        </w:rPr>
        <w:t>Background</w:t>
      </w:r>
    </w:p>
    <w:p w14:paraId="7EAAA3A4" w14:textId="65A8F63E" w:rsidR="00DA6575" w:rsidRDefault="00DA6575" w:rsidP="00DA6575">
      <w:pPr>
        <w:rPr>
          <w:rFonts w:cs="Arial"/>
        </w:rPr>
      </w:pPr>
      <w:r>
        <w:rPr>
          <w:rFonts w:cs="Arial"/>
        </w:rPr>
        <w:t xml:space="preserve">As Australia’s spectrum regulator, the ACMA manages the spectrum in accordance with the </w:t>
      </w:r>
      <w:r w:rsidRPr="001D3A90">
        <w:rPr>
          <w:rFonts w:cs="Arial"/>
          <w:i/>
        </w:rPr>
        <w:t>Radiocommunications Act 1992</w:t>
      </w:r>
      <w:r>
        <w:rPr>
          <w:rFonts w:cs="Arial"/>
        </w:rPr>
        <w:t xml:space="preserve"> (the Act), which sets out objectives for spectrum management</w:t>
      </w:r>
      <w:r w:rsidR="001C5F3E">
        <w:rPr>
          <w:rFonts w:cs="Arial"/>
        </w:rPr>
        <w:t>, which is done</w:t>
      </w:r>
      <w:r>
        <w:rPr>
          <w:rFonts w:cs="Arial"/>
        </w:rPr>
        <w:t xml:space="preserve"> using a range of regulatory tools. These include powers relating to frequency planning, licensing and technical standards. </w:t>
      </w:r>
    </w:p>
    <w:p w14:paraId="7354D81D" w14:textId="77777777" w:rsidR="00DA6575" w:rsidRDefault="00DA6575" w:rsidP="00DA6575">
      <w:pPr>
        <w:spacing w:after="80"/>
        <w:rPr>
          <w:rFonts w:cs="Arial"/>
        </w:rPr>
      </w:pPr>
      <w:r>
        <w:rPr>
          <w:rFonts w:cs="Arial"/>
        </w:rPr>
        <w:t xml:space="preserve">The VHF maritime mobile band refers to the following radio frequency ranges: </w:t>
      </w:r>
    </w:p>
    <w:p w14:paraId="18F3D563" w14:textId="77777777" w:rsidR="00DA6575" w:rsidRDefault="00DA6575" w:rsidP="00DA6575">
      <w:pPr>
        <w:pStyle w:val="ListBullet"/>
      </w:pPr>
      <w:r w:rsidRPr="00C92343">
        <w:t>156.000</w:t>
      </w:r>
      <w:r>
        <w:t xml:space="preserve"> </w:t>
      </w:r>
      <w:r w:rsidRPr="00C92343">
        <w:t>MHz to 157.450</w:t>
      </w:r>
      <w:r>
        <w:t xml:space="preserve"> </w:t>
      </w:r>
      <w:r w:rsidRPr="00C92343">
        <w:t xml:space="preserve">MHz </w:t>
      </w:r>
    </w:p>
    <w:p w14:paraId="5D4DEC63" w14:textId="77777777" w:rsidR="00DA6575" w:rsidRDefault="00DA6575" w:rsidP="00DA6575">
      <w:pPr>
        <w:pStyle w:val="ListBullet"/>
      </w:pPr>
      <w:r w:rsidRPr="00C92343">
        <w:t>160.6</w:t>
      </w:r>
      <w:r>
        <w:t>00 MHz</w:t>
      </w:r>
      <w:r w:rsidRPr="00C92343">
        <w:t xml:space="preserve"> to 160.975</w:t>
      </w:r>
      <w:r>
        <w:t xml:space="preserve"> </w:t>
      </w:r>
      <w:r w:rsidRPr="00C92343">
        <w:t>MHz</w:t>
      </w:r>
    </w:p>
    <w:p w14:paraId="11727F5D" w14:textId="77777777" w:rsidR="00DA6575" w:rsidRDefault="00DA6575" w:rsidP="00DA6575">
      <w:pPr>
        <w:pStyle w:val="ListBulletLast"/>
      </w:pPr>
      <w:r w:rsidRPr="00C92343">
        <w:t>161.475</w:t>
      </w:r>
      <w:r>
        <w:t xml:space="preserve"> MHz</w:t>
      </w:r>
      <w:r w:rsidRPr="00C92343">
        <w:t xml:space="preserve"> to 162.05</w:t>
      </w:r>
      <w:r>
        <w:t xml:space="preserve"> </w:t>
      </w:r>
      <w:proofErr w:type="spellStart"/>
      <w:r w:rsidRPr="00C92343">
        <w:t>MHz</w:t>
      </w:r>
      <w:r>
        <w:t>.</w:t>
      </w:r>
      <w:proofErr w:type="spellEnd"/>
    </w:p>
    <w:p w14:paraId="708CCDC0" w14:textId="76D715C5" w:rsidR="00DA6575" w:rsidRPr="001C5F3E" w:rsidRDefault="00DA6575" w:rsidP="00DA6575">
      <w:pPr>
        <w:ind w:left="60"/>
      </w:pPr>
      <w:r>
        <w:t xml:space="preserve">These frequency ranges are derived from </w:t>
      </w:r>
      <w:r w:rsidR="001C5F3E">
        <w:t xml:space="preserve">the ACMA’s </w:t>
      </w:r>
      <w:r>
        <w:t xml:space="preserve"> Radiocommunications Assignment and Licensing Instrument (RALI) MS</w:t>
      </w:r>
      <w:r w:rsidR="001C5F3E">
        <w:t xml:space="preserve"> </w:t>
      </w:r>
      <w:r>
        <w:t>42</w:t>
      </w:r>
      <w:r w:rsidR="001C5F3E">
        <w:t xml:space="preserve">, </w:t>
      </w:r>
      <w:r w:rsidR="001C5F3E" w:rsidRPr="004D1BDE">
        <w:rPr>
          <w:i/>
        </w:rPr>
        <w:t>Frequency Plan for the VHF Bands 70 - 87.5 MHz and 148 - 174 MHz</w:t>
      </w:r>
      <w:r w:rsidR="001C5F3E">
        <w:t>,</w:t>
      </w:r>
      <w:r>
        <w:t xml:space="preserve"> when read together with the I</w:t>
      </w:r>
      <w:r w:rsidR="00C72E81">
        <w:t xml:space="preserve">nternational </w:t>
      </w:r>
      <w:r>
        <w:t>T</w:t>
      </w:r>
      <w:r w:rsidR="00C72E81">
        <w:t xml:space="preserve">elecommunication </w:t>
      </w:r>
      <w:r>
        <w:t>U</w:t>
      </w:r>
      <w:r w:rsidR="00C72E81">
        <w:t>nion (ITU)</w:t>
      </w:r>
      <w:r>
        <w:t xml:space="preserve"> </w:t>
      </w:r>
      <w:r w:rsidRPr="009F588B">
        <w:t>Appendix 18</w:t>
      </w:r>
      <w:r w:rsidR="001C5F3E">
        <w:t xml:space="preserve">, </w:t>
      </w:r>
      <w:r w:rsidRPr="00F64D6F">
        <w:rPr>
          <w:rFonts w:cs="Arial"/>
          <w:i/>
        </w:rPr>
        <w:t>Table of transmitting frequencies in the VHF maritime mobile band</w:t>
      </w:r>
      <w:r>
        <w:rPr>
          <w:rStyle w:val="FootnoteReference"/>
          <w:rFonts w:cs="Arial"/>
          <w:i/>
        </w:rPr>
        <w:footnoteReference w:id="1"/>
      </w:r>
      <w:r w:rsidR="001C5F3E">
        <w:rPr>
          <w:rFonts w:cs="Arial"/>
        </w:rPr>
        <w:t>, of the ITU Radio Regulations.</w:t>
      </w:r>
    </w:p>
    <w:p w14:paraId="64BE3D14" w14:textId="3E6C96C3" w:rsidR="00DA6575" w:rsidRDefault="00DA6575" w:rsidP="00DA6575">
      <w:pPr>
        <w:ind w:left="60"/>
        <w:rPr>
          <w:rFonts w:cs="Arial"/>
        </w:rPr>
      </w:pPr>
      <w:r>
        <w:rPr>
          <w:rFonts w:cs="Arial"/>
        </w:rPr>
        <w:t xml:space="preserve">The </w:t>
      </w:r>
      <w:r w:rsidR="00A467C3">
        <w:rPr>
          <w:rFonts w:cs="Arial"/>
        </w:rPr>
        <w:t xml:space="preserve">VHF maritime mobile band is </w:t>
      </w:r>
      <w:r w:rsidR="004B77F4">
        <w:rPr>
          <w:rFonts w:cs="Arial"/>
        </w:rPr>
        <w:t xml:space="preserve">broken up into harmonised </w:t>
      </w:r>
      <w:r w:rsidRPr="00C92343">
        <w:rPr>
          <w:rFonts w:cs="Arial"/>
        </w:rPr>
        <w:t>channels</w:t>
      </w:r>
      <w:r w:rsidR="00A42976">
        <w:rPr>
          <w:rFonts w:cs="Arial"/>
        </w:rPr>
        <w:t xml:space="preserve"> that</w:t>
      </w:r>
      <w:r>
        <w:rPr>
          <w:rFonts w:cs="Arial"/>
        </w:rPr>
        <w:t xml:space="preserve"> </w:t>
      </w:r>
      <w:r w:rsidRPr="00C92343">
        <w:rPr>
          <w:rFonts w:cs="Arial"/>
        </w:rPr>
        <w:t>are a mix of duplex and simplex channels</w:t>
      </w:r>
      <w:r>
        <w:rPr>
          <w:rFonts w:cs="Arial"/>
        </w:rPr>
        <w:t>.</w:t>
      </w:r>
      <w:r w:rsidRPr="00816F35">
        <w:rPr>
          <w:vertAlign w:val="superscript"/>
        </w:rPr>
        <w:footnoteReference w:id="2"/>
      </w:r>
      <w:r w:rsidRPr="00C92343">
        <w:rPr>
          <w:rFonts w:cs="Arial"/>
        </w:rPr>
        <w:t xml:space="preserve"> The use of these channels is extremely broad and ranges from ship to ship, ship to shore, ship to satellite and on-board communications. </w:t>
      </w:r>
      <w:r>
        <w:rPr>
          <w:rFonts w:cs="Arial"/>
        </w:rPr>
        <w:t>R</w:t>
      </w:r>
      <w:r w:rsidRPr="00C92343">
        <w:rPr>
          <w:rFonts w:cs="Arial"/>
        </w:rPr>
        <w:t xml:space="preserve">adio equipment is installed on all large ships and </w:t>
      </w:r>
      <w:r>
        <w:rPr>
          <w:rFonts w:cs="Arial"/>
        </w:rPr>
        <w:t xml:space="preserve">many </w:t>
      </w:r>
      <w:r w:rsidRPr="00C92343">
        <w:rPr>
          <w:rFonts w:cs="Arial"/>
        </w:rPr>
        <w:t>seagoing small craft</w:t>
      </w:r>
      <w:r>
        <w:rPr>
          <w:rFonts w:cs="Arial"/>
        </w:rPr>
        <w:t xml:space="preserve"> including</w:t>
      </w:r>
      <w:r w:rsidRPr="00C92343">
        <w:rPr>
          <w:rFonts w:cs="Arial"/>
        </w:rPr>
        <w:t xml:space="preserve"> recreational and fishing vessels. A </w:t>
      </w:r>
      <w:r>
        <w:rPr>
          <w:rFonts w:cs="Arial"/>
        </w:rPr>
        <w:t>maritime</w:t>
      </w:r>
      <w:r w:rsidRPr="00C92343">
        <w:rPr>
          <w:rFonts w:cs="Arial"/>
        </w:rPr>
        <w:t xml:space="preserve"> VHF </w:t>
      </w:r>
      <w:r>
        <w:rPr>
          <w:rFonts w:cs="Arial"/>
        </w:rPr>
        <w:t xml:space="preserve">radio </w:t>
      </w:r>
      <w:r w:rsidRPr="00C92343">
        <w:rPr>
          <w:rFonts w:cs="Arial"/>
        </w:rPr>
        <w:t xml:space="preserve">set is a combined transmitter and receiver and only operates on standard, international </w:t>
      </w:r>
      <w:r>
        <w:rPr>
          <w:rFonts w:cs="Arial"/>
        </w:rPr>
        <w:t xml:space="preserve">maritime </w:t>
      </w:r>
      <w:r w:rsidRPr="00C92343">
        <w:rPr>
          <w:rFonts w:cs="Arial"/>
        </w:rPr>
        <w:t xml:space="preserve">frequencies known as channels. </w:t>
      </w:r>
    </w:p>
    <w:p w14:paraId="713A0BB1" w14:textId="6F23841E" w:rsidR="00DA6575" w:rsidRPr="00C92343" w:rsidRDefault="00DA6575" w:rsidP="00DA6575">
      <w:pPr>
        <w:ind w:left="60"/>
        <w:rPr>
          <w:rFonts w:cs="Arial"/>
        </w:rPr>
      </w:pPr>
      <w:r>
        <w:rPr>
          <w:rFonts w:cs="Arial"/>
        </w:rPr>
        <w:t>Maritime VHF radios mostly uses simplex transmission, where communications can only take place in one direction at a time. However, within the VHF maritime mobile band, there are several duplex transmission channels where communication</w:t>
      </w:r>
      <w:r w:rsidR="001C5F3E">
        <w:rPr>
          <w:rFonts w:cs="Arial"/>
        </w:rPr>
        <w:t>s</w:t>
      </w:r>
      <w:r>
        <w:rPr>
          <w:rFonts w:cs="Arial"/>
        </w:rPr>
        <w:t xml:space="preserve"> can take place in both directions simultaneously when equipment at both ends allows it. Each duplex channel has two frequencies assigned to it.</w:t>
      </w:r>
    </w:p>
    <w:p w14:paraId="5ADF86ED" w14:textId="09F0B043" w:rsidR="00DA6575" w:rsidRDefault="00DA6575" w:rsidP="00DA6575">
      <w:pPr>
        <w:rPr>
          <w:rFonts w:cs="Arial"/>
        </w:rPr>
      </w:pPr>
      <w:r>
        <w:rPr>
          <w:rFonts w:cs="Arial"/>
        </w:rPr>
        <w:t xml:space="preserve">The regulatory framework for maritime radio, including planning the use of channels, begins at the international level. For most countries, including Australia, planning starts through participation in the ITU. The ITU maintains the Radio Regulations, which regulate radiocommunications services on an international basis and govern the utilisation of radio frequencies. </w:t>
      </w:r>
      <w:r w:rsidRPr="00995235">
        <w:rPr>
          <w:rFonts w:cs="Arial"/>
        </w:rPr>
        <w:t>The frequency a</w:t>
      </w:r>
      <w:r>
        <w:rPr>
          <w:rFonts w:cs="Arial"/>
        </w:rPr>
        <w:t>llocations</w:t>
      </w:r>
      <w:r w:rsidRPr="00995235">
        <w:rPr>
          <w:rFonts w:cs="Arial"/>
        </w:rPr>
        <w:t xml:space="preserve"> for the maritime mobile band are detailed in Article </w:t>
      </w:r>
      <w:r w:rsidRPr="00995235">
        <w:rPr>
          <w:rFonts w:cs="Arial"/>
          <w:b/>
        </w:rPr>
        <w:t>5</w:t>
      </w:r>
      <w:r w:rsidRPr="00995235">
        <w:rPr>
          <w:rFonts w:cs="Arial"/>
        </w:rPr>
        <w:t xml:space="preserve"> of the </w:t>
      </w:r>
      <w:r>
        <w:rPr>
          <w:rFonts w:cs="Arial"/>
        </w:rPr>
        <w:t xml:space="preserve">ITU </w:t>
      </w:r>
      <w:r w:rsidRPr="00995235">
        <w:rPr>
          <w:rFonts w:cs="Arial"/>
        </w:rPr>
        <w:t>Radio Regulations</w:t>
      </w:r>
      <w:r>
        <w:rPr>
          <w:rFonts w:cs="Arial"/>
        </w:rPr>
        <w:t xml:space="preserve">. The basis for the structure of the VHF maritime mobile band is </w:t>
      </w:r>
      <w:r w:rsidRPr="009F588B">
        <w:rPr>
          <w:rFonts w:cs="Arial"/>
        </w:rPr>
        <w:t>Appendix 18</w:t>
      </w:r>
      <w:r>
        <w:rPr>
          <w:rFonts w:cs="Arial"/>
        </w:rPr>
        <w:t xml:space="preserve"> of the ITU Radio Regulations, which </w:t>
      </w:r>
      <w:r>
        <w:rPr>
          <w:rFonts w:cs="Arial"/>
        </w:rPr>
        <w:lastRenderedPageBreak/>
        <w:t>defines the channel numbering and the permitted use for each maritime VHF channel on an international basis.</w:t>
      </w:r>
    </w:p>
    <w:p w14:paraId="4C48153A" w14:textId="41AA0D47" w:rsidR="00DA6575" w:rsidRDefault="00DA6575" w:rsidP="00DA6575">
      <w:pPr>
        <w:spacing w:after="80"/>
        <w:rPr>
          <w:rFonts w:cs="Arial"/>
        </w:rPr>
      </w:pPr>
      <w:r>
        <w:rPr>
          <w:rFonts w:cs="Arial"/>
        </w:rPr>
        <w:t xml:space="preserve">Australia is a signatory to the Constitution </w:t>
      </w:r>
      <w:r w:rsidR="001C1B0B">
        <w:rPr>
          <w:rFonts w:cs="Arial"/>
        </w:rPr>
        <w:t xml:space="preserve">of the International Telecommunication Union </w:t>
      </w:r>
      <w:r>
        <w:rPr>
          <w:rFonts w:cs="Arial"/>
        </w:rPr>
        <w:t xml:space="preserve">and Convention of the </w:t>
      </w:r>
      <w:r w:rsidR="002010A9">
        <w:rPr>
          <w:rFonts w:cs="Arial"/>
        </w:rPr>
        <w:t>International Telecommunication Union</w:t>
      </w:r>
      <w:r>
        <w:rPr>
          <w:rFonts w:cs="Arial"/>
        </w:rPr>
        <w:t>. The ITU Radio Regulations</w:t>
      </w:r>
      <w:r w:rsidR="00A706DC">
        <w:rPr>
          <w:rFonts w:cs="Arial"/>
        </w:rPr>
        <w:t>, made under these instruments,</w:t>
      </w:r>
      <w:r>
        <w:rPr>
          <w:rFonts w:cs="Arial"/>
        </w:rPr>
        <w:t xml:space="preserve"> are revised by the ITU World Radiocommunication Conferences, normally held every four years. T</w:t>
      </w:r>
      <w:r w:rsidRPr="00E66787">
        <w:rPr>
          <w:rFonts w:cs="Arial"/>
        </w:rPr>
        <w:t>he Australian VHF maritime mobile allocations</w:t>
      </w:r>
      <w:r>
        <w:rPr>
          <w:rFonts w:cs="Arial"/>
        </w:rPr>
        <w:t xml:space="preserve"> and </w:t>
      </w:r>
      <w:r>
        <w:t>permitted</w:t>
      </w:r>
      <w:r>
        <w:rPr>
          <w:rFonts w:cs="Arial"/>
        </w:rPr>
        <w:t xml:space="preserve"> use of the channels</w:t>
      </w:r>
      <w:r w:rsidRPr="00E66787">
        <w:rPr>
          <w:rFonts w:cs="Arial"/>
        </w:rPr>
        <w:t xml:space="preserve"> are</w:t>
      </w:r>
      <w:r>
        <w:rPr>
          <w:rFonts w:cs="Arial"/>
        </w:rPr>
        <w:t xml:space="preserve"> generally</w:t>
      </w:r>
      <w:r w:rsidRPr="00E66787">
        <w:rPr>
          <w:rFonts w:cs="Arial"/>
        </w:rPr>
        <w:t xml:space="preserve"> </w:t>
      </w:r>
      <w:r>
        <w:rPr>
          <w:rFonts w:cs="Arial"/>
        </w:rPr>
        <w:t xml:space="preserve">consistent </w:t>
      </w:r>
      <w:r w:rsidRPr="00E66787">
        <w:rPr>
          <w:rFonts w:cs="Arial"/>
        </w:rPr>
        <w:t xml:space="preserve">with the ITU </w:t>
      </w:r>
      <w:r>
        <w:rPr>
          <w:rFonts w:cs="Arial"/>
        </w:rPr>
        <w:t>Radio Regulations, however</w:t>
      </w:r>
      <w:r w:rsidRPr="00E66787">
        <w:rPr>
          <w:rFonts w:cs="Arial"/>
        </w:rPr>
        <w:t xml:space="preserve"> there are </w:t>
      </w:r>
      <w:r>
        <w:rPr>
          <w:rFonts w:cs="Arial"/>
        </w:rPr>
        <w:t>some</w:t>
      </w:r>
      <w:r w:rsidRPr="00E66787">
        <w:rPr>
          <w:rFonts w:cs="Arial"/>
        </w:rPr>
        <w:t xml:space="preserve"> </w:t>
      </w:r>
      <w:r>
        <w:rPr>
          <w:rFonts w:cs="Arial"/>
        </w:rPr>
        <w:t xml:space="preserve">instances where channels and </w:t>
      </w:r>
      <w:r>
        <w:t>permitted</w:t>
      </w:r>
      <w:r>
        <w:rPr>
          <w:rFonts w:cs="Arial"/>
        </w:rPr>
        <w:t xml:space="preserve"> use</w:t>
      </w:r>
      <w:r w:rsidR="00A706DC">
        <w:rPr>
          <w:rFonts w:cs="Arial"/>
        </w:rPr>
        <w:t>s are</w:t>
      </w:r>
      <w:r>
        <w:rPr>
          <w:rFonts w:cs="Arial"/>
        </w:rPr>
        <w:t xml:space="preserve"> different to that provided in</w:t>
      </w:r>
      <w:r w:rsidRPr="00E66787">
        <w:rPr>
          <w:rFonts w:cs="Arial"/>
        </w:rPr>
        <w:t xml:space="preserve"> </w:t>
      </w:r>
      <w:r w:rsidRPr="009F588B">
        <w:rPr>
          <w:rFonts w:cs="Arial"/>
        </w:rPr>
        <w:t>Appendix 18</w:t>
      </w:r>
      <w:r w:rsidR="00A706DC">
        <w:rPr>
          <w:rFonts w:cs="Arial"/>
        </w:rPr>
        <w:t xml:space="preserve"> of the Radio Regulations</w:t>
      </w:r>
      <w:r w:rsidRPr="00E66787">
        <w:rPr>
          <w:rFonts w:cs="Arial"/>
        </w:rPr>
        <w:t xml:space="preserve">. In accordance with </w:t>
      </w:r>
      <w:r>
        <w:rPr>
          <w:rFonts w:cs="Arial"/>
        </w:rPr>
        <w:t xml:space="preserve">Article </w:t>
      </w:r>
      <w:r w:rsidRPr="00A30978">
        <w:rPr>
          <w:rFonts w:cs="Arial"/>
          <w:b/>
        </w:rPr>
        <w:t>4.4</w:t>
      </w:r>
      <w:r w:rsidRPr="00E66787">
        <w:rPr>
          <w:rFonts w:cs="Arial"/>
        </w:rPr>
        <w:t xml:space="preserve"> of the ITU Radio Regulations, </w:t>
      </w:r>
      <w:r>
        <w:rPr>
          <w:rFonts w:cs="Arial"/>
        </w:rPr>
        <w:t xml:space="preserve">national differences in allocations </w:t>
      </w:r>
      <w:r w:rsidRPr="00E66787">
        <w:rPr>
          <w:rFonts w:cs="Arial"/>
        </w:rPr>
        <w:t xml:space="preserve">are subject to </w:t>
      </w:r>
      <w:r>
        <w:rPr>
          <w:rFonts w:cs="Arial"/>
        </w:rPr>
        <w:t>conditions:</w:t>
      </w:r>
    </w:p>
    <w:p w14:paraId="046337D4" w14:textId="3CB78D2E" w:rsidR="00DA6575" w:rsidRDefault="00DA6575" w:rsidP="00533FC1">
      <w:pPr>
        <w:pStyle w:val="ListParagraph"/>
        <w:numPr>
          <w:ilvl w:val="0"/>
          <w:numId w:val="6"/>
        </w:numPr>
      </w:pPr>
      <w:r>
        <w:t>that</w:t>
      </w:r>
      <w:r w:rsidRPr="00E66787">
        <w:t xml:space="preserve"> associated radio installation</w:t>
      </w:r>
      <w:r>
        <w:t>s</w:t>
      </w:r>
      <w:r w:rsidRPr="00E66787">
        <w:t xml:space="preserve"> do not cause harmful interference to the radio services or communications of other ITU Members that operate in accordance with the provision</w:t>
      </w:r>
      <w:r w:rsidR="00A706DC">
        <w:t>s</w:t>
      </w:r>
      <w:r w:rsidRPr="00E66787">
        <w:t xml:space="preserve"> of the ITU Radio Regulations</w:t>
      </w:r>
      <w:r>
        <w:t>, and</w:t>
      </w:r>
      <w:r w:rsidRPr="00E66787">
        <w:t xml:space="preserve"> </w:t>
      </w:r>
    </w:p>
    <w:p w14:paraId="7C58F18C" w14:textId="6D6166C0" w:rsidR="00323922" w:rsidRDefault="00DA6575" w:rsidP="00533FC1">
      <w:pPr>
        <w:pStyle w:val="ListParagraph"/>
        <w:numPr>
          <w:ilvl w:val="0"/>
          <w:numId w:val="6"/>
        </w:numPr>
      </w:pPr>
      <w:r>
        <w:t>t</w:t>
      </w:r>
      <w:r w:rsidRPr="00A30F65">
        <w:t>hat</w:t>
      </w:r>
      <w:r w:rsidRPr="00E66787">
        <w:t xml:space="preserve"> the possibility of harmful interference from such services and communications is accepted.</w:t>
      </w:r>
    </w:p>
    <w:p w14:paraId="5E199EAA" w14:textId="77E2430D" w:rsidR="00C33F8F" w:rsidRPr="00996FAB" w:rsidRDefault="00C33F8F" w:rsidP="00C33F8F">
      <w:pPr>
        <w:spacing w:after="80"/>
        <w:rPr>
          <w:rFonts w:cs="Arial"/>
        </w:rPr>
      </w:pPr>
      <w:r>
        <w:rPr>
          <w:rFonts w:cs="Arial"/>
        </w:rPr>
        <w:t xml:space="preserve">Within the Australian context, in addition to the </w:t>
      </w:r>
      <w:r w:rsidRPr="00790B50">
        <w:rPr>
          <w:rFonts w:cs="Arial"/>
          <w:i/>
        </w:rPr>
        <w:t>Australian Radiofrequency Spectrum Plan</w:t>
      </w:r>
      <w:r>
        <w:rPr>
          <w:rFonts w:cs="Arial"/>
        </w:rPr>
        <w:t xml:space="preserve"> </w:t>
      </w:r>
      <w:r w:rsidRPr="00790B50">
        <w:rPr>
          <w:rFonts w:cs="Arial"/>
          <w:i/>
        </w:rPr>
        <w:t>2017</w:t>
      </w:r>
      <w:r w:rsidRPr="00790B50">
        <w:rPr>
          <w:rFonts w:cs="Arial"/>
        </w:rPr>
        <w:t xml:space="preserve"> </w:t>
      </w:r>
      <w:r>
        <w:rPr>
          <w:rFonts w:cs="Arial"/>
        </w:rPr>
        <w:t>(ARSP), the ACMA</w:t>
      </w:r>
      <w:r w:rsidRPr="00996FAB">
        <w:rPr>
          <w:rFonts w:cs="Arial"/>
        </w:rPr>
        <w:t xml:space="preserve"> </w:t>
      </w:r>
      <w:r>
        <w:rPr>
          <w:rFonts w:cs="Arial"/>
        </w:rPr>
        <w:t xml:space="preserve">specifies the permitted uses and conditions applicable to the use of the VHF maritime mobile </w:t>
      </w:r>
      <w:r w:rsidR="00A706DC">
        <w:rPr>
          <w:rFonts w:cs="Arial"/>
        </w:rPr>
        <w:t>band</w:t>
      </w:r>
      <w:r>
        <w:rPr>
          <w:rFonts w:cs="Arial"/>
        </w:rPr>
        <w:t xml:space="preserve"> in the following </w:t>
      </w:r>
      <w:r w:rsidR="00A706DC">
        <w:rPr>
          <w:rFonts w:cs="Arial"/>
        </w:rPr>
        <w:t xml:space="preserve">4 legislative </w:t>
      </w:r>
      <w:r>
        <w:rPr>
          <w:rFonts w:cs="Arial"/>
        </w:rPr>
        <w:t xml:space="preserve">instruments and </w:t>
      </w:r>
      <w:r w:rsidR="00A706DC">
        <w:rPr>
          <w:rFonts w:cs="Arial"/>
        </w:rPr>
        <w:t xml:space="preserve">in an </w:t>
      </w:r>
      <w:r>
        <w:rPr>
          <w:rFonts w:cs="Arial"/>
        </w:rPr>
        <w:t>administrative band plan:</w:t>
      </w:r>
    </w:p>
    <w:p w14:paraId="50E287C9" w14:textId="7B0F7F62" w:rsidR="00C33F8F" w:rsidRPr="004D1BDE" w:rsidRDefault="00C315FF" w:rsidP="00C33F8F">
      <w:pPr>
        <w:pStyle w:val="ListBullet"/>
        <w:rPr>
          <w:rStyle w:val="Hyperlink"/>
          <w:i/>
          <w:color w:val="auto"/>
          <w:u w:val="none"/>
        </w:rPr>
      </w:pPr>
      <w:hyperlink r:id="rId8" w:history="1">
        <w:r w:rsidR="00C33F8F" w:rsidRPr="004D1BDE">
          <w:rPr>
            <w:rStyle w:val="Hyperlink"/>
            <w:i/>
          </w:rPr>
          <w:t>Radiocommunications Licence Conditions (Major Coast Receive Licence) Determination 2015</w:t>
        </w:r>
      </w:hyperlink>
    </w:p>
    <w:p w14:paraId="630D848B" w14:textId="77777777" w:rsidR="00D05072" w:rsidRPr="00B310A3" w:rsidRDefault="00C315FF" w:rsidP="00D05072">
      <w:pPr>
        <w:pStyle w:val="ListBullet"/>
        <w:rPr>
          <w:i/>
        </w:rPr>
      </w:pPr>
      <w:hyperlink r:id="rId9" w:history="1">
        <w:r w:rsidR="00D05072" w:rsidRPr="00B310A3">
          <w:rPr>
            <w:rStyle w:val="Hyperlink"/>
            <w:i/>
          </w:rPr>
          <w:t>Radiocommunications Licence Conditions (Maritime Coast Licence) Determination 2015</w:t>
        </w:r>
      </w:hyperlink>
    </w:p>
    <w:p w14:paraId="1D8010F9" w14:textId="1B17C7E8" w:rsidR="00C33F8F" w:rsidRPr="004D1BDE" w:rsidRDefault="00C315FF" w:rsidP="00C33F8F">
      <w:pPr>
        <w:pStyle w:val="ListBullet"/>
        <w:rPr>
          <w:rStyle w:val="Hyperlink"/>
          <w:i/>
          <w:color w:val="auto"/>
          <w:u w:val="none"/>
        </w:rPr>
      </w:pPr>
      <w:hyperlink r:id="rId10" w:history="1">
        <w:r w:rsidR="00C33F8F" w:rsidRPr="004D1BDE">
          <w:rPr>
            <w:rStyle w:val="Hyperlink"/>
            <w:i/>
          </w:rPr>
          <w:t>Radiocommunications Licence Conditions (Maritime Ship Licence) Determination 2015</w:t>
        </w:r>
      </w:hyperlink>
    </w:p>
    <w:p w14:paraId="579C30A0" w14:textId="77777777" w:rsidR="00D05072" w:rsidRPr="00B310A3" w:rsidRDefault="00C315FF" w:rsidP="00D05072">
      <w:pPr>
        <w:pStyle w:val="ListBullet"/>
        <w:rPr>
          <w:i/>
        </w:rPr>
      </w:pPr>
      <w:hyperlink r:id="rId11" w:history="1">
        <w:r w:rsidR="00D05072" w:rsidRPr="00B310A3">
          <w:rPr>
            <w:rStyle w:val="Hyperlink"/>
            <w:i/>
          </w:rPr>
          <w:t>Radiocommunications (Maritime Ship Station – 27 MHz and VHF) Class Licence 2015</w:t>
        </w:r>
      </w:hyperlink>
    </w:p>
    <w:p w14:paraId="5517E9F6" w14:textId="4E5A75A9" w:rsidR="00C33F8F" w:rsidRPr="00996FAB" w:rsidRDefault="00C315FF" w:rsidP="00C33F8F">
      <w:pPr>
        <w:pStyle w:val="ListBulletLast"/>
      </w:pPr>
      <w:hyperlink r:id="rId12" w:history="1">
        <w:r w:rsidR="00C33F8F" w:rsidRPr="004D1BDE">
          <w:rPr>
            <w:rStyle w:val="Hyperlink"/>
            <w:i/>
          </w:rPr>
          <w:t xml:space="preserve">RALI: MS 42 – Frequency Plan for the VHF Bands 70 </w:t>
        </w:r>
        <w:r w:rsidR="00A706DC" w:rsidRPr="004D1BDE">
          <w:rPr>
            <w:rStyle w:val="Hyperlink"/>
            <w:i/>
          </w:rPr>
          <w:t>-</w:t>
        </w:r>
        <w:r w:rsidR="00C33F8F" w:rsidRPr="004D1BDE">
          <w:rPr>
            <w:rStyle w:val="Hyperlink"/>
            <w:i/>
          </w:rPr>
          <w:t xml:space="preserve"> 87.5 MHz and 148 </w:t>
        </w:r>
        <w:r w:rsidR="00A706DC" w:rsidRPr="004D1BDE">
          <w:rPr>
            <w:rStyle w:val="Hyperlink"/>
            <w:i/>
          </w:rPr>
          <w:t>-</w:t>
        </w:r>
        <w:r w:rsidR="00C33F8F" w:rsidRPr="004D1BDE">
          <w:rPr>
            <w:rStyle w:val="Hyperlink"/>
            <w:i/>
          </w:rPr>
          <w:t xml:space="preserve"> 174 MHz</w:t>
        </w:r>
      </w:hyperlink>
      <w:r w:rsidR="00C33F8F" w:rsidRPr="00996FAB">
        <w:t xml:space="preserve"> (administrative band plan)</w:t>
      </w:r>
    </w:p>
    <w:p w14:paraId="1177637A" w14:textId="2DA459C9" w:rsidR="00C33F8F" w:rsidRPr="00996FAB" w:rsidRDefault="00C33F8F" w:rsidP="00C33F8F">
      <w:pPr>
        <w:rPr>
          <w:rFonts w:cs="Arial"/>
        </w:rPr>
      </w:pPr>
      <w:r w:rsidRPr="00996FAB">
        <w:rPr>
          <w:rFonts w:cs="Arial"/>
        </w:rPr>
        <w:t xml:space="preserve">A number of maritime terms are also defined in the </w:t>
      </w:r>
      <w:hyperlink r:id="rId13" w:history="1">
        <w:r w:rsidRPr="004D1BDE">
          <w:rPr>
            <w:rStyle w:val="Hyperlink"/>
            <w:rFonts w:cs="Arial"/>
            <w:i/>
          </w:rPr>
          <w:t>Radiocommunications (Interpretation) Determination 2015</w:t>
        </w:r>
      </w:hyperlink>
      <w:r w:rsidRPr="00A96CD8">
        <w:rPr>
          <w:rFonts w:cs="Arial"/>
        </w:rPr>
        <w:t>.</w:t>
      </w:r>
    </w:p>
    <w:p w14:paraId="4721255F" w14:textId="7070C5C7" w:rsidR="00323922" w:rsidRPr="001E188D" w:rsidRDefault="00323922" w:rsidP="00161566">
      <w:pPr>
        <w:rPr>
          <w:b/>
        </w:rPr>
      </w:pPr>
      <w:r w:rsidRPr="001E188D">
        <w:rPr>
          <w:b/>
        </w:rPr>
        <w:t>Consultation</w:t>
      </w:r>
    </w:p>
    <w:p w14:paraId="2F8A138F" w14:textId="7504F972" w:rsidR="00C33F8F" w:rsidRDefault="00C33F8F" w:rsidP="00C33F8F">
      <w:r>
        <w:t>At WRC-12 and WRC-15</w:t>
      </w:r>
      <w:r w:rsidR="00746F3D">
        <w:t>, the conferences</w:t>
      </w:r>
      <w:r>
        <w:t xml:space="preserve"> made a number of updates to Appendix 18. In addition, in late 2016, the ACMA was presented with a </w:t>
      </w:r>
      <w:r w:rsidR="00A706DC">
        <w:t xml:space="preserve">proposal for a </w:t>
      </w:r>
      <w:r>
        <w:t>maritime VHF channel plan by interested licensed maritime radio users that incorporated the changes made at WRC-12 and WRC-15, as well as changes to increase the number of available channels and make other arrangements that suit local requirements.</w:t>
      </w:r>
    </w:p>
    <w:p w14:paraId="017B0E58" w14:textId="33CC3EF3" w:rsidR="009656E8" w:rsidRDefault="002C7A00" w:rsidP="00161566">
      <w:r>
        <w:t>In December 2018, t</w:t>
      </w:r>
      <w:r w:rsidR="00BB2E04">
        <w:t xml:space="preserve">he ACMA consulted extensively with </w:t>
      </w:r>
      <w:r w:rsidR="00684831">
        <w:t>the public</w:t>
      </w:r>
      <w:r w:rsidR="00FB5F93">
        <w:t xml:space="preserve"> on how best </w:t>
      </w:r>
      <w:r w:rsidR="005C0CCC">
        <w:t>to</w:t>
      </w:r>
      <w:r w:rsidR="00FB5F93">
        <w:t xml:space="preserve"> implement changes to the current regulatory framework to improve safety-of</w:t>
      </w:r>
      <w:r w:rsidR="00346BED">
        <w:t>-life arrangements while also providing benefits to the Australian maritime community.</w:t>
      </w:r>
      <w:r w:rsidR="005C0CCC">
        <w:t xml:space="preserve"> The </w:t>
      </w:r>
      <w:r w:rsidR="00081898">
        <w:t xml:space="preserve">consultation paper included a </w:t>
      </w:r>
      <w:r w:rsidR="00A56419">
        <w:t xml:space="preserve">draft Variation </w:t>
      </w:r>
      <w:r w:rsidR="005C42F1">
        <w:t>Instrument</w:t>
      </w:r>
      <w:r w:rsidR="0098167A">
        <w:t xml:space="preserve"> identifying the proposed changes</w:t>
      </w:r>
      <w:r w:rsidR="007F09BD">
        <w:t>.</w:t>
      </w:r>
      <w:r w:rsidR="00081898">
        <w:t xml:space="preserve"> </w:t>
      </w:r>
      <w:r w:rsidR="00883FF4">
        <w:t xml:space="preserve">The consultation period was from 6 December 2018 to </w:t>
      </w:r>
      <w:r w:rsidR="0026516D">
        <w:t xml:space="preserve">1 February 2019. </w:t>
      </w:r>
      <w:r w:rsidR="00081898">
        <w:t xml:space="preserve">The ACMA </w:t>
      </w:r>
      <w:r w:rsidR="00883FF4">
        <w:t xml:space="preserve">received </w:t>
      </w:r>
      <w:r w:rsidR="009656E8">
        <w:t xml:space="preserve">10 submissions </w:t>
      </w:r>
      <w:r w:rsidR="00883FF4">
        <w:t>in response to the consultation paper</w:t>
      </w:r>
      <w:r w:rsidR="00E70349">
        <w:t>. The majority of submissions</w:t>
      </w:r>
      <w:r w:rsidR="00D61034">
        <w:t xml:space="preserve"> supported the changes outlined in the draft Variation Instrument</w:t>
      </w:r>
      <w:r w:rsidR="000D2456">
        <w:t xml:space="preserve">. </w:t>
      </w:r>
      <w:r w:rsidR="004F6941">
        <w:t>S</w:t>
      </w:r>
      <w:r w:rsidR="000D2456">
        <w:t>takeholder</w:t>
      </w:r>
      <w:r w:rsidR="00E94A48">
        <w:t>s</w:t>
      </w:r>
      <w:r w:rsidR="004F6941">
        <w:t xml:space="preserve"> also identified some editorial errors</w:t>
      </w:r>
      <w:r w:rsidR="000D2456">
        <w:t xml:space="preserve"> that have been </w:t>
      </w:r>
      <w:r w:rsidR="008D588A">
        <w:t>rectified in</w:t>
      </w:r>
      <w:r w:rsidR="00A706DC">
        <w:t xml:space="preserve"> the</w:t>
      </w:r>
      <w:r w:rsidR="008D588A">
        <w:t xml:space="preserve"> Variation Instrument.</w:t>
      </w:r>
    </w:p>
    <w:p w14:paraId="2C6F215B" w14:textId="77777777" w:rsidR="00F63828" w:rsidRDefault="00F63828" w:rsidP="00161566">
      <w:pPr>
        <w:rPr>
          <w:b/>
        </w:rPr>
      </w:pPr>
    </w:p>
    <w:p w14:paraId="258AED06" w14:textId="77777777" w:rsidR="00C15F67" w:rsidRDefault="00C15F67" w:rsidP="00161566">
      <w:pPr>
        <w:rPr>
          <w:b/>
        </w:rPr>
      </w:pPr>
    </w:p>
    <w:p w14:paraId="2FF6853A" w14:textId="19CE9731" w:rsidR="00323922" w:rsidRPr="001E188D" w:rsidRDefault="001C76E0" w:rsidP="00161566">
      <w:pPr>
        <w:rPr>
          <w:b/>
        </w:rPr>
      </w:pPr>
      <w:r w:rsidRPr="001E188D">
        <w:rPr>
          <w:b/>
        </w:rPr>
        <w:lastRenderedPageBreak/>
        <w:t>Regulatory Impact</w:t>
      </w:r>
    </w:p>
    <w:p w14:paraId="26F4C8B1" w14:textId="391D7B96" w:rsidR="001C76E0" w:rsidRDefault="001C76E0" w:rsidP="00161566">
      <w:r>
        <w:t xml:space="preserve">The ACMA consulted with the Office of Best Practice Regulation (the </w:t>
      </w:r>
      <w:r w:rsidRPr="005334EE">
        <w:rPr>
          <w:b/>
        </w:rPr>
        <w:t>OBPR</w:t>
      </w:r>
      <w:r>
        <w:t>) on the requirement for a Regulation Impact Statement (</w:t>
      </w:r>
      <w:r w:rsidRPr="005334EE">
        <w:rPr>
          <w:b/>
        </w:rPr>
        <w:t>RIS</w:t>
      </w:r>
      <w:r>
        <w:t>)</w:t>
      </w:r>
      <w:r w:rsidR="005334EE">
        <w:t xml:space="preserve">. The OBPR advised that the </w:t>
      </w:r>
      <w:r w:rsidR="00711BEA">
        <w:t>Variation</w:t>
      </w:r>
      <w:r w:rsidR="005334EE">
        <w:t xml:space="preserve"> Instrument does not warrant the preparation </w:t>
      </w:r>
      <w:r w:rsidR="00A706DC">
        <w:t>of</w:t>
      </w:r>
      <w:r w:rsidR="005334EE">
        <w:t xml:space="preserve"> a RIS</w:t>
      </w:r>
      <w:r w:rsidR="00EF53A3">
        <w:t xml:space="preserve"> because the </w:t>
      </w:r>
      <w:r w:rsidR="00A706DC">
        <w:t>Variation I</w:t>
      </w:r>
      <w:r w:rsidR="00EF53A3">
        <w:t>nstrument i</w:t>
      </w:r>
      <w:r w:rsidR="00711BEA">
        <w:t>s</w:t>
      </w:r>
      <w:r w:rsidR="00EF53A3">
        <w:t xml:space="preserve"> likely to have only minor and machinery impacts</w:t>
      </w:r>
      <w:r w:rsidR="0092348D">
        <w:t xml:space="preserve"> </w:t>
      </w:r>
      <w:r w:rsidR="00A706DC">
        <w:t xml:space="preserve">on </w:t>
      </w:r>
      <w:r w:rsidR="0092348D">
        <w:t>industry and recreation</w:t>
      </w:r>
      <w:r w:rsidR="00FC6531">
        <w:t>al</w:t>
      </w:r>
      <w:r w:rsidR="0092348D">
        <w:t xml:space="preserve"> users</w:t>
      </w:r>
      <w:r w:rsidR="00EF53A3">
        <w:t>. The reference number for the OBPR’s assessment is OBPR ID</w:t>
      </w:r>
      <w:r w:rsidR="001B77A8">
        <w:t xml:space="preserve"> 24623.</w:t>
      </w:r>
    </w:p>
    <w:p w14:paraId="14FE1869" w14:textId="1B7C6197" w:rsidR="001B77A8" w:rsidRPr="001E188D" w:rsidRDefault="001B77A8" w:rsidP="00161566">
      <w:pPr>
        <w:rPr>
          <w:b/>
        </w:rPr>
      </w:pPr>
      <w:r w:rsidRPr="001E188D">
        <w:rPr>
          <w:b/>
        </w:rPr>
        <w:t>Documents incorporated by reference</w:t>
      </w:r>
    </w:p>
    <w:p w14:paraId="2215E0B9" w14:textId="71FC9AAC" w:rsidR="00C11428" w:rsidRDefault="00535E55" w:rsidP="00161566">
      <w:r>
        <w:t>The Variation Instrument incorporates, or otherwise refers to,</w:t>
      </w:r>
      <w:r w:rsidR="005C42F1">
        <w:t xml:space="preserve"> the</w:t>
      </w:r>
      <w:r>
        <w:t xml:space="preserve"> ITU </w:t>
      </w:r>
      <w:r w:rsidR="004F5053">
        <w:t>Radio Regulations</w:t>
      </w:r>
      <w:r w:rsidR="005C42F1">
        <w:t>,</w:t>
      </w:r>
      <w:r w:rsidR="00B97926">
        <w:t xml:space="preserve"> </w:t>
      </w:r>
      <w:r w:rsidR="005C42F1">
        <w:t xml:space="preserve">an </w:t>
      </w:r>
      <w:r w:rsidR="00B97926">
        <w:t>ITU-R Recommendation</w:t>
      </w:r>
      <w:r w:rsidR="004D1BDE">
        <w:rPr>
          <w:rStyle w:val="FootnoteReference"/>
        </w:rPr>
        <w:footnoteReference w:id="3"/>
      </w:r>
      <w:r w:rsidR="00902113">
        <w:t xml:space="preserve">, an ACMA Standard </w:t>
      </w:r>
      <w:r w:rsidR="005C42F1">
        <w:t>and an ACMA administrative instrument, as follows</w:t>
      </w:r>
      <w:r w:rsidR="00B22451">
        <w:t xml:space="preserve">: </w:t>
      </w:r>
    </w:p>
    <w:p w14:paraId="08E94B59" w14:textId="4C5A744D" w:rsidR="00C11428" w:rsidRDefault="00C11428" w:rsidP="00C11428">
      <w:pPr>
        <w:pStyle w:val="ListParagraph"/>
        <w:numPr>
          <w:ilvl w:val="0"/>
          <w:numId w:val="6"/>
        </w:numPr>
      </w:pPr>
      <w:r>
        <w:t xml:space="preserve">Appendix 17, ITU Radio </w:t>
      </w:r>
      <w:r w:rsidR="00EA11F4">
        <w:t>Regulations</w:t>
      </w:r>
      <w:r w:rsidR="00FC6531">
        <w:t xml:space="preserve"> of the International Telecommunication Union</w:t>
      </w:r>
    </w:p>
    <w:p w14:paraId="452C9453" w14:textId="21228B88" w:rsidR="004D1BDE" w:rsidRDefault="004D1BDE" w:rsidP="00C11428">
      <w:pPr>
        <w:pStyle w:val="ListParagraph"/>
        <w:numPr>
          <w:ilvl w:val="0"/>
          <w:numId w:val="6"/>
        </w:numPr>
      </w:pPr>
      <w:r>
        <w:t>Appendix 18, ITU Radio Regulations of the International Telecommunication Union</w:t>
      </w:r>
    </w:p>
    <w:p w14:paraId="718F9D4C" w14:textId="3B0F5185" w:rsidR="00EA11F4" w:rsidRDefault="00EA11F4" w:rsidP="00C11428">
      <w:pPr>
        <w:pStyle w:val="ListParagraph"/>
        <w:numPr>
          <w:ilvl w:val="0"/>
          <w:numId w:val="6"/>
        </w:numPr>
      </w:pPr>
      <w:r>
        <w:t>Recommendation ITU-R M.2092 (WRC-15)</w:t>
      </w:r>
      <w:r w:rsidR="00FC6531">
        <w:t xml:space="preserve"> of the International Telecommunication Union</w:t>
      </w:r>
    </w:p>
    <w:p w14:paraId="55B72FD6" w14:textId="6FB2FA62" w:rsidR="00436FC1" w:rsidRDefault="00436FC1" w:rsidP="00C11428">
      <w:pPr>
        <w:pStyle w:val="ListParagraph"/>
        <w:numPr>
          <w:ilvl w:val="0"/>
          <w:numId w:val="6"/>
        </w:numPr>
      </w:pPr>
      <w:r w:rsidRPr="00605FBF">
        <w:rPr>
          <w:i/>
        </w:rPr>
        <w:t>Radiocommunications (VHF Radiotelephone Equipment – Maritime Mobile Service) Standard 2018</w:t>
      </w:r>
    </w:p>
    <w:p w14:paraId="5CA0D90F" w14:textId="2F19B0D9" w:rsidR="00FC6531" w:rsidRDefault="00FC6531" w:rsidP="00C11428">
      <w:pPr>
        <w:pStyle w:val="ListParagraph"/>
        <w:numPr>
          <w:ilvl w:val="0"/>
          <w:numId w:val="6"/>
        </w:numPr>
      </w:pPr>
      <w:r>
        <w:t xml:space="preserve">Radiocommunications Assignment and Licensing Instrument (RALI) MS 42, </w:t>
      </w:r>
      <w:r w:rsidRPr="00B310A3">
        <w:rPr>
          <w:i/>
        </w:rPr>
        <w:t xml:space="preserve">Frequency Plan for the VHF Bands 70 - 87.5 MHz and 148 - 174 </w:t>
      </w:r>
      <w:proofErr w:type="spellStart"/>
      <w:r w:rsidRPr="00B310A3">
        <w:rPr>
          <w:i/>
        </w:rPr>
        <w:t>MHz</w:t>
      </w:r>
      <w:r>
        <w:t>.</w:t>
      </w:r>
      <w:proofErr w:type="spellEnd"/>
    </w:p>
    <w:p w14:paraId="03B5F407" w14:textId="66370EDE" w:rsidR="00B22451" w:rsidRDefault="00B97926" w:rsidP="00161566">
      <w:r>
        <w:t xml:space="preserve">The ITU </w:t>
      </w:r>
      <w:r w:rsidR="00FC6531">
        <w:t>is a</w:t>
      </w:r>
      <w:r w:rsidR="00371DAC">
        <w:t xml:space="preserve"> United Nations specialised agency for information and communications technologies</w:t>
      </w:r>
      <w:r w:rsidR="00FC6531">
        <w:t xml:space="preserve">. It makes the ITU Radio Regulations </w:t>
      </w:r>
      <w:r w:rsidR="00371DAC">
        <w:t>and ITU-R</w:t>
      </w:r>
      <w:r w:rsidR="001227AF">
        <w:t xml:space="preserve"> Recommendations </w:t>
      </w:r>
      <w:r w:rsidR="00FC6531">
        <w:t xml:space="preserve">which </w:t>
      </w:r>
      <w:r w:rsidR="001227AF">
        <w:t>constitute a set of international technical standards developed by the Radiocommunication Sector of the ITU. They are available to be downloaded for free from the ITU’s</w:t>
      </w:r>
      <w:r w:rsidR="00807D96">
        <w:t xml:space="preserve"> website at </w:t>
      </w:r>
      <w:hyperlink r:id="rId14" w:history="1">
        <w:r w:rsidR="00807D96" w:rsidRPr="005753C6">
          <w:rPr>
            <w:rStyle w:val="Hyperlink"/>
          </w:rPr>
          <w:t>www.itu.int</w:t>
        </w:r>
      </w:hyperlink>
      <w:r w:rsidR="00807D96">
        <w:t>. The ITU documents are incorporated as existing from time to time, a</w:t>
      </w:r>
      <w:r w:rsidR="00B54883">
        <w:t>s permitted by subsection 314A(2) of the Act</w:t>
      </w:r>
      <w:r w:rsidR="008D790D">
        <w:t>.</w:t>
      </w:r>
    </w:p>
    <w:p w14:paraId="16B219C8" w14:textId="0E56CBC7" w:rsidR="00FC6531" w:rsidRDefault="00FC6531" w:rsidP="00161566">
      <w:r>
        <w:t xml:space="preserve">RALI MS 42 is an administrative instrument made by the ACMA. It is available for download from the ACMA’s website at </w:t>
      </w:r>
      <w:hyperlink r:id="rId15" w:history="1">
        <w:r w:rsidR="00A1117A" w:rsidRPr="007D39A4">
          <w:rPr>
            <w:rStyle w:val="Hyperlink"/>
          </w:rPr>
          <w:t>www.acma.gov.au</w:t>
        </w:r>
      </w:hyperlink>
      <w:r>
        <w:t>.</w:t>
      </w:r>
      <w:r w:rsidR="00A1117A">
        <w:t xml:space="preserve"> It is incorporated as existing from time to time, as permitted by subsection 314A(2) of the Act.</w:t>
      </w:r>
    </w:p>
    <w:p w14:paraId="6850FEE0" w14:textId="084B4084" w:rsidR="001E188D" w:rsidRPr="00EC740C" w:rsidRDefault="00EC740C" w:rsidP="00161566">
      <w:pPr>
        <w:rPr>
          <w:b/>
        </w:rPr>
      </w:pPr>
      <w:r w:rsidRPr="00EC740C">
        <w:rPr>
          <w:b/>
        </w:rPr>
        <w:t>Statement of compatibility with human rights</w:t>
      </w:r>
    </w:p>
    <w:p w14:paraId="49F6CCF6" w14:textId="5DF2B390" w:rsidR="00EC740C" w:rsidRDefault="00D74BF0" w:rsidP="00161566">
      <w:r>
        <w:t xml:space="preserve">Subsection 9(1) of the </w:t>
      </w:r>
      <w:r>
        <w:rPr>
          <w:i/>
        </w:rPr>
        <w:t xml:space="preserve">Human Rights (Parliamentary Scrutiny) Act 2011 </w:t>
      </w:r>
      <w:r w:rsidRPr="00847476">
        <w:t xml:space="preserve">requires the rule-maker in relation to a legislative instrument to </w:t>
      </w:r>
      <w:r w:rsidR="00847476">
        <w:t>which section 42 (disallowance) of the LA</w:t>
      </w:r>
      <w:r w:rsidR="00AF05A0">
        <w:t xml:space="preserve"> applies to </w:t>
      </w:r>
      <w:r w:rsidR="00A1117A">
        <w:t>prepare</w:t>
      </w:r>
      <w:r w:rsidR="00AF05A0">
        <w:t xml:space="preserve"> a statement of compatibility</w:t>
      </w:r>
      <w:r w:rsidR="00A1117A">
        <w:t>, which is</w:t>
      </w:r>
      <w:r w:rsidR="00184584">
        <w:t xml:space="preserve"> set out below.</w:t>
      </w:r>
    </w:p>
    <w:p w14:paraId="7DAE6220" w14:textId="79DCEFAD" w:rsidR="00184584" w:rsidRPr="00184584" w:rsidRDefault="00184584" w:rsidP="00161566">
      <w:pPr>
        <w:rPr>
          <w:b/>
        </w:rPr>
      </w:pPr>
      <w:r w:rsidRPr="00184584">
        <w:rPr>
          <w:b/>
        </w:rPr>
        <w:t>Overview of the Variation Instrument</w:t>
      </w:r>
    </w:p>
    <w:p w14:paraId="28016644" w14:textId="53F7594A" w:rsidR="00947C5C" w:rsidRDefault="00FA32E5" w:rsidP="00947C5C">
      <w:r>
        <w:t>The Purpose of the Variation Instrument is to amend</w:t>
      </w:r>
      <w:r w:rsidR="00E73342">
        <w:t xml:space="preserve"> or vary</w:t>
      </w:r>
      <w:r>
        <w:t xml:space="preserve"> the following </w:t>
      </w:r>
      <w:r w:rsidR="00C26188">
        <w:t>instruments:</w:t>
      </w:r>
    </w:p>
    <w:p w14:paraId="5FA815BE" w14:textId="5478D29F" w:rsidR="00440490" w:rsidRDefault="003C4A19" w:rsidP="00440490">
      <w:pPr>
        <w:pStyle w:val="ListParagraph"/>
        <w:numPr>
          <w:ilvl w:val="0"/>
          <w:numId w:val="4"/>
        </w:numPr>
      </w:pPr>
      <w:r>
        <w:rPr>
          <w:i/>
        </w:rPr>
        <w:t>Radiocommunications (Interpretation) Determination 2015</w:t>
      </w:r>
      <w:r w:rsidR="00440490">
        <w:t>;</w:t>
      </w:r>
    </w:p>
    <w:p w14:paraId="4E56FD74" w14:textId="00410EFF" w:rsidR="00440490" w:rsidRDefault="003C4A19" w:rsidP="00440490">
      <w:pPr>
        <w:pStyle w:val="ListParagraph"/>
        <w:numPr>
          <w:ilvl w:val="0"/>
          <w:numId w:val="4"/>
        </w:numPr>
      </w:pPr>
      <w:r>
        <w:rPr>
          <w:i/>
        </w:rPr>
        <w:t>Radiocommunications Licence Conditions (Maritime Coast Licence) Determination 2015</w:t>
      </w:r>
      <w:r w:rsidR="00440490">
        <w:t>;</w:t>
      </w:r>
    </w:p>
    <w:p w14:paraId="7A462666" w14:textId="4BE37F22" w:rsidR="00440490" w:rsidRDefault="003C4A19" w:rsidP="00440490">
      <w:pPr>
        <w:pStyle w:val="ListParagraph"/>
        <w:numPr>
          <w:ilvl w:val="0"/>
          <w:numId w:val="4"/>
        </w:numPr>
      </w:pPr>
      <w:r>
        <w:rPr>
          <w:i/>
        </w:rPr>
        <w:t>Radiocommunications Licence Conditions (Maritime Ship Licence) Determination 2015</w:t>
      </w:r>
      <w:r w:rsidR="00440490">
        <w:t>;</w:t>
      </w:r>
    </w:p>
    <w:p w14:paraId="7321D276" w14:textId="3220B014" w:rsidR="00C26188" w:rsidRDefault="003F518C" w:rsidP="00440490">
      <w:pPr>
        <w:pStyle w:val="ListParagraph"/>
        <w:numPr>
          <w:ilvl w:val="0"/>
          <w:numId w:val="4"/>
        </w:numPr>
      </w:pPr>
      <w:r>
        <w:rPr>
          <w:i/>
        </w:rPr>
        <w:t>Radiocommunications (Maritime Ship Station – 27 MHz and VHF) Class Licence 2015</w:t>
      </w:r>
      <w:r w:rsidR="00D05072">
        <w:t>.</w:t>
      </w:r>
    </w:p>
    <w:p w14:paraId="231CF938" w14:textId="65835195" w:rsidR="007B7163" w:rsidRDefault="008620B2" w:rsidP="00161566">
      <w:r>
        <w:t xml:space="preserve">These amendments </w:t>
      </w:r>
      <w:r w:rsidR="00E73342">
        <w:t xml:space="preserve">and variations </w:t>
      </w:r>
      <w:r>
        <w:t>are made</w:t>
      </w:r>
      <w:r w:rsidR="00796A58">
        <w:t xml:space="preserve"> to</w:t>
      </w:r>
      <w:r w:rsidR="007B7163">
        <w:t>:</w:t>
      </w:r>
    </w:p>
    <w:p w14:paraId="63F8A7BC" w14:textId="3D683615" w:rsidR="00184584" w:rsidRDefault="00AB30F8" w:rsidP="00AB30F8">
      <w:pPr>
        <w:pStyle w:val="ListParagraph"/>
        <w:numPr>
          <w:ilvl w:val="0"/>
          <w:numId w:val="5"/>
        </w:numPr>
      </w:pPr>
      <w:r>
        <w:t xml:space="preserve">Allocate channels 75 and 76 for satellite </w:t>
      </w:r>
      <w:r w:rsidR="00AF5E22">
        <w:t>Automatic Identification System (AIS) (earth-to-space) to provide enhanced satellite detection of larger vessels</w:t>
      </w:r>
      <w:r w:rsidR="00646245">
        <w:t xml:space="preserve"> </w:t>
      </w:r>
      <w:r w:rsidR="00E73342">
        <w:t xml:space="preserve">the option to use the </w:t>
      </w:r>
      <w:r w:rsidR="00E73342">
        <w:lastRenderedPageBreak/>
        <w:t>channels for navigation-related communications in accordance with Appendix 18 of the ITU Radio Regulations</w:t>
      </w:r>
    </w:p>
    <w:p w14:paraId="1781FD61" w14:textId="2B000925" w:rsidR="003D1F4C" w:rsidRDefault="003D1F4C" w:rsidP="00AB30F8">
      <w:pPr>
        <w:pStyle w:val="ListParagraph"/>
        <w:numPr>
          <w:ilvl w:val="0"/>
          <w:numId w:val="5"/>
        </w:numPr>
      </w:pPr>
      <w:r>
        <w:t>Inclu</w:t>
      </w:r>
      <w:r w:rsidR="00950BF7">
        <w:t>de</w:t>
      </w:r>
      <w:r>
        <w:t xml:space="preserve"> protection of VHF Data Exchange System (VDES)</w:t>
      </w:r>
      <w:r w:rsidR="00E261E9">
        <w:t xml:space="preserve"> channel arrangements, including providing the option to merge</w:t>
      </w:r>
      <w:r w:rsidR="00062BE0">
        <w:t xml:space="preserve"> channels to create a 100 kHz VDES channel</w:t>
      </w:r>
    </w:p>
    <w:p w14:paraId="48BC9228" w14:textId="3B6BA2B7" w:rsidR="00062BE0" w:rsidRDefault="00062BE0" w:rsidP="00AB30F8">
      <w:pPr>
        <w:pStyle w:val="ListParagraph"/>
        <w:numPr>
          <w:ilvl w:val="0"/>
          <w:numId w:val="5"/>
        </w:numPr>
      </w:pPr>
      <w:r>
        <w:t>Inclu</w:t>
      </w:r>
      <w:r w:rsidR="00950BF7">
        <w:t>de</w:t>
      </w:r>
      <w:r>
        <w:t xml:space="preserve"> protection of Application Specific </w:t>
      </w:r>
      <w:r w:rsidR="0033734D">
        <w:t>Message (ASM) channels</w:t>
      </w:r>
    </w:p>
    <w:p w14:paraId="59B79D77" w14:textId="36D37673" w:rsidR="00EE2144" w:rsidRDefault="00EE2144" w:rsidP="00C7642B">
      <w:pPr>
        <w:pStyle w:val="ListParagraph"/>
        <w:numPr>
          <w:ilvl w:val="0"/>
          <w:numId w:val="5"/>
        </w:numPr>
      </w:pPr>
      <w:r>
        <w:t>Provi</w:t>
      </w:r>
      <w:r w:rsidR="00950BF7">
        <w:t>de</w:t>
      </w:r>
      <w:r>
        <w:t xml:space="preserve"> of</w:t>
      </w:r>
      <w:r w:rsidR="00AD77D6">
        <w:t xml:space="preserve"> a number of channels identified in</w:t>
      </w:r>
      <w:r w:rsidR="00D05072">
        <w:t xml:space="preserve"> Appendix 18 of the ITU Radio Regulations</w:t>
      </w:r>
      <w:r w:rsidR="00917FA9">
        <w:t xml:space="preserve"> that are not</w:t>
      </w:r>
      <w:r w:rsidR="00D05072">
        <w:t xml:space="preserve"> yet</w:t>
      </w:r>
      <w:r w:rsidR="00917FA9">
        <w:t xml:space="preserve"> included in </w:t>
      </w:r>
      <w:r w:rsidR="00D05072">
        <w:t xml:space="preserve">the </w:t>
      </w:r>
      <w:r w:rsidR="00917FA9">
        <w:t>legislative instruments</w:t>
      </w:r>
      <w:r w:rsidR="00D05072">
        <w:t xml:space="preserve"> being amended</w:t>
      </w:r>
      <w:r w:rsidR="007575E3">
        <w:t xml:space="preserve"> or varied</w:t>
      </w:r>
    </w:p>
    <w:p w14:paraId="3BD01C47" w14:textId="056E7449" w:rsidR="00C7642B" w:rsidRDefault="00611E61" w:rsidP="00C7642B">
      <w:pPr>
        <w:pStyle w:val="ListParagraph"/>
        <w:numPr>
          <w:ilvl w:val="0"/>
          <w:numId w:val="5"/>
        </w:numPr>
      </w:pPr>
      <w:r>
        <w:t xml:space="preserve">Provide greater protection to existing </w:t>
      </w:r>
      <w:r w:rsidR="00D9621D">
        <w:t xml:space="preserve">search and rescue (SAR) functions by limiting use of </w:t>
      </w:r>
      <w:r w:rsidR="00362864">
        <w:t>c</w:t>
      </w:r>
      <w:r w:rsidR="00D9621D">
        <w:t>hannel 6 for SAR operation</w:t>
      </w:r>
      <w:r w:rsidR="00D05072">
        <w:t>s</w:t>
      </w:r>
      <w:r w:rsidR="00D9621D">
        <w:t xml:space="preserve"> only.</w:t>
      </w:r>
    </w:p>
    <w:p w14:paraId="40933366" w14:textId="177CA38D" w:rsidR="005F189F" w:rsidRDefault="005F189F" w:rsidP="00C7642B">
      <w:pPr>
        <w:pStyle w:val="ListParagraph"/>
        <w:numPr>
          <w:ilvl w:val="0"/>
          <w:numId w:val="5"/>
        </w:numPr>
      </w:pPr>
      <w:r>
        <w:t xml:space="preserve">Make a number of </w:t>
      </w:r>
      <w:r w:rsidR="00F0346C">
        <w:t xml:space="preserve">additional ‘editorial’ changes to </w:t>
      </w:r>
      <w:r w:rsidR="004E5A36">
        <w:t>update</w:t>
      </w:r>
      <w:r w:rsidR="007A0861">
        <w:t xml:space="preserve"> or modify</w:t>
      </w:r>
      <w:r w:rsidR="004E5A36">
        <w:t xml:space="preserve"> the </w:t>
      </w:r>
      <w:r w:rsidR="00431B17">
        <w:t xml:space="preserve">above legislative </w:t>
      </w:r>
      <w:r w:rsidR="004E5A36">
        <w:t>instruments.</w:t>
      </w:r>
    </w:p>
    <w:p w14:paraId="5E6E4742" w14:textId="7CB63D77" w:rsidR="004E5A36" w:rsidRPr="00847476" w:rsidRDefault="004E5A36" w:rsidP="004E5A36">
      <w:r>
        <w:t xml:space="preserve">The ACMA has determined that it is possible to coordinate around any existing services </w:t>
      </w:r>
      <w:r w:rsidR="00BB2299">
        <w:t>to allow new services to operate.</w:t>
      </w:r>
      <w:r w:rsidR="000A42F7">
        <w:t xml:space="preserve"> Furthermore, </w:t>
      </w:r>
      <w:r w:rsidR="006F4C3F">
        <w:t>t</w:t>
      </w:r>
      <w:r w:rsidR="006F4C3F" w:rsidRPr="006F4C3F">
        <w:t>he variation</w:t>
      </w:r>
      <w:r w:rsidR="006F4C3F">
        <w:t>s</w:t>
      </w:r>
      <w:r w:rsidR="006F4C3F" w:rsidRPr="006F4C3F">
        <w:t xml:space="preserve"> </w:t>
      </w:r>
      <w:r w:rsidR="009877BF">
        <w:t>t</w:t>
      </w:r>
      <w:r w:rsidR="006F4C3F" w:rsidRPr="006F4C3F">
        <w:t xml:space="preserve">o the </w:t>
      </w:r>
      <w:r w:rsidR="006F4C3F" w:rsidRPr="00927800">
        <w:rPr>
          <w:i/>
        </w:rPr>
        <w:t>Radiocommunications (Maritime Ship Station – 27 MHz and VHF</w:t>
      </w:r>
      <w:r w:rsidR="00BE638A">
        <w:rPr>
          <w:i/>
        </w:rPr>
        <w:t>)</w:t>
      </w:r>
      <w:r w:rsidR="006F4C3F" w:rsidRPr="00927800">
        <w:rPr>
          <w:i/>
        </w:rPr>
        <w:t xml:space="preserve"> Class Licence 2015</w:t>
      </w:r>
      <w:r w:rsidR="004570EB" w:rsidRPr="00927800">
        <w:rPr>
          <w:i/>
        </w:rPr>
        <w:t xml:space="preserve"> </w:t>
      </w:r>
      <w:r w:rsidR="006F4C3F" w:rsidRPr="006F4C3F">
        <w:t>do not affect the spectrum allocated, to be allocated or to be re-allocated by issuing or re-issuing spectrum licences.</w:t>
      </w:r>
    </w:p>
    <w:p w14:paraId="1891A75F" w14:textId="45F7C9EB" w:rsidR="001E188D" w:rsidRPr="00A94272" w:rsidRDefault="00A94272" w:rsidP="00161566">
      <w:pPr>
        <w:rPr>
          <w:b/>
        </w:rPr>
      </w:pPr>
      <w:r w:rsidRPr="00A94272">
        <w:rPr>
          <w:b/>
        </w:rPr>
        <w:t>Human Rights Implications</w:t>
      </w:r>
    </w:p>
    <w:p w14:paraId="4E0A1323" w14:textId="4FD4EF23" w:rsidR="00A94272" w:rsidRDefault="00A94272" w:rsidP="00161566">
      <w:r>
        <w:t xml:space="preserve">The ACMA has assessed whether the Variation Instrument is compatible with human rights, being the rights and freedoms recognised or declared by the international instruments listed in </w:t>
      </w:r>
      <w:r w:rsidR="00F5411F">
        <w:t xml:space="preserve">subsection 3(1) of the </w:t>
      </w:r>
      <w:r w:rsidR="00F5411F">
        <w:rPr>
          <w:i/>
        </w:rPr>
        <w:t>Human Rights (Parliamentary Scrutiny) Act 2011</w:t>
      </w:r>
      <w:r w:rsidR="00F5411F">
        <w:t xml:space="preserve"> as they apply to Australia.</w:t>
      </w:r>
    </w:p>
    <w:p w14:paraId="47A832F1" w14:textId="6808ED1A" w:rsidR="00F5411F" w:rsidRDefault="00F5411F" w:rsidP="00161566">
      <w:r>
        <w:t>Having consider</w:t>
      </w:r>
      <w:r w:rsidR="009D5BA4">
        <w:t xml:space="preserve">ed the likely impact of the Variation Instrument and the nature </w:t>
      </w:r>
      <w:r w:rsidR="006772E9">
        <w:t xml:space="preserve">of the applicable rights and freedoms, the ACMA has formed the view that the Variation Instrument does not engage any of those rights or </w:t>
      </w:r>
      <w:r w:rsidR="00B17BD2">
        <w:t>freedoms.</w:t>
      </w:r>
    </w:p>
    <w:p w14:paraId="397CDA62" w14:textId="660CD5C8" w:rsidR="00B17BD2" w:rsidRPr="00B17BD2" w:rsidRDefault="00B17BD2" w:rsidP="00161566">
      <w:pPr>
        <w:rPr>
          <w:b/>
        </w:rPr>
      </w:pPr>
      <w:r w:rsidRPr="00B17BD2">
        <w:rPr>
          <w:b/>
        </w:rPr>
        <w:t>Conclusion</w:t>
      </w:r>
    </w:p>
    <w:p w14:paraId="15725810" w14:textId="083E7DFD" w:rsidR="00B17BD2" w:rsidRPr="00F5411F" w:rsidRDefault="00B17BD2" w:rsidP="00161566">
      <w:r>
        <w:t>The Variation instrument is compatible with human rights as it does not raise any human rights issues.</w:t>
      </w:r>
    </w:p>
    <w:p w14:paraId="0528E5C2" w14:textId="12D6297F" w:rsidR="00922618" w:rsidRDefault="00922618">
      <w:r>
        <w:br w:type="page"/>
      </w:r>
    </w:p>
    <w:p w14:paraId="3D02B5AB" w14:textId="27D3D1C7" w:rsidR="00A94272" w:rsidRPr="00922618" w:rsidRDefault="00922618" w:rsidP="00161566">
      <w:pPr>
        <w:rPr>
          <w:b/>
        </w:rPr>
      </w:pPr>
      <w:r w:rsidRPr="00922618">
        <w:rPr>
          <w:b/>
        </w:rPr>
        <w:lastRenderedPageBreak/>
        <w:t>ATTACHMENT A</w:t>
      </w:r>
    </w:p>
    <w:p w14:paraId="042378EB" w14:textId="2905C571" w:rsidR="00922618" w:rsidRPr="00996E7C" w:rsidRDefault="00922618" w:rsidP="00161566">
      <w:pPr>
        <w:rPr>
          <w:b/>
        </w:rPr>
      </w:pPr>
      <w:r w:rsidRPr="00996E7C">
        <w:rPr>
          <w:b/>
        </w:rPr>
        <w:t>Detailed description of the instrument</w:t>
      </w:r>
    </w:p>
    <w:p w14:paraId="5D744608" w14:textId="77777777" w:rsidR="00922618" w:rsidRDefault="00922618" w:rsidP="00161566"/>
    <w:p w14:paraId="0DEE0596" w14:textId="31AE7880" w:rsidR="00922618" w:rsidRPr="00A15E12" w:rsidRDefault="00A829B1" w:rsidP="00161566">
      <w:pPr>
        <w:rPr>
          <w:b/>
        </w:rPr>
      </w:pPr>
      <w:r w:rsidRPr="00A15E12">
        <w:rPr>
          <w:b/>
        </w:rPr>
        <w:t>Section 1 Name</w:t>
      </w:r>
    </w:p>
    <w:p w14:paraId="0D518512" w14:textId="796FC97E" w:rsidR="00A829B1" w:rsidRPr="008E7C42" w:rsidRDefault="00A15E12" w:rsidP="00161566">
      <w:r>
        <w:t xml:space="preserve">This section provides for </w:t>
      </w:r>
      <w:r w:rsidR="004A78C6">
        <w:t>the</w:t>
      </w:r>
      <w:r>
        <w:t xml:space="preserve"> instrument to </w:t>
      </w:r>
      <w:r w:rsidR="004A78C6">
        <w:t>be cited as</w:t>
      </w:r>
      <w:r w:rsidR="00A7152B">
        <w:t xml:space="preserve"> the </w:t>
      </w:r>
      <w:r w:rsidR="00712134">
        <w:rPr>
          <w:i/>
        </w:rPr>
        <w:t xml:space="preserve">Radiocommunications – Maritime </w:t>
      </w:r>
      <w:r w:rsidR="00F02046">
        <w:rPr>
          <w:i/>
        </w:rPr>
        <w:t>Omnibus Variation 201</w:t>
      </w:r>
      <w:r w:rsidR="00431B17">
        <w:rPr>
          <w:i/>
        </w:rPr>
        <w:t>9</w:t>
      </w:r>
      <w:r w:rsidR="00F02046">
        <w:rPr>
          <w:i/>
        </w:rPr>
        <w:t xml:space="preserve"> (No.1)</w:t>
      </w:r>
      <w:r w:rsidR="008E7C42">
        <w:rPr>
          <w:i/>
        </w:rPr>
        <w:t xml:space="preserve"> </w:t>
      </w:r>
      <w:r w:rsidR="008E7C42">
        <w:t>(</w:t>
      </w:r>
      <w:r w:rsidR="008E7C42" w:rsidRPr="008E7C42">
        <w:rPr>
          <w:b/>
        </w:rPr>
        <w:t>Variation Instrument</w:t>
      </w:r>
      <w:r w:rsidR="008E7C42">
        <w:t>)</w:t>
      </w:r>
      <w:r w:rsidR="00BE5318">
        <w:t>.</w:t>
      </w:r>
    </w:p>
    <w:p w14:paraId="2A55132E" w14:textId="28E6D0D3" w:rsidR="00EE1918" w:rsidRPr="00FD5217" w:rsidRDefault="00FD5217" w:rsidP="00161566">
      <w:pPr>
        <w:rPr>
          <w:b/>
        </w:rPr>
      </w:pPr>
      <w:r w:rsidRPr="00FD5217">
        <w:rPr>
          <w:b/>
        </w:rPr>
        <w:t>Section 2 Commencement</w:t>
      </w:r>
    </w:p>
    <w:p w14:paraId="39E6056C" w14:textId="5091D0B9" w:rsidR="00FD5217" w:rsidRDefault="00B469C6" w:rsidP="00161566">
      <w:r>
        <w:t>This section provides</w:t>
      </w:r>
      <w:r w:rsidR="00D23F9D">
        <w:t xml:space="preserve"> that the </w:t>
      </w:r>
      <w:r w:rsidR="00431B17">
        <w:t>Variation I</w:t>
      </w:r>
      <w:r w:rsidR="00D23F9D">
        <w:t>nstrument commences at the start of the day af</w:t>
      </w:r>
      <w:r w:rsidR="007D1D68">
        <w:t>ter it is registered on the Federal Register of Legislation</w:t>
      </w:r>
      <w:r w:rsidR="000E58C8">
        <w:t>.</w:t>
      </w:r>
    </w:p>
    <w:p w14:paraId="7336AD04" w14:textId="5A9A001D" w:rsidR="007D1D68" w:rsidRPr="007D1D68" w:rsidRDefault="007D1D68" w:rsidP="00161566">
      <w:pPr>
        <w:rPr>
          <w:b/>
        </w:rPr>
      </w:pPr>
      <w:r w:rsidRPr="007D1D68">
        <w:rPr>
          <w:b/>
        </w:rPr>
        <w:t>Section 3 Authority</w:t>
      </w:r>
    </w:p>
    <w:p w14:paraId="6103343F" w14:textId="3F759AFB" w:rsidR="007D1D68" w:rsidRDefault="003043C8" w:rsidP="00161566">
      <w:r>
        <w:t>This section identifies the provision</w:t>
      </w:r>
      <w:r w:rsidR="00431B17">
        <w:t>s</w:t>
      </w:r>
      <w:r>
        <w:t xml:space="preserve"> that </w:t>
      </w:r>
      <w:r w:rsidR="00687E14">
        <w:t xml:space="preserve">authorise the making of the </w:t>
      </w:r>
      <w:r w:rsidR="00720544">
        <w:t>Variation I</w:t>
      </w:r>
      <w:r w:rsidR="00687E14">
        <w:t xml:space="preserve">nstrument, namely </w:t>
      </w:r>
      <w:r w:rsidR="00E256FD">
        <w:t>sub</w:t>
      </w:r>
      <w:r w:rsidR="00783E10">
        <w:t xml:space="preserve">section 64(1) of the </w:t>
      </w:r>
      <w:r w:rsidR="00783E10">
        <w:rPr>
          <w:i/>
        </w:rPr>
        <w:t xml:space="preserve">Australian Communications and Media Authority Act 2005 </w:t>
      </w:r>
      <w:r w:rsidR="00783E10">
        <w:t>and paragraph 107(1)(f) and subsection</w:t>
      </w:r>
      <w:r w:rsidR="0099782A">
        <w:t xml:space="preserve"> 132(1) of the </w:t>
      </w:r>
      <w:r w:rsidR="0099782A">
        <w:rPr>
          <w:i/>
        </w:rPr>
        <w:t xml:space="preserve">Radiocommunications Act </w:t>
      </w:r>
      <w:r w:rsidR="00DC6952">
        <w:rPr>
          <w:i/>
        </w:rPr>
        <w:t>1992</w:t>
      </w:r>
      <w:r w:rsidR="00A31CD7">
        <w:rPr>
          <w:i/>
        </w:rPr>
        <w:t>.</w:t>
      </w:r>
    </w:p>
    <w:p w14:paraId="01EC22FA" w14:textId="1FF6E0F6" w:rsidR="00A31CD7" w:rsidRDefault="00A31CD7" w:rsidP="00161566">
      <w:pPr>
        <w:rPr>
          <w:rFonts w:ascii="Times New Roman" w:hAnsi="Times New Roman" w:cs="Times New Roman"/>
          <w:b/>
          <w:sz w:val="24"/>
          <w:szCs w:val="24"/>
        </w:rPr>
      </w:pPr>
      <w:r w:rsidRPr="001C7328">
        <w:rPr>
          <w:b/>
        </w:rPr>
        <w:t xml:space="preserve">Section 4 </w:t>
      </w:r>
      <w:r w:rsidR="007F4EDB">
        <w:rPr>
          <w:b/>
        </w:rPr>
        <w:t>Amendments</w:t>
      </w:r>
      <w:r w:rsidRPr="001C7328">
        <w:rPr>
          <w:b/>
        </w:rPr>
        <w:t xml:space="preserve"> – </w:t>
      </w:r>
      <w:r w:rsidRPr="006C6FC9">
        <w:rPr>
          <w:b/>
          <w:i/>
        </w:rPr>
        <w:t>Radiocommunications (</w:t>
      </w:r>
      <w:r w:rsidRPr="00552946">
        <w:rPr>
          <w:b/>
          <w:i/>
        </w:rPr>
        <w:t xml:space="preserve">Interpretation) Determination </w:t>
      </w:r>
      <w:r w:rsidRPr="001A0BF1">
        <w:rPr>
          <w:b/>
        </w:rPr>
        <w:t xml:space="preserve">2015 </w:t>
      </w:r>
    </w:p>
    <w:p w14:paraId="2E7D2157" w14:textId="12A3791D" w:rsidR="001C7328" w:rsidRDefault="00552946" w:rsidP="00161566">
      <w:r>
        <w:t>This section identifies that</w:t>
      </w:r>
      <w:r w:rsidR="00313F99">
        <w:t xml:space="preserve"> the</w:t>
      </w:r>
      <w:r>
        <w:t xml:space="preserve"> </w:t>
      </w:r>
      <w:r w:rsidR="005C5C1D" w:rsidRPr="005C5C1D">
        <w:rPr>
          <w:i/>
        </w:rPr>
        <w:t>Radiocommunications (Interpretation) Determination 2015</w:t>
      </w:r>
      <w:r w:rsidR="00B8440F">
        <w:rPr>
          <w:i/>
        </w:rPr>
        <w:t xml:space="preserve">, </w:t>
      </w:r>
      <w:r w:rsidR="00B8440F">
        <w:t>specified in Schedule</w:t>
      </w:r>
      <w:r w:rsidR="005906AC">
        <w:t xml:space="preserve"> 1</w:t>
      </w:r>
      <w:r w:rsidR="00B8440F">
        <w:t xml:space="preserve"> of </w:t>
      </w:r>
      <w:r w:rsidR="008E7C42">
        <w:t>the Variation Instrument</w:t>
      </w:r>
      <w:r w:rsidR="007219CD">
        <w:t>,</w:t>
      </w:r>
      <w:r w:rsidR="008E7C42">
        <w:t xml:space="preserve"> </w:t>
      </w:r>
      <w:r w:rsidR="008F4EC0">
        <w:t>is amended as set out in the items in that Schedule.</w:t>
      </w:r>
    </w:p>
    <w:p w14:paraId="176529FA" w14:textId="56BE1DDE" w:rsidR="0011537C" w:rsidRDefault="0011537C" w:rsidP="00161566">
      <w:pPr>
        <w:rPr>
          <w:b/>
        </w:rPr>
      </w:pPr>
      <w:r w:rsidRPr="00EE36EE">
        <w:rPr>
          <w:b/>
        </w:rPr>
        <w:t xml:space="preserve">Section 5 </w:t>
      </w:r>
      <w:r w:rsidR="007F4EDB">
        <w:rPr>
          <w:b/>
        </w:rPr>
        <w:t>Amendments</w:t>
      </w:r>
      <w:r w:rsidRPr="00EE36EE">
        <w:rPr>
          <w:b/>
        </w:rPr>
        <w:t xml:space="preserve"> </w:t>
      </w:r>
      <w:r w:rsidR="006914AB">
        <w:rPr>
          <w:b/>
        </w:rPr>
        <w:t>–</w:t>
      </w:r>
      <w:r>
        <w:t xml:space="preserve"> </w:t>
      </w:r>
      <w:r w:rsidR="001A0BF1" w:rsidRPr="006C6FC9">
        <w:rPr>
          <w:b/>
          <w:i/>
        </w:rPr>
        <w:t>Radiocommunications Licence Conditions (Maritime Coast Licence) Determination 2015</w:t>
      </w:r>
      <w:r w:rsidR="001A0BF1">
        <w:rPr>
          <w:b/>
          <w:i/>
        </w:rPr>
        <w:t xml:space="preserve"> </w:t>
      </w:r>
    </w:p>
    <w:p w14:paraId="1E48B14F" w14:textId="311B0A19" w:rsidR="005543DE" w:rsidRDefault="005543DE" w:rsidP="00161566">
      <w:r>
        <w:t>This section identifies</w:t>
      </w:r>
      <w:r w:rsidR="00686E4B">
        <w:t xml:space="preserve"> that</w:t>
      </w:r>
      <w:r w:rsidR="007219CD">
        <w:t xml:space="preserve"> the</w:t>
      </w:r>
      <w:r w:rsidR="00686E4B">
        <w:t xml:space="preserve"> </w:t>
      </w:r>
      <w:r w:rsidR="006C6FC9">
        <w:rPr>
          <w:i/>
        </w:rPr>
        <w:t>Radiocommunications Licence Condition</w:t>
      </w:r>
      <w:r w:rsidR="00A369FE">
        <w:rPr>
          <w:i/>
        </w:rPr>
        <w:t>s (Maritime Coast Licence) Determination 2015</w:t>
      </w:r>
      <w:r w:rsidR="00A369FE">
        <w:t xml:space="preserve">, specified in Schedule </w:t>
      </w:r>
      <w:r w:rsidR="005906AC">
        <w:t>2 of the Variation Instrument</w:t>
      </w:r>
      <w:r w:rsidR="000A6BE0">
        <w:t>,</w:t>
      </w:r>
      <w:r w:rsidR="005906AC">
        <w:t xml:space="preserve"> is amended as set out in the items in that </w:t>
      </w:r>
      <w:r w:rsidR="00EE36EE">
        <w:t>Schedule.</w:t>
      </w:r>
    </w:p>
    <w:p w14:paraId="15D6A4EC" w14:textId="7001B58D" w:rsidR="00EE36EE" w:rsidRDefault="00EE36EE" w:rsidP="00161566">
      <w:pPr>
        <w:rPr>
          <w:b/>
        </w:rPr>
      </w:pPr>
      <w:r w:rsidRPr="00D6778E">
        <w:rPr>
          <w:b/>
        </w:rPr>
        <w:t xml:space="preserve">Section 6 </w:t>
      </w:r>
      <w:r w:rsidR="007F4EDB">
        <w:rPr>
          <w:b/>
        </w:rPr>
        <w:t>Amendments</w:t>
      </w:r>
      <w:r w:rsidRPr="00D6778E">
        <w:rPr>
          <w:b/>
        </w:rPr>
        <w:t xml:space="preserve"> </w:t>
      </w:r>
      <w:r w:rsidR="006914AB">
        <w:rPr>
          <w:b/>
        </w:rPr>
        <w:t>–</w:t>
      </w:r>
      <w:r w:rsidRPr="00D6778E">
        <w:rPr>
          <w:b/>
        </w:rPr>
        <w:t xml:space="preserve"> </w:t>
      </w:r>
      <w:r w:rsidR="00D6778E" w:rsidRPr="00A32AB4">
        <w:rPr>
          <w:b/>
          <w:i/>
        </w:rPr>
        <w:t>Radiocommunications Licence Conditions (Maritime Ship Licence) Determination 2015</w:t>
      </w:r>
    </w:p>
    <w:p w14:paraId="4C75D5FE" w14:textId="2536E7DE" w:rsidR="00D6778E" w:rsidRDefault="00A32AB4" w:rsidP="00161566">
      <w:r>
        <w:t>This section identifies that</w:t>
      </w:r>
      <w:r w:rsidR="000A6BE0">
        <w:t xml:space="preserve"> the</w:t>
      </w:r>
      <w:r>
        <w:t xml:space="preserve"> </w:t>
      </w:r>
      <w:r>
        <w:rPr>
          <w:i/>
        </w:rPr>
        <w:t>Radiocommunications Licence Conditions (Maritime Ship Licence) Determination 2015</w:t>
      </w:r>
      <w:r w:rsidR="006C2928" w:rsidRPr="006C2928">
        <w:t xml:space="preserve">, specified in </w:t>
      </w:r>
      <w:r w:rsidR="0014036B">
        <w:t>S</w:t>
      </w:r>
      <w:r w:rsidR="006C2928" w:rsidRPr="006C2928">
        <w:t>chedule 3</w:t>
      </w:r>
      <w:r w:rsidR="006C2928">
        <w:t xml:space="preserve"> of the Variation Instrument</w:t>
      </w:r>
      <w:r w:rsidR="000A6BE0">
        <w:t>,</w:t>
      </w:r>
      <w:r w:rsidR="006C2928">
        <w:t xml:space="preserve"> </w:t>
      </w:r>
      <w:r w:rsidR="007C6888">
        <w:t>is amended as set out in the it</w:t>
      </w:r>
      <w:r w:rsidR="001055BA">
        <w:t>ems in that Schedule.</w:t>
      </w:r>
    </w:p>
    <w:p w14:paraId="5E28F6E0" w14:textId="0C9EC7D4" w:rsidR="001055BA" w:rsidRDefault="004B1D8B" w:rsidP="00161566">
      <w:pPr>
        <w:rPr>
          <w:b/>
          <w:i/>
        </w:rPr>
      </w:pPr>
      <w:r>
        <w:rPr>
          <w:b/>
        </w:rPr>
        <w:t>Section 7 Variation</w:t>
      </w:r>
      <w:r w:rsidR="007F4EDB">
        <w:rPr>
          <w:b/>
        </w:rPr>
        <w:t>s</w:t>
      </w:r>
      <w:r>
        <w:rPr>
          <w:b/>
        </w:rPr>
        <w:t xml:space="preserve"> </w:t>
      </w:r>
      <w:r w:rsidR="006914AB">
        <w:rPr>
          <w:b/>
        </w:rPr>
        <w:t>–</w:t>
      </w:r>
      <w:r>
        <w:rPr>
          <w:b/>
        </w:rPr>
        <w:t xml:space="preserve"> </w:t>
      </w:r>
      <w:r w:rsidR="00337B2E" w:rsidRPr="00337B2E">
        <w:rPr>
          <w:b/>
          <w:i/>
        </w:rPr>
        <w:t>Radiocommunications (Maritime Ship Station – 27 MHz and VHF) Class Licence 2015</w:t>
      </w:r>
    </w:p>
    <w:p w14:paraId="067DD449" w14:textId="4264CF2E" w:rsidR="00F16AF6" w:rsidRDefault="00F16AF6" w:rsidP="00161566">
      <w:r>
        <w:t>This section identifies that</w:t>
      </w:r>
      <w:r w:rsidR="00BD0E07">
        <w:t xml:space="preserve"> the</w:t>
      </w:r>
      <w:r>
        <w:t xml:space="preserve"> </w:t>
      </w:r>
      <w:r>
        <w:rPr>
          <w:i/>
        </w:rPr>
        <w:t xml:space="preserve">Radiocommunications </w:t>
      </w:r>
      <w:r w:rsidR="0014036B">
        <w:rPr>
          <w:i/>
        </w:rPr>
        <w:t>(Maritime Ship Station – 27 MHz and VHF) Class Licence 2015</w:t>
      </w:r>
      <w:r w:rsidR="0014036B" w:rsidRPr="0014036B">
        <w:t>, specified in Schedule 4</w:t>
      </w:r>
      <w:r w:rsidR="005356D3">
        <w:t xml:space="preserve"> of the Variation Instrument</w:t>
      </w:r>
      <w:r w:rsidR="00BD0E07">
        <w:t>,</w:t>
      </w:r>
      <w:r w:rsidR="005356D3">
        <w:t xml:space="preserve"> is </w:t>
      </w:r>
      <w:r w:rsidR="007F4EDB">
        <w:t>varied</w:t>
      </w:r>
      <w:r w:rsidR="005356D3">
        <w:t xml:space="preserve"> as set out in the items in that Schedule.</w:t>
      </w:r>
    </w:p>
    <w:p w14:paraId="1A9B5D9B" w14:textId="1BD6EBDF" w:rsidR="00CA2DD5" w:rsidRPr="00185A78" w:rsidRDefault="00185A78" w:rsidP="00161566">
      <w:pPr>
        <w:rPr>
          <w:b/>
        </w:rPr>
      </w:pPr>
      <w:r w:rsidRPr="00185A78">
        <w:rPr>
          <w:b/>
        </w:rPr>
        <w:t>Section 8 References to other instruments</w:t>
      </w:r>
    </w:p>
    <w:p w14:paraId="1F237A58" w14:textId="25D3132E" w:rsidR="00185A78" w:rsidRDefault="00896046" w:rsidP="00161566">
      <w:r>
        <w:t xml:space="preserve">This section provides </w:t>
      </w:r>
      <w:r w:rsidR="0028373B">
        <w:t>that in the instrument, unless the contrary intention appears:</w:t>
      </w:r>
    </w:p>
    <w:p w14:paraId="2D93809D" w14:textId="35157529" w:rsidR="0028373B" w:rsidRDefault="0028373B" w:rsidP="0028373B">
      <w:pPr>
        <w:pStyle w:val="ListParagraph"/>
        <w:numPr>
          <w:ilvl w:val="0"/>
          <w:numId w:val="8"/>
        </w:numPr>
      </w:pPr>
      <w:r>
        <w:t>a reference to any other legislative instrument is a reference to that other legislative instrument as in force from time to time; and</w:t>
      </w:r>
    </w:p>
    <w:p w14:paraId="133C637D" w14:textId="34CAD0B7" w:rsidR="0028373B" w:rsidRDefault="003952DF" w:rsidP="0028373B">
      <w:pPr>
        <w:pStyle w:val="ListParagraph"/>
        <w:numPr>
          <w:ilvl w:val="0"/>
          <w:numId w:val="8"/>
        </w:numPr>
      </w:pPr>
      <w:r>
        <w:t xml:space="preserve">a reference to any other kind of instrument is a reference to that other instrument as in force </w:t>
      </w:r>
      <w:r w:rsidR="003E53AD">
        <w:t xml:space="preserve">or existing </w:t>
      </w:r>
      <w:r>
        <w:t>from time to time.</w:t>
      </w:r>
    </w:p>
    <w:p w14:paraId="5E616A4B" w14:textId="3D2862E1" w:rsidR="00053CF3" w:rsidRPr="00AB3E0C" w:rsidRDefault="00611A3C" w:rsidP="00053CF3">
      <w:pPr>
        <w:rPr>
          <w:b/>
        </w:rPr>
      </w:pPr>
      <w:r w:rsidRPr="00AB3E0C">
        <w:rPr>
          <w:b/>
        </w:rPr>
        <w:lastRenderedPageBreak/>
        <w:t xml:space="preserve">Schedule 1 </w:t>
      </w:r>
      <w:r w:rsidR="00AB3E0C" w:rsidRPr="00AB3E0C">
        <w:rPr>
          <w:b/>
        </w:rPr>
        <w:t>–</w:t>
      </w:r>
      <w:r w:rsidRPr="00AB3E0C">
        <w:rPr>
          <w:b/>
        </w:rPr>
        <w:t xml:space="preserve"> Amendments</w:t>
      </w:r>
    </w:p>
    <w:p w14:paraId="65F4E377" w14:textId="63BCB058" w:rsidR="00AB3E0C" w:rsidRPr="00AB3E0C" w:rsidRDefault="00AB3E0C" w:rsidP="00053CF3">
      <w:pPr>
        <w:rPr>
          <w:b/>
          <w:i/>
        </w:rPr>
      </w:pPr>
      <w:r w:rsidRPr="00AB3E0C">
        <w:rPr>
          <w:b/>
          <w:i/>
        </w:rPr>
        <w:t>Radiocommunications (Interpretation) Determination 2015</w:t>
      </w:r>
    </w:p>
    <w:p w14:paraId="58C61A53" w14:textId="06C4A3F6" w:rsidR="00AB3E0C" w:rsidRPr="00421E05" w:rsidRDefault="00D63448" w:rsidP="00053CF3">
      <w:pPr>
        <w:rPr>
          <w:b/>
          <w:i/>
        </w:rPr>
      </w:pPr>
      <w:r w:rsidRPr="00421E05">
        <w:rPr>
          <w:b/>
        </w:rPr>
        <w:t>Item</w:t>
      </w:r>
      <w:r w:rsidR="00464E32">
        <w:rPr>
          <w:b/>
        </w:rPr>
        <w:t>s</w:t>
      </w:r>
      <w:r w:rsidRPr="00421E05">
        <w:rPr>
          <w:b/>
        </w:rPr>
        <w:t xml:space="preserve"> 1</w:t>
      </w:r>
      <w:r w:rsidR="002D0645">
        <w:rPr>
          <w:b/>
        </w:rPr>
        <w:t xml:space="preserve"> and 3</w:t>
      </w:r>
      <w:r w:rsidRPr="00421E05">
        <w:rPr>
          <w:b/>
        </w:rPr>
        <w:t xml:space="preserve"> – Schedule 1</w:t>
      </w:r>
    </w:p>
    <w:p w14:paraId="00792EE5" w14:textId="21C1C7C3" w:rsidR="00421E05" w:rsidRDefault="003C37AE" w:rsidP="00053CF3">
      <w:r>
        <w:t>Schedule 1</w:t>
      </w:r>
      <w:r w:rsidR="005F2BD2">
        <w:t xml:space="preserve"> has been updated to include n</w:t>
      </w:r>
      <w:r w:rsidR="004468DB">
        <w:t>ew definition</w:t>
      </w:r>
      <w:r w:rsidR="000F3CB6">
        <w:t xml:space="preserve">s for </w:t>
      </w:r>
      <w:r w:rsidR="00AA170C">
        <w:t>Application Specific Messages</w:t>
      </w:r>
      <w:r w:rsidR="006B6DF3">
        <w:t xml:space="preserve"> (ASM)</w:t>
      </w:r>
      <w:r w:rsidR="00AA170C">
        <w:t>, VHF Data Exchange</w:t>
      </w:r>
      <w:r w:rsidR="00BE54B5">
        <w:t xml:space="preserve"> and</w:t>
      </w:r>
      <w:r w:rsidR="00AA170C">
        <w:t xml:space="preserve"> VHF Data Exchange System</w:t>
      </w:r>
      <w:r w:rsidR="006B6DF3">
        <w:t xml:space="preserve"> (</w:t>
      </w:r>
      <w:r w:rsidR="00967C01">
        <w:t>VDES)</w:t>
      </w:r>
      <w:r w:rsidR="0029065A">
        <w:t xml:space="preserve">. This is due to the inclusion of </w:t>
      </w:r>
      <w:r w:rsidR="009E202B">
        <w:t xml:space="preserve">new </w:t>
      </w:r>
      <w:r w:rsidR="0029065A">
        <w:t xml:space="preserve">provisions </w:t>
      </w:r>
      <w:r w:rsidR="004D10FC">
        <w:t>for these services</w:t>
      </w:r>
      <w:r w:rsidR="00AF0F5C">
        <w:t xml:space="preserve"> in the following instruments</w:t>
      </w:r>
      <w:r w:rsidR="00D6739D">
        <w:t>:</w:t>
      </w:r>
    </w:p>
    <w:p w14:paraId="38E484E8" w14:textId="77777777" w:rsidR="00912D85" w:rsidRDefault="00912D85" w:rsidP="00912D85">
      <w:pPr>
        <w:pStyle w:val="ListParagraph"/>
        <w:numPr>
          <w:ilvl w:val="0"/>
          <w:numId w:val="4"/>
        </w:numPr>
      </w:pPr>
      <w:r>
        <w:rPr>
          <w:i/>
        </w:rPr>
        <w:t>Radiocommunications Licence Conditions (Maritime Ship Licence) Determination 2015</w:t>
      </w:r>
      <w:r>
        <w:t>;</w:t>
      </w:r>
    </w:p>
    <w:p w14:paraId="30707A75" w14:textId="7C03C56A" w:rsidR="00912D85" w:rsidRDefault="00912D85" w:rsidP="00912D85">
      <w:pPr>
        <w:pStyle w:val="ListParagraph"/>
        <w:numPr>
          <w:ilvl w:val="0"/>
          <w:numId w:val="9"/>
        </w:numPr>
      </w:pPr>
      <w:r>
        <w:rPr>
          <w:i/>
        </w:rPr>
        <w:t>Radiocommunications (Maritime Ship Station – 27 MHz and VHF) Class Licence 2015</w:t>
      </w:r>
      <w:r w:rsidR="00DC260C" w:rsidRPr="00DC260C">
        <w:t>.</w:t>
      </w:r>
    </w:p>
    <w:p w14:paraId="37B973DC" w14:textId="1AC8CB02" w:rsidR="009C3DF1" w:rsidRPr="002D0645" w:rsidRDefault="009C3DF1" w:rsidP="0076642F">
      <w:r>
        <w:t xml:space="preserve">A definition </w:t>
      </w:r>
      <w:r w:rsidR="00316419">
        <w:t>for</w:t>
      </w:r>
      <w:r>
        <w:t xml:space="preserve"> VHF maritime mobile band</w:t>
      </w:r>
      <w:r w:rsidR="00316419">
        <w:t xml:space="preserve"> has also been included.</w:t>
      </w:r>
    </w:p>
    <w:p w14:paraId="174E8A9D" w14:textId="585C7158" w:rsidR="002D0645" w:rsidRPr="00D6739D" w:rsidRDefault="002D0645" w:rsidP="002D0645">
      <w:pPr>
        <w:rPr>
          <w:b/>
        </w:rPr>
      </w:pPr>
      <w:r w:rsidRPr="00D6739D">
        <w:rPr>
          <w:b/>
        </w:rPr>
        <w:t xml:space="preserve">Item 2 – Schedule </w:t>
      </w:r>
      <w:r w:rsidR="004F5558" w:rsidRPr="00D6739D">
        <w:rPr>
          <w:b/>
        </w:rPr>
        <w:t>1</w:t>
      </w:r>
    </w:p>
    <w:p w14:paraId="16B7832C" w14:textId="4F5BCFE0" w:rsidR="00D6739D" w:rsidRPr="00122757" w:rsidRDefault="002171E8" w:rsidP="005E2644">
      <w:r>
        <w:t xml:space="preserve">The definition </w:t>
      </w:r>
      <w:r w:rsidRPr="009F61C9">
        <w:rPr>
          <w:i/>
        </w:rPr>
        <w:t xml:space="preserve">Automatic Identification </w:t>
      </w:r>
      <w:r w:rsidRPr="00967C01">
        <w:rPr>
          <w:i/>
        </w:rPr>
        <w:t>System (AIS)</w:t>
      </w:r>
      <w:r>
        <w:t xml:space="preserve"> in </w:t>
      </w:r>
      <w:r w:rsidR="00A6472C">
        <w:t xml:space="preserve">Schedule 1 </w:t>
      </w:r>
      <w:r>
        <w:t>has been</w:t>
      </w:r>
      <w:r w:rsidR="00A6472C">
        <w:t xml:space="preserve"> </w:t>
      </w:r>
      <w:r w:rsidR="00754757">
        <w:t>m</w:t>
      </w:r>
      <w:r w:rsidR="004F5558">
        <w:t>odified</w:t>
      </w:r>
      <w:r w:rsidR="00E15F54">
        <w:t xml:space="preserve"> to define AIS </w:t>
      </w:r>
      <w:r w:rsidR="00927C9A">
        <w:t>as a system that uses automatic tracking technology in the VHF maritime mobile band</w:t>
      </w:r>
      <w:r w:rsidR="005E2644">
        <w:t>.</w:t>
      </w:r>
    </w:p>
    <w:p w14:paraId="1C641DED" w14:textId="4D4623E9" w:rsidR="00122757" w:rsidRDefault="00122757" w:rsidP="00122757"/>
    <w:p w14:paraId="16DC8082" w14:textId="243AAD0E" w:rsidR="00122757" w:rsidRDefault="00122757">
      <w:r>
        <w:br w:type="page"/>
      </w:r>
    </w:p>
    <w:p w14:paraId="7A0DC3E8" w14:textId="5F24C48A" w:rsidR="00122757" w:rsidRPr="005908B3" w:rsidRDefault="00757A7D" w:rsidP="00122757">
      <w:pPr>
        <w:rPr>
          <w:b/>
        </w:rPr>
      </w:pPr>
      <w:r w:rsidRPr="005908B3">
        <w:rPr>
          <w:b/>
        </w:rPr>
        <w:lastRenderedPageBreak/>
        <w:t>Schedule 2 – Amendments</w:t>
      </w:r>
    </w:p>
    <w:p w14:paraId="12C4C546" w14:textId="616AA886" w:rsidR="00757A7D" w:rsidRPr="005908B3" w:rsidRDefault="00CE404F" w:rsidP="00122757">
      <w:pPr>
        <w:rPr>
          <w:b/>
          <w:i/>
        </w:rPr>
      </w:pPr>
      <w:r w:rsidRPr="005908B3">
        <w:rPr>
          <w:b/>
          <w:i/>
        </w:rPr>
        <w:t>Radiocommunications Licence Conditions (Maritime Coast Licence) Determination 2015</w:t>
      </w:r>
    </w:p>
    <w:p w14:paraId="53D01337" w14:textId="56082FE3" w:rsidR="00CE404F" w:rsidRPr="005908B3" w:rsidRDefault="00CE404F" w:rsidP="00122757">
      <w:pPr>
        <w:rPr>
          <w:b/>
        </w:rPr>
      </w:pPr>
      <w:r w:rsidRPr="005908B3">
        <w:rPr>
          <w:b/>
        </w:rPr>
        <w:t xml:space="preserve">Item </w:t>
      </w:r>
      <w:r w:rsidR="00004B29" w:rsidRPr="005908B3">
        <w:rPr>
          <w:b/>
        </w:rPr>
        <w:t>1</w:t>
      </w:r>
      <w:r w:rsidR="005362F0" w:rsidRPr="005908B3">
        <w:rPr>
          <w:b/>
        </w:rPr>
        <w:t xml:space="preserve"> – Section</w:t>
      </w:r>
      <w:r w:rsidR="006C3EA4">
        <w:rPr>
          <w:b/>
        </w:rPr>
        <w:t xml:space="preserve"> </w:t>
      </w:r>
      <w:r w:rsidR="005362F0" w:rsidRPr="005908B3">
        <w:rPr>
          <w:b/>
        </w:rPr>
        <w:t>1.2 (note)</w:t>
      </w:r>
    </w:p>
    <w:p w14:paraId="54679582" w14:textId="2D5CC79C" w:rsidR="005362F0" w:rsidRDefault="004E4D57" w:rsidP="00122757">
      <w:r>
        <w:t xml:space="preserve">The note to </w:t>
      </w:r>
      <w:r w:rsidR="002A29C1">
        <w:t>s</w:t>
      </w:r>
      <w:r>
        <w:t>ection 1.2 has been modified</w:t>
      </w:r>
      <w:r w:rsidR="00213A71">
        <w:t xml:space="preserve"> </w:t>
      </w:r>
      <w:r w:rsidR="00B174B0">
        <w:t>to</w:t>
      </w:r>
      <w:r w:rsidR="00790A2B">
        <w:t xml:space="preserve"> state that </w:t>
      </w:r>
      <w:r w:rsidR="00FB4A10">
        <w:t>all legislative instruments must be registered on</w:t>
      </w:r>
      <w:r w:rsidR="00B174B0">
        <w:t xml:space="preserve"> the Federal Register of Legislation</w:t>
      </w:r>
      <w:r w:rsidR="00FB4A10">
        <w:t xml:space="preserve"> a</w:t>
      </w:r>
      <w:r w:rsidR="009D0201">
        <w:t>s</w:t>
      </w:r>
      <w:r w:rsidR="00FB4A10">
        <w:t xml:space="preserve"> maintained under the </w:t>
      </w:r>
      <w:r w:rsidR="00467D96">
        <w:rPr>
          <w:i/>
        </w:rPr>
        <w:t>Legislation Act 2003</w:t>
      </w:r>
      <w:r w:rsidR="00B174B0">
        <w:t>.</w:t>
      </w:r>
    </w:p>
    <w:p w14:paraId="2E9F1374" w14:textId="47B84356" w:rsidR="00B174B0" w:rsidRPr="0071531D" w:rsidRDefault="00B174B0" w:rsidP="00122757">
      <w:pPr>
        <w:rPr>
          <w:b/>
        </w:rPr>
      </w:pPr>
      <w:r w:rsidRPr="0071531D">
        <w:rPr>
          <w:b/>
        </w:rPr>
        <w:t xml:space="preserve">Item 2 – Subsection 1.4(1) (definition of </w:t>
      </w:r>
      <w:r w:rsidRPr="0071531D">
        <w:rPr>
          <w:b/>
          <w:i/>
        </w:rPr>
        <w:t>AC</w:t>
      </w:r>
      <w:r w:rsidR="0071531D" w:rsidRPr="0071531D">
        <w:rPr>
          <w:b/>
          <w:i/>
        </w:rPr>
        <w:t>A</w:t>
      </w:r>
      <w:r w:rsidR="0071531D" w:rsidRPr="0071531D">
        <w:rPr>
          <w:b/>
        </w:rPr>
        <w:t>)</w:t>
      </w:r>
    </w:p>
    <w:p w14:paraId="02FC192E" w14:textId="2AD9A036" w:rsidR="0071531D" w:rsidRDefault="00815E8F" w:rsidP="00122757">
      <w:r>
        <w:t>Subsection 1.4 has been updated to r</w:t>
      </w:r>
      <w:r w:rsidR="00082260">
        <w:t xml:space="preserve">emove the reference to </w:t>
      </w:r>
      <w:r w:rsidR="00AD1EFB">
        <w:t>Australian Communications Authority (ACA).</w:t>
      </w:r>
    </w:p>
    <w:p w14:paraId="5DA80AB7" w14:textId="718E2E72" w:rsidR="00AD1EFB" w:rsidRPr="009B26CF" w:rsidRDefault="00AD1EFB" w:rsidP="00122757">
      <w:pPr>
        <w:rPr>
          <w:b/>
        </w:rPr>
      </w:pPr>
      <w:r w:rsidRPr="009B26CF">
        <w:rPr>
          <w:b/>
        </w:rPr>
        <w:t xml:space="preserve">Item 3 </w:t>
      </w:r>
      <w:r w:rsidR="009B26CF" w:rsidRPr="009B26CF">
        <w:rPr>
          <w:b/>
        </w:rPr>
        <w:t>–</w:t>
      </w:r>
      <w:r w:rsidRPr="009B26CF">
        <w:rPr>
          <w:b/>
        </w:rPr>
        <w:t xml:space="preserve"> </w:t>
      </w:r>
      <w:r w:rsidR="009B26CF" w:rsidRPr="009B26CF">
        <w:rPr>
          <w:b/>
        </w:rPr>
        <w:t>Subsection 1.4(3) (note 2)</w:t>
      </w:r>
    </w:p>
    <w:p w14:paraId="7698BEBA" w14:textId="1317A72F" w:rsidR="009B26CF" w:rsidRDefault="003E682F" w:rsidP="00122757">
      <w:r>
        <w:t xml:space="preserve">Note </w:t>
      </w:r>
      <w:r w:rsidR="00CE005F">
        <w:t>2 to s</w:t>
      </w:r>
      <w:r w:rsidR="006F4B70">
        <w:t xml:space="preserve">ubsection </w:t>
      </w:r>
      <w:r w:rsidR="00C15A38">
        <w:t>1.4</w:t>
      </w:r>
      <w:r w:rsidR="006914AB">
        <w:t>(3)</w:t>
      </w:r>
      <w:r w:rsidR="00C15A38">
        <w:t xml:space="preserve"> has been modified to </w:t>
      </w:r>
      <w:r w:rsidR="00467D96">
        <w:t xml:space="preserve">state that all </w:t>
      </w:r>
      <w:r w:rsidR="000947A0">
        <w:t>Commonwealth Acts and legislative</w:t>
      </w:r>
      <w:r w:rsidR="00467D96">
        <w:t xml:space="preserve"> instruments </w:t>
      </w:r>
      <w:r w:rsidR="00044CB8">
        <w:t>are</w:t>
      </w:r>
      <w:r w:rsidR="00467D96">
        <w:t xml:space="preserve"> registered on the Federal Register of Legislation and maintained under the </w:t>
      </w:r>
      <w:r w:rsidR="00467D96">
        <w:rPr>
          <w:i/>
        </w:rPr>
        <w:t>Legislation Act 2003</w:t>
      </w:r>
      <w:r w:rsidR="00467D96">
        <w:t>.</w:t>
      </w:r>
    </w:p>
    <w:p w14:paraId="1B6BDAC9" w14:textId="498151F2" w:rsidR="008165D6" w:rsidRPr="001D4AE4" w:rsidRDefault="009B53CA" w:rsidP="00122757">
      <w:pPr>
        <w:rPr>
          <w:b/>
        </w:rPr>
      </w:pPr>
      <w:r w:rsidRPr="001D4AE4">
        <w:rPr>
          <w:b/>
        </w:rPr>
        <w:t xml:space="preserve">Item 4 – Paragraphs 3.4(1)(a) and </w:t>
      </w:r>
      <w:r w:rsidR="001D4AE4" w:rsidRPr="001D4AE4">
        <w:rPr>
          <w:b/>
        </w:rPr>
        <w:t>4.6(1)(a)</w:t>
      </w:r>
    </w:p>
    <w:p w14:paraId="01318E5B" w14:textId="22194FD2" w:rsidR="001D4AE4" w:rsidRDefault="00C15A38" w:rsidP="00122757">
      <w:r>
        <w:t xml:space="preserve">These </w:t>
      </w:r>
      <w:r w:rsidR="00595159">
        <w:t>p</w:t>
      </w:r>
      <w:r>
        <w:t>aragraphs has been m</w:t>
      </w:r>
      <w:r w:rsidR="00F5511E">
        <w:t xml:space="preserve">odified </w:t>
      </w:r>
      <w:r w:rsidR="00EC33F9">
        <w:t>to change the</w:t>
      </w:r>
      <w:r w:rsidR="00F5511E">
        <w:t xml:space="preserve"> reference from </w:t>
      </w:r>
      <w:r w:rsidR="002D67D9">
        <w:t>ACA to ACMA</w:t>
      </w:r>
      <w:r w:rsidR="002928EA">
        <w:t>.</w:t>
      </w:r>
    </w:p>
    <w:p w14:paraId="54C1A19F" w14:textId="685A311B" w:rsidR="002D67D9" w:rsidRPr="002D67D9" w:rsidRDefault="002D67D9" w:rsidP="00122757">
      <w:pPr>
        <w:rPr>
          <w:b/>
        </w:rPr>
      </w:pPr>
      <w:r w:rsidRPr="002D67D9">
        <w:rPr>
          <w:b/>
        </w:rPr>
        <w:t>Item 5 – Schedules 2, 3, 4, 5 and 7 (note 2)</w:t>
      </w:r>
    </w:p>
    <w:p w14:paraId="671ACE85" w14:textId="550B132E" w:rsidR="002D67D9" w:rsidRDefault="00EC33F9" w:rsidP="00122757">
      <w:r>
        <w:t xml:space="preserve">Note </w:t>
      </w:r>
      <w:r w:rsidR="00121028">
        <w:t>2</w:t>
      </w:r>
      <w:r>
        <w:t xml:space="preserve"> has been m</w:t>
      </w:r>
      <w:r w:rsidR="00B6103A">
        <w:t xml:space="preserve">odified to </w:t>
      </w:r>
      <w:r w:rsidR="008F251A">
        <w:t xml:space="preserve">identify that the </w:t>
      </w:r>
      <w:r w:rsidR="00334149">
        <w:t xml:space="preserve">frequencies </w:t>
      </w:r>
      <w:r w:rsidR="00366B4B">
        <w:t xml:space="preserve">in these schedules are those prescribed in Annex 2 of </w:t>
      </w:r>
      <w:r w:rsidR="006C1149">
        <w:t>Appendix 17 of the ITU</w:t>
      </w:r>
      <w:r w:rsidR="00BE2620">
        <w:t xml:space="preserve"> Radio Regulations</w:t>
      </w:r>
      <w:r w:rsidR="006C1149">
        <w:t xml:space="preserve"> </w:t>
      </w:r>
      <w:r w:rsidR="00D848BF">
        <w:t>that came into force on 1 January 2017.</w:t>
      </w:r>
    </w:p>
    <w:p w14:paraId="0F1E73DF" w14:textId="36F02664" w:rsidR="00D848BF" w:rsidRDefault="00D848BF" w:rsidP="00122757">
      <w:pPr>
        <w:rPr>
          <w:b/>
        </w:rPr>
      </w:pPr>
      <w:r w:rsidRPr="00BF1ACF">
        <w:rPr>
          <w:b/>
        </w:rPr>
        <w:t>Item 6 – Part 2</w:t>
      </w:r>
      <w:r w:rsidR="00BF1ACF" w:rsidRPr="00BF1ACF">
        <w:rPr>
          <w:b/>
        </w:rPr>
        <w:t xml:space="preserve"> of Schedule 1 (table item 201)</w:t>
      </w:r>
    </w:p>
    <w:p w14:paraId="35FD8945" w14:textId="69EDE9B1" w:rsidR="00AF03BB" w:rsidRPr="00AF03BB" w:rsidRDefault="00921F8A" w:rsidP="00122757">
      <w:r>
        <w:t>This i</w:t>
      </w:r>
      <w:r w:rsidR="00AF03BB" w:rsidRPr="00AF03BB">
        <w:t>tem has been repealed.</w:t>
      </w:r>
    </w:p>
    <w:p w14:paraId="401A8450" w14:textId="53141E77" w:rsidR="000A4E31" w:rsidRPr="00D120AA" w:rsidRDefault="0097659D" w:rsidP="00122757">
      <w:pPr>
        <w:rPr>
          <w:b/>
        </w:rPr>
      </w:pPr>
      <w:r w:rsidRPr="004900F3">
        <w:rPr>
          <w:b/>
        </w:rPr>
        <w:t>Item 7 – Schedule 2 (table item 20)</w:t>
      </w:r>
    </w:p>
    <w:p w14:paraId="45E1AB79" w14:textId="6FD80AB7" w:rsidR="00D120AA" w:rsidRDefault="005711FD" w:rsidP="00122757">
      <w:r>
        <w:t xml:space="preserve">This </w:t>
      </w:r>
      <w:r w:rsidR="009822D0">
        <w:t>item</w:t>
      </w:r>
      <w:r>
        <w:t xml:space="preserve"> has been </w:t>
      </w:r>
      <w:r w:rsidR="003270F1">
        <w:t>modified</w:t>
      </w:r>
      <w:r>
        <w:t xml:space="preserve"> to reflect a minor editorial change</w:t>
      </w:r>
      <w:r w:rsidR="00AC34B7">
        <w:t>.</w:t>
      </w:r>
    </w:p>
    <w:p w14:paraId="048E0909" w14:textId="427B5C35" w:rsidR="00AC34B7" w:rsidRPr="00FF21D9" w:rsidRDefault="00AC34B7" w:rsidP="00122757">
      <w:pPr>
        <w:rPr>
          <w:b/>
        </w:rPr>
      </w:pPr>
      <w:r w:rsidRPr="00FF21D9">
        <w:rPr>
          <w:b/>
        </w:rPr>
        <w:t>Item 8</w:t>
      </w:r>
      <w:r w:rsidR="00CE0BDA" w:rsidRPr="00FF21D9">
        <w:rPr>
          <w:b/>
        </w:rPr>
        <w:t xml:space="preserve"> – Schedule 3 (table item 15)</w:t>
      </w:r>
    </w:p>
    <w:p w14:paraId="118D4495" w14:textId="1B33B62C" w:rsidR="00E26444" w:rsidRDefault="00FF21D9" w:rsidP="00122757">
      <w:r>
        <w:t xml:space="preserve">This item has been </w:t>
      </w:r>
      <w:r w:rsidR="001A701B">
        <w:t>modified</w:t>
      </w:r>
      <w:r>
        <w:t xml:space="preserve"> to </w:t>
      </w:r>
      <w:r w:rsidR="005F0A77">
        <w:t>reflect</w:t>
      </w:r>
      <w:r w:rsidR="00C15F67">
        <w:t xml:space="preserve"> </w:t>
      </w:r>
      <w:r w:rsidR="0076642F">
        <w:t>that</w:t>
      </w:r>
      <w:r w:rsidR="00302B05">
        <w:t xml:space="preserve"> </w:t>
      </w:r>
      <w:r w:rsidR="0022367D">
        <w:t>stations</w:t>
      </w:r>
      <w:r w:rsidR="00302B05">
        <w:t xml:space="preserve"> operating on channel 70 are to operate at a maximum transmitter power of </w:t>
      </w:r>
      <w:r w:rsidR="00AC389A">
        <w:t>83 watts EIRP.</w:t>
      </w:r>
    </w:p>
    <w:p w14:paraId="7C6CA34E" w14:textId="2DC656BD" w:rsidR="00FD0201" w:rsidRPr="00E55BC7" w:rsidRDefault="00A505A7" w:rsidP="00122757">
      <w:pPr>
        <w:rPr>
          <w:b/>
        </w:rPr>
      </w:pPr>
      <w:r w:rsidRPr="00E55BC7">
        <w:rPr>
          <w:b/>
        </w:rPr>
        <w:t>Item 9 – Schedule 6 (table)</w:t>
      </w:r>
    </w:p>
    <w:p w14:paraId="2CFA639B" w14:textId="65E86A74" w:rsidR="00A505A7" w:rsidRDefault="00F6641A" w:rsidP="00122757">
      <w:r>
        <w:t>The table has been u</w:t>
      </w:r>
      <w:r w:rsidR="00E55BC7">
        <w:t xml:space="preserve">pdated to include </w:t>
      </w:r>
      <w:r w:rsidR="00052AA9">
        <w:t xml:space="preserve">the following channels </w:t>
      </w:r>
      <w:r w:rsidR="00BB2142">
        <w:t>for the purpose of communication between ship and coast stations</w:t>
      </w:r>
      <w:r w:rsidR="003C7B42">
        <w:t>:</w:t>
      </w:r>
      <w:r w:rsidR="00BB2142">
        <w:t xml:space="preserve"> </w:t>
      </w:r>
    </w:p>
    <w:p w14:paraId="3B2B5ABC" w14:textId="2CDCDA50" w:rsidR="002A078B" w:rsidRDefault="002A078B" w:rsidP="00122757">
      <w:r>
        <w:t>156.950 MHz</w:t>
      </w:r>
      <w:r>
        <w:tab/>
        <w:t>channel 1019</w:t>
      </w:r>
    </w:p>
    <w:p w14:paraId="7442AC02" w14:textId="772245B4" w:rsidR="001E30E8" w:rsidRDefault="00595B35" w:rsidP="00122757">
      <w:r>
        <w:t>160.825 MHz Tx / 156.225 MHz Rx</w:t>
      </w:r>
      <w:r w:rsidR="002A078B">
        <w:tab/>
        <w:t>channel 64</w:t>
      </w:r>
    </w:p>
    <w:p w14:paraId="731A910C" w14:textId="78D8F409" w:rsidR="00595B35" w:rsidRDefault="00595B35" w:rsidP="00122757">
      <w:r>
        <w:t xml:space="preserve">160.875 MHz Tx / </w:t>
      </w:r>
      <w:r w:rsidR="00B92E45">
        <w:t>156.275 MHz Rx</w:t>
      </w:r>
      <w:r w:rsidR="002A078B">
        <w:tab/>
        <w:t>channel 65</w:t>
      </w:r>
    </w:p>
    <w:p w14:paraId="0F46D81C" w14:textId="33CE8C1F" w:rsidR="002A078B" w:rsidRDefault="002A078B" w:rsidP="00122757">
      <w:r>
        <w:t>161.500 MHz Tx / 156.900 MHz Rx</w:t>
      </w:r>
      <w:r>
        <w:tab/>
        <w:t>channel 18</w:t>
      </w:r>
    </w:p>
    <w:p w14:paraId="15E24D64" w14:textId="0B6B2195" w:rsidR="002A078B" w:rsidRDefault="002A078B" w:rsidP="00122757">
      <w:r>
        <w:t>161.550 MHz</w:t>
      </w:r>
      <w:r>
        <w:tab/>
      </w:r>
      <w:r w:rsidR="00272354">
        <w:t xml:space="preserve">                                           </w:t>
      </w:r>
      <w:r>
        <w:t>channel 2019</w:t>
      </w:r>
    </w:p>
    <w:p w14:paraId="7D50A19B" w14:textId="77777777" w:rsidR="0022367D" w:rsidRDefault="0022367D" w:rsidP="00B92E45">
      <w:pPr>
        <w:rPr>
          <w:b/>
        </w:rPr>
      </w:pPr>
    </w:p>
    <w:p w14:paraId="4A2AE324" w14:textId="33D13E52" w:rsidR="00052AA9" w:rsidRPr="00272354" w:rsidRDefault="00A65F9F" w:rsidP="00B92E45">
      <w:r w:rsidRPr="003454C6">
        <w:rPr>
          <w:b/>
        </w:rPr>
        <w:lastRenderedPageBreak/>
        <w:t>Schedule 3 – Amendments</w:t>
      </w:r>
    </w:p>
    <w:p w14:paraId="02BAAC07" w14:textId="0AC13BDD" w:rsidR="00A65F9F" w:rsidRPr="003454C6" w:rsidRDefault="00A65F9F" w:rsidP="00B92E45">
      <w:pPr>
        <w:rPr>
          <w:b/>
          <w:i/>
        </w:rPr>
      </w:pPr>
      <w:r w:rsidRPr="003454C6">
        <w:rPr>
          <w:b/>
          <w:i/>
        </w:rPr>
        <w:t xml:space="preserve">Radiocommunications </w:t>
      </w:r>
      <w:r w:rsidR="00BA4ADD">
        <w:rPr>
          <w:b/>
          <w:i/>
        </w:rPr>
        <w:t>L</w:t>
      </w:r>
      <w:r w:rsidR="00EB6631" w:rsidRPr="003454C6">
        <w:rPr>
          <w:b/>
          <w:i/>
        </w:rPr>
        <w:t>icence</w:t>
      </w:r>
      <w:r w:rsidRPr="003454C6">
        <w:rPr>
          <w:b/>
          <w:i/>
        </w:rPr>
        <w:t xml:space="preserve"> Condition</w:t>
      </w:r>
      <w:r w:rsidR="00EB6631" w:rsidRPr="003454C6">
        <w:rPr>
          <w:b/>
          <w:i/>
        </w:rPr>
        <w:t>s (Maritime Ship Licence) Determination 2015</w:t>
      </w:r>
    </w:p>
    <w:p w14:paraId="4D252457" w14:textId="1B623A83" w:rsidR="00EB6631" w:rsidRPr="003454C6" w:rsidRDefault="003454C6" w:rsidP="00B92E45">
      <w:pPr>
        <w:rPr>
          <w:b/>
        </w:rPr>
      </w:pPr>
      <w:r w:rsidRPr="003454C6">
        <w:rPr>
          <w:b/>
        </w:rPr>
        <w:t>Item 1 – Section 1.2 (note)</w:t>
      </w:r>
    </w:p>
    <w:p w14:paraId="1D96B35B" w14:textId="56078299" w:rsidR="001728A6" w:rsidRDefault="001728A6" w:rsidP="001728A6">
      <w:r>
        <w:t xml:space="preserve">The note to </w:t>
      </w:r>
      <w:r w:rsidR="002A29C1">
        <w:t>s</w:t>
      </w:r>
      <w:r>
        <w:t>ection 1.2 has been modified to state that all legislative instruments must be registered on the Federal Register of Legislation a</w:t>
      </w:r>
      <w:r w:rsidR="00E96DE7">
        <w:t>s</w:t>
      </w:r>
      <w:r>
        <w:t xml:space="preserve"> maintained under the </w:t>
      </w:r>
      <w:r>
        <w:rPr>
          <w:i/>
        </w:rPr>
        <w:t>Legislation Act 2003</w:t>
      </w:r>
      <w:r>
        <w:t>.</w:t>
      </w:r>
    </w:p>
    <w:p w14:paraId="226B6319" w14:textId="26DDA500" w:rsidR="003454C6" w:rsidRPr="001B1D07" w:rsidRDefault="001B1D07" w:rsidP="00B92E45">
      <w:pPr>
        <w:rPr>
          <w:b/>
        </w:rPr>
      </w:pPr>
      <w:r w:rsidRPr="001B1D07">
        <w:rPr>
          <w:b/>
        </w:rPr>
        <w:t>Item 2 – Section 2.7</w:t>
      </w:r>
    </w:p>
    <w:p w14:paraId="200FBD0E" w14:textId="04F47A6F" w:rsidR="001B1D07" w:rsidRDefault="006469F0" w:rsidP="00B92E45">
      <w:r>
        <w:t>Section 2.7</w:t>
      </w:r>
      <w:r w:rsidR="00ED6C3C">
        <w:t xml:space="preserve"> has bee</w:t>
      </w:r>
      <w:r w:rsidR="00B72820">
        <w:t>n</w:t>
      </w:r>
      <w:r w:rsidR="00000BD9">
        <w:t xml:space="preserve"> </w:t>
      </w:r>
      <w:r w:rsidR="0077631B">
        <w:t>updated</w:t>
      </w:r>
      <w:r w:rsidR="00000BD9">
        <w:t xml:space="preserve"> to reflect that </w:t>
      </w:r>
      <w:r w:rsidR="000D6070">
        <w:t>maritime ship station</w:t>
      </w:r>
      <w:r w:rsidR="007201D1">
        <w:t>s using the Automatic Identification System</w:t>
      </w:r>
      <w:r w:rsidR="006D5A5E">
        <w:t xml:space="preserve"> must operate on </w:t>
      </w:r>
      <w:r w:rsidR="00DA175E">
        <w:t>a</w:t>
      </w:r>
      <w:r w:rsidR="006D5A5E">
        <w:t xml:space="preserve"> frequenc</w:t>
      </w:r>
      <w:r w:rsidR="000A4B54">
        <w:t>y</w:t>
      </w:r>
      <w:r w:rsidR="00DE10C2">
        <w:t>, power and purpose</w:t>
      </w:r>
      <w:r w:rsidR="006D5A5E">
        <w:t xml:space="preserve"> identified </w:t>
      </w:r>
      <w:r w:rsidR="00B054A1">
        <w:t xml:space="preserve">in </w:t>
      </w:r>
      <w:r w:rsidR="00950C68">
        <w:t>Part 11 of Schedule 2</w:t>
      </w:r>
      <w:r w:rsidR="00DE10C2">
        <w:t>.</w:t>
      </w:r>
      <w:r w:rsidR="00AE0BBE">
        <w:t xml:space="preserve"> </w:t>
      </w:r>
    </w:p>
    <w:p w14:paraId="6EC83304" w14:textId="105C12AA" w:rsidR="00892B2A" w:rsidRPr="00892B2A" w:rsidRDefault="00892B2A" w:rsidP="00B92E45">
      <w:pPr>
        <w:rPr>
          <w:b/>
        </w:rPr>
      </w:pPr>
      <w:r w:rsidRPr="00892B2A">
        <w:rPr>
          <w:b/>
        </w:rPr>
        <w:t>Item 3 – After section 2.7</w:t>
      </w:r>
    </w:p>
    <w:p w14:paraId="59673CB0" w14:textId="3209B211" w:rsidR="00B054A1" w:rsidRDefault="002920BB" w:rsidP="00B92E45">
      <w:r>
        <w:t xml:space="preserve">This item </w:t>
      </w:r>
      <w:r w:rsidR="00770A77">
        <w:t>adds</w:t>
      </w:r>
      <w:r>
        <w:t xml:space="preserve"> two new </w:t>
      </w:r>
      <w:r w:rsidR="00696FDD">
        <w:t>maritime mobile technolog</w:t>
      </w:r>
      <w:r w:rsidR="004F45AE">
        <w:t>ies</w:t>
      </w:r>
      <w:r w:rsidR="00BB34CA">
        <w:t>, VHF</w:t>
      </w:r>
      <w:r w:rsidR="001272FF">
        <w:t xml:space="preserve"> Data Exchange System (VDES) and </w:t>
      </w:r>
      <w:r w:rsidR="00F950B3">
        <w:t>Application Specific Messages (ASM)</w:t>
      </w:r>
      <w:r w:rsidR="009A330B">
        <w:t>. VDES</w:t>
      </w:r>
      <w:r w:rsidR="00FF3DA6">
        <w:t xml:space="preserve"> is a radiocommunications system that operates between ships</w:t>
      </w:r>
      <w:r w:rsidR="00605FBF">
        <w:t xml:space="preserve"> and</w:t>
      </w:r>
      <w:r w:rsidR="00FF3DA6">
        <w:t xml:space="preserve"> shore stations on AIS, ASM and VHF Data Exchange frequencies in the VHF </w:t>
      </w:r>
      <w:r w:rsidR="004E797D">
        <w:t xml:space="preserve">maritime mobile band. </w:t>
      </w:r>
    </w:p>
    <w:p w14:paraId="3744BA02" w14:textId="3901036D" w:rsidR="00892B2A" w:rsidRDefault="00540AA5" w:rsidP="00B92E45">
      <w:r>
        <w:t>New section 2.8</w:t>
      </w:r>
      <w:r w:rsidR="004E797D">
        <w:t xml:space="preserve"> provides t</w:t>
      </w:r>
      <w:r w:rsidR="005D6AED">
        <w:t xml:space="preserve">hat persons must operate a maritime ship station </w:t>
      </w:r>
      <w:r w:rsidR="002741F1">
        <w:t xml:space="preserve">for VDES communications only on </w:t>
      </w:r>
      <w:r w:rsidR="000A4B54">
        <w:t>a f</w:t>
      </w:r>
      <w:r w:rsidR="002741F1">
        <w:t>requenc</w:t>
      </w:r>
      <w:r w:rsidR="000A4B54">
        <w:t>y</w:t>
      </w:r>
      <w:r w:rsidR="004C1F8D">
        <w:t xml:space="preserve"> and</w:t>
      </w:r>
      <w:r w:rsidR="002741F1">
        <w:t xml:space="preserve"> </w:t>
      </w:r>
      <w:r w:rsidR="00E0552B">
        <w:t xml:space="preserve">output </w:t>
      </w:r>
      <w:r w:rsidR="002741F1">
        <w:t xml:space="preserve">power identified </w:t>
      </w:r>
      <w:r w:rsidR="00B054A1">
        <w:t>in Part 12 of Schedule 2.</w:t>
      </w:r>
    </w:p>
    <w:p w14:paraId="04FC3EBE" w14:textId="76ED50D9" w:rsidR="00B054A1" w:rsidRDefault="008979B6" w:rsidP="00B92E45">
      <w:r>
        <w:t>New section 2.9</w:t>
      </w:r>
      <w:r w:rsidR="00B054A1">
        <w:t xml:space="preserve"> provides that person</w:t>
      </w:r>
      <w:r w:rsidR="007177AC">
        <w:t>s</w:t>
      </w:r>
      <w:r w:rsidR="00B054A1">
        <w:t xml:space="preserve"> must operate a maritime ship station for ASM</w:t>
      </w:r>
      <w:r w:rsidR="00DA175E">
        <w:t xml:space="preserve"> purposes only on a frequency</w:t>
      </w:r>
      <w:r w:rsidR="00AF10AF">
        <w:t xml:space="preserve"> and output</w:t>
      </w:r>
      <w:r w:rsidR="00E87B8D">
        <w:t xml:space="preserve"> power identified in Part 13 of Schedule 2</w:t>
      </w:r>
      <w:r w:rsidR="00A90262">
        <w:t>.</w:t>
      </w:r>
    </w:p>
    <w:p w14:paraId="0137CC34" w14:textId="50AC05CC" w:rsidR="00A90262" w:rsidRPr="00A90262" w:rsidRDefault="00A90262" w:rsidP="00B92E45">
      <w:pPr>
        <w:rPr>
          <w:b/>
        </w:rPr>
      </w:pPr>
      <w:r w:rsidRPr="00A90262">
        <w:rPr>
          <w:b/>
        </w:rPr>
        <w:t>Item 4 – After section 3.13</w:t>
      </w:r>
    </w:p>
    <w:p w14:paraId="7B5A64C8" w14:textId="3CFD3A51" w:rsidR="00283EFA" w:rsidRDefault="00283EFA" w:rsidP="00283EFA">
      <w:r>
        <w:t>This item adds two new maritime mobile technologies</w:t>
      </w:r>
      <w:r w:rsidR="00AC1ECA">
        <w:t>,</w:t>
      </w:r>
      <w:r>
        <w:t xml:space="preserve"> VHF Data Exchange System (VDES) and Application Specific Messages (ASM). VDES is a radiocommunications system that operates between ships</w:t>
      </w:r>
      <w:r w:rsidR="00605FBF">
        <w:t xml:space="preserve"> and</w:t>
      </w:r>
      <w:r>
        <w:t xml:space="preserve"> shore stations on AIS, ASM and VHF Data Exchange frequencies in the VHF maritime mobile band. </w:t>
      </w:r>
    </w:p>
    <w:p w14:paraId="55D959E5" w14:textId="59B31A64" w:rsidR="00283EFA" w:rsidRDefault="008979B6" w:rsidP="00283EFA">
      <w:r>
        <w:t>New section 3.14</w:t>
      </w:r>
      <w:r w:rsidR="00283EFA">
        <w:t xml:space="preserve"> provides that persons must operate a maritime ship station for VDES communications only on a frequency</w:t>
      </w:r>
      <w:r w:rsidR="00F24FFF">
        <w:t xml:space="preserve"> and output</w:t>
      </w:r>
      <w:r w:rsidR="00283EFA">
        <w:t xml:space="preserve"> power identified in Part 12 of Schedule 2.</w:t>
      </w:r>
    </w:p>
    <w:p w14:paraId="0E5A8F2B" w14:textId="47085222" w:rsidR="00283EFA" w:rsidRDefault="008979B6" w:rsidP="00283EFA">
      <w:r>
        <w:t>New section 3.15</w:t>
      </w:r>
      <w:r w:rsidR="00283EFA">
        <w:t xml:space="preserve"> provides that person</w:t>
      </w:r>
      <w:r w:rsidR="007177AC">
        <w:t>s</w:t>
      </w:r>
      <w:r w:rsidR="00283EFA">
        <w:t xml:space="preserve"> must operate a maritime ship station for ASM purposes only on a frequency</w:t>
      </w:r>
      <w:r w:rsidR="001C3500">
        <w:t xml:space="preserve"> and output</w:t>
      </w:r>
      <w:r w:rsidR="00283EFA">
        <w:t xml:space="preserve"> power identified in Part 13 of Schedule 2.</w:t>
      </w:r>
    </w:p>
    <w:p w14:paraId="7267560C" w14:textId="32E01E5B" w:rsidR="00A90262" w:rsidRPr="00B5201A" w:rsidRDefault="006F2E24" w:rsidP="00B92E45">
      <w:pPr>
        <w:rPr>
          <w:b/>
        </w:rPr>
      </w:pPr>
      <w:r w:rsidRPr="00B5201A">
        <w:rPr>
          <w:b/>
        </w:rPr>
        <w:t xml:space="preserve">Item </w:t>
      </w:r>
      <w:r w:rsidR="00B5201A" w:rsidRPr="00B5201A">
        <w:rPr>
          <w:b/>
        </w:rPr>
        <w:t>5 – After section 5.12A</w:t>
      </w:r>
    </w:p>
    <w:p w14:paraId="5AA385F2" w14:textId="3246F918" w:rsidR="000327BE" w:rsidRDefault="000327BE" w:rsidP="000327BE">
      <w:r>
        <w:t>This item adds two new maritime mobile technologies, VHF Data Exchange System (VDES) and Application Specific Messages (ASM). VDES is a radiocommunications system that operates between ships</w:t>
      </w:r>
      <w:r w:rsidR="00605FBF">
        <w:t xml:space="preserve"> and</w:t>
      </w:r>
      <w:r>
        <w:t xml:space="preserve"> shore stations on AIS, ASM and VHF Data Exchange frequencies in the VHF maritime mobile band. </w:t>
      </w:r>
    </w:p>
    <w:p w14:paraId="4E56890D" w14:textId="67CEE768" w:rsidR="000327BE" w:rsidRDefault="00DE4E81" w:rsidP="000327BE">
      <w:r>
        <w:t>New section 5.12B</w:t>
      </w:r>
      <w:r w:rsidR="000327BE">
        <w:t xml:space="preserve"> provides that persons must operate a maritime ship station for VDES communications only on a frequency</w:t>
      </w:r>
      <w:r w:rsidR="0038542B">
        <w:t xml:space="preserve"> and output</w:t>
      </w:r>
      <w:r w:rsidR="000327BE">
        <w:t xml:space="preserve"> power identified in Part 12 of Schedule 2.</w:t>
      </w:r>
    </w:p>
    <w:p w14:paraId="68D4A664" w14:textId="07906AE2" w:rsidR="000327BE" w:rsidRDefault="00DE4E81" w:rsidP="000327BE">
      <w:r>
        <w:t>New section 5.12C</w:t>
      </w:r>
      <w:r w:rsidR="000327BE">
        <w:t xml:space="preserve"> provides that person</w:t>
      </w:r>
      <w:r w:rsidR="00B66E71">
        <w:t>s</w:t>
      </w:r>
      <w:r w:rsidR="000327BE">
        <w:t xml:space="preserve"> must operate a maritime ship station for ASM purposes only on a frequency</w:t>
      </w:r>
      <w:r w:rsidR="00717B25">
        <w:t xml:space="preserve"> and output</w:t>
      </w:r>
      <w:r w:rsidR="000327BE">
        <w:t xml:space="preserve"> power identified in Part 13 of Schedule 2.</w:t>
      </w:r>
    </w:p>
    <w:p w14:paraId="6715DD5E" w14:textId="4CDA4A85" w:rsidR="00F63828" w:rsidRDefault="00F63828" w:rsidP="00B92E45">
      <w:pPr>
        <w:rPr>
          <w:b/>
        </w:rPr>
      </w:pPr>
    </w:p>
    <w:p w14:paraId="74C4CF45" w14:textId="67001C54" w:rsidR="0037148D" w:rsidRPr="00D33F78" w:rsidRDefault="00A86BF5" w:rsidP="00B92E45">
      <w:pPr>
        <w:rPr>
          <w:b/>
        </w:rPr>
      </w:pPr>
      <w:r w:rsidRPr="00A86BF5">
        <w:rPr>
          <w:b/>
        </w:rPr>
        <w:lastRenderedPageBreak/>
        <w:t>Item 6 –</w:t>
      </w:r>
      <w:r w:rsidR="00A371C8">
        <w:rPr>
          <w:b/>
        </w:rPr>
        <w:t xml:space="preserve"> </w:t>
      </w:r>
      <w:r w:rsidR="00D33F78" w:rsidRPr="00D33F78">
        <w:rPr>
          <w:b/>
        </w:rPr>
        <w:t>After the heading to Schedule 2 (before note 1)</w:t>
      </w:r>
    </w:p>
    <w:p w14:paraId="5629DD5F" w14:textId="364D54E7" w:rsidR="00D33F78" w:rsidRDefault="00A1232A" w:rsidP="00B92E45">
      <w:r>
        <w:t xml:space="preserve">This </w:t>
      </w:r>
      <w:r w:rsidR="007F5D2F">
        <w:t xml:space="preserve">item </w:t>
      </w:r>
      <w:r w:rsidR="00CD3467">
        <w:t>update</w:t>
      </w:r>
      <w:r w:rsidR="007F5D2F">
        <w:t>s</w:t>
      </w:r>
      <w:r w:rsidR="00CD3467">
        <w:t xml:space="preserve"> </w:t>
      </w:r>
      <w:r w:rsidR="005C1548">
        <w:t xml:space="preserve">and </w:t>
      </w:r>
      <w:r w:rsidR="00CD3467">
        <w:t>revis</w:t>
      </w:r>
      <w:r w:rsidR="005C1548">
        <w:t>es</w:t>
      </w:r>
      <w:r w:rsidR="00CD3467">
        <w:t xml:space="preserve"> the </w:t>
      </w:r>
      <w:r w:rsidR="00A015B1">
        <w:t>section numbering referenced in Schedule 2.</w:t>
      </w:r>
    </w:p>
    <w:p w14:paraId="6AF95234" w14:textId="146C01B2" w:rsidR="00A015B1" w:rsidRPr="00A015B1" w:rsidRDefault="00A015B1" w:rsidP="00B92E45">
      <w:pPr>
        <w:rPr>
          <w:b/>
        </w:rPr>
      </w:pPr>
      <w:r w:rsidRPr="00A015B1">
        <w:rPr>
          <w:b/>
        </w:rPr>
        <w:t xml:space="preserve">Item </w:t>
      </w:r>
      <w:r w:rsidR="00A371C8">
        <w:rPr>
          <w:b/>
        </w:rPr>
        <w:t>7</w:t>
      </w:r>
      <w:r w:rsidRPr="00A015B1">
        <w:rPr>
          <w:b/>
        </w:rPr>
        <w:t xml:space="preserve"> – Schedule 2 (note 2 to Schedule heading)</w:t>
      </w:r>
    </w:p>
    <w:p w14:paraId="3FEC4BA8" w14:textId="7D05CC07" w:rsidR="003E0AFA" w:rsidRDefault="006131C2" w:rsidP="003E0AFA">
      <w:r>
        <w:t>Note 2 has been m</w:t>
      </w:r>
      <w:r w:rsidR="003E0AFA">
        <w:t xml:space="preserve">odified </w:t>
      </w:r>
      <w:r>
        <w:t>t</w:t>
      </w:r>
      <w:r w:rsidR="003E0AFA">
        <w:t xml:space="preserve">o identify that the frequencies in </w:t>
      </w:r>
      <w:r w:rsidR="004E1592">
        <w:t>S</w:t>
      </w:r>
      <w:r w:rsidR="003E0AFA">
        <w:t>chedule</w:t>
      </w:r>
      <w:r w:rsidR="004E1592">
        <w:t xml:space="preserve"> 2</w:t>
      </w:r>
      <w:r w:rsidR="003E0AFA">
        <w:t xml:space="preserve"> are those prescribed in Annex 2 of Appendix 17 of the ITU Radio Regulations that came into force on 1 January 2017.</w:t>
      </w:r>
    </w:p>
    <w:p w14:paraId="37FA4A38" w14:textId="2CE742CC" w:rsidR="00A015B1" w:rsidRPr="00A464E7" w:rsidRDefault="00924424" w:rsidP="00B92E45">
      <w:pPr>
        <w:rPr>
          <w:b/>
        </w:rPr>
      </w:pPr>
      <w:r w:rsidRPr="00A464E7">
        <w:rPr>
          <w:b/>
        </w:rPr>
        <w:t xml:space="preserve">Item </w:t>
      </w:r>
      <w:r w:rsidR="00A371C8">
        <w:rPr>
          <w:b/>
        </w:rPr>
        <w:t xml:space="preserve">8 </w:t>
      </w:r>
      <w:r w:rsidR="00695043" w:rsidRPr="00A464E7">
        <w:rPr>
          <w:b/>
        </w:rPr>
        <w:t xml:space="preserve">– Part 2 of Schedule 2 </w:t>
      </w:r>
      <w:r w:rsidR="006E2701" w:rsidRPr="00A464E7">
        <w:rPr>
          <w:b/>
        </w:rPr>
        <w:t>(table item 214, first col</w:t>
      </w:r>
      <w:r w:rsidR="00A464E7" w:rsidRPr="00A464E7">
        <w:rPr>
          <w:b/>
        </w:rPr>
        <w:t>umn)</w:t>
      </w:r>
    </w:p>
    <w:p w14:paraId="5E89AD57" w14:textId="25605E03" w:rsidR="00A464E7" w:rsidRDefault="00DC5EBE" w:rsidP="00B92E45">
      <w:r>
        <w:t xml:space="preserve">This item has been </w:t>
      </w:r>
      <w:r w:rsidR="00326FB4">
        <w:t>modified</w:t>
      </w:r>
      <w:r w:rsidR="001F2CB7">
        <w:t xml:space="preserve"> </w:t>
      </w:r>
      <w:r>
        <w:t>to</w:t>
      </w:r>
      <w:r w:rsidR="00475243">
        <w:t xml:space="preserve"> </w:t>
      </w:r>
      <w:r w:rsidR="00A95B92">
        <w:t xml:space="preserve">reflect a minor </w:t>
      </w:r>
      <w:r w:rsidR="00FB3D2C">
        <w:t>editorial change</w:t>
      </w:r>
      <w:r w:rsidR="00E21B53">
        <w:t>.</w:t>
      </w:r>
    </w:p>
    <w:p w14:paraId="63F24A1F" w14:textId="47CC24EA" w:rsidR="00E21B53" w:rsidRPr="0068511B" w:rsidRDefault="00E21B53" w:rsidP="00B92E45">
      <w:pPr>
        <w:rPr>
          <w:b/>
        </w:rPr>
      </w:pPr>
      <w:r w:rsidRPr="0068511B">
        <w:rPr>
          <w:b/>
        </w:rPr>
        <w:t xml:space="preserve">Item </w:t>
      </w:r>
      <w:r w:rsidR="00A371C8">
        <w:rPr>
          <w:b/>
        </w:rPr>
        <w:t>9</w:t>
      </w:r>
      <w:r w:rsidRPr="0068511B">
        <w:rPr>
          <w:b/>
        </w:rPr>
        <w:t xml:space="preserve"> – Part 3 of Schedule 2 (table items 342</w:t>
      </w:r>
      <w:r w:rsidR="0068511B" w:rsidRPr="0068511B">
        <w:rPr>
          <w:b/>
        </w:rPr>
        <w:t xml:space="preserve"> to 356)</w:t>
      </w:r>
    </w:p>
    <w:p w14:paraId="6CA5A2B5" w14:textId="3CF6C864" w:rsidR="00687F60" w:rsidRDefault="008811C0" w:rsidP="00B92E45">
      <w:r>
        <w:t xml:space="preserve">Part 3 of Schedule 2 allocates channels </w:t>
      </w:r>
      <w:r w:rsidR="003C4031">
        <w:t xml:space="preserve">for use as Public </w:t>
      </w:r>
      <w:r w:rsidR="00E33AE6">
        <w:t>C</w:t>
      </w:r>
      <w:r w:rsidR="003C4031">
        <w:t xml:space="preserve">orrespondence by </w:t>
      </w:r>
      <w:r w:rsidR="00E33AE6">
        <w:t>R</w:t>
      </w:r>
      <w:r w:rsidR="003C4031">
        <w:t>adio</w:t>
      </w:r>
      <w:r w:rsidR="005E0FD3">
        <w:t xml:space="preserve">telephony. This Part </w:t>
      </w:r>
      <w:r w:rsidR="004566A5">
        <w:t xml:space="preserve">has been updated to </w:t>
      </w:r>
      <w:r w:rsidR="003A6690">
        <w:t>remove</w:t>
      </w:r>
      <w:r w:rsidR="008D4CE0">
        <w:t xml:space="preserve"> the following channels </w:t>
      </w:r>
      <w:r w:rsidR="00A96E2A">
        <w:t xml:space="preserve">to allow them to be allocated </w:t>
      </w:r>
      <w:r w:rsidR="003A6690">
        <w:t xml:space="preserve">for other purposes such a </w:t>
      </w:r>
      <w:r w:rsidR="003B674C">
        <w:t xml:space="preserve">VHF Data Exchange </w:t>
      </w:r>
      <w:r w:rsidR="0017330B">
        <w:t>System</w:t>
      </w:r>
      <w:r w:rsidR="00945ADD">
        <w:t xml:space="preserve"> (VDES)</w:t>
      </w:r>
      <w:r w:rsidR="0029390E">
        <w:t>,</w:t>
      </w:r>
      <w:r w:rsidR="003B674C">
        <w:t xml:space="preserve"> Port Operations and Ship Movement </w:t>
      </w:r>
      <w:r w:rsidR="00A375B0">
        <w:t>c</w:t>
      </w:r>
      <w:r w:rsidR="008D4CE0">
        <w:t>hannel</w:t>
      </w:r>
      <w:r w:rsidR="00A13142">
        <w:t>s</w:t>
      </w:r>
      <w:r w:rsidR="00687F60">
        <w:t>:</w:t>
      </w:r>
    </w:p>
    <w:p w14:paraId="3D8DDDC7" w14:textId="13480B2E" w:rsidR="00156EBB" w:rsidRDefault="008D4CE0" w:rsidP="00156EBB">
      <w:pPr>
        <w:pStyle w:val="ListParagraph"/>
        <w:numPr>
          <w:ilvl w:val="0"/>
          <w:numId w:val="10"/>
        </w:numPr>
      </w:pPr>
      <w:r>
        <w:t>24</w:t>
      </w:r>
      <w:r w:rsidR="00687F60">
        <w:t xml:space="preserve"> (</w:t>
      </w:r>
      <w:r w:rsidR="00970D8B">
        <w:t>157.200</w:t>
      </w:r>
      <w:r w:rsidR="00156EBB">
        <w:t xml:space="preserve"> MHz and 161.800 MHz)</w:t>
      </w:r>
    </w:p>
    <w:p w14:paraId="17E08658" w14:textId="08984CA0" w:rsidR="00687F60" w:rsidRDefault="008D4CE0" w:rsidP="00687F60">
      <w:pPr>
        <w:pStyle w:val="ListParagraph"/>
        <w:numPr>
          <w:ilvl w:val="0"/>
          <w:numId w:val="10"/>
        </w:numPr>
      </w:pPr>
      <w:r>
        <w:t>84</w:t>
      </w:r>
      <w:r w:rsidR="00156EBB">
        <w:t xml:space="preserve"> (</w:t>
      </w:r>
      <w:r w:rsidR="00F1066C">
        <w:t>157.225 MHz and 161.825 MHz</w:t>
      </w:r>
      <w:r w:rsidR="00C626C9">
        <w:t>)</w:t>
      </w:r>
    </w:p>
    <w:p w14:paraId="4EB47505" w14:textId="7C48F07B" w:rsidR="00C626C9" w:rsidRDefault="00935563" w:rsidP="00C626C9">
      <w:pPr>
        <w:pStyle w:val="ListParagraph"/>
        <w:numPr>
          <w:ilvl w:val="0"/>
          <w:numId w:val="10"/>
        </w:numPr>
      </w:pPr>
      <w:r>
        <w:t>25</w:t>
      </w:r>
      <w:r w:rsidR="00F1066C">
        <w:t xml:space="preserve"> </w:t>
      </w:r>
      <w:r w:rsidR="00C626C9">
        <w:t>(</w:t>
      </w:r>
      <w:r w:rsidR="00F1066C">
        <w:t>157.250 MHz and 161.850</w:t>
      </w:r>
      <w:r w:rsidR="00C626C9">
        <w:t xml:space="preserve"> MHz)</w:t>
      </w:r>
    </w:p>
    <w:p w14:paraId="603EF3F3" w14:textId="657D8621" w:rsidR="003C64D1" w:rsidRDefault="00687F60" w:rsidP="003C64D1">
      <w:pPr>
        <w:pStyle w:val="ListParagraph"/>
        <w:numPr>
          <w:ilvl w:val="0"/>
          <w:numId w:val="10"/>
        </w:numPr>
      </w:pPr>
      <w:r>
        <w:t>85</w:t>
      </w:r>
      <w:r w:rsidR="00C626C9">
        <w:t xml:space="preserve"> (157.275</w:t>
      </w:r>
      <w:r w:rsidR="003C64D1">
        <w:t xml:space="preserve"> MHz and 161.875 MHz)</w:t>
      </w:r>
    </w:p>
    <w:p w14:paraId="58D2517E" w14:textId="2FDC88E2" w:rsidR="00687F60" w:rsidRDefault="00687F60" w:rsidP="00687F60">
      <w:pPr>
        <w:pStyle w:val="ListParagraph"/>
        <w:numPr>
          <w:ilvl w:val="0"/>
          <w:numId w:val="10"/>
        </w:numPr>
      </w:pPr>
      <w:r>
        <w:t>26</w:t>
      </w:r>
      <w:r w:rsidR="003C64D1">
        <w:t xml:space="preserve"> (157</w:t>
      </w:r>
      <w:r w:rsidR="00FA7A95">
        <w:t>.300 MHz and 161.900 MHz)</w:t>
      </w:r>
    </w:p>
    <w:p w14:paraId="33FB013A" w14:textId="41CF3803" w:rsidR="0068511B" w:rsidRDefault="00687F60" w:rsidP="00687F60">
      <w:pPr>
        <w:pStyle w:val="ListParagraph"/>
        <w:numPr>
          <w:ilvl w:val="0"/>
          <w:numId w:val="10"/>
        </w:numPr>
      </w:pPr>
      <w:r>
        <w:t>86</w:t>
      </w:r>
      <w:r w:rsidR="00FA7A95">
        <w:t xml:space="preserve"> (</w:t>
      </w:r>
      <w:r w:rsidR="003C09DC">
        <w:t>157.</w:t>
      </w:r>
      <w:r w:rsidR="005039A8">
        <w:t>325 MHz and 161.925 MHz)</w:t>
      </w:r>
    </w:p>
    <w:p w14:paraId="6588FA33" w14:textId="3AFEF519" w:rsidR="00970D8B" w:rsidRDefault="00970D8B" w:rsidP="00687F60">
      <w:pPr>
        <w:pStyle w:val="ListParagraph"/>
        <w:numPr>
          <w:ilvl w:val="0"/>
          <w:numId w:val="10"/>
        </w:numPr>
      </w:pPr>
      <w:r>
        <w:t>27</w:t>
      </w:r>
      <w:r w:rsidR="005039A8">
        <w:t xml:space="preserve"> (157</w:t>
      </w:r>
      <w:r w:rsidR="00D91417">
        <w:t>.350 MHz and 161.950 MHz)</w:t>
      </w:r>
    </w:p>
    <w:p w14:paraId="12B6FB0B" w14:textId="33831E76" w:rsidR="00970D8B" w:rsidRDefault="00970D8B" w:rsidP="00687F60">
      <w:pPr>
        <w:pStyle w:val="ListParagraph"/>
        <w:numPr>
          <w:ilvl w:val="0"/>
          <w:numId w:val="10"/>
        </w:numPr>
      </w:pPr>
      <w:r>
        <w:t>28</w:t>
      </w:r>
      <w:r w:rsidR="00D91417">
        <w:t xml:space="preserve"> (157</w:t>
      </w:r>
      <w:r w:rsidR="00397686">
        <w:t>.400 MHz and 162.000 MHz)</w:t>
      </w:r>
    </w:p>
    <w:p w14:paraId="49A365E4" w14:textId="0B7DED60" w:rsidR="00970D8B" w:rsidRPr="002C4069" w:rsidRDefault="001B042A" w:rsidP="009E0B7D">
      <w:pPr>
        <w:rPr>
          <w:b/>
        </w:rPr>
      </w:pPr>
      <w:r w:rsidRPr="002C4069">
        <w:rPr>
          <w:b/>
        </w:rPr>
        <w:t>Item 1</w:t>
      </w:r>
      <w:r w:rsidR="00A371C8">
        <w:rPr>
          <w:b/>
        </w:rPr>
        <w:t>0</w:t>
      </w:r>
      <w:r w:rsidRPr="002C4069">
        <w:rPr>
          <w:b/>
        </w:rPr>
        <w:t xml:space="preserve"> – Part 5 of Schedule 2 (table items </w:t>
      </w:r>
      <w:r w:rsidR="002C4069" w:rsidRPr="002C4069">
        <w:rPr>
          <w:b/>
        </w:rPr>
        <w:t>510 to 514)</w:t>
      </w:r>
    </w:p>
    <w:p w14:paraId="4319BD50" w14:textId="354B0FFE" w:rsidR="002C4069" w:rsidRDefault="005E0FD3" w:rsidP="009E0B7D">
      <w:r>
        <w:t xml:space="preserve">Part 5 of Schedule 2 allocates channels </w:t>
      </w:r>
      <w:r w:rsidR="00340B63">
        <w:t xml:space="preserve">for use as Commercial </w:t>
      </w:r>
      <w:r w:rsidR="000D253D">
        <w:t>O</w:t>
      </w:r>
      <w:r w:rsidR="00340B63">
        <w:t xml:space="preserve">perations. </w:t>
      </w:r>
      <w:r w:rsidR="00DF0E5B">
        <w:t xml:space="preserve">This Part has been updated to remove </w:t>
      </w:r>
      <w:r w:rsidR="00A375B0">
        <w:t>c</w:t>
      </w:r>
      <w:r w:rsidR="00DF0E5B">
        <w:t>hannel 6</w:t>
      </w:r>
      <w:r w:rsidR="000B436E">
        <w:t xml:space="preserve"> (156.300 MHz) from </w:t>
      </w:r>
      <w:r w:rsidR="004D039A">
        <w:t>Commercial Operations</w:t>
      </w:r>
      <w:r w:rsidR="00007FB8">
        <w:t xml:space="preserve"> to allow the </w:t>
      </w:r>
      <w:r w:rsidR="00A375B0">
        <w:t>c</w:t>
      </w:r>
      <w:r w:rsidR="00007FB8">
        <w:t xml:space="preserve">hannel to operate as a Search and Rescue </w:t>
      </w:r>
      <w:r w:rsidR="00A375B0">
        <w:t>c</w:t>
      </w:r>
      <w:r w:rsidR="00007FB8">
        <w:t>hannel onl</w:t>
      </w:r>
      <w:r w:rsidR="009E429F">
        <w:t>y.</w:t>
      </w:r>
      <w:r w:rsidR="0061577F">
        <w:t xml:space="preserve"> This Part has also been updated to </w:t>
      </w:r>
      <w:r w:rsidR="00163357">
        <w:t xml:space="preserve">include </w:t>
      </w:r>
      <w:r w:rsidR="00E1061B">
        <w:t>two new channels</w:t>
      </w:r>
      <w:r w:rsidR="00163357">
        <w:t xml:space="preserve"> for </w:t>
      </w:r>
      <w:r w:rsidR="00BD426C">
        <w:t>Commercial Operations use</w:t>
      </w:r>
      <w:r w:rsidR="00340B63">
        <w:t xml:space="preserve"> as follows</w:t>
      </w:r>
      <w:r w:rsidR="00E1061B">
        <w:t>:</w:t>
      </w:r>
    </w:p>
    <w:p w14:paraId="76038AED" w14:textId="1B09C99F" w:rsidR="00E1061B" w:rsidRDefault="00E1061B" w:rsidP="00E1061B">
      <w:pPr>
        <w:pStyle w:val="ListParagraph"/>
        <w:numPr>
          <w:ilvl w:val="0"/>
          <w:numId w:val="11"/>
        </w:numPr>
      </w:pPr>
      <w:r>
        <w:t>15 (157.750 MHz)</w:t>
      </w:r>
    </w:p>
    <w:p w14:paraId="31054E28" w14:textId="3EA1D130" w:rsidR="00E1061B" w:rsidRDefault="00E1061B" w:rsidP="00E1061B">
      <w:pPr>
        <w:pStyle w:val="ListParagraph"/>
        <w:numPr>
          <w:ilvl w:val="0"/>
          <w:numId w:val="11"/>
        </w:numPr>
      </w:pPr>
      <w:r>
        <w:t>17 (</w:t>
      </w:r>
      <w:r w:rsidR="00D0711C">
        <w:t>157.850 MHz)</w:t>
      </w:r>
    </w:p>
    <w:p w14:paraId="60E2E192" w14:textId="4C7A456F" w:rsidR="00BD426C" w:rsidRPr="00782089" w:rsidRDefault="00782089" w:rsidP="00BD426C">
      <w:pPr>
        <w:rPr>
          <w:b/>
        </w:rPr>
      </w:pPr>
      <w:r w:rsidRPr="00845568">
        <w:rPr>
          <w:b/>
        </w:rPr>
        <w:t>Item 1</w:t>
      </w:r>
      <w:r w:rsidR="00A371C8">
        <w:rPr>
          <w:b/>
        </w:rPr>
        <w:t>1</w:t>
      </w:r>
      <w:r w:rsidRPr="00845568">
        <w:rPr>
          <w:b/>
        </w:rPr>
        <w:t xml:space="preserve"> – Part 7 of Schedule 2 (table)</w:t>
      </w:r>
    </w:p>
    <w:p w14:paraId="08FEC949" w14:textId="02AF03CD" w:rsidR="00782089" w:rsidRDefault="00340B63" w:rsidP="00BD426C">
      <w:r>
        <w:t xml:space="preserve">Part </w:t>
      </w:r>
      <w:r w:rsidR="00856A4D">
        <w:t>7 of Schedule 2 allocates channels for use a</w:t>
      </w:r>
      <w:r w:rsidR="00F75927">
        <w:t xml:space="preserve">s Port </w:t>
      </w:r>
      <w:r w:rsidR="003F465D">
        <w:t>O</w:t>
      </w:r>
      <w:r w:rsidR="00F75927">
        <w:t xml:space="preserve">perations. </w:t>
      </w:r>
      <w:r w:rsidR="005D26A0">
        <w:t xml:space="preserve">This Part has been updated to remove </w:t>
      </w:r>
      <w:r w:rsidR="00A375B0">
        <w:t>c</w:t>
      </w:r>
      <w:r w:rsidR="005D26A0">
        <w:t>ha</w:t>
      </w:r>
      <w:r w:rsidR="00C71816">
        <w:t>n</w:t>
      </w:r>
      <w:r w:rsidR="005D26A0">
        <w:t xml:space="preserve">nel 6 (156.300 MHz) from </w:t>
      </w:r>
      <w:r w:rsidR="004B0797">
        <w:t>this table</w:t>
      </w:r>
      <w:r w:rsidR="005D26A0">
        <w:t xml:space="preserve"> to allow the </w:t>
      </w:r>
      <w:r w:rsidR="00A375B0">
        <w:t>c</w:t>
      </w:r>
      <w:r w:rsidR="005D26A0">
        <w:t xml:space="preserve">hannel to operate as a Search and Rescue </w:t>
      </w:r>
      <w:r w:rsidR="00A375B0">
        <w:t>c</w:t>
      </w:r>
      <w:r w:rsidR="005D26A0">
        <w:t xml:space="preserve">hannel only. </w:t>
      </w:r>
      <w:r w:rsidR="00782089">
        <w:t xml:space="preserve">This Part has </w:t>
      </w:r>
      <w:r w:rsidR="00845568">
        <w:t xml:space="preserve">also </w:t>
      </w:r>
      <w:r w:rsidR="00782089">
        <w:t xml:space="preserve">been updated to </w:t>
      </w:r>
      <w:r w:rsidR="00AD3C24">
        <w:t xml:space="preserve">include new channels for Port </w:t>
      </w:r>
      <w:r w:rsidR="00DE31B0">
        <w:t>O</w:t>
      </w:r>
      <w:r w:rsidR="00AD3C24">
        <w:t>perations use as follows:</w:t>
      </w:r>
    </w:p>
    <w:p w14:paraId="5DC48E0A" w14:textId="4ED724F4" w:rsidR="00AD3C24" w:rsidRDefault="008C54B8" w:rsidP="00AD3C24">
      <w:pPr>
        <w:pStyle w:val="ListParagraph"/>
        <w:numPr>
          <w:ilvl w:val="0"/>
          <w:numId w:val="12"/>
        </w:numPr>
      </w:pPr>
      <w:r>
        <w:t>64 (156.225 MHz</w:t>
      </w:r>
      <w:r w:rsidR="00AA027E">
        <w:t xml:space="preserve"> and 160.825 MHz</w:t>
      </w:r>
      <w:r>
        <w:t>)</w:t>
      </w:r>
    </w:p>
    <w:p w14:paraId="4C94EE67" w14:textId="539A4D9B" w:rsidR="00AA027E" w:rsidRDefault="00AA027E" w:rsidP="00AD3C24">
      <w:pPr>
        <w:pStyle w:val="ListParagraph"/>
        <w:numPr>
          <w:ilvl w:val="0"/>
          <w:numId w:val="12"/>
        </w:numPr>
      </w:pPr>
      <w:r>
        <w:t>65 (156.275 MHz</w:t>
      </w:r>
      <w:r w:rsidR="00192598">
        <w:t xml:space="preserve"> and 160.875 MHz)</w:t>
      </w:r>
    </w:p>
    <w:p w14:paraId="61A01C48" w14:textId="2A894000" w:rsidR="00F63F87" w:rsidRDefault="00F63F87" w:rsidP="00AD3C24">
      <w:pPr>
        <w:pStyle w:val="ListParagraph"/>
        <w:numPr>
          <w:ilvl w:val="0"/>
          <w:numId w:val="12"/>
        </w:numPr>
      </w:pPr>
      <w:r>
        <w:t>18 (156.900 MHz and 161.500 MHz)</w:t>
      </w:r>
    </w:p>
    <w:p w14:paraId="6E691617" w14:textId="47754E51" w:rsidR="009E65F1" w:rsidRDefault="009E65F1" w:rsidP="00AD3C24">
      <w:pPr>
        <w:pStyle w:val="ListParagraph"/>
        <w:numPr>
          <w:ilvl w:val="0"/>
          <w:numId w:val="12"/>
        </w:numPr>
      </w:pPr>
      <w:r>
        <w:t>1019 (156.950 MHz)</w:t>
      </w:r>
    </w:p>
    <w:p w14:paraId="7A4A42C7" w14:textId="76186123" w:rsidR="009E65F1" w:rsidRDefault="00844058" w:rsidP="00AD3C24">
      <w:pPr>
        <w:pStyle w:val="ListParagraph"/>
        <w:numPr>
          <w:ilvl w:val="0"/>
          <w:numId w:val="12"/>
        </w:numPr>
      </w:pPr>
      <w:r>
        <w:t>1027 (157.350 MHz)</w:t>
      </w:r>
    </w:p>
    <w:p w14:paraId="20536152" w14:textId="6A35226C" w:rsidR="00844058" w:rsidRDefault="00844058" w:rsidP="00AD3C24">
      <w:pPr>
        <w:pStyle w:val="ListParagraph"/>
        <w:numPr>
          <w:ilvl w:val="0"/>
          <w:numId w:val="12"/>
        </w:numPr>
      </w:pPr>
      <w:r>
        <w:t>1028 (157.400 MHz)</w:t>
      </w:r>
    </w:p>
    <w:p w14:paraId="13767822" w14:textId="77777777" w:rsidR="0085795B" w:rsidRDefault="0085795B" w:rsidP="0085795B">
      <w:bookmarkStart w:id="0" w:name="_GoBack"/>
      <w:bookmarkEnd w:id="0"/>
    </w:p>
    <w:p w14:paraId="62B5177F" w14:textId="1FEBE3E6" w:rsidR="00192598" w:rsidRPr="005003DD" w:rsidRDefault="006734F1" w:rsidP="00192598">
      <w:pPr>
        <w:rPr>
          <w:b/>
        </w:rPr>
      </w:pPr>
      <w:r w:rsidRPr="005003DD">
        <w:rPr>
          <w:b/>
        </w:rPr>
        <w:lastRenderedPageBreak/>
        <w:t>Item 1</w:t>
      </w:r>
      <w:r w:rsidR="00A371C8">
        <w:rPr>
          <w:b/>
        </w:rPr>
        <w:t>2</w:t>
      </w:r>
      <w:r w:rsidR="005003DD" w:rsidRPr="005003DD">
        <w:rPr>
          <w:b/>
        </w:rPr>
        <w:t xml:space="preserve"> – Part 8 of Schedule 2 (table item 807, sixth column)</w:t>
      </w:r>
    </w:p>
    <w:p w14:paraId="005443DD" w14:textId="107582C2" w:rsidR="005003DD" w:rsidRDefault="002A7346" w:rsidP="00192598">
      <w:r>
        <w:t>Part 8 of Schedule 2</w:t>
      </w:r>
      <w:r w:rsidR="00FE0A98">
        <w:t xml:space="preserve"> allocates channels for use as Professional </w:t>
      </w:r>
      <w:r w:rsidR="001356AC">
        <w:t>F</w:t>
      </w:r>
      <w:r w:rsidR="00FE0A98">
        <w:t xml:space="preserve">ishing </w:t>
      </w:r>
      <w:r w:rsidR="001356AC">
        <w:t>O</w:t>
      </w:r>
      <w:r w:rsidR="00FE0A98">
        <w:t xml:space="preserve">perations. </w:t>
      </w:r>
      <w:r w:rsidR="006F5D53">
        <w:t xml:space="preserve">This Part has been updated to reflect that </w:t>
      </w:r>
      <w:r w:rsidR="001B7C3F">
        <w:t>c</w:t>
      </w:r>
      <w:r w:rsidR="006F5D53">
        <w:t>hannel 71 is for use as</w:t>
      </w:r>
      <w:r w:rsidR="00B1796A">
        <w:t xml:space="preserve"> Professional </w:t>
      </w:r>
      <w:r w:rsidR="006F6B2E">
        <w:t>F</w:t>
      </w:r>
      <w:r w:rsidR="00B1796A">
        <w:t xml:space="preserve">ishing </w:t>
      </w:r>
      <w:r w:rsidR="006F6B2E">
        <w:t>O</w:t>
      </w:r>
      <w:r w:rsidR="00B1796A">
        <w:t xml:space="preserve">perations on a </w:t>
      </w:r>
      <w:r w:rsidR="006674E2">
        <w:t>‘</w:t>
      </w:r>
      <w:r w:rsidR="00B1796A">
        <w:t>working</w:t>
      </w:r>
      <w:r w:rsidR="006674E2">
        <w:t>’</w:t>
      </w:r>
      <w:r w:rsidR="00B1796A">
        <w:t xml:space="preserve"> only purpose</w:t>
      </w:r>
      <w:r w:rsidR="006674E2">
        <w:t xml:space="preserve">. </w:t>
      </w:r>
      <w:r w:rsidR="001E716D">
        <w:t xml:space="preserve"> Calling has been removed to allow the </w:t>
      </w:r>
      <w:r w:rsidR="00697E2F">
        <w:t xml:space="preserve">ship stations </w:t>
      </w:r>
      <w:r w:rsidR="001E716D">
        <w:t xml:space="preserve">to </w:t>
      </w:r>
      <w:r w:rsidR="00697E2F">
        <w:t>operate purely as a message exchange service with another station.</w:t>
      </w:r>
    </w:p>
    <w:p w14:paraId="447F8CBF" w14:textId="12C2F786" w:rsidR="00C061EF" w:rsidRDefault="003C3816" w:rsidP="00192598">
      <w:pPr>
        <w:rPr>
          <w:b/>
        </w:rPr>
      </w:pPr>
      <w:r>
        <w:rPr>
          <w:b/>
        </w:rPr>
        <w:t>Item 1</w:t>
      </w:r>
      <w:r w:rsidR="00A371C8">
        <w:rPr>
          <w:b/>
        </w:rPr>
        <w:t>3</w:t>
      </w:r>
      <w:r>
        <w:rPr>
          <w:b/>
        </w:rPr>
        <w:t xml:space="preserve"> </w:t>
      </w:r>
      <w:r w:rsidR="000853E4">
        <w:rPr>
          <w:b/>
        </w:rPr>
        <w:t>–</w:t>
      </w:r>
      <w:r>
        <w:rPr>
          <w:b/>
        </w:rPr>
        <w:t xml:space="preserve"> </w:t>
      </w:r>
      <w:r w:rsidR="000853E4">
        <w:rPr>
          <w:b/>
        </w:rPr>
        <w:t>Part 11 of Schedule 2 (table)</w:t>
      </w:r>
    </w:p>
    <w:p w14:paraId="047B7750" w14:textId="13BCE737" w:rsidR="002F13B9" w:rsidRDefault="000853E4" w:rsidP="00192598">
      <w:r w:rsidRPr="000853E4">
        <w:t xml:space="preserve">Part 11 of </w:t>
      </w:r>
      <w:r>
        <w:t xml:space="preserve">Schedule 2 allocates channels for use as </w:t>
      </w:r>
      <w:r w:rsidR="002B5AEB">
        <w:t xml:space="preserve">Automatic Identification System (AIS). This </w:t>
      </w:r>
      <w:r w:rsidR="00905466">
        <w:t>P</w:t>
      </w:r>
      <w:r w:rsidR="002B5AEB">
        <w:t xml:space="preserve">art has been updated to </w:t>
      </w:r>
      <w:r w:rsidR="002F13B9">
        <w:t>include two new channels for AIS</w:t>
      </w:r>
      <w:r w:rsidR="004D4959">
        <w:t xml:space="preserve"> Satellite (ship-satellite) service</w:t>
      </w:r>
      <w:r w:rsidR="002F13B9">
        <w:t xml:space="preserve"> use</w:t>
      </w:r>
      <w:r w:rsidR="00C3027D">
        <w:t xml:space="preserve"> as follows:</w:t>
      </w:r>
    </w:p>
    <w:p w14:paraId="5A128969" w14:textId="142E66AD" w:rsidR="00C3027D" w:rsidRDefault="00AC2FD6" w:rsidP="00C3027D">
      <w:pPr>
        <w:pStyle w:val="ListParagraph"/>
        <w:numPr>
          <w:ilvl w:val="0"/>
          <w:numId w:val="13"/>
        </w:numPr>
      </w:pPr>
      <w:r>
        <w:t xml:space="preserve">75 </w:t>
      </w:r>
      <w:r w:rsidR="001F4AB9">
        <w:t>(</w:t>
      </w:r>
      <w:r>
        <w:t>156.775 MHz</w:t>
      </w:r>
      <w:r w:rsidR="001F4AB9">
        <w:t>)</w:t>
      </w:r>
      <w:r>
        <w:t xml:space="preserve"> </w:t>
      </w:r>
    </w:p>
    <w:p w14:paraId="6CE1E1FB" w14:textId="5DE9CDB7" w:rsidR="000853E4" w:rsidRDefault="001F4AB9" w:rsidP="00C3027D">
      <w:pPr>
        <w:pStyle w:val="ListParagraph"/>
        <w:numPr>
          <w:ilvl w:val="0"/>
          <w:numId w:val="13"/>
        </w:numPr>
      </w:pPr>
      <w:r>
        <w:t>76 (156.825</w:t>
      </w:r>
      <w:r w:rsidR="005A0A4C">
        <w:t xml:space="preserve"> MHz)</w:t>
      </w:r>
    </w:p>
    <w:p w14:paraId="00BE5329" w14:textId="27B38FF9" w:rsidR="00843B14" w:rsidRDefault="0043081B" w:rsidP="00C3027D">
      <w:r>
        <w:t>Part</w:t>
      </w:r>
      <w:r w:rsidR="00867493">
        <w:t xml:space="preserve"> 11</w:t>
      </w:r>
      <w:r w:rsidR="005004B2">
        <w:t xml:space="preserve"> </w:t>
      </w:r>
      <w:r w:rsidR="00867493">
        <w:t xml:space="preserve">also provides that </w:t>
      </w:r>
      <w:r w:rsidR="005004B2">
        <w:t>channels</w:t>
      </w:r>
      <w:r w:rsidR="00061FEB">
        <w:t xml:space="preserve"> 75 and 76 may be </w:t>
      </w:r>
      <w:r w:rsidR="00843B14">
        <w:t>use</w:t>
      </w:r>
      <w:r w:rsidR="00061FEB">
        <w:t>d</w:t>
      </w:r>
      <w:r w:rsidR="00843B14">
        <w:t xml:space="preserve"> for the purpose of navigation</w:t>
      </w:r>
      <w:r w:rsidR="00C17E31">
        <w:t>-</w:t>
      </w:r>
      <w:r w:rsidR="00843B14">
        <w:t>related communications</w:t>
      </w:r>
      <w:r w:rsidR="00504014">
        <w:t xml:space="preserve"> in accordance with Appendix 18 of the ITU Radio Regulations</w:t>
      </w:r>
      <w:r w:rsidR="00843B14">
        <w:t>.</w:t>
      </w:r>
    </w:p>
    <w:p w14:paraId="44F5B773" w14:textId="4B3F42FE" w:rsidR="00843B14" w:rsidRPr="008A45C7" w:rsidRDefault="008A45C7" w:rsidP="00C3027D">
      <w:pPr>
        <w:rPr>
          <w:b/>
        </w:rPr>
      </w:pPr>
      <w:r w:rsidRPr="008A45C7">
        <w:rPr>
          <w:b/>
        </w:rPr>
        <w:t>Item 1</w:t>
      </w:r>
      <w:r w:rsidR="00A371C8">
        <w:rPr>
          <w:b/>
        </w:rPr>
        <w:t>4</w:t>
      </w:r>
      <w:r w:rsidRPr="008A45C7">
        <w:rPr>
          <w:b/>
        </w:rPr>
        <w:t xml:space="preserve"> – After Part 11 of Schedule 2</w:t>
      </w:r>
    </w:p>
    <w:p w14:paraId="1F709FC3" w14:textId="1C3285C2" w:rsidR="008A45C7" w:rsidRDefault="001841AC" w:rsidP="00C3027D">
      <w:r>
        <w:t xml:space="preserve">Schedule 2 has been updated to include </w:t>
      </w:r>
      <w:r w:rsidR="00B14A28">
        <w:t>Part 1</w:t>
      </w:r>
      <w:r w:rsidR="004C39A9">
        <w:t>2 – VHF Data Exchange System (VDES)</w:t>
      </w:r>
      <w:r w:rsidR="00CE332D">
        <w:t xml:space="preserve"> </w:t>
      </w:r>
      <w:r w:rsidR="005834E8">
        <w:t xml:space="preserve">with the following channels identified for use as </w:t>
      </w:r>
      <w:r w:rsidR="001A671A">
        <w:t>VDES</w:t>
      </w:r>
      <w:r w:rsidR="005834E8">
        <w:t>:</w:t>
      </w:r>
    </w:p>
    <w:p w14:paraId="673A80FD" w14:textId="7BFDBBCE" w:rsidR="005834E8" w:rsidRDefault="00A53594" w:rsidP="005834E8">
      <w:pPr>
        <w:pStyle w:val="ListParagraph"/>
        <w:numPr>
          <w:ilvl w:val="0"/>
          <w:numId w:val="14"/>
        </w:numPr>
      </w:pPr>
      <w:r>
        <w:t>24</w:t>
      </w:r>
      <w:r w:rsidR="00A7206F">
        <w:t xml:space="preserve"> (</w:t>
      </w:r>
      <w:r w:rsidR="000A47BD">
        <w:t>157.200 MHz and 161.800 MHz)</w:t>
      </w:r>
    </w:p>
    <w:p w14:paraId="62E9604C" w14:textId="053FA2C5" w:rsidR="00A53594" w:rsidRDefault="00A53594" w:rsidP="005834E8">
      <w:pPr>
        <w:pStyle w:val="ListParagraph"/>
        <w:numPr>
          <w:ilvl w:val="0"/>
          <w:numId w:val="14"/>
        </w:numPr>
      </w:pPr>
      <w:r>
        <w:t>84</w:t>
      </w:r>
      <w:r w:rsidR="000A47BD">
        <w:t xml:space="preserve"> (157.225 MHz and 161.825 MHz)</w:t>
      </w:r>
    </w:p>
    <w:p w14:paraId="44794F91" w14:textId="07F95E67" w:rsidR="007A5326" w:rsidRDefault="00A53594" w:rsidP="007A5326">
      <w:pPr>
        <w:pStyle w:val="ListParagraph"/>
        <w:numPr>
          <w:ilvl w:val="0"/>
          <w:numId w:val="14"/>
        </w:numPr>
      </w:pPr>
      <w:r>
        <w:t>25</w:t>
      </w:r>
      <w:r w:rsidR="007A5326">
        <w:t xml:space="preserve"> (157.250 MHz and 161.850 MHz)</w:t>
      </w:r>
    </w:p>
    <w:p w14:paraId="0F6D2F79" w14:textId="65BAC2FB" w:rsidR="00A53594" w:rsidRDefault="00A53594" w:rsidP="005834E8">
      <w:pPr>
        <w:pStyle w:val="ListParagraph"/>
        <w:numPr>
          <w:ilvl w:val="0"/>
          <w:numId w:val="14"/>
        </w:numPr>
      </w:pPr>
      <w:r>
        <w:t>85</w:t>
      </w:r>
      <w:r w:rsidR="007A5326">
        <w:t xml:space="preserve"> (</w:t>
      </w:r>
      <w:r w:rsidR="002C22F2">
        <w:t>157.275 MHz and 161.875</w:t>
      </w:r>
      <w:r w:rsidR="00A87975">
        <w:t xml:space="preserve"> MHz)</w:t>
      </w:r>
    </w:p>
    <w:p w14:paraId="6B12CC62" w14:textId="42C7A6E2" w:rsidR="00A53594" w:rsidRDefault="002D2F23" w:rsidP="005834E8">
      <w:pPr>
        <w:pStyle w:val="ListParagraph"/>
        <w:numPr>
          <w:ilvl w:val="0"/>
          <w:numId w:val="14"/>
        </w:numPr>
      </w:pPr>
      <w:bookmarkStart w:id="1" w:name="_Hlk8289671"/>
      <w:r>
        <w:t>1026</w:t>
      </w:r>
      <w:r w:rsidR="00A87975">
        <w:t xml:space="preserve"> </w:t>
      </w:r>
      <w:r w:rsidR="005F27EA">
        <w:t>(157.300 MHz)</w:t>
      </w:r>
    </w:p>
    <w:p w14:paraId="20CEA813" w14:textId="77777777" w:rsidR="00AF1C94" w:rsidRDefault="00AF1C94" w:rsidP="00AF1C94">
      <w:pPr>
        <w:pStyle w:val="ListParagraph"/>
        <w:numPr>
          <w:ilvl w:val="0"/>
          <w:numId w:val="14"/>
        </w:numPr>
      </w:pPr>
      <w:r>
        <w:t>1086 (157.325 MHz)</w:t>
      </w:r>
    </w:p>
    <w:p w14:paraId="6C3BB10D" w14:textId="57648379" w:rsidR="002D2F23" w:rsidRDefault="001326C0" w:rsidP="005834E8">
      <w:pPr>
        <w:pStyle w:val="ListParagraph"/>
        <w:numPr>
          <w:ilvl w:val="0"/>
          <w:numId w:val="14"/>
        </w:numPr>
      </w:pPr>
      <w:r>
        <w:t>2026</w:t>
      </w:r>
      <w:r w:rsidR="005F27EA">
        <w:t xml:space="preserve"> (</w:t>
      </w:r>
      <w:r w:rsidR="007168CC">
        <w:t>161.900 MHz)</w:t>
      </w:r>
    </w:p>
    <w:p w14:paraId="397EA97C" w14:textId="334000D2" w:rsidR="009E1C28" w:rsidRDefault="001326C0" w:rsidP="009E1C28">
      <w:pPr>
        <w:pStyle w:val="ListParagraph"/>
        <w:numPr>
          <w:ilvl w:val="0"/>
          <w:numId w:val="14"/>
        </w:numPr>
      </w:pPr>
      <w:r>
        <w:t>2086</w:t>
      </w:r>
      <w:r w:rsidR="007168CC">
        <w:t xml:space="preserve"> (</w:t>
      </w:r>
      <w:r w:rsidR="004A7B9A">
        <w:t>161.925 MHz)</w:t>
      </w:r>
      <w:r w:rsidR="00F65411">
        <w:t xml:space="preserve"> </w:t>
      </w:r>
      <w:bookmarkEnd w:id="1"/>
    </w:p>
    <w:p w14:paraId="07744665" w14:textId="57A2DFA1" w:rsidR="006D447A" w:rsidRDefault="006D447A" w:rsidP="006D447A">
      <w:pPr>
        <w:pStyle w:val="ListParagraph"/>
      </w:pPr>
    </w:p>
    <w:p w14:paraId="1E6A0E7D" w14:textId="7C19E6C2" w:rsidR="006D447A" w:rsidRPr="009275CA" w:rsidRDefault="008F6086" w:rsidP="006D447A">
      <w:pPr>
        <w:pStyle w:val="ListParagraph"/>
        <w:ind w:left="0"/>
      </w:pPr>
      <w:r>
        <w:t xml:space="preserve">Part 12 </w:t>
      </w:r>
      <w:r w:rsidR="0008135A">
        <w:t xml:space="preserve">also </w:t>
      </w:r>
      <w:r>
        <w:t xml:space="preserve">provides that channels 24, 84, 25 and 85 may be merged in order to form a unique duplex channel with a bandwidth of 100 kHz in order to operate </w:t>
      </w:r>
      <w:r w:rsidR="002D2B0F">
        <w:t xml:space="preserve">the </w:t>
      </w:r>
      <w:r>
        <w:t xml:space="preserve">VDES terrestrial component described in the most recent version of </w:t>
      </w:r>
      <w:r>
        <w:rPr>
          <w:i/>
        </w:rPr>
        <w:t>Recommen</w:t>
      </w:r>
      <w:r w:rsidR="009275CA">
        <w:rPr>
          <w:i/>
        </w:rPr>
        <w:t xml:space="preserve">dation ITU-R M.2092 </w:t>
      </w:r>
      <w:r w:rsidR="009275CA">
        <w:t>(WRC-15).</w:t>
      </w:r>
    </w:p>
    <w:p w14:paraId="5939A4E0" w14:textId="44FE150A" w:rsidR="00411DF4" w:rsidRDefault="002D33A9" w:rsidP="002D33A9">
      <w:r>
        <w:t>Schedule 2 has also be</w:t>
      </w:r>
      <w:r w:rsidR="00706037">
        <w:t>en updated to include Part 13</w:t>
      </w:r>
      <w:r w:rsidR="0020606B">
        <w:t xml:space="preserve"> </w:t>
      </w:r>
      <w:r w:rsidR="00411DF4">
        <w:t>–</w:t>
      </w:r>
      <w:r w:rsidR="0020606B">
        <w:t xml:space="preserve"> </w:t>
      </w:r>
      <w:r w:rsidR="00411DF4">
        <w:t>Application Specific Messages (ASM)</w:t>
      </w:r>
      <w:r w:rsidR="006D447A">
        <w:t xml:space="preserve"> with the following channels identified for use as ASM</w:t>
      </w:r>
      <w:r w:rsidR="009275CA">
        <w:t>:</w:t>
      </w:r>
    </w:p>
    <w:p w14:paraId="6279E9B0" w14:textId="1E0E3DE3" w:rsidR="009275CA" w:rsidRDefault="004E24BC" w:rsidP="009275CA">
      <w:pPr>
        <w:pStyle w:val="ListParagraph"/>
        <w:numPr>
          <w:ilvl w:val="0"/>
          <w:numId w:val="15"/>
        </w:numPr>
      </w:pPr>
      <w:r>
        <w:t xml:space="preserve">ASM 1 </w:t>
      </w:r>
      <w:r w:rsidR="007F3AEA">
        <w:t>(161.950</w:t>
      </w:r>
      <w:r w:rsidR="001D16DF">
        <w:t xml:space="preserve"> MHz)</w:t>
      </w:r>
    </w:p>
    <w:p w14:paraId="6949702C" w14:textId="2368EF7B" w:rsidR="001D16DF" w:rsidRDefault="001D16DF" w:rsidP="009275CA">
      <w:pPr>
        <w:pStyle w:val="ListParagraph"/>
        <w:numPr>
          <w:ilvl w:val="0"/>
          <w:numId w:val="15"/>
        </w:numPr>
      </w:pPr>
      <w:r>
        <w:t>ASM 2 (162.000 MHz)</w:t>
      </w:r>
    </w:p>
    <w:p w14:paraId="3E809AEE" w14:textId="112CC429" w:rsidR="00070725" w:rsidRDefault="00070725" w:rsidP="00070725">
      <w:pPr>
        <w:rPr>
          <w:b/>
        </w:rPr>
      </w:pPr>
      <w:r w:rsidRPr="00070725">
        <w:rPr>
          <w:b/>
        </w:rPr>
        <w:t>Item 1</w:t>
      </w:r>
      <w:r w:rsidR="00A371C8">
        <w:rPr>
          <w:b/>
        </w:rPr>
        <w:t>5</w:t>
      </w:r>
      <w:r w:rsidRPr="00070725">
        <w:rPr>
          <w:b/>
        </w:rPr>
        <w:t xml:space="preserve"> – Schedule 4 (note 2 to Schedule heading)</w:t>
      </w:r>
    </w:p>
    <w:p w14:paraId="2F78F9D6" w14:textId="1CF1E3F8" w:rsidR="0008585D" w:rsidRDefault="002B22E9" w:rsidP="00070725">
      <w:r>
        <w:t>Note 2 has been m</w:t>
      </w:r>
      <w:r w:rsidR="001D1E6C">
        <w:t xml:space="preserve">odified to identify that the frequencies in </w:t>
      </w:r>
      <w:r w:rsidR="004E1592">
        <w:t>S</w:t>
      </w:r>
      <w:r w:rsidR="001D1E6C">
        <w:t>chedule</w:t>
      </w:r>
      <w:r w:rsidR="004E1592">
        <w:t xml:space="preserve"> 4</w:t>
      </w:r>
      <w:r w:rsidR="001D1E6C">
        <w:t xml:space="preserve"> are those prescribed in Annex 2 of Appendix 17 of the ITU Radio Regulations that came into force on 1 January 2017.</w:t>
      </w:r>
    </w:p>
    <w:p w14:paraId="3C77E54E" w14:textId="0175EED8" w:rsidR="006D738F" w:rsidRPr="006D738F" w:rsidRDefault="006D738F" w:rsidP="00070725">
      <w:pPr>
        <w:rPr>
          <w:b/>
        </w:rPr>
      </w:pPr>
      <w:r w:rsidRPr="006D738F">
        <w:rPr>
          <w:b/>
        </w:rPr>
        <w:t>Item 1</w:t>
      </w:r>
      <w:r w:rsidR="00A371C8">
        <w:rPr>
          <w:b/>
        </w:rPr>
        <w:t>6</w:t>
      </w:r>
      <w:r w:rsidRPr="006D738F">
        <w:rPr>
          <w:b/>
        </w:rPr>
        <w:t xml:space="preserve"> – Part 2 of Schedule 4 (table item 203)</w:t>
      </w:r>
    </w:p>
    <w:p w14:paraId="31B75456" w14:textId="7B2DC3DF" w:rsidR="006D738F" w:rsidRDefault="00DF12C3" w:rsidP="00070725">
      <w:r>
        <w:t>Part 2 of Schedule 4 allocates channels for use as No</w:t>
      </w:r>
      <w:r w:rsidR="00E5458E">
        <w:t>n</w:t>
      </w:r>
      <w:r>
        <w:t xml:space="preserve">-Commercial </w:t>
      </w:r>
      <w:r w:rsidR="00B2051A">
        <w:t>O</w:t>
      </w:r>
      <w:r>
        <w:t xml:space="preserve">perations. This Part has been updated to remove </w:t>
      </w:r>
      <w:r w:rsidR="001B7C3F">
        <w:t>c</w:t>
      </w:r>
      <w:r>
        <w:t xml:space="preserve">hannel 6 (156.300 MHz) from </w:t>
      </w:r>
      <w:r w:rsidR="00E5458E">
        <w:t>Non-</w:t>
      </w:r>
      <w:r>
        <w:t xml:space="preserve">Commercial </w:t>
      </w:r>
      <w:r w:rsidR="00E60185">
        <w:t>O</w:t>
      </w:r>
      <w:r>
        <w:t xml:space="preserve">perations to allow the </w:t>
      </w:r>
      <w:r w:rsidR="00E60185">
        <w:t>c</w:t>
      </w:r>
      <w:r>
        <w:t xml:space="preserve">hannel to operate as a Search and Rescue </w:t>
      </w:r>
      <w:r w:rsidR="00E60185">
        <w:t>c</w:t>
      </w:r>
      <w:r>
        <w:t>hannel only.</w:t>
      </w:r>
    </w:p>
    <w:p w14:paraId="2262FEBE" w14:textId="4AD38A1A" w:rsidR="00392282" w:rsidRDefault="00392282">
      <w:r>
        <w:br w:type="page"/>
      </w:r>
    </w:p>
    <w:p w14:paraId="01EF4A70" w14:textId="2133299A" w:rsidR="00392282" w:rsidRPr="003454C6" w:rsidRDefault="00392282" w:rsidP="00392282">
      <w:pPr>
        <w:rPr>
          <w:b/>
        </w:rPr>
      </w:pPr>
      <w:r w:rsidRPr="003454C6">
        <w:rPr>
          <w:b/>
        </w:rPr>
        <w:lastRenderedPageBreak/>
        <w:t xml:space="preserve">Schedule </w:t>
      </w:r>
      <w:r>
        <w:rPr>
          <w:b/>
        </w:rPr>
        <w:t>4</w:t>
      </w:r>
      <w:r w:rsidRPr="003454C6">
        <w:rPr>
          <w:b/>
        </w:rPr>
        <w:t xml:space="preserve"> – </w:t>
      </w:r>
      <w:r w:rsidR="00780A75">
        <w:rPr>
          <w:b/>
        </w:rPr>
        <w:t>Variations</w:t>
      </w:r>
    </w:p>
    <w:p w14:paraId="3065E16F" w14:textId="2C32CFB2" w:rsidR="00392282" w:rsidRDefault="00392282" w:rsidP="00070725">
      <w:pPr>
        <w:rPr>
          <w:b/>
          <w:i/>
        </w:rPr>
      </w:pPr>
      <w:r>
        <w:rPr>
          <w:b/>
          <w:i/>
        </w:rPr>
        <w:t>Radiocommunications (Maritime Ship Station – 27 MHz and VHF) Class Licence 2015</w:t>
      </w:r>
    </w:p>
    <w:p w14:paraId="3456B5D6" w14:textId="7D04853F" w:rsidR="006702E1" w:rsidRDefault="006702E1" w:rsidP="00070725">
      <w:pPr>
        <w:rPr>
          <w:b/>
        </w:rPr>
      </w:pPr>
      <w:r w:rsidRPr="00C66134">
        <w:rPr>
          <w:b/>
        </w:rPr>
        <w:t>Item 1 – Section 2 (</w:t>
      </w:r>
      <w:r w:rsidR="0096055C" w:rsidRPr="00C66134">
        <w:rPr>
          <w:b/>
        </w:rPr>
        <w:t>note 1)</w:t>
      </w:r>
    </w:p>
    <w:p w14:paraId="3178A9E3" w14:textId="25C048CF" w:rsidR="0096055C" w:rsidRDefault="0068445B" w:rsidP="00070725">
      <w:r>
        <w:t xml:space="preserve">Note 1 has been </w:t>
      </w:r>
      <w:r w:rsidR="00DF7402">
        <w:t>m</w:t>
      </w:r>
      <w:r w:rsidR="0081178F">
        <w:t xml:space="preserve">odified to </w:t>
      </w:r>
      <w:r w:rsidR="00DF7402">
        <w:t>s</w:t>
      </w:r>
      <w:r w:rsidR="0081178F">
        <w:t>tate that all legislative instruments must be registered on the Federal Register of Legislation a</w:t>
      </w:r>
      <w:r w:rsidR="00E96DE7">
        <w:t>s</w:t>
      </w:r>
      <w:r w:rsidR="0081178F">
        <w:t xml:space="preserve"> maintained under the </w:t>
      </w:r>
      <w:r w:rsidR="0081178F">
        <w:rPr>
          <w:i/>
        </w:rPr>
        <w:t>Legislation Act 2003</w:t>
      </w:r>
      <w:r w:rsidR="0081178F">
        <w:t>.</w:t>
      </w:r>
    </w:p>
    <w:p w14:paraId="3EB362C2" w14:textId="646E5A1A" w:rsidR="00133082" w:rsidRPr="00E06542" w:rsidRDefault="00133082" w:rsidP="00070725">
      <w:pPr>
        <w:rPr>
          <w:b/>
        </w:rPr>
      </w:pPr>
      <w:r w:rsidRPr="00E06542">
        <w:rPr>
          <w:b/>
        </w:rPr>
        <w:t xml:space="preserve">Item </w:t>
      </w:r>
      <w:r w:rsidR="004464AF" w:rsidRPr="00E06542">
        <w:rPr>
          <w:b/>
        </w:rPr>
        <w:t xml:space="preserve">2 – Subsection 4(1), after the definition of </w:t>
      </w:r>
      <w:r w:rsidR="004464AF" w:rsidRPr="00E06542">
        <w:rPr>
          <w:b/>
          <w:i/>
        </w:rPr>
        <w:t>Act</w:t>
      </w:r>
    </w:p>
    <w:p w14:paraId="78838C2E" w14:textId="6C2F59D1" w:rsidR="004464AF" w:rsidRDefault="003F4852" w:rsidP="00070725">
      <w:r>
        <w:t xml:space="preserve">This subsection has been updated to </w:t>
      </w:r>
      <w:r w:rsidR="005211EE">
        <w:t xml:space="preserve">include the </w:t>
      </w:r>
      <w:r w:rsidR="00E06542">
        <w:t xml:space="preserve">definition of </w:t>
      </w:r>
      <w:r w:rsidR="00580CFD">
        <w:t>AMSA (</w:t>
      </w:r>
      <w:r w:rsidR="005211EE">
        <w:t>Australian Maritime Safety Authority</w:t>
      </w:r>
      <w:r w:rsidR="00580CFD">
        <w:t>)</w:t>
      </w:r>
      <w:r w:rsidR="00E06542">
        <w:t>.</w:t>
      </w:r>
    </w:p>
    <w:p w14:paraId="06980F21" w14:textId="6F05AC9B" w:rsidR="00E06542" w:rsidRDefault="00E06542" w:rsidP="00070725">
      <w:pPr>
        <w:rPr>
          <w:b/>
        </w:rPr>
      </w:pPr>
      <w:r>
        <w:rPr>
          <w:b/>
        </w:rPr>
        <w:t xml:space="preserve">Item 3 </w:t>
      </w:r>
      <w:r w:rsidR="00AC35EE">
        <w:rPr>
          <w:b/>
        </w:rPr>
        <w:t>–</w:t>
      </w:r>
      <w:r>
        <w:rPr>
          <w:b/>
        </w:rPr>
        <w:t xml:space="preserve"> </w:t>
      </w:r>
      <w:r w:rsidR="00AC35EE">
        <w:rPr>
          <w:b/>
        </w:rPr>
        <w:t xml:space="preserve">Subsection 4(1) (definition of </w:t>
      </w:r>
      <w:r w:rsidR="00AC35EE">
        <w:rPr>
          <w:b/>
          <w:i/>
        </w:rPr>
        <w:t>VHF maritime frequencies)</w:t>
      </w:r>
    </w:p>
    <w:p w14:paraId="47BBB024" w14:textId="259250C5" w:rsidR="00C91529" w:rsidRPr="008075FB" w:rsidRDefault="0053097C" w:rsidP="00456920">
      <w:pPr>
        <w:rPr>
          <w:rFonts w:cstheme="minorHAnsi"/>
        </w:rPr>
      </w:pPr>
      <w:r w:rsidRPr="008075FB">
        <w:rPr>
          <w:rFonts w:cstheme="minorHAnsi"/>
        </w:rPr>
        <w:t>The definition of VHF maritime frequencies</w:t>
      </w:r>
      <w:r w:rsidR="002C2865" w:rsidRPr="008075FB">
        <w:rPr>
          <w:rFonts w:cstheme="minorHAnsi"/>
        </w:rPr>
        <w:t xml:space="preserve"> has been modified</w:t>
      </w:r>
      <w:r w:rsidR="007A0017">
        <w:rPr>
          <w:rFonts w:cstheme="minorHAnsi"/>
        </w:rPr>
        <w:t xml:space="preserve"> </w:t>
      </w:r>
      <w:r w:rsidR="00904B6C">
        <w:rPr>
          <w:rFonts w:cstheme="minorHAnsi"/>
        </w:rPr>
        <w:t xml:space="preserve">for </w:t>
      </w:r>
      <w:r w:rsidR="00F224DD">
        <w:rPr>
          <w:rFonts w:cstheme="minorHAnsi"/>
        </w:rPr>
        <w:t>accuracy</w:t>
      </w:r>
      <w:r w:rsidR="00456920">
        <w:rPr>
          <w:rFonts w:cstheme="minorHAnsi"/>
        </w:rPr>
        <w:t xml:space="preserve">. </w:t>
      </w:r>
    </w:p>
    <w:p w14:paraId="02E26D22" w14:textId="65FB03B4" w:rsidR="006E27F7" w:rsidRPr="00D018D1" w:rsidRDefault="006E27F7" w:rsidP="00070725">
      <w:pPr>
        <w:rPr>
          <w:b/>
        </w:rPr>
      </w:pPr>
      <w:r w:rsidRPr="00D018D1">
        <w:rPr>
          <w:b/>
        </w:rPr>
        <w:t>Item 4 – Subsection 4(2) (</w:t>
      </w:r>
      <w:r w:rsidR="00D018D1" w:rsidRPr="00D018D1">
        <w:rPr>
          <w:b/>
        </w:rPr>
        <w:t>notes at the end)</w:t>
      </w:r>
    </w:p>
    <w:p w14:paraId="5598543D" w14:textId="2D8D0E39" w:rsidR="007E7CDB" w:rsidRDefault="00F0766D" w:rsidP="00070725">
      <w:pPr>
        <w:rPr>
          <w:i/>
        </w:rPr>
      </w:pPr>
      <w:r>
        <w:t>N</w:t>
      </w:r>
      <w:r w:rsidR="005338E9">
        <w:t>ote 1</w:t>
      </w:r>
      <w:r w:rsidR="00B570A2">
        <w:t xml:space="preserve"> to subsection 4(2)</w:t>
      </w:r>
      <w:r w:rsidR="005338E9">
        <w:t xml:space="preserve"> </w:t>
      </w:r>
      <w:r>
        <w:t xml:space="preserve">has been modified to </w:t>
      </w:r>
      <w:r w:rsidR="00A40A5D">
        <w:t xml:space="preserve">refer to </w:t>
      </w:r>
      <w:r w:rsidR="00BF74A2">
        <w:t xml:space="preserve">the </w:t>
      </w:r>
      <w:r w:rsidR="00BF74A2">
        <w:rPr>
          <w:i/>
        </w:rPr>
        <w:t>Legislation Act 2003</w:t>
      </w:r>
      <w:r w:rsidR="00F73BC2">
        <w:rPr>
          <w:i/>
        </w:rPr>
        <w:t>.</w:t>
      </w:r>
    </w:p>
    <w:p w14:paraId="6F54C784" w14:textId="466E6E01" w:rsidR="00BF74A2" w:rsidRDefault="007E7CDB" w:rsidP="00070725">
      <w:pPr>
        <w:rPr>
          <w:i/>
        </w:rPr>
      </w:pPr>
      <w:r>
        <w:t>Note 2 to subsection 4</w:t>
      </w:r>
      <w:r w:rsidR="006B5D81">
        <w:t>(2)</w:t>
      </w:r>
      <w:r>
        <w:t xml:space="preserve"> has been modified to state that all Commonwealth Acts and legislative instruments are registered on the Federal Register of Legislation and maintained under the </w:t>
      </w:r>
      <w:r>
        <w:rPr>
          <w:i/>
        </w:rPr>
        <w:t>Legislation Act 2003</w:t>
      </w:r>
      <w:r>
        <w:t>.</w:t>
      </w:r>
    </w:p>
    <w:p w14:paraId="5AFDE83C" w14:textId="606CA56D" w:rsidR="00F73BC2" w:rsidRPr="00F73BC2" w:rsidRDefault="00F73BC2" w:rsidP="00070725">
      <w:pPr>
        <w:rPr>
          <w:b/>
        </w:rPr>
      </w:pPr>
      <w:r w:rsidRPr="00F73BC2">
        <w:rPr>
          <w:b/>
        </w:rPr>
        <w:t>Item 5 – Paragraph 8(2)(g)</w:t>
      </w:r>
    </w:p>
    <w:p w14:paraId="43132BFA" w14:textId="722E781A" w:rsidR="00F73BC2" w:rsidRDefault="00C1030C" w:rsidP="00070725">
      <w:r>
        <w:t xml:space="preserve">In addition to the provisions at </w:t>
      </w:r>
      <w:r w:rsidR="005321A2">
        <w:t>p</w:t>
      </w:r>
      <w:r>
        <w:t xml:space="preserve">aragraphs </w:t>
      </w:r>
      <w:r w:rsidR="004E454B">
        <w:t>8(2)(a), (b), (c), (d), (e)</w:t>
      </w:r>
      <w:r w:rsidR="00626AE5">
        <w:t xml:space="preserve"> and </w:t>
      </w:r>
      <w:r w:rsidR="004E454B">
        <w:t>(f)</w:t>
      </w:r>
      <w:r w:rsidR="00804B80">
        <w:t xml:space="preserve"> regarding persons being qualified</w:t>
      </w:r>
      <w:r w:rsidR="00946E0C">
        <w:t xml:space="preserve"> to operate</w:t>
      </w:r>
      <w:r w:rsidR="00AF6736">
        <w:t xml:space="preserve"> stations both within and beyond the Australian territorial sea</w:t>
      </w:r>
      <w:r w:rsidR="00626AE5">
        <w:t xml:space="preserve">, </w:t>
      </w:r>
      <w:r w:rsidR="00934AE9">
        <w:t>sub</w:t>
      </w:r>
      <w:r w:rsidR="005321A2">
        <w:t>p</w:t>
      </w:r>
      <w:r w:rsidR="003928F3">
        <w:t>aragraph</w:t>
      </w:r>
      <w:r w:rsidR="003D788F">
        <w:t xml:space="preserve"> (g)</w:t>
      </w:r>
      <w:r w:rsidR="00934AE9">
        <w:t>(i)</w:t>
      </w:r>
      <w:r w:rsidR="003928F3">
        <w:t xml:space="preserve"> update</w:t>
      </w:r>
      <w:r w:rsidR="00934AE9">
        <w:t>s</w:t>
      </w:r>
      <w:r w:rsidR="00FC10CB">
        <w:t xml:space="preserve"> the list</w:t>
      </w:r>
      <w:r w:rsidR="003928F3">
        <w:t xml:space="preserve"> to </w:t>
      </w:r>
      <w:r w:rsidR="003D2D4B">
        <w:t xml:space="preserve">reflect that a person is qualified to operate </w:t>
      </w:r>
      <w:r w:rsidR="00803396">
        <w:t xml:space="preserve">a ship station </w:t>
      </w:r>
      <w:r w:rsidR="00906D5F">
        <w:t xml:space="preserve">within and beyond the Australian territorial </w:t>
      </w:r>
      <w:r>
        <w:t>sea</w:t>
      </w:r>
      <w:r w:rsidR="00626AE5">
        <w:t xml:space="preserve"> if the person </w:t>
      </w:r>
      <w:r w:rsidR="007A600E">
        <w:t xml:space="preserve">holds a </w:t>
      </w:r>
      <w:r w:rsidR="00204D86">
        <w:t>GMDSS</w:t>
      </w:r>
      <w:r w:rsidR="00ED32FE">
        <w:t xml:space="preserve"> Certificate recognised by the Australian Maritime Safety Authority (AMSA)</w:t>
      </w:r>
      <w:r w:rsidR="00E62D58">
        <w:t>, while subp</w:t>
      </w:r>
      <w:r w:rsidR="004B5CEC">
        <w:t>aragraph (g)</w:t>
      </w:r>
      <w:r w:rsidR="00E62D58">
        <w:t>(ii)</w:t>
      </w:r>
      <w:r w:rsidR="004B5CEC">
        <w:t xml:space="preserve"> </w:t>
      </w:r>
      <w:r w:rsidR="00E62D58">
        <w:t>mo</w:t>
      </w:r>
      <w:r w:rsidR="00AD315A">
        <w:t>difies the qualifications recognised by the ACMA</w:t>
      </w:r>
      <w:r w:rsidR="006172ED">
        <w:t xml:space="preserve"> to</w:t>
      </w:r>
      <w:r w:rsidR="00F335FD">
        <w:t xml:space="preserve"> refer to</w:t>
      </w:r>
      <w:r w:rsidR="006172ED">
        <w:t xml:space="preserve"> the other certificates mentioned</w:t>
      </w:r>
      <w:r w:rsidR="002C094F">
        <w:t xml:space="preserve"> in</w:t>
      </w:r>
      <w:r w:rsidR="00F335FD">
        <w:t xml:space="preserve"> subsection 8(2).</w:t>
      </w:r>
    </w:p>
    <w:p w14:paraId="0C221F58" w14:textId="1C678FE9" w:rsidR="00F07411" w:rsidRPr="00F07411" w:rsidRDefault="00F07411" w:rsidP="00070725">
      <w:pPr>
        <w:rPr>
          <w:b/>
        </w:rPr>
      </w:pPr>
      <w:r w:rsidRPr="00F07411">
        <w:rPr>
          <w:b/>
        </w:rPr>
        <w:t>Item 6 – Subsection 8(3), after note 2</w:t>
      </w:r>
    </w:p>
    <w:p w14:paraId="4C08AA5F" w14:textId="7BC264B1" w:rsidR="00F07411" w:rsidRDefault="00957CD7" w:rsidP="00070725">
      <w:r>
        <w:t xml:space="preserve">Inclusion of </w:t>
      </w:r>
      <w:r w:rsidR="00145D25">
        <w:t xml:space="preserve">new ‘note </w:t>
      </w:r>
      <w:r w:rsidR="00EA409E">
        <w:t>3</w:t>
      </w:r>
      <w:r w:rsidR="00145D25">
        <w:t>’ identifying that the list of re</w:t>
      </w:r>
      <w:r w:rsidR="000D1375">
        <w:t>cognised equivalent qualifications and licences can be found on the ACMA website.</w:t>
      </w:r>
    </w:p>
    <w:p w14:paraId="2A14543F" w14:textId="7FD912C0" w:rsidR="000D1375" w:rsidRPr="00215AF4" w:rsidRDefault="00AF572F" w:rsidP="00070725">
      <w:pPr>
        <w:rPr>
          <w:b/>
        </w:rPr>
      </w:pPr>
      <w:r w:rsidRPr="00215AF4">
        <w:rPr>
          <w:b/>
        </w:rPr>
        <w:t>Item 7 – Subsection 9(2)</w:t>
      </w:r>
    </w:p>
    <w:p w14:paraId="45B1422A" w14:textId="6B9DE631" w:rsidR="00215AF4" w:rsidRDefault="007859B4" w:rsidP="00070725">
      <w:r>
        <w:t xml:space="preserve">This subsection has been </w:t>
      </w:r>
      <w:r w:rsidR="00F47740">
        <w:t>modified</w:t>
      </w:r>
      <w:r>
        <w:t xml:space="preserve"> to reflect a minor </w:t>
      </w:r>
      <w:r w:rsidR="00B820B5">
        <w:t xml:space="preserve">editorial change. </w:t>
      </w:r>
    </w:p>
    <w:p w14:paraId="45ECF9CA" w14:textId="059B6674" w:rsidR="00B820B5" w:rsidRPr="00B820B5" w:rsidRDefault="00B820B5" w:rsidP="00070725">
      <w:pPr>
        <w:rPr>
          <w:b/>
        </w:rPr>
      </w:pPr>
      <w:r w:rsidRPr="00B820B5">
        <w:rPr>
          <w:b/>
        </w:rPr>
        <w:t>Item 8 – Section 19</w:t>
      </w:r>
    </w:p>
    <w:p w14:paraId="4125DF4A" w14:textId="10776138" w:rsidR="00CA548E" w:rsidRDefault="00244B2F" w:rsidP="00466022">
      <w:r>
        <w:t>This section</w:t>
      </w:r>
      <w:r w:rsidR="00AB73F3">
        <w:t xml:space="preserve"> has been updated to identify</w:t>
      </w:r>
      <w:r w:rsidR="00650726">
        <w:t xml:space="preserve"> that a person must operate a maritime ship station for AIS purposes</w:t>
      </w:r>
      <w:r w:rsidR="00553F13">
        <w:t xml:space="preserve"> </w:t>
      </w:r>
      <w:r w:rsidR="00314E3B">
        <w:t xml:space="preserve">only </w:t>
      </w:r>
      <w:r w:rsidR="00553F13">
        <w:t xml:space="preserve">on </w:t>
      </w:r>
      <w:r w:rsidR="00EF415E">
        <w:t>a</w:t>
      </w:r>
      <w:r w:rsidR="00553F13">
        <w:t xml:space="preserve"> frequenc</w:t>
      </w:r>
      <w:r w:rsidR="00EF415E">
        <w:t>y</w:t>
      </w:r>
      <w:r w:rsidR="003366D3">
        <w:t xml:space="preserve"> and</w:t>
      </w:r>
      <w:r w:rsidR="00553F13">
        <w:t xml:space="preserve"> </w:t>
      </w:r>
      <w:r w:rsidR="00A95A27">
        <w:t xml:space="preserve">output </w:t>
      </w:r>
      <w:r w:rsidR="00553F13">
        <w:t xml:space="preserve">power and </w:t>
      </w:r>
      <w:r w:rsidR="003366D3">
        <w:t xml:space="preserve">for </w:t>
      </w:r>
      <w:r w:rsidR="00C70616">
        <w:t>a</w:t>
      </w:r>
      <w:r w:rsidR="00E04545">
        <w:t xml:space="preserve"> </w:t>
      </w:r>
      <w:r w:rsidR="00553F13">
        <w:t xml:space="preserve">purpose </w:t>
      </w:r>
      <w:r w:rsidR="00BF7370">
        <w:t>identified</w:t>
      </w:r>
      <w:r w:rsidR="00650726">
        <w:t xml:space="preserve"> in </w:t>
      </w:r>
      <w:r w:rsidR="00466022">
        <w:t>Part 2.10 of Schedule 2.</w:t>
      </w:r>
    </w:p>
    <w:p w14:paraId="36A75AF2" w14:textId="2C5B93F7" w:rsidR="00CA548E" w:rsidRPr="0022430B" w:rsidRDefault="0022430B" w:rsidP="00091CDA">
      <w:pPr>
        <w:rPr>
          <w:b/>
        </w:rPr>
      </w:pPr>
      <w:r w:rsidRPr="0022430B">
        <w:rPr>
          <w:b/>
        </w:rPr>
        <w:t xml:space="preserve">Item 9 – </w:t>
      </w:r>
      <w:r w:rsidR="00705DBD">
        <w:rPr>
          <w:b/>
        </w:rPr>
        <w:t xml:space="preserve">After </w:t>
      </w:r>
      <w:r w:rsidRPr="0022430B">
        <w:rPr>
          <w:b/>
        </w:rPr>
        <w:t>section 19</w:t>
      </w:r>
    </w:p>
    <w:p w14:paraId="0C9C1E5C" w14:textId="2E96CA8D" w:rsidR="006B4302" w:rsidRDefault="006B4302" w:rsidP="006B4302">
      <w:r>
        <w:t>This item adds two new maritime mobile technologies, VHF Data Exchange System (VDES) and Application Specific Messages (ASM). VDES is a radiocommunications system that operates between ships</w:t>
      </w:r>
      <w:r w:rsidR="00586A3C">
        <w:t xml:space="preserve"> and</w:t>
      </w:r>
      <w:r>
        <w:t xml:space="preserve"> shore stations on AIS, ASM and VHF Data Exchange frequencies in the VHF maritime </w:t>
      </w:r>
      <w:r w:rsidR="00E24D4C">
        <w:t>frequencies</w:t>
      </w:r>
      <w:r>
        <w:t xml:space="preserve">. </w:t>
      </w:r>
    </w:p>
    <w:p w14:paraId="5C455E7A" w14:textId="69E54BFA" w:rsidR="006B4302" w:rsidRDefault="00DE662F" w:rsidP="006B4302">
      <w:r>
        <w:lastRenderedPageBreak/>
        <w:t>New section 20</w:t>
      </w:r>
      <w:r w:rsidR="006B4302">
        <w:t xml:space="preserve"> provides that persons must operate a maritime ship station for VDES communications only on a frequency</w:t>
      </w:r>
      <w:r w:rsidR="0089354D">
        <w:t xml:space="preserve"> and output </w:t>
      </w:r>
      <w:r w:rsidR="006B4302">
        <w:t>power identified in Part 2.11 of Schedule 2.</w:t>
      </w:r>
    </w:p>
    <w:p w14:paraId="6C464ADB" w14:textId="5A925B7A" w:rsidR="006B4302" w:rsidRDefault="00A824B7" w:rsidP="006B4302">
      <w:r>
        <w:t>New section 21</w:t>
      </w:r>
      <w:r w:rsidR="00C919F2">
        <w:t xml:space="preserve"> </w:t>
      </w:r>
      <w:r w:rsidR="006B4302">
        <w:t>provides that person</w:t>
      </w:r>
      <w:r w:rsidR="00337BD2">
        <w:t>s</w:t>
      </w:r>
      <w:r w:rsidR="006B4302">
        <w:t xml:space="preserve"> must operate a maritime ship station for ASM purposes only on a frequency</w:t>
      </w:r>
      <w:r w:rsidR="00337BD2">
        <w:t xml:space="preserve"> and output</w:t>
      </w:r>
      <w:r w:rsidR="006B4302">
        <w:t xml:space="preserve"> power identified in Part </w:t>
      </w:r>
      <w:r w:rsidR="00DE0F85">
        <w:t>2.12</w:t>
      </w:r>
      <w:r w:rsidR="006B4302">
        <w:t xml:space="preserve"> of Schedule 2.</w:t>
      </w:r>
    </w:p>
    <w:p w14:paraId="35B61B14" w14:textId="3212E54E" w:rsidR="00B820B5" w:rsidRPr="00EE12C6" w:rsidRDefault="00DE0F85" w:rsidP="00070725">
      <w:pPr>
        <w:rPr>
          <w:b/>
        </w:rPr>
      </w:pPr>
      <w:r w:rsidRPr="00C56904">
        <w:rPr>
          <w:b/>
        </w:rPr>
        <w:t xml:space="preserve">Item 10 – </w:t>
      </w:r>
      <w:r w:rsidR="00EE12C6" w:rsidRPr="00EE12C6">
        <w:rPr>
          <w:b/>
        </w:rPr>
        <w:t>Part 2.1 of Schedule 2 (note)</w:t>
      </w:r>
    </w:p>
    <w:p w14:paraId="2F3590EB" w14:textId="0A5284AE" w:rsidR="008D7BD0" w:rsidRDefault="00B00AA0" w:rsidP="008D7BD0">
      <w:r>
        <w:t xml:space="preserve">The note has been modified to </w:t>
      </w:r>
      <w:r w:rsidR="008D7BD0">
        <w:t xml:space="preserve">identify that the frequencies in </w:t>
      </w:r>
      <w:r w:rsidR="006F737E">
        <w:t>P</w:t>
      </w:r>
      <w:r w:rsidR="001A48DA">
        <w:t xml:space="preserve">art </w:t>
      </w:r>
      <w:r w:rsidR="006F737E">
        <w:t xml:space="preserve">2.1 </w:t>
      </w:r>
      <w:r w:rsidR="001A48DA">
        <w:t xml:space="preserve">of </w:t>
      </w:r>
      <w:r w:rsidR="006E20D5">
        <w:t>S</w:t>
      </w:r>
      <w:r w:rsidR="008D7BD0">
        <w:t>chedule</w:t>
      </w:r>
      <w:r w:rsidR="006E20D5">
        <w:t xml:space="preserve"> 2</w:t>
      </w:r>
      <w:r w:rsidR="008D7BD0">
        <w:t xml:space="preserve"> are those prescribed in Annex 2 of Appendix 17 of the ITU Radio Regulations that came into force on 1 January 2017.</w:t>
      </w:r>
    </w:p>
    <w:p w14:paraId="35709318" w14:textId="34D0F0FF" w:rsidR="00EE12C6" w:rsidRPr="0053732F" w:rsidRDefault="008D7BD0" w:rsidP="00070725">
      <w:pPr>
        <w:rPr>
          <w:b/>
        </w:rPr>
      </w:pPr>
      <w:r w:rsidRPr="0053732F">
        <w:rPr>
          <w:b/>
        </w:rPr>
        <w:t xml:space="preserve">Item </w:t>
      </w:r>
      <w:r w:rsidR="005D3B6A" w:rsidRPr="0053732F">
        <w:rPr>
          <w:b/>
        </w:rPr>
        <w:t>1</w:t>
      </w:r>
      <w:r w:rsidR="00404043">
        <w:rPr>
          <w:b/>
        </w:rPr>
        <w:t>1</w:t>
      </w:r>
      <w:r w:rsidR="005D3B6A" w:rsidRPr="0053732F">
        <w:rPr>
          <w:b/>
        </w:rPr>
        <w:t xml:space="preserve"> – Part 2.3 of Schedule 2 (table)</w:t>
      </w:r>
    </w:p>
    <w:p w14:paraId="5AB50D98" w14:textId="1415CB83" w:rsidR="001301B5" w:rsidRDefault="001301B5" w:rsidP="001301B5">
      <w:r>
        <w:t xml:space="preserve">Part 2.3 of Schedule 2 allocates channels for use as Public </w:t>
      </w:r>
      <w:r w:rsidR="005144EF">
        <w:t>C</w:t>
      </w:r>
      <w:r>
        <w:t xml:space="preserve">orrespondence by </w:t>
      </w:r>
      <w:r w:rsidR="005144EF">
        <w:t>R</w:t>
      </w:r>
      <w:r>
        <w:t xml:space="preserve">adiotelephony. This Part has been updated to remove the following channels to allow them to be allocated for other purposes such a VHF Data Exchange </w:t>
      </w:r>
      <w:r w:rsidR="000F7705">
        <w:t>System</w:t>
      </w:r>
      <w:r w:rsidR="00396A85">
        <w:t xml:space="preserve"> (VDES)</w:t>
      </w:r>
      <w:r w:rsidR="00AA1365">
        <w:t>,</w:t>
      </w:r>
      <w:r>
        <w:t xml:space="preserve"> Port Operations and Ship Movement </w:t>
      </w:r>
      <w:r w:rsidR="000059F7">
        <w:t>c</w:t>
      </w:r>
      <w:r>
        <w:t>hannels:</w:t>
      </w:r>
    </w:p>
    <w:p w14:paraId="6ED76778" w14:textId="77777777" w:rsidR="001301B5" w:rsidRDefault="001301B5" w:rsidP="001301B5">
      <w:pPr>
        <w:pStyle w:val="ListParagraph"/>
        <w:numPr>
          <w:ilvl w:val="0"/>
          <w:numId w:val="10"/>
        </w:numPr>
      </w:pPr>
      <w:r>
        <w:t>24 (157.200 MHz and 161.800 MHz)</w:t>
      </w:r>
    </w:p>
    <w:p w14:paraId="58A94BF8" w14:textId="77777777" w:rsidR="001301B5" w:rsidRDefault="001301B5" w:rsidP="001301B5">
      <w:pPr>
        <w:pStyle w:val="ListParagraph"/>
        <w:numPr>
          <w:ilvl w:val="0"/>
          <w:numId w:val="10"/>
        </w:numPr>
      </w:pPr>
      <w:r>
        <w:t>84 (157.225 MHz and 161.825 MHz)</w:t>
      </w:r>
    </w:p>
    <w:p w14:paraId="71D46027" w14:textId="77777777" w:rsidR="001301B5" w:rsidRDefault="001301B5" w:rsidP="001301B5">
      <w:pPr>
        <w:pStyle w:val="ListParagraph"/>
        <w:numPr>
          <w:ilvl w:val="0"/>
          <w:numId w:val="10"/>
        </w:numPr>
      </w:pPr>
      <w:r>
        <w:t>25 (157.250 MHz and 161.850 MHz)</w:t>
      </w:r>
    </w:p>
    <w:p w14:paraId="7B79AA0E" w14:textId="7C34E813" w:rsidR="001301B5" w:rsidRDefault="001301B5" w:rsidP="001301B5">
      <w:pPr>
        <w:pStyle w:val="ListParagraph"/>
        <w:numPr>
          <w:ilvl w:val="0"/>
          <w:numId w:val="10"/>
        </w:numPr>
      </w:pPr>
      <w:r>
        <w:t>85 (157.275 MHz and 161.875 MHz)</w:t>
      </w:r>
    </w:p>
    <w:p w14:paraId="14B81E56" w14:textId="410095EF" w:rsidR="00C93E08" w:rsidRDefault="007803C4" w:rsidP="001301B5">
      <w:pPr>
        <w:pStyle w:val="ListParagraph"/>
        <w:numPr>
          <w:ilvl w:val="0"/>
          <w:numId w:val="10"/>
        </w:numPr>
      </w:pPr>
      <w:r>
        <w:t>26 (157.300 MHz and 161.900 MHz)</w:t>
      </w:r>
    </w:p>
    <w:p w14:paraId="48DC716C" w14:textId="1D1253B6" w:rsidR="001301B5" w:rsidRDefault="001301B5" w:rsidP="001301B5">
      <w:pPr>
        <w:pStyle w:val="ListParagraph"/>
        <w:numPr>
          <w:ilvl w:val="0"/>
          <w:numId w:val="10"/>
        </w:numPr>
      </w:pPr>
      <w:r>
        <w:t>86 (157.325 MHz and 161.925 MHz)</w:t>
      </w:r>
    </w:p>
    <w:p w14:paraId="63223CFD" w14:textId="48381CFB" w:rsidR="008F2951" w:rsidRDefault="008F2951" w:rsidP="001301B5">
      <w:pPr>
        <w:pStyle w:val="ListParagraph"/>
        <w:numPr>
          <w:ilvl w:val="0"/>
          <w:numId w:val="10"/>
        </w:numPr>
      </w:pPr>
      <w:r>
        <w:t>27 (</w:t>
      </w:r>
      <w:r w:rsidR="00C6739F">
        <w:t>157.350 MHz and 161.950 MHz</w:t>
      </w:r>
      <w:r>
        <w:t>)</w:t>
      </w:r>
    </w:p>
    <w:p w14:paraId="0787C7AC" w14:textId="77777777" w:rsidR="001301B5" w:rsidRDefault="001301B5" w:rsidP="001301B5">
      <w:pPr>
        <w:pStyle w:val="ListParagraph"/>
        <w:numPr>
          <w:ilvl w:val="0"/>
          <w:numId w:val="10"/>
        </w:numPr>
      </w:pPr>
      <w:r>
        <w:t>28 (157.400 MHz and 162.000 MHz)</w:t>
      </w:r>
    </w:p>
    <w:p w14:paraId="1124DD7A" w14:textId="59D27F4B" w:rsidR="0053732F" w:rsidRPr="00E76EEB" w:rsidRDefault="004B5271" w:rsidP="00070725">
      <w:pPr>
        <w:rPr>
          <w:b/>
        </w:rPr>
      </w:pPr>
      <w:r w:rsidRPr="00E76EEB">
        <w:rPr>
          <w:b/>
        </w:rPr>
        <w:t>Item 1</w:t>
      </w:r>
      <w:r w:rsidR="00404043">
        <w:rPr>
          <w:b/>
        </w:rPr>
        <w:t>2</w:t>
      </w:r>
      <w:r w:rsidRPr="00E76EEB">
        <w:rPr>
          <w:b/>
        </w:rPr>
        <w:t xml:space="preserve"> – Part 2.4</w:t>
      </w:r>
      <w:r w:rsidR="00E76EEB" w:rsidRPr="00E76EEB">
        <w:rPr>
          <w:b/>
        </w:rPr>
        <w:t xml:space="preserve"> of Schedule 2 (table)</w:t>
      </w:r>
    </w:p>
    <w:p w14:paraId="22E8BC93" w14:textId="701A6D88" w:rsidR="00EF73B0" w:rsidRDefault="00EF73B0" w:rsidP="00EF73B0">
      <w:r>
        <w:t xml:space="preserve">Part 2.4 of Schedule 2 allocates channels for use as Commercial </w:t>
      </w:r>
      <w:r w:rsidR="00C971D8">
        <w:t>O</w:t>
      </w:r>
      <w:r>
        <w:t xml:space="preserve">perations. This Part has been updated to remove </w:t>
      </w:r>
      <w:r w:rsidR="00C971D8">
        <w:t>c</w:t>
      </w:r>
      <w:r>
        <w:t xml:space="preserve">hannel 6 (156.300 MHz) from Commercial Operations to allow the </w:t>
      </w:r>
      <w:r w:rsidR="00AE2DB4">
        <w:t>c</w:t>
      </w:r>
      <w:r>
        <w:t xml:space="preserve">hannel to operate as a Search and Rescue </w:t>
      </w:r>
      <w:r w:rsidR="00AE2DB4">
        <w:t>c</w:t>
      </w:r>
      <w:r>
        <w:t>hannel only. This Part has also been updated to include two new channels for Commercial Operations use as follows:</w:t>
      </w:r>
    </w:p>
    <w:p w14:paraId="55970FF2" w14:textId="77777777" w:rsidR="00EF73B0" w:rsidRDefault="00EF73B0" w:rsidP="00EF73B0">
      <w:pPr>
        <w:pStyle w:val="ListParagraph"/>
        <w:numPr>
          <w:ilvl w:val="0"/>
          <w:numId w:val="11"/>
        </w:numPr>
      </w:pPr>
      <w:r>
        <w:t>15 (157.750 MHz)</w:t>
      </w:r>
    </w:p>
    <w:p w14:paraId="1F4B87C4" w14:textId="77777777" w:rsidR="00EF73B0" w:rsidRDefault="00EF73B0" w:rsidP="00EF73B0">
      <w:pPr>
        <w:pStyle w:val="ListParagraph"/>
        <w:numPr>
          <w:ilvl w:val="0"/>
          <w:numId w:val="11"/>
        </w:numPr>
      </w:pPr>
      <w:r>
        <w:t>17 (157.850 MHz)</w:t>
      </w:r>
    </w:p>
    <w:p w14:paraId="23A0093C" w14:textId="3784F5AC" w:rsidR="00E76EEB" w:rsidRPr="000F2D64" w:rsidRDefault="000F2D64" w:rsidP="00070725">
      <w:pPr>
        <w:rPr>
          <w:b/>
        </w:rPr>
      </w:pPr>
      <w:r w:rsidRPr="00C5524C">
        <w:rPr>
          <w:b/>
        </w:rPr>
        <w:t>Item 1</w:t>
      </w:r>
      <w:r w:rsidR="00404043">
        <w:rPr>
          <w:b/>
        </w:rPr>
        <w:t>3</w:t>
      </w:r>
      <w:r w:rsidRPr="00C5524C">
        <w:rPr>
          <w:b/>
        </w:rPr>
        <w:t xml:space="preserve"> – Part 2.6 of Schedule 2 (table)</w:t>
      </w:r>
    </w:p>
    <w:p w14:paraId="015052C6" w14:textId="63B477FD" w:rsidR="00C5524C" w:rsidRDefault="00C5524C" w:rsidP="00C5524C">
      <w:r>
        <w:t xml:space="preserve">Part 2.6 of Schedule 2 allocates channels for use as Port </w:t>
      </w:r>
      <w:r w:rsidR="004B4C97">
        <w:t>O</w:t>
      </w:r>
      <w:r>
        <w:t xml:space="preserve">perations. This Part has been updated to remove </w:t>
      </w:r>
      <w:r w:rsidR="004B4C97">
        <w:t>c</w:t>
      </w:r>
      <w:r>
        <w:t xml:space="preserve">hannel 6 (156.300 MHz) from this table to allow the </w:t>
      </w:r>
      <w:r w:rsidR="00543E40">
        <w:t>c</w:t>
      </w:r>
      <w:r>
        <w:t xml:space="preserve">hannel to operate as a Search and Rescue </w:t>
      </w:r>
      <w:r w:rsidR="00543E40">
        <w:t>c</w:t>
      </w:r>
      <w:r>
        <w:t xml:space="preserve">hannel only. This Part has also been updated to include new channels for Port </w:t>
      </w:r>
      <w:r w:rsidR="00543E40">
        <w:t>O</w:t>
      </w:r>
      <w:r>
        <w:t>perations use</w:t>
      </w:r>
      <w:r w:rsidR="0002605E">
        <w:t>, with some channels for transmit and receive,</w:t>
      </w:r>
      <w:r>
        <w:t xml:space="preserve"> as follows:</w:t>
      </w:r>
    </w:p>
    <w:p w14:paraId="018436D2" w14:textId="77777777" w:rsidR="00C5524C" w:rsidRDefault="00C5524C" w:rsidP="00C5524C">
      <w:pPr>
        <w:pStyle w:val="ListParagraph"/>
        <w:numPr>
          <w:ilvl w:val="0"/>
          <w:numId w:val="12"/>
        </w:numPr>
      </w:pPr>
      <w:r>
        <w:t>64 (156.225 MHz and 160.825 MHz)</w:t>
      </w:r>
    </w:p>
    <w:p w14:paraId="4837D54E" w14:textId="77777777" w:rsidR="00C5524C" w:rsidRDefault="00C5524C" w:rsidP="00C5524C">
      <w:pPr>
        <w:pStyle w:val="ListParagraph"/>
        <w:numPr>
          <w:ilvl w:val="0"/>
          <w:numId w:val="12"/>
        </w:numPr>
      </w:pPr>
      <w:r>
        <w:t>65 (156.275 MHz and 160.875 MHz)</w:t>
      </w:r>
    </w:p>
    <w:p w14:paraId="20FEED76" w14:textId="77777777" w:rsidR="00C5524C" w:rsidRPr="00FB2C69" w:rsidRDefault="00C5524C" w:rsidP="00C5524C">
      <w:pPr>
        <w:pStyle w:val="ListParagraph"/>
        <w:numPr>
          <w:ilvl w:val="0"/>
          <w:numId w:val="12"/>
        </w:numPr>
      </w:pPr>
      <w:r w:rsidRPr="00FB2C69">
        <w:t>18 (156.900 MHz and 161.500 MHz)</w:t>
      </w:r>
    </w:p>
    <w:p w14:paraId="6EE8841B" w14:textId="77777777" w:rsidR="00C5524C" w:rsidRPr="00FB2C69" w:rsidRDefault="00C5524C" w:rsidP="00C5524C">
      <w:pPr>
        <w:pStyle w:val="ListParagraph"/>
        <w:numPr>
          <w:ilvl w:val="0"/>
          <w:numId w:val="12"/>
        </w:numPr>
      </w:pPr>
      <w:r w:rsidRPr="00FB2C69">
        <w:t>1019 (156.950 MHz)</w:t>
      </w:r>
    </w:p>
    <w:p w14:paraId="69210182" w14:textId="77777777" w:rsidR="00C5524C" w:rsidRPr="00FB2C69" w:rsidRDefault="00C5524C" w:rsidP="00C5524C">
      <w:pPr>
        <w:pStyle w:val="ListParagraph"/>
        <w:numPr>
          <w:ilvl w:val="0"/>
          <w:numId w:val="12"/>
        </w:numPr>
      </w:pPr>
      <w:r w:rsidRPr="00FB2C69">
        <w:t>1027 (157.350 MHz)</w:t>
      </w:r>
    </w:p>
    <w:p w14:paraId="3243C240" w14:textId="68CDCC9F" w:rsidR="00C5524C" w:rsidRDefault="00C5524C" w:rsidP="00C5524C">
      <w:pPr>
        <w:pStyle w:val="ListParagraph"/>
        <w:numPr>
          <w:ilvl w:val="0"/>
          <w:numId w:val="12"/>
        </w:numPr>
      </w:pPr>
      <w:r w:rsidRPr="00FB2C69">
        <w:t>1028 (157</w:t>
      </w:r>
      <w:r>
        <w:t>.400 MHz)</w:t>
      </w:r>
    </w:p>
    <w:p w14:paraId="3A2FED91" w14:textId="77777777" w:rsidR="0085795B" w:rsidRDefault="0085795B" w:rsidP="0085795B"/>
    <w:p w14:paraId="75F2F9B0" w14:textId="3BB166A8" w:rsidR="000F2D64" w:rsidRPr="00846A1C" w:rsidRDefault="007E23F6" w:rsidP="00070725">
      <w:pPr>
        <w:rPr>
          <w:b/>
        </w:rPr>
      </w:pPr>
      <w:r w:rsidRPr="00846A1C">
        <w:rPr>
          <w:b/>
        </w:rPr>
        <w:lastRenderedPageBreak/>
        <w:t>Item 1</w:t>
      </w:r>
      <w:r w:rsidR="00404043">
        <w:rPr>
          <w:b/>
        </w:rPr>
        <w:t>4</w:t>
      </w:r>
      <w:r w:rsidRPr="00846A1C">
        <w:rPr>
          <w:b/>
        </w:rPr>
        <w:t xml:space="preserve"> – Part 2.7 of Schedule 2</w:t>
      </w:r>
      <w:r w:rsidR="00846A1C" w:rsidRPr="00846A1C">
        <w:rPr>
          <w:b/>
        </w:rPr>
        <w:t xml:space="preserve"> (table item 3, column 5)</w:t>
      </w:r>
    </w:p>
    <w:p w14:paraId="16D570DC" w14:textId="7CD1A491" w:rsidR="00056B03" w:rsidRDefault="00056B03" w:rsidP="00056B03">
      <w:r>
        <w:t xml:space="preserve">Part </w:t>
      </w:r>
      <w:r w:rsidR="00465CD6">
        <w:t>2.7</w:t>
      </w:r>
      <w:r>
        <w:t xml:space="preserve"> of Schedule 2 allocates channels for use as Professional </w:t>
      </w:r>
      <w:r w:rsidR="007D167E">
        <w:t>F</w:t>
      </w:r>
      <w:r>
        <w:t xml:space="preserve">ishing </w:t>
      </w:r>
      <w:r w:rsidR="007D167E">
        <w:t>O</w:t>
      </w:r>
      <w:r>
        <w:t xml:space="preserve">perations. This Part has been updated to reflect that </w:t>
      </w:r>
      <w:r w:rsidR="001B7C3F">
        <w:t>c</w:t>
      </w:r>
      <w:r>
        <w:t xml:space="preserve">hannel 71 is for use as Professional </w:t>
      </w:r>
      <w:r w:rsidR="007D167E">
        <w:t>F</w:t>
      </w:r>
      <w:r>
        <w:t xml:space="preserve">ishing </w:t>
      </w:r>
      <w:r w:rsidR="007D167E">
        <w:t>O</w:t>
      </w:r>
      <w:r>
        <w:t xml:space="preserve">perations on a ‘working’ only purpose. </w:t>
      </w:r>
      <w:r w:rsidR="002E21E5">
        <w:t>Calling has been removed to allow the ship stations to operate purely as a message exchange service with another station.</w:t>
      </w:r>
    </w:p>
    <w:p w14:paraId="2E3AC047" w14:textId="0DE6D2C7" w:rsidR="00846A1C" w:rsidRPr="0045098C" w:rsidRDefault="0045098C" w:rsidP="00070725">
      <w:pPr>
        <w:rPr>
          <w:b/>
        </w:rPr>
      </w:pPr>
      <w:r w:rsidRPr="0045098C">
        <w:rPr>
          <w:b/>
        </w:rPr>
        <w:t xml:space="preserve">Item </w:t>
      </w:r>
      <w:r w:rsidR="002E21E5" w:rsidRPr="0045098C">
        <w:rPr>
          <w:b/>
        </w:rPr>
        <w:t>1</w:t>
      </w:r>
      <w:r w:rsidR="00404043">
        <w:rPr>
          <w:b/>
        </w:rPr>
        <w:t>5</w:t>
      </w:r>
      <w:r w:rsidR="002E21E5" w:rsidRPr="0045098C">
        <w:rPr>
          <w:b/>
        </w:rPr>
        <w:t xml:space="preserve"> </w:t>
      </w:r>
      <w:r w:rsidRPr="0045098C">
        <w:rPr>
          <w:b/>
        </w:rPr>
        <w:t xml:space="preserve">– </w:t>
      </w:r>
      <w:r w:rsidR="00E94C2D">
        <w:rPr>
          <w:b/>
        </w:rPr>
        <w:t>Part 2.10</w:t>
      </w:r>
      <w:r w:rsidR="00C87349">
        <w:rPr>
          <w:b/>
        </w:rPr>
        <w:t xml:space="preserve"> of Schedule 2 (table)</w:t>
      </w:r>
    </w:p>
    <w:p w14:paraId="24E5C73C" w14:textId="3C8F7827" w:rsidR="00F10097" w:rsidRDefault="00F10097" w:rsidP="00F10097">
      <w:r w:rsidRPr="000853E4">
        <w:t xml:space="preserve">Part </w:t>
      </w:r>
      <w:r w:rsidR="00385B8B">
        <w:t xml:space="preserve">2.10 </w:t>
      </w:r>
      <w:r w:rsidRPr="000853E4">
        <w:t xml:space="preserve">of </w:t>
      </w:r>
      <w:r>
        <w:t>Schedule 2 allocates channels for use as Automatic Identification System (AIS). This part has been updated to include two new channels for AIS</w:t>
      </w:r>
      <w:r w:rsidR="004809E6" w:rsidRPr="004809E6">
        <w:t xml:space="preserve"> </w:t>
      </w:r>
      <w:r w:rsidR="004809E6">
        <w:t xml:space="preserve">Satellite (ship-satellite) service </w:t>
      </w:r>
      <w:r>
        <w:t>use as follows:</w:t>
      </w:r>
    </w:p>
    <w:p w14:paraId="1E191646" w14:textId="77777777" w:rsidR="00F10097" w:rsidRDefault="00F10097" w:rsidP="00F10097">
      <w:pPr>
        <w:pStyle w:val="ListParagraph"/>
        <w:numPr>
          <w:ilvl w:val="0"/>
          <w:numId w:val="13"/>
        </w:numPr>
      </w:pPr>
      <w:r>
        <w:t xml:space="preserve">75 (156.775 MHz) </w:t>
      </w:r>
    </w:p>
    <w:p w14:paraId="43784E3A" w14:textId="77777777" w:rsidR="00F10097" w:rsidRDefault="00F10097" w:rsidP="00F10097">
      <w:pPr>
        <w:pStyle w:val="ListParagraph"/>
        <w:numPr>
          <w:ilvl w:val="0"/>
          <w:numId w:val="13"/>
        </w:numPr>
      </w:pPr>
      <w:r>
        <w:t>76 (156.825 MHz)</w:t>
      </w:r>
    </w:p>
    <w:p w14:paraId="6494DDD3" w14:textId="5ED50209" w:rsidR="0096476D" w:rsidRDefault="0096476D" w:rsidP="002B5526">
      <w:r>
        <w:t xml:space="preserve">Part 2.10 also provides that </w:t>
      </w:r>
      <w:r w:rsidR="00F10097">
        <w:t>channels</w:t>
      </w:r>
      <w:r w:rsidR="004F06B3">
        <w:t xml:space="preserve"> 75 and 76 may be used for the purpose </w:t>
      </w:r>
      <w:r w:rsidR="00F10097">
        <w:t>of navigation</w:t>
      </w:r>
      <w:r w:rsidR="00C17E31">
        <w:t>-</w:t>
      </w:r>
      <w:r w:rsidR="00F10097">
        <w:t>related communications</w:t>
      </w:r>
      <w:r w:rsidR="005D7FEA">
        <w:t xml:space="preserve"> in accordance with Appendix 18 of the ITU Radio Regulations</w:t>
      </w:r>
      <w:r w:rsidR="00F10097">
        <w:t>.</w:t>
      </w:r>
    </w:p>
    <w:p w14:paraId="0FEDA3A7" w14:textId="48B9C018" w:rsidR="0045098C" w:rsidRPr="00E010FD" w:rsidRDefault="00AF1602" w:rsidP="00070725">
      <w:pPr>
        <w:rPr>
          <w:b/>
        </w:rPr>
      </w:pPr>
      <w:r w:rsidRPr="00E010FD">
        <w:rPr>
          <w:b/>
        </w:rPr>
        <w:t>Item</w:t>
      </w:r>
      <w:r w:rsidR="00C40CBB" w:rsidRPr="00E010FD">
        <w:rPr>
          <w:b/>
        </w:rPr>
        <w:t xml:space="preserve"> </w:t>
      </w:r>
      <w:r w:rsidR="002E21E5" w:rsidRPr="00E010FD">
        <w:rPr>
          <w:b/>
        </w:rPr>
        <w:t>1</w:t>
      </w:r>
      <w:r w:rsidR="00404043">
        <w:rPr>
          <w:b/>
        </w:rPr>
        <w:t>6</w:t>
      </w:r>
      <w:r w:rsidR="002E21E5" w:rsidRPr="00E010FD">
        <w:rPr>
          <w:b/>
        </w:rPr>
        <w:t xml:space="preserve"> </w:t>
      </w:r>
      <w:r w:rsidR="00E010FD" w:rsidRPr="00E010FD">
        <w:rPr>
          <w:b/>
        </w:rPr>
        <w:t xml:space="preserve">– Part </w:t>
      </w:r>
      <w:r w:rsidR="00E219D0">
        <w:rPr>
          <w:b/>
        </w:rPr>
        <w:t>2.1</w:t>
      </w:r>
      <w:r w:rsidR="00B74151">
        <w:rPr>
          <w:b/>
        </w:rPr>
        <w:t>1</w:t>
      </w:r>
      <w:r w:rsidR="00E010FD" w:rsidRPr="00E010FD">
        <w:rPr>
          <w:b/>
        </w:rPr>
        <w:t xml:space="preserve"> of Schedule 2</w:t>
      </w:r>
      <w:r w:rsidR="008778B1">
        <w:rPr>
          <w:b/>
        </w:rPr>
        <w:t xml:space="preserve"> (table)</w:t>
      </w:r>
    </w:p>
    <w:p w14:paraId="3939D754" w14:textId="77777777" w:rsidR="00365F03" w:rsidRDefault="00365F03" w:rsidP="00365F03">
      <w:r>
        <w:t>Schedule 2 has been updated to include Part 12 – VHF Data Exchange System (VDES) with the following channels identified for use as VDES:</w:t>
      </w:r>
    </w:p>
    <w:p w14:paraId="7B067193" w14:textId="77777777" w:rsidR="00365F03" w:rsidRDefault="00365F03" w:rsidP="00365F03">
      <w:pPr>
        <w:pStyle w:val="ListParagraph"/>
        <w:numPr>
          <w:ilvl w:val="0"/>
          <w:numId w:val="14"/>
        </w:numPr>
      </w:pPr>
      <w:r>
        <w:t>24 (157.200 MHz and 161.800 MHz)</w:t>
      </w:r>
    </w:p>
    <w:p w14:paraId="41402038" w14:textId="77777777" w:rsidR="00365F03" w:rsidRDefault="00365F03" w:rsidP="00365F03">
      <w:pPr>
        <w:pStyle w:val="ListParagraph"/>
        <w:numPr>
          <w:ilvl w:val="0"/>
          <w:numId w:val="14"/>
        </w:numPr>
      </w:pPr>
      <w:r>
        <w:t>84 (157.225 MHz and 161.825 MHz)</w:t>
      </w:r>
    </w:p>
    <w:p w14:paraId="5420DC15" w14:textId="77777777" w:rsidR="00365F03" w:rsidRDefault="00365F03" w:rsidP="00365F03">
      <w:pPr>
        <w:pStyle w:val="ListParagraph"/>
        <w:numPr>
          <w:ilvl w:val="0"/>
          <w:numId w:val="14"/>
        </w:numPr>
      </w:pPr>
      <w:r>
        <w:t>25 (157.250 MHz and 161.850 MHz)</w:t>
      </w:r>
    </w:p>
    <w:p w14:paraId="0BA8065F" w14:textId="77777777" w:rsidR="00365F03" w:rsidRDefault="00365F03" w:rsidP="00365F03">
      <w:pPr>
        <w:pStyle w:val="ListParagraph"/>
        <w:numPr>
          <w:ilvl w:val="0"/>
          <w:numId w:val="14"/>
        </w:numPr>
      </w:pPr>
      <w:r>
        <w:t>85 (157.275 MHz and 161.875 MHz)</w:t>
      </w:r>
    </w:p>
    <w:p w14:paraId="48091DD6" w14:textId="77777777" w:rsidR="00365F03" w:rsidRDefault="00365F03" w:rsidP="00365F03">
      <w:pPr>
        <w:pStyle w:val="ListParagraph"/>
        <w:numPr>
          <w:ilvl w:val="0"/>
          <w:numId w:val="14"/>
        </w:numPr>
      </w:pPr>
      <w:r>
        <w:t>1026 (157.300 MHz)</w:t>
      </w:r>
    </w:p>
    <w:p w14:paraId="08E069B5" w14:textId="77777777" w:rsidR="00027486" w:rsidRDefault="00027486" w:rsidP="00027486">
      <w:pPr>
        <w:pStyle w:val="ListParagraph"/>
        <w:numPr>
          <w:ilvl w:val="0"/>
          <w:numId w:val="14"/>
        </w:numPr>
      </w:pPr>
      <w:r>
        <w:t>1086 (157.325 MHz)</w:t>
      </w:r>
    </w:p>
    <w:p w14:paraId="20CA84D8" w14:textId="5A822CAA" w:rsidR="00365F03" w:rsidRDefault="00365F03" w:rsidP="00365F03">
      <w:pPr>
        <w:pStyle w:val="ListParagraph"/>
        <w:numPr>
          <w:ilvl w:val="0"/>
          <w:numId w:val="14"/>
        </w:numPr>
      </w:pPr>
      <w:r>
        <w:t>2026 (161.900 MHz)</w:t>
      </w:r>
    </w:p>
    <w:p w14:paraId="6AB6D922" w14:textId="77777777" w:rsidR="00365F03" w:rsidRDefault="00365F03" w:rsidP="00365F03">
      <w:pPr>
        <w:pStyle w:val="ListParagraph"/>
        <w:numPr>
          <w:ilvl w:val="0"/>
          <w:numId w:val="14"/>
        </w:numPr>
      </w:pPr>
      <w:r>
        <w:t xml:space="preserve">2086 (161.925 MHz) </w:t>
      </w:r>
    </w:p>
    <w:p w14:paraId="03B4E684" w14:textId="77777777" w:rsidR="00365F03" w:rsidRDefault="00365F03" w:rsidP="00365F03">
      <w:pPr>
        <w:pStyle w:val="ListParagraph"/>
      </w:pPr>
    </w:p>
    <w:p w14:paraId="42495E3B" w14:textId="014EC9F4" w:rsidR="0046622B" w:rsidRPr="009275CA" w:rsidRDefault="0046622B" w:rsidP="0046622B">
      <w:pPr>
        <w:pStyle w:val="ListParagraph"/>
        <w:ind w:left="0"/>
      </w:pPr>
      <w:r>
        <w:t xml:space="preserve">Part </w:t>
      </w:r>
      <w:r w:rsidR="00190123">
        <w:t>2.1</w:t>
      </w:r>
      <w:r w:rsidR="00B74151">
        <w:t>1</w:t>
      </w:r>
      <w:r>
        <w:t xml:space="preserve"> also provides that channels 24, 84, 25 and 85 may be merged in order to form a unique duplex channel with a bandwidth of 100 kHz in order to operate the VDES terrestrial component described in the most recent version of </w:t>
      </w:r>
      <w:r>
        <w:rPr>
          <w:i/>
        </w:rPr>
        <w:t xml:space="preserve">Recommendation ITU-R M.2092 </w:t>
      </w:r>
      <w:r>
        <w:t>(WRC-15).</w:t>
      </w:r>
    </w:p>
    <w:p w14:paraId="575C05A5" w14:textId="1BE23AB5" w:rsidR="00365F03" w:rsidRDefault="00365F03" w:rsidP="00365F03">
      <w:r>
        <w:t xml:space="preserve">Schedule 2 has also been updated to include Part </w:t>
      </w:r>
      <w:r w:rsidR="007A4373">
        <w:t>2.12</w:t>
      </w:r>
      <w:r>
        <w:t xml:space="preserve"> – Application Specific Messages (ASM) with the following channels identified for use as ASM:</w:t>
      </w:r>
    </w:p>
    <w:p w14:paraId="00515C51" w14:textId="3FFF7FCF" w:rsidR="00365F03" w:rsidRDefault="00365F03" w:rsidP="00365F03">
      <w:pPr>
        <w:pStyle w:val="ListParagraph"/>
        <w:numPr>
          <w:ilvl w:val="0"/>
          <w:numId w:val="15"/>
        </w:numPr>
      </w:pPr>
      <w:r>
        <w:t>ASM 1 (161.950 MHz)</w:t>
      </w:r>
    </w:p>
    <w:p w14:paraId="4C4F4CF1" w14:textId="47D7021D" w:rsidR="00365F03" w:rsidRDefault="00365F03" w:rsidP="00365F03">
      <w:pPr>
        <w:pStyle w:val="ListParagraph"/>
        <w:numPr>
          <w:ilvl w:val="0"/>
          <w:numId w:val="15"/>
        </w:numPr>
      </w:pPr>
      <w:r>
        <w:t>ASM 2 (162.000 MHz)</w:t>
      </w:r>
    </w:p>
    <w:p w14:paraId="77A4C8B5" w14:textId="78DB296A" w:rsidR="006D73FA" w:rsidRPr="00F73BC2" w:rsidRDefault="006D73FA" w:rsidP="00070725">
      <w:r>
        <w:t xml:space="preserve"> </w:t>
      </w:r>
    </w:p>
    <w:sectPr w:rsidR="006D73FA" w:rsidRPr="00F73B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55A5F" w14:textId="77777777" w:rsidR="00C315FF" w:rsidRDefault="00C315FF" w:rsidP="00DA6575">
      <w:pPr>
        <w:spacing w:after="0" w:line="240" w:lineRule="auto"/>
      </w:pPr>
      <w:r>
        <w:separator/>
      </w:r>
    </w:p>
  </w:endnote>
  <w:endnote w:type="continuationSeparator" w:id="0">
    <w:p w14:paraId="735F2C2A" w14:textId="77777777" w:rsidR="00C315FF" w:rsidRDefault="00C315FF" w:rsidP="00DA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Franklin Gothic Dem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3632" w14:textId="77777777" w:rsidR="00C315FF" w:rsidRDefault="00C315FF" w:rsidP="00DA6575">
      <w:pPr>
        <w:spacing w:after="0" w:line="240" w:lineRule="auto"/>
      </w:pPr>
      <w:r>
        <w:separator/>
      </w:r>
    </w:p>
  </w:footnote>
  <w:footnote w:type="continuationSeparator" w:id="0">
    <w:p w14:paraId="5AB56E05" w14:textId="77777777" w:rsidR="00C315FF" w:rsidRDefault="00C315FF" w:rsidP="00DA6575">
      <w:pPr>
        <w:spacing w:after="0" w:line="240" w:lineRule="auto"/>
      </w:pPr>
      <w:r>
        <w:continuationSeparator/>
      </w:r>
    </w:p>
  </w:footnote>
  <w:footnote w:id="1">
    <w:p w14:paraId="4CAFD06E" w14:textId="133EE258" w:rsidR="00605FBF" w:rsidRPr="00D55757" w:rsidRDefault="00605FBF" w:rsidP="00DA6575">
      <w:pPr>
        <w:spacing w:after="0"/>
        <w:ind w:left="60"/>
        <w:rPr>
          <w:rFonts w:cstheme="minorHAnsi"/>
          <w:sz w:val="18"/>
          <w:szCs w:val="18"/>
        </w:rPr>
      </w:pPr>
      <w:r w:rsidRPr="00D55757">
        <w:rPr>
          <w:rStyle w:val="FootnoteReference"/>
          <w:rFonts w:asciiTheme="minorHAnsi" w:hAnsiTheme="minorHAnsi" w:cstheme="minorHAnsi"/>
          <w:sz w:val="18"/>
          <w:szCs w:val="18"/>
        </w:rPr>
        <w:footnoteRef/>
      </w:r>
      <w:r w:rsidRPr="00D55757">
        <w:rPr>
          <w:rFonts w:cstheme="minorHAnsi"/>
          <w:sz w:val="18"/>
          <w:szCs w:val="18"/>
        </w:rPr>
        <w:t xml:space="preserve"> Before 2015, the VHF radiofrequency channelling arrangements were also identified in </w:t>
      </w:r>
      <w:r w:rsidRPr="00646245">
        <w:rPr>
          <w:rFonts w:cstheme="minorHAnsi"/>
          <w:i/>
          <w:sz w:val="18"/>
          <w:szCs w:val="18"/>
        </w:rPr>
        <w:t>Statutory Rules No. 354 – VHF High Band Frequency Band Plan</w:t>
      </w:r>
      <w:r w:rsidRPr="00D55757">
        <w:rPr>
          <w:rFonts w:cstheme="minorHAnsi"/>
          <w:sz w:val="18"/>
          <w:szCs w:val="18"/>
        </w:rPr>
        <w:t xml:space="preserve">. This was allowed to sunset on 1 October 2015 and the broad-spectrum ranges used for maritime </w:t>
      </w:r>
      <w:r w:rsidR="005C42F1">
        <w:rPr>
          <w:rFonts w:cstheme="minorHAnsi"/>
          <w:sz w:val="18"/>
          <w:szCs w:val="18"/>
        </w:rPr>
        <w:t xml:space="preserve">mobile </w:t>
      </w:r>
      <w:r w:rsidRPr="00D55757">
        <w:rPr>
          <w:rFonts w:cstheme="minorHAnsi"/>
          <w:sz w:val="18"/>
          <w:szCs w:val="18"/>
        </w:rPr>
        <w:t>services are now recorded in RALI MS 42.</w:t>
      </w:r>
    </w:p>
  </w:footnote>
  <w:footnote w:id="2">
    <w:p w14:paraId="0FDBEF65" w14:textId="77777777" w:rsidR="00605FBF" w:rsidRDefault="00605FBF" w:rsidP="00DA6575">
      <w:pPr>
        <w:pStyle w:val="FootnoteText"/>
        <w:spacing w:after="0"/>
      </w:pPr>
      <w:r w:rsidRPr="00D55757">
        <w:rPr>
          <w:rStyle w:val="FootnoteReference"/>
          <w:rFonts w:asciiTheme="minorHAnsi" w:hAnsiTheme="minorHAnsi" w:cstheme="minorHAnsi"/>
          <w:sz w:val="18"/>
          <w:szCs w:val="18"/>
        </w:rPr>
        <w:footnoteRef/>
      </w:r>
      <w:r w:rsidRPr="00D55757">
        <w:rPr>
          <w:rFonts w:asciiTheme="minorHAnsi" w:hAnsiTheme="minorHAnsi" w:cstheme="minorHAnsi"/>
          <w:sz w:val="18"/>
          <w:szCs w:val="18"/>
        </w:rPr>
        <w:t xml:space="preserve"> Duplex communication allows transmit and receive simultaneously, whereas simplex is limited to transmit or receive at any given moment.</w:t>
      </w:r>
    </w:p>
  </w:footnote>
  <w:footnote w:id="3">
    <w:p w14:paraId="2C38C809" w14:textId="4B8CE773" w:rsidR="00605FBF" w:rsidRDefault="00605FBF">
      <w:pPr>
        <w:pStyle w:val="FootnoteText"/>
      </w:pPr>
      <w:r>
        <w:rPr>
          <w:rStyle w:val="FootnoteReference"/>
        </w:rPr>
        <w:footnoteRef/>
      </w:r>
      <w:r>
        <w:t xml:space="preserve"> All International Telecommunication Union Radio Regulations and Recommendations can be found at </w:t>
      </w:r>
      <w:hyperlink r:id="rId1" w:history="1">
        <w:r w:rsidRPr="00860A46">
          <w:rPr>
            <w:rStyle w:val="Hyperlink"/>
          </w:rPr>
          <w:t>https://www.itu.int/en/ITU-R/Pages/default.aspx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74ADE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0F567CE"/>
    <w:multiLevelType w:val="hybridMultilevel"/>
    <w:tmpl w:val="1AC07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90793"/>
    <w:multiLevelType w:val="hybridMultilevel"/>
    <w:tmpl w:val="914A5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A7073"/>
    <w:multiLevelType w:val="hybridMultilevel"/>
    <w:tmpl w:val="633EAF0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7C34288"/>
    <w:multiLevelType w:val="hybridMultilevel"/>
    <w:tmpl w:val="54DE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5F60BF"/>
    <w:multiLevelType w:val="hybridMultilevel"/>
    <w:tmpl w:val="8EEA12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4A304B5B"/>
    <w:multiLevelType w:val="hybridMultilevel"/>
    <w:tmpl w:val="2FB6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894220"/>
    <w:multiLevelType w:val="hybridMultilevel"/>
    <w:tmpl w:val="3430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DF40A2"/>
    <w:multiLevelType w:val="hybridMultilevel"/>
    <w:tmpl w:val="AA3AF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5334CE"/>
    <w:multiLevelType w:val="hybridMultilevel"/>
    <w:tmpl w:val="0DF4CD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15106A"/>
    <w:multiLevelType w:val="hybridMultilevel"/>
    <w:tmpl w:val="C1F67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AA4572"/>
    <w:multiLevelType w:val="hybridMultilevel"/>
    <w:tmpl w:val="36CE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920B03"/>
    <w:multiLevelType w:val="hybridMultilevel"/>
    <w:tmpl w:val="685C07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B0339"/>
    <w:multiLevelType w:val="hybridMultilevel"/>
    <w:tmpl w:val="B660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05752E"/>
    <w:multiLevelType w:val="hybridMultilevel"/>
    <w:tmpl w:val="92626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1"/>
  </w:num>
  <w:num w:numId="5">
    <w:abstractNumId w:val="3"/>
  </w:num>
  <w:num w:numId="6">
    <w:abstractNumId w:val="13"/>
  </w:num>
  <w:num w:numId="7">
    <w:abstractNumId w:val="0"/>
  </w:num>
  <w:num w:numId="8">
    <w:abstractNumId w:val="2"/>
  </w:num>
  <w:num w:numId="9">
    <w:abstractNumId w:val="10"/>
  </w:num>
  <w:num w:numId="10">
    <w:abstractNumId w:val="5"/>
  </w:num>
  <w:num w:numId="11">
    <w:abstractNumId w:val="1"/>
  </w:num>
  <w:num w:numId="12">
    <w:abstractNumId w:val="7"/>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83"/>
    <w:rsid w:val="00000BD9"/>
    <w:rsid w:val="00004B29"/>
    <w:rsid w:val="000059F7"/>
    <w:rsid w:val="00007FB8"/>
    <w:rsid w:val="0001043B"/>
    <w:rsid w:val="0002605E"/>
    <w:rsid w:val="00027486"/>
    <w:rsid w:val="000327BE"/>
    <w:rsid w:val="000347A5"/>
    <w:rsid w:val="0004114C"/>
    <w:rsid w:val="00044CB8"/>
    <w:rsid w:val="00052AA9"/>
    <w:rsid w:val="00053CF3"/>
    <w:rsid w:val="00056B03"/>
    <w:rsid w:val="00061FEB"/>
    <w:rsid w:val="00062BE0"/>
    <w:rsid w:val="00063840"/>
    <w:rsid w:val="00064D24"/>
    <w:rsid w:val="00065FDF"/>
    <w:rsid w:val="00066851"/>
    <w:rsid w:val="00070725"/>
    <w:rsid w:val="00072F03"/>
    <w:rsid w:val="00075AB2"/>
    <w:rsid w:val="0008071A"/>
    <w:rsid w:val="0008135A"/>
    <w:rsid w:val="00081898"/>
    <w:rsid w:val="00082260"/>
    <w:rsid w:val="00084D4E"/>
    <w:rsid w:val="000853E4"/>
    <w:rsid w:val="0008585D"/>
    <w:rsid w:val="000900B8"/>
    <w:rsid w:val="00091CDA"/>
    <w:rsid w:val="0009228D"/>
    <w:rsid w:val="000947A0"/>
    <w:rsid w:val="000A1F8F"/>
    <w:rsid w:val="000A42F7"/>
    <w:rsid w:val="000A47BD"/>
    <w:rsid w:val="000A4B54"/>
    <w:rsid w:val="000A4E31"/>
    <w:rsid w:val="000A6BE0"/>
    <w:rsid w:val="000B205B"/>
    <w:rsid w:val="000B436E"/>
    <w:rsid w:val="000B4AEA"/>
    <w:rsid w:val="000C32A5"/>
    <w:rsid w:val="000D1375"/>
    <w:rsid w:val="000D2456"/>
    <w:rsid w:val="000D253D"/>
    <w:rsid w:val="000D3620"/>
    <w:rsid w:val="000D6070"/>
    <w:rsid w:val="000E48D8"/>
    <w:rsid w:val="000E58C8"/>
    <w:rsid w:val="000E6F57"/>
    <w:rsid w:val="000F0A15"/>
    <w:rsid w:val="000F2D64"/>
    <w:rsid w:val="000F3453"/>
    <w:rsid w:val="000F3CB6"/>
    <w:rsid w:val="000F7705"/>
    <w:rsid w:val="0010365C"/>
    <w:rsid w:val="001055BA"/>
    <w:rsid w:val="00107A72"/>
    <w:rsid w:val="0011437C"/>
    <w:rsid w:val="0011537C"/>
    <w:rsid w:val="00121028"/>
    <w:rsid w:val="00122757"/>
    <w:rsid w:val="001227AF"/>
    <w:rsid w:val="00123FB2"/>
    <w:rsid w:val="001272FF"/>
    <w:rsid w:val="001301B5"/>
    <w:rsid w:val="001326C0"/>
    <w:rsid w:val="00133082"/>
    <w:rsid w:val="001356AC"/>
    <w:rsid w:val="0014036B"/>
    <w:rsid w:val="001428A6"/>
    <w:rsid w:val="00145D25"/>
    <w:rsid w:val="00156EBB"/>
    <w:rsid w:val="00161566"/>
    <w:rsid w:val="00163357"/>
    <w:rsid w:val="0017056E"/>
    <w:rsid w:val="001728A6"/>
    <w:rsid w:val="0017330B"/>
    <w:rsid w:val="0017748D"/>
    <w:rsid w:val="001774A9"/>
    <w:rsid w:val="001841AC"/>
    <w:rsid w:val="00184584"/>
    <w:rsid w:val="00185A78"/>
    <w:rsid w:val="00190123"/>
    <w:rsid w:val="00190C81"/>
    <w:rsid w:val="00192598"/>
    <w:rsid w:val="00192F92"/>
    <w:rsid w:val="00197777"/>
    <w:rsid w:val="001A0BF1"/>
    <w:rsid w:val="001A370F"/>
    <w:rsid w:val="001A3B03"/>
    <w:rsid w:val="001A48DA"/>
    <w:rsid w:val="001A671A"/>
    <w:rsid w:val="001A701B"/>
    <w:rsid w:val="001B042A"/>
    <w:rsid w:val="001B1229"/>
    <w:rsid w:val="001B1D07"/>
    <w:rsid w:val="001B74B0"/>
    <w:rsid w:val="001B77A8"/>
    <w:rsid w:val="001B7C3F"/>
    <w:rsid w:val="001C1B0B"/>
    <w:rsid w:val="001C3500"/>
    <w:rsid w:val="001C3501"/>
    <w:rsid w:val="001C53E9"/>
    <w:rsid w:val="001C578C"/>
    <w:rsid w:val="001C5C7E"/>
    <w:rsid w:val="001C5F3E"/>
    <w:rsid w:val="001C7328"/>
    <w:rsid w:val="001C76E0"/>
    <w:rsid w:val="001D16DF"/>
    <w:rsid w:val="001D1E6C"/>
    <w:rsid w:val="001D3BC9"/>
    <w:rsid w:val="001D4AE4"/>
    <w:rsid w:val="001E188D"/>
    <w:rsid w:val="001E30E8"/>
    <w:rsid w:val="001E716D"/>
    <w:rsid w:val="001F2CB7"/>
    <w:rsid w:val="001F4AB9"/>
    <w:rsid w:val="00200FF0"/>
    <w:rsid w:val="002010A9"/>
    <w:rsid w:val="002047E9"/>
    <w:rsid w:val="00204D86"/>
    <w:rsid w:val="0020606B"/>
    <w:rsid w:val="00213A71"/>
    <w:rsid w:val="0021582C"/>
    <w:rsid w:val="00215AF4"/>
    <w:rsid w:val="002171E8"/>
    <w:rsid w:val="0022367D"/>
    <w:rsid w:val="0022430B"/>
    <w:rsid w:val="00230F38"/>
    <w:rsid w:val="002434BC"/>
    <w:rsid w:val="00244B2F"/>
    <w:rsid w:val="00244C7A"/>
    <w:rsid w:val="00252551"/>
    <w:rsid w:val="0025279B"/>
    <w:rsid w:val="0026516D"/>
    <w:rsid w:val="00265C11"/>
    <w:rsid w:val="00271D84"/>
    <w:rsid w:val="00271FC9"/>
    <w:rsid w:val="00272354"/>
    <w:rsid w:val="002741F1"/>
    <w:rsid w:val="00275FED"/>
    <w:rsid w:val="0028373B"/>
    <w:rsid w:val="00283EFA"/>
    <w:rsid w:val="0029065A"/>
    <w:rsid w:val="0029107B"/>
    <w:rsid w:val="002920BB"/>
    <w:rsid w:val="002928EA"/>
    <w:rsid w:val="0029390E"/>
    <w:rsid w:val="002944F0"/>
    <w:rsid w:val="00297EBE"/>
    <w:rsid w:val="002A078B"/>
    <w:rsid w:val="002A29C1"/>
    <w:rsid w:val="002A2C98"/>
    <w:rsid w:val="002A300D"/>
    <w:rsid w:val="002A7346"/>
    <w:rsid w:val="002B22E9"/>
    <w:rsid w:val="002B2909"/>
    <w:rsid w:val="002B5526"/>
    <w:rsid w:val="002B5AEB"/>
    <w:rsid w:val="002C094F"/>
    <w:rsid w:val="002C22F2"/>
    <w:rsid w:val="002C2865"/>
    <w:rsid w:val="002C4069"/>
    <w:rsid w:val="002C7A00"/>
    <w:rsid w:val="002D0645"/>
    <w:rsid w:val="002D2605"/>
    <w:rsid w:val="002D2B0F"/>
    <w:rsid w:val="002D2F23"/>
    <w:rsid w:val="002D33A9"/>
    <w:rsid w:val="002D67D9"/>
    <w:rsid w:val="002D77A4"/>
    <w:rsid w:val="002E1626"/>
    <w:rsid w:val="002E21E5"/>
    <w:rsid w:val="002F13B9"/>
    <w:rsid w:val="002F5C9F"/>
    <w:rsid w:val="002F6451"/>
    <w:rsid w:val="00302B05"/>
    <w:rsid w:val="003043C8"/>
    <w:rsid w:val="00313F99"/>
    <w:rsid w:val="00314E3B"/>
    <w:rsid w:val="00315D28"/>
    <w:rsid w:val="00316419"/>
    <w:rsid w:val="0032074E"/>
    <w:rsid w:val="0032199D"/>
    <w:rsid w:val="00323922"/>
    <w:rsid w:val="00323BEC"/>
    <w:rsid w:val="00326FB4"/>
    <w:rsid w:val="003270F1"/>
    <w:rsid w:val="00331512"/>
    <w:rsid w:val="00334149"/>
    <w:rsid w:val="0033609F"/>
    <w:rsid w:val="003366D3"/>
    <w:rsid w:val="0033734D"/>
    <w:rsid w:val="00337B2E"/>
    <w:rsid w:val="00337BD2"/>
    <w:rsid w:val="00340B63"/>
    <w:rsid w:val="003454C6"/>
    <w:rsid w:val="00346BED"/>
    <w:rsid w:val="00357398"/>
    <w:rsid w:val="003613FE"/>
    <w:rsid w:val="00362864"/>
    <w:rsid w:val="00364113"/>
    <w:rsid w:val="00365A0B"/>
    <w:rsid w:val="00365F03"/>
    <w:rsid w:val="00366B4B"/>
    <w:rsid w:val="0037148D"/>
    <w:rsid w:val="00371DAC"/>
    <w:rsid w:val="003749B3"/>
    <w:rsid w:val="00384279"/>
    <w:rsid w:val="0038542B"/>
    <w:rsid w:val="00385B8B"/>
    <w:rsid w:val="0038771A"/>
    <w:rsid w:val="00387AD5"/>
    <w:rsid w:val="00392282"/>
    <w:rsid w:val="003928F3"/>
    <w:rsid w:val="00394612"/>
    <w:rsid w:val="003952DF"/>
    <w:rsid w:val="00396A85"/>
    <w:rsid w:val="00397686"/>
    <w:rsid w:val="003A00E4"/>
    <w:rsid w:val="003A0DD5"/>
    <w:rsid w:val="003A6690"/>
    <w:rsid w:val="003B0263"/>
    <w:rsid w:val="003B28F9"/>
    <w:rsid w:val="003B2ED5"/>
    <w:rsid w:val="003B3B16"/>
    <w:rsid w:val="003B60C0"/>
    <w:rsid w:val="003B674C"/>
    <w:rsid w:val="003B7D6C"/>
    <w:rsid w:val="003C09DC"/>
    <w:rsid w:val="003C37AE"/>
    <w:rsid w:val="003C3816"/>
    <w:rsid w:val="003C4031"/>
    <w:rsid w:val="003C4A19"/>
    <w:rsid w:val="003C64D1"/>
    <w:rsid w:val="003C7B42"/>
    <w:rsid w:val="003D1F4C"/>
    <w:rsid w:val="003D2D4B"/>
    <w:rsid w:val="003D313F"/>
    <w:rsid w:val="003D788F"/>
    <w:rsid w:val="003E0AFA"/>
    <w:rsid w:val="003E0BAF"/>
    <w:rsid w:val="003E53AD"/>
    <w:rsid w:val="003E682F"/>
    <w:rsid w:val="003F1408"/>
    <w:rsid w:val="003F3EF1"/>
    <w:rsid w:val="003F465D"/>
    <w:rsid w:val="003F4852"/>
    <w:rsid w:val="003F518C"/>
    <w:rsid w:val="00404043"/>
    <w:rsid w:val="00407639"/>
    <w:rsid w:val="00411DF4"/>
    <w:rsid w:val="0041354E"/>
    <w:rsid w:val="004203EF"/>
    <w:rsid w:val="00421E05"/>
    <w:rsid w:val="004275D6"/>
    <w:rsid w:val="0043081B"/>
    <w:rsid w:val="00430D70"/>
    <w:rsid w:val="00431B17"/>
    <w:rsid w:val="00436FC1"/>
    <w:rsid w:val="00440490"/>
    <w:rsid w:val="00441915"/>
    <w:rsid w:val="004464AF"/>
    <w:rsid w:val="004468DB"/>
    <w:rsid w:val="0045098C"/>
    <w:rsid w:val="0045099B"/>
    <w:rsid w:val="00450BA0"/>
    <w:rsid w:val="004566A5"/>
    <w:rsid w:val="00456920"/>
    <w:rsid w:val="004570EB"/>
    <w:rsid w:val="004610CC"/>
    <w:rsid w:val="00464A44"/>
    <w:rsid w:val="00464E32"/>
    <w:rsid w:val="00465CD6"/>
    <w:rsid w:val="00466022"/>
    <w:rsid w:val="0046622B"/>
    <w:rsid w:val="00467D96"/>
    <w:rsid w:val="00475243"/>
    <w:rsid w:val="004764C6"/>
    <w:rsid w:val="004809E6"/>
    <w:rsid w:val="00485C47"/>
    <w:rsid w:val="004900F3"/>
    <w:rsid w:val="00496420"/>
    <w:rsid w:val="004A2C64"/>
    <w:rsid w:val="004A6CF5"/>
    <w:rsid w:val="004A78C6"/>
    <w:rsid w:val="004A7B9A"/>
    <w:rsid w:val="004B0797"/>
    <w:rsid w:val="004B11EF"/>
    <w:rsid w:val="004B1D8B"/>
    <w:rsid w:val="004B4C97"/>
    <w:rsid w:val="004B5271"/>
    <w:rsid w:val="004B5CEC"/>
    <w:rsid w:val="004B77F4"/>
    <w:rsid w:val="004C0506"/>
    <w:rsid w:val="004C1F8D"/>
    <w:rsid w:val="004C39A9"/>
    <w:rsid w:val="004C5C65"/>
    <w:rsid w:val="004C60EB"/>
    <w:rsid w:val="004D039A"/>
    <w:rsid w:val="004D092C"/>
    <w:rsid w:val="004D10FC"/>
    <w:rsid w:val="004D1619"/>
    <w:rsid w:val="004D1BDE"/>
    <w:rsid w:val="004D4959"/>
    <w:rsid w:val="004E1592"/>
    <w:rsid w:val="004E24BC"/>
    <w:rsid w:val="004E454B"/>
    <w:rsid w:val="004E4D57"/>
    <w:rsid w:val="004E5A36"/>
    <w:rsid w:val="004E797D"/>
    <w:rsid w:val="004E7F61"/>
    <w:rsid w:val="004F06B3"/>
    <w:rsid w:val="004F2183"/>
    <w:rsid w:val="004F45AE"/>
    <w:rsid w:val="004F5053"/>
    <w:rsid w:val="004F5558"/>
    <w:rsid w:val="004F6941"/>
    <w:rsid w:val="005003DD"/>
    <w:rsid w:val="005004B2"/>
    <w:rsid w:val="005039A8"/>
    <w:rsid w:val="00503CCA"/>
    <w:rsid w:val="00504014"/>
    <w:rsid w:val="005144EF"/>
    <w:rsid w:val="00517822"/>
    <w:rsid w:val="0052035B"/>
    <w:rsid w:val="005211EE"/>
    <w:rsid w:val="005273AC"/>
    <w:rsid w:val="00527535"/>
    <w:rsid w:val="0053097C"/>
    <w:rsid w:val="00530CB9"/>
    <w:rsid w:val="005321A2"/>
    <w:rsid w:val="005334EE"/>
    <w:rsid w:val="005338E9"/>
    <w:rsid w:val="00533FC1"/>
    <w:rsid w:val="005356D3"/>
    <w:rsid w:val="00535E55"/>
    <w:rsid w:val="005362F0"/>
    <w:rsid w:val="0053732F"/>
    <w:rsid w:val="00540AA5"/>
    <w:rsid w:val="00543E40"/>
    <w:rsid w:val="00546A40"/>
    <w:rsid w:val="005514EF"/>
    <w:rsid w:val="00552946"/>
    <w:rsid w:val="00553F13"/>
    <w:rsid w:val="005543DE"/>
    <w:rsid w:val="005655F1"/>
    <w:rsid w:val="00570559"/>
    <w:rsid w:val="005711FD"/>
    <w:rsid w:val="00572F3E"/>
    <w:rsid w:val="00580CFD"/>
    <w:rsid w:val="005815FB"/>
    <w:rsid w:val="005819BB"/>
    <w:rsid w:val="005834E8"/>
    <w:rsid w:val="00585CE8"/>
    <w:rsid w:val="00586A3C"/>
    <w:rsid w:val="005906AC"/>
    <w:rsid w:val="005908B3"/>
    <w:rsid w:val="00595159"/>
    <w:rsid w:val="00595B35"/>
    <w:rsid w:val="005A09D2"/>
    <w:rsid w:val="005A0A4C"/>
    <w:rsid w:val="005A76FD"/>
    <w:rsid w:val="005A7F01"/>
    <w:rsid w:val="005B2A62"/>
    <w:rsid w:val="005B31E1"/>
    <w:rsid w:val="005B373C"/>
    <w:rsid w:val="005C0445"/>
    <w:rsid w:val="005C0CCC"/>
    <w:rsid w:val="005C1548"/>
    <w:rsid w:val="005C42F1"/>
    <w:rsid w:val="005C4530"/>
    <w:rsid w:val="005C5C1D"/>
    <w:rsid w:val="005D26A0"/>
    <w:rsid w:val="005D3B6A"/>
    <w:rsid w:val="005D6AED"/>
    <w:rsid w:val="005D7FEA"/>
    <w:rsid w:val="005E0FD3"/>
    <w:rsid w:val="005E2644"/>
    <w:rsid w:val="005E4BA0"/>
    <w:rsid w:val="005F06D2"/>
    <w:rsid w:val="005F0A77"/>
    <w:rsid w:val="005F189F"/>
    <w:rsid w:val="005F27EA"/>
    <w:rsid w:val="005F2BD2"/>
    <w:rsid w:val="00605FBF"/>
    <w:rsid w:val="006107B8"/>
    <w:rsid w:val="00610E03"/>
    <w:rsid w:val="00611A3C"/>
    <w:rsid w:val="00611E61"/>
    <w:rsid w:val="006131C2"/>
    <w:rsid w:val="0061577F"/>
    <w:rsid w:val="00615A2A"/>
    <w:rsid w:val="006172ED"/>
    <w:rsid w:val="00621422"/>
    <w:rsid w:val="00625366"/>
    <w:rsid w:val="00626AE5"/>
    <w:rsid w:val="00631BCA"/>
    <w:rsid w:val="00641EA9"/>
    <w:rsid w:val="00641F81"/>
    <w:rsid w:val="00646245"/>
    <w:rsid w:val="006469F0"/>
    <w:rsid w:val="006503EE"/>
    <w:rsid w:val="00650726"/>
    <w:rsid w:val="00652CF6"/>
    <w:rsid w:val="00663666"/>
    <w:rsid w:val="006674E2"/>
    <w:rsid w:val="006702E1"/>
    <w:rsid w:val="006705B4"/>
    <w:rsid w:val="006734F1"/>
    <w:rsid w:val="006772E9"/>
    <w:rsid w:val="006817A9"/>
    <w:rsid w:val="0068445B"/>
    <w:rsid w:val="00684831"/>
    <w:rsid w:val="0068511B"/>
    <w:rsid w:val="00686E4B"/>
    <w:rsid w:val="00687E14"/>
    <w:rsid w:val="00687F60"/>
    <w:rsid w:val="006914AB"/>
    <w:rsid w:val="00695043"/>
    <w:rsid w:val="00696FDD"/>
    <w:rsid w:val="00697E2F"/>
    <w:rsid w:val="006A0F02"/>
    <w:rsid w:val="006A6547"/>
    <w:rsid w:val="006B161E"/>
    <w:rsid w:val="006B3BE0"/>
    <w:rsid w:val="006B4302"/>
    <w:rsid w:val="006B5D81"/>
    <w:rsid w:val="006B6DF3"/>
    <w:rsid w:val="006C1149"/>
    <w:rsid w:val="006C2928"/>
    <w:rsid w:val="006C3EA4"/>
    <w:rsid w:val="006C6BDD"/>
    <w:rsid w:val="006C6FC9"/>
    <w:rsid w:val="006D447A"/>
    <w:rsid w:val="006D5A5E"/>
    <w:rsid w:val="006D738F"/>
    <w:rsid w:val="006D73FA"/>
    <w:rsid w:val="006E0C46"/>
    <w:rsid w:val="006E20D5"/>
    <w:rsid w:val="006E2701"/>
    <w:rsid w:val="006E27F7"/>
    <w:rsid w:val="006F2E24"/>
    <w:rsid w:val="006F4B70"/>
    <w:rsid w:val="006F4C3F"/>
    <w:rsid w:val="006F55E3"/>
    <w:rsid w:val="006F5D53"/>
    <w:rsid w:val="006F6B2E"/>
    <w:rsid w:val="006F737E"/>
    <w:rsid w:val="00705DBD"/>
    <w:rsid w:val="00706037"/>
    <w:rsid w:val="00710841"/>
    <w:rsid w:val="00711BEA"/>
    <w:rsid w:val="00711D1E"/>
    <w:rsid w:val="00712134"/>
    <w:rsid w:val="0071531D"/>
    <w:rsid w:val="007168CC"/>
    <w:rsid w:val="007177AC"/>
    <w:rsid w:val="007178D1"/>
    <w:rsid w:val="00717B25"/>
    <w:rsid w:val="007201D1"/>
    <w:rsid w:val="00720544"/>
    <w:rsid w:val="007219CD"/>
    <w:rsid w:val="007345B2"/>
    <w:rsid w:val="0073479C"/>
    <w:rsid w:val="00735747"/>
    <w:rsid w:val="00740514"/>
    <w:rsid w:val="00746F3D"/>
    <w:rsid w:val="00753AF3"/>
    <w:rsid w:val="00754757"/>
    <w:rsid w:val="0075664F"/>
    <w:rsid w:val="00757027"/>
    <w:rsid w:val="007575E3"/>
    <w:rsid w:val="00757A7D"/>
    <w:rsid w:val="0076642F"/>
    <w:rsid w:val="007706C8"/>
    <w:rsid w:val="00770A77"/>
    <w:rsid w:val="0077631B"/>
    <w:rsid w:val="00777AF1"/>
    <w:rsid w:val="007803C4"/>
    <w:rsid w:val="00780A75"/>
    <w:rsid w:val="00782089"/>
    <w:rsid w:val="00783E10"/>
    <w:rsid w:val="007859B4"/>
    <w:rsid w:val="00790A2B"/>
    <w:rsid w:val="00796A58"/>
    <w:rsid w:val="00796D2D"/>
    <w:rsid w:val="007A0017"/>
    <w:rsid w:val="007A0861"/>
    <w:rsid w:val="007A4373"/>
    <w:rsid w:val="007A5326"/>
    <w:rsid w:val="007A600E"/>
    <w:rsid w:val="007A7B8D"/>
    <w:rsid w:val="007B647C"/>
    <w:rsid w:val="007B7163"/>
    <w:rsid w:val="007B79B6"/>
    <w:rsid w:val="007C4430"/>
    <w:rsid w:val="007C6738"/>
    <w:rsid w:val="007C6888"/>
    <w:rsid w:val="007D167E"/>
    <w:rsid w:val="007D1D68"/>
    <w:rsid w:val="007D652C"/>
    <w:rsid w:val="007D6B14"/>
    <w:rsid w:val="007E23F6"/>
    <w:rsid w:val="007E6F24"/>
    <w:rsid w:val="007E7CDB"/>
    <w:rsid w:val="007F09BD"/>
    <w:rsid w:val="007F3AEA"/>
    <w:rsid w:val="007F4EDB"/>
    <w:rsid w:val="007F5D2F"/>
    <w:rsid w:val="008027DB"/>
    <w:rsid w:val="00803396"/>
    <w:rsid w:val="00804B80"/>
    <w:rsid w:val="008075FB"/>
    <w:rsid w:val="00807D96"/>
    <w:rsid w:val="0081178F"/>
    <w:rsid w:val="00811FC9"/>
    <w:rsid w:val="00812B38"/>
    <w:rsid w:val="00815E8F"/>
    <w:rsid w:val="008161FC"/>
    <w:rsid w:val="008165D6"/>
    <w:rsid w:val="00823DCD"/>
    <w:rsid w:val="00835551"/>
    <w:rsid w:val="00837061"/>
    <w:rsid w:val="00837971"/>
    <w:rsid w:val="00841DE6"/>
    <w:rsid w:val="008437D2"/>
    <w:rsid w:val="00843B14"/>
    <w:rsid w:val="00844030"/>
    <w:rsid w:val="00844058"/>
    <w:rsid w:val="00845568"/>
    <w:rsid w:val="00846A1C"/>
    <w:rsid w:val="00847476"/>
    <w:rsid w:val="00856A4D"/>
    <w:rsid w:val="0085795B"/>
    <w:rsid w:val="008620B2"/>
    <w:rsid w:val="00862235"/>
    <w:rsid w:val="008654A1"/>
    <w:rsid w:val="00866DED"/>
    <w:rsid w:val="00867493"/>
    <w:rsid w:val="008778B1"/>
    <w:rsid w:val="00881197"/>
    <w:rsid w:val="008811C0"/>
    <w:rsid w:val="00883FF4"/>
    <w:rsid w:val="008859E0"/>
    <w:rsid w:val="00892B2A"/>
    <w:rsid w:val="00893456"/>
    <w:rsid w:val="0089354D"/>
    <w:rsid w:val="00896046"/>
    <w:rsid w:val="008979B6"/>
    <w:rsid w:val="008A152D"/>
    <w:rsid w:val="008A16EB"/>
    <w:rsid w:val="008A4053"/>
    <w:rsid w:val="008A44A8"/>
    <w:rsid w:val="008A45C7"/>
    <w:rsid w:val="008B655E"/>
    <w:rsid w:val="008C54B8"/>
    <w:rsid w:val="008D4CE0"/>
    <w:rsid w:val="008D588A"/>
    <w:rsid w:val="008D790D"/>
    <w:rsid w:val="008D7BD0"/>
    <w:rsid w:val="008E34A4"/>
    <w:rsid w:val="008E7C42"/>
    <w:rsid w:val="008F251A"/>
    <w:rsid w:val="008F2951"/>
    <w:rsid w:val="008F4EC0"/>
    <w:rsid w:val="008F6086"/>
    <w:rsid w:val="00902113"/>
    <w:rsid w:val="00904B6C"/>
    <w:rsid w:val="00905466"/>
    <w:rsid w:val="00906D5F"/>
    <w:rsid w:val="00910D61"/>
    <w:rsid w:val="00912D85"/>
    <w:rsid w:val="00917203"/>
    <w:rsid w:val="00917FA9"/>
    <w:rsid w:val="00921F8A"/>
    <w:rsid w:val="00922618"/>
    <w:rsid w:val="0092348D"/>
    <w:rsid w:val="00924424"/>
    <w:rsid w:val="009260F4"/>
    <w:rsid w:val="009275CA"/>
    <w:rsid w:val="00927800"/>
    <w:rsid w:val="00927C9A"/>
    <w:rsid w:val="00927F14"/>
    <w:rsid w:val="00933D02"/>
    <w:rsid w:val="00934AE9"/>
    <w:rsid w:val="00935563"/>
    <w:rsid w:val="00940B02"/>
    <w:rsid w:val="00941D0F"/>
    <w:rsid w:val="0094396A"/>
    <w:rsid w:val="00943E2E"/>
    <w:rsid w:val="0094525C"/>
    <w:rsid w:val="00945ADD"/>
    <w:rsid w:val="00946E0C"/>
    <w:rsid w:val="009470A7"/>
    <w:rsid w:val="00947C5C"/>
    <w:rsid w:val="00950BF7"/>
    <w:rsid w:val="00950C68"/>
    <w:rsid w:val="00957CD7"/>
    <w:rsid w:val="0096055C"/>
    <w:rsid w:val="0096476D"/>
    <w:rsid w:val="009656E8"/>
    <w:rsid w:val="00966561"/>
    <w:rsid w:val="00967C01"/>
    <w:rsid w:val="00970D8B"/>
    <w:rsid w:val="00974C1B"/>
    <w:rsid w:val="0097659D"/>
    <w:rsid w:val="0098167A"/>
    <w:rsid w:val="009816CD"/>
    <w:rsid w:val="009822D0"/>
    <w:rsid w:val="0098589F"/>
    <w:rsid w:val="009877BF"/>
    <w:rsid w:val="00996E7C"/>
    <w:rsid w:val="0099782A"/>
    <w:rsid w:val="0099792D"/>
    <w:rsid w:val="009A330B"/>
    <w:rsid w:val="009B26C3"/>
    <w:rsid w:val="009B26CF"/>
    <w:rsid w:val="009B494E"/>
    <w:rsid w:val="009B53CA"/>
    <w:rsid w:val="009C3DF1"/>
    <w:rsid w:val="009D0201"/>
    <w:rsid w:val="009D3E8A"/>
    <w:rsid w:val="009D5BA4"/>
    <w:rsid w:val="009D6DD0"/>
    <w:rsid w:val="009E0B7D"/>
    <w:rsid w:val="009E0F3F"/>
    <w:rsid w:val="009E1C28"/>
    <w:rsid w:val="009E202B"/>
    <w:rsid w:val="009E429F"/>
    <w:rsid w:val="009E65F1"/>
    <w:rsid w:val="009E7E4D"/>
    <w:rsid w:val="009F100A"/>
    <w:rsid w:val="009F61C9"/>
    <w:rsid w:val="00A015B1"/>
    <w:rsid w:val="00A01707"/>
    <w:rsid w:val="00A03917"/>
    <w:rsid w:val="00A03EB3"/>
    <w:rsid w:val="00A07BEA"/>
    <w:rsid w:val="00A1117A"/>
    <w:rsid w:val="00A1232A"/>
    <w:rsid w:val="00A13142"/>
    <w:rsid w:val="00A1590D"/>
    <w:rsid w:val="00A15E12"/>
    <w:rsid w:val="00A23CC2"/>
    <w:rsid w:val="00A2647A"/>
    <w:rsid w:val="00A31CD7"/>
    <w:rsid w:val="00A32106"/>
    <w:rsid w:val="00A32AB4"/>
    <w:rsid w:val="00A332F9"/>
    <w:rsid w:val="00A33F7E"/>
    <w:rsid w:val="00A35F1F"/>
    <w:rsid w:val="00A369FE"/>
    <w:rsid w:val="00A371C8"/>
    <w:rsid w:val="00A375B0"/>
    <w:rsid w:val="00A40291"/>
    <w:rsid w:val="00A40A5D"/>
    <w:rsid w:val="00A42976"/>
    <w:rsid w:val="00A45EBF"/>
    <w:rsid w:val="00A464E7"/>
    <w:rsid w:val="00A467C3"/>
    <w:rsid w:val="00A505A7"/>
    <w:rsid w:val="00A53594"/>
    <w:rsid w:val="00A56419"/>
    <w:rsid w:val="00A56D38"/>
    <w:rsid w:val="00A61226"/>
    <w:rsid w:val="00A6472C"/>
    <w:rsid w:val="00A65F9F"/>
    <w:rsid w:val="00A662A7"/>
    <w:rsid w:val="00A706DC"/>
    <w:rsid w:val="00A7152B"/>
    <w:rsid w:val="00A7206F"/>
    <w:rsid w:val="00A80191"/>
    <w:rsid w:val="00A824B7"/>
    <w:rsid w:val="00A829B1"/>
    <w:rsid w:val="00A861B7"/>
    <w:rsid w:val="00A868C4"/>
    <w:rsid w:val="00A86BF5"/>
    <w:rsid w:val="00A87975"/>
    <w:rsid w:val="00A90262"/>
    <w:rsid w:val="00A94272"/>
    <w:rsid w:val="00A95A27"/>
    <w:rsid w:val="00A95B92"/>
    <w:rsid w:val="00A96E2A"/>
    <w:rsid w:val="00AA027E"/>
    <w:rsid w:val="00AA1365"/>
    <w:rsid w:val="00AA170C"/>
    <w:rsid w:val="00AB1356"/>
    <w:rsid w:val="00AB2B0E"/>
    <w:rsid w:val="00AB30F8"/>
    <w:rsid w:val="00AB3E0C"/>
    <w:rsid w:val="00AB73F3"/>
    <w:rsid w:val="00AC1ECA"/>
    <w:rsid w:val="00AC274B"/>
    <w:rsid w:val="00AC2FD6"/>
    <w:rsid w:val="00AC34B7"/>
    <w:rsid w:val="00AC35EE"/>
    <w:rsid w:val="00AC389A"/>
    <w:rsid w:val="00AD1D1B"/>
    <w:rsid w:val="00AD1EFB"/>
    <w:rsid w:val="00AD315A"/>
    <w:rsid w:val="00AD3C24"/>
    <w:rsid w:val="00AD5F9B"/>
    <w:rsid w:val="00AD77D6"/>
    <w:rsid w:val="00AE0BBE"/>
    <w:rsid w:val="00AE2DB4"/>
    <w:rsid w:val="00AF03BB"/>
    <w:rsid w:val="00AF05A0"/>
    <w:rsid w:val="00AF0DC0"/>
    <w:rsid w:val="00AF0F5C"/>
    <w:rsid w:val="00AF10AF"/>
    <w:rsid w:val="00AF1602"/>
    <w:rsid w:val="00AF18C6"/>
    <w:rsid w:val="00AF1C94"/>
    <w:rsid w:val="00AF2B93"/>
    <w:rsid w:val="00AF572F"/>
    <w:rsid w:val="00AF5E22"/>
    <w:rsid w:val="00AF6736"/>
    <w:rsid w:val="00AF7C11"/>
    <w:rsid w:val="00B009F3"/>
    <w:rsid w:val="00B00AA0"/>
    <w:rsid w:val="00B054A1"/>
    <w:rsid w:val="00B12758"/>
    <w:rsid w:val="00B13562"/>
    <w:rsid w:val="00B14A28"/>
    <w:rsid w:val="00B174B0"/>
    <w:rsid w:val="00B1796A"/>
    <w:rsid w:val="00B17BD2"/>
    <w:rsid w:val="00B2051A"/>
    <w:rsid w:val="00B22451"/>
    <w:rsid w:val="00B24782"/>
    <w:rsid w:val="00B32695"/>
    <w:rsid w:val="00B34053"/>
    <w:rsid w:val="00B412F1"/>
    <w:rsid w:val="00B469C6"/>
    <w:rsid w:val="00B5201A"/>
    <w:rsid w:val="00B534D7"/>
    <w:rsid w:val="00B54396"/>
    <w:rsid w:val="00B54883"/>
    <w:rsid w:val="00B570A2"/>
    <w:rsid w:val="00B577FC"/>
    <w:rsid w:val="00B6103A"/>
    <w:rsid w:val="00B66DA7"/>
    <w:rsid w:val="00B66E71"/>
    <w:rsid w:val="00B719E7"/>
    <w:rsid w:val="00B71E61"/>
    <w:rsid w:val="00B72820"/>
    <w:rsid w:val="00B74151"/>
    <w:rsid w:val="00B76201"/>
    <w:rsid w:val="00B8054B"/>
    <w:rsid w:val="00B820B5"/>
    <w:rsid w:val="00B841AC"/>
    <w:rsid w:val="00B8440F"/>
    <w:rsid w:val="00B84EFC"/>
    <w:rsid w:val="00B92E45"/>
    <w:rsid w:val="00B97926"/>
    <w:rsid w:val="00BA10F2"/>
    <w:rsid w:val="00BA4ADD"/>
    <w:rsid w:val="00BA7B9D"/>
    <w:rsid w:val="00BB2142"/>
    <w:rsid w:val="00BB2299"/>
    <w:rsid w:val="00BB2E04"/>
    <w:rsid w:val="00BB34CA"/>
    <w:rsid w:val="00BD0E07"/>
    <w:rsid w:val="00BD426C"/>
    <w:rsid w:val="00BE2620"/>
    <w:rsid w:val="00BE5318"/>
    <w:rsid w:val="00BE54B5"/>
    <w:rsid w:val="00BE5F0A"/>
    <w:rsid w:val="00BE638A"/>
    <w:rsid w:val="00BF1ACF"/>
    <w:rsid w:val="00BF7370"/>
    <w:rsid w:val="00BF74A2"/>
    <w:rsid w:val="00C03385"/>
    <w:rsid w:val="00C061EF"/>
    <w:rsid w:val="00C1030C"/>
    <w:rsid w:val="00C10503"/>
    <w:rsid w:val="00C11165"/>
    <w:rsid w:val="00C11428"/>
    <w:rsid w:val="00C15A38"/>
    <w:rsid w:val="00C15F67"/>
    <w:rsid w:val="00C17E31"/>
    <w:rsid w:val="00C26188"/>
    <w:rsid w:val="00C26C1D"/>
    <w:rsid w:val="00C3027D"/>
    <w:rsid w:val="00C30F55"/>
    <w:rsid w:val="00C315FF"/>
    <w:rsid w:val="00C33CB8"/>
    <w:rsid w:val="00C33F8F"/>
    <w:rsid w:val="00C359A0"/>
    <w:rsid w:val="00C40CBB"/>
    <w:rsid w:val="00C44F59"/>
    <w:rsid w:val="00C5445B"/>
    <w:rsid w:val="00C54BEA"/>
    <w:rsid w:val="00C5524C"/>
    <w:rsid w:val="00C56821"/>
    <w:rsid w:val="00C56904"/>
    <w:rsid w:val="00C626C9"/>
    <w:rsid w:val="00C6365A"/>
    <w:rsid w:val="00C65C70"/>
    <w:rsid w:val="00C66134"/>
    <w:rsid w:val="00C6739F"/>
    <w:rsid w:val="00C67B34"/>
    <w:rsid w:val="00C70616"/>
    <w:rsid w:val="00C70F5E"/>
    <w:rsid w:val="00C71816"/>
    <w:rsid w:val="00C72E81"/>
    <w:rsid w:val="00C7642B"/>
    <w:rsid w:val="00C76F86"/>
    <w:rsid w:val="00C82A52"/>
    <w:rsid w:val="00C86376"/>
    <w:rsid w:val="00C87349"/>
    <w:rsid w:val="00C91529"/>
    <w:rsid w:val="00C919F2"/>
    <w:rsid w:val="00C93E08"/>
    <w:rsid w:val="00C94297"/>
    <w:rsid w:val="00C96155"/>
    <w:rsid w:val="00C96CDC"/>
    <w:rsid w:val="00C971D8"/>
    <w:rsid w:val="00CA2DD5"/>
    <w:rsid w:val="00CA4E25"/>
    <w:rsid w:val="00CA548E"/>
    <w:rsid w:val="00CB50B5"/>
    <w:rsid w:val="00CC1DDE"/>
    <w:rsid w:val="00CC2AD1"/>
    <w:rsid w:val="00CC5B0A"/>
    <w:rsid w:val="00CC77BA"/>
    <w:rsid w:val="00CD165D"/>
    <w:rsid w:val="00CD3467"/>
    <w:rsid w:val="00CE005F"/>
    <w:rsid w:val="00CE0BDA"/>
    <w:rsid w:val="00CE332D"/>
    <w:rsid w:val="00CE404F"/>
    <w:rsid w:val="00CE41B7"/>
    <w:rsid w:val="00CE79B2"/>
    <w:rsid w:val="00CF4960"/>
    <w:rsid w:val="00D00D0D"/>
    <w:rsid w:val="00D018D1"/>
    <w:rsid w:val="00D04EE8"/>
    <w:rsid w:val="00D05072"/>
    <w:rsid w:val="00D0711C"/>
    <w:rsid w:val="00D120AA"/>
    <w:rsid w:val="00D23F9D"/>
    <w:rsid w:val="00D27B7B"/>
    <w:rsid w:val="00D33F78"/>
    <w:rsid w:val="00D37D0E"/>
    <w:rsid w:val="00D45130"/>
    <w:rsid w:val="00D46DAF"/>
    <w:rsid w:val="00D50781"/>
    <w:rsid w:val="00D54D94"/>
    <w:rsid w:val="00D55757"/>
    <w:rsid w:val="00D57B57"/>
    <w:rsid w:val="00D61034"/>
    <w:rsid w:val="00D63448"/>
    <w:rsid w:val="00D65AEB"/>
    <w:rsid w:val="00D6739D"/>
    <w:rsid w:val="00D6778E"/>
    <w:rsid w:val="00D711E1"/>
    <w:rsid w:val="00D74BF0"/>
    <w:rsid w:val="00D82BB2"/>
    <w:rsid w:val="00D848BF"/>
    <w:rsid w:val="00D91417"/>
    <w:rsid w:val="00D94A16"/>
    <w:rsid w:val="00D94D00"/>
    <w:rsid w:val="00D9621D"/>
    <w:rsid w:val="00DA175E"/>
    <w:rsid w:val="00DA6575"/>
    <w:rsid w:val="00DB2251"/>
    <w:rsid w:val="00DB3990"/>
    <w:rsid w:val="00DB5E25"/>
    <w:rsid w:val="00DB79A8"/>
    <w:rsid w:val="00DC260C"/>
    <w:rsid w:val="00DC4ACC"/>
    <w:rsid w:val="00DC598E"/>
    <w:rsid w:val="00DC5EBE"/>
    <w:rsid w:val="00DC6952"/>
    <w:rsid w:val="00DD382A"/>
    <w:rsid w:val="00DE0F85"/>
    <w:rsid w:val="00DE10C2"/>
    <w:rsid w:val="00DE31B0"/>
    <w:rsid w:val="00DE4E81"/>
    <w:rsid w:val="00DE624A"/>
    <w:rsid w:val="00DE662F"/>
    <w:rsid w:val="00DF0E5B"/>
    <w:rsid w:val="00DF12C3"/>
    <w:rsid w:val="00DF1E6A"/>
    <w:rsid w:val="00DF7402"/>
    <w:rsid w:val="00E00E61"/>
    <w:rsid w:val="00E010FD"/>
    <w:rsid w:val="00E03229"/>
    <w:rsid w:val="00E04545"/>
    <w:rsid w:val="00E0552B"/>
    <w:rsid w:val="00E06542"/>
    <w:rsid w:val="00E1061B"/>
    <w:rsid w:val="00E15F54"/>
    <w:rsid w:val="00E161A3"/>
    <w:rsid w:val="00E1748E"/>
    <w:rsid w:val="00E219D0"/>
    <w:rsid w:val="00E21B53"/>
    <w:rsid w:val="00E224C7"/>
    <w:rsid w:val="00E24D4C"/>
    <w:rsid w:val="00E256FD"/>
    <w:rsid w:val="00E261E9"/>
    <w:rsid w:val="00E26444"/>
    <w:rsid w:val="00E33AE6"/>
    <w:rsid w:val="00E401E4"/>
    <w:rsid w:val="00E410DD"/>
    <w:rsid w:val="00E5458E"/>
    <w:rsid w:val="00E55BC7"/>
    <w:rsid w:val="00E60185"/>
    <w:rsid w:val="00E62D58"/>
    <w:rsid w:val="00E666A8"/>
    <w:rsid w:val="00E70349"/>
    <w:rsid w:val="00E73342"/>
    <w:rsid w:val="00E76EEB"/>
    <w:rsid w:val="00E8416C"/>
    <w:rsid w:val="00E87B8D"/>
    <w:rsid w:val="00E90783"/>
    <w:rsid w:val="00E92357"/>
    <w:rsid w:val="00E92518"/>
    <w:rsid w:val="00E94A48"/>
    <w:rsid w:val="00E94C2D"/>
    <w:rsid w:val="00E96DE7"/>
    <w:rsid w:val="00E97062"/>
    <w:rsid w:val="00EA11F4"/>
    <w:rsid w:val="00EA409E"/>
    <w:rsid w:val="00EB4377"/>
    <w:rsid w:val="00EB61CC"/>
    <w:rsid w:val="00EB6631"/>
    <w:rsid w:val="00EC1DAB"/>
    <w:rsid w:val="00EC33F9"/>
    <w:rsid w:val="00EC740C"/>
    <w:rsid w:val="00ED32FE"/>
    <w:rsid w:val="00ED398F"/>
    <w:rsid w:val="00ED64C7"/>
    <w:rsid w:val="00ED6C3C"/>
    <w:rsid w:val="00EE12C6"/>
    <w:rsid w:val="00EE1918"/>
    <w:rsid w:val="00EE2144"/>
    <w:rsid w:val="00EE36EE"/>
    <w:rsid w:val="00EE7A08"/>
    <w:rsid w:val="00EF415E"/>
    <w:rsid w:val="00EF53A3"/>
    <w:rsid w:val="00EF73B0"/>
    <w:rsid w:val="00F02046"/>
    <w:rsid w:val="00F025EB"/>
    <w:rsid w:val="00F0346C"/>
    <w:rsid w:val="00F049D2"/>
    <w:rsid w:val="00F07411"/>
    <w:rsid w:val="00F0766D"/>
    <w:rsid w:val="00F07811"/>
    <w:rsid w:val="00F07AC6"/>
    <w:rsid w:val="00F10097"/>
    <w:rsid w:val="00F1066C"/>
    <w:rsid w:val="00F15E56"/>
    <w:rsid w:val="00F16AF6"/>
    <w:rsid w:val="00F224DD"/>
    <w:rsid w:val="00F22984"/>
    <w:rsid w:val="00F24FFF"/>
    <w:rsid w:val="00F262A6"/>
    <w:rsid w:val="00F335FD"/>
    <w:rsid w:val="00F358F6"/>
    <w:rsid w:val="00F4604E"/>
    <w:rsid w:val="00F47740"/>
    <w:rsid w:val="00F506B5"/>
    <w:rsid w:val="00F53D7A"/>
    <w:rsid w:val="00F5411F"/>
    <w:rsid w:val="00F5511E"/>
    <w:rsid w:val="00F60543"/>
    <w:rsid w:val="00F63828"/>
    <w:rsid w:val="00F63F87"/>
    <w:rsid w:val="00F65411"/>
    <w:rsid w:val="00F6641A"/>
    <w:rsid w:val="00F73BC2"/>
    <w:rsid w:val="00F75927"/>
    <w:rsid w:val="00F776ED"/>
    <w:rsid w:val="00F81030"/>
    <w:rsid w:val="00F84021"/>
    <w:rsid w:val="00F950B3"/>
    <w:rsid w:val="00FA32E5"/>
    <w:rsid w:val="00FA7A95"/>
    <w:rsid w:val="00FA7B32"/>
    <w:rsid w:val="00FB2C69"/>
    <w:rsid w:val="00FB3D2C"/>
    <w:rsid w:val="00FB4A10"/>
    <w:rsid w:val="00FB5F93"/>
    <w:rsid w:val="00FC10CB"/>
    <w:rsid w:val="00FC2D88"/>
    <w:rsid w:val="00FC5E05"/>
    <w:rsid w:val="00FC6531"/>
    <w:rsid w:val="00FD0201"/>
    <w:rsid w:val="00FD03B5"/>
    <w:rsid w:val="00FD5217"/>
    <w:rsid w:val="00FD5B79"/>
    <w:rsid w:val="00FE0A98"/>
    <w:rsid w:val="00FE715B"/>
    <w:rsid w:val="00FF159E"/>
    <w:rsid w:val="00FF21D9"/>
    <w:rsid w:val="00FF3DA6"/>
    <w:rsid w:val="00FF5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5A0F"/>
  <w15:chartTrackingRefBased/>
  <w15:docId w15:val="{5CEBE2E7-B4F7-4A64-B375-BFF9C3CC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59"/>
    <w:pPr>
      <w:ind w:left="720"/>
      <w:contextualSpacing/>
    </w:pPr>
  </w:style>
  <w:style w:type="character" w:styleId="CommentReference">
    <w:name w:val="annotation reference"/>
    <w:basedOn w:val="DefaultParagraphFont"/>
    <w:unhideWhenUsed/>
    <w:rsid w:val="00BE5F0A"/>
    <w:rPr>
      <w:sz w:val="16"/>
      <w:szCs w:val="16"/>
    </w:rPr>
  </w:style>
  <w:style w:type="paragraph" w:styleId="CommentText">
    <w:name w:val="annotation text"/>
    <w:basedOn w:val="Normal"/>
    <w:link w:val="CommentTextChar"/>
    <w:unhideWhenUsed/>
    <w:rsid w:val="00BE5F0A"/>
    <w:pPr>
      <w:spacing w:line="240" w:lineRule="auto"/>
    </w:pPr>
    <w:rPr>
      <w:sz w:val="20"/>
      <w:szCs w:val="20"/>
    </w:rPr>
  </w:style>
  <w:style w:type="character" w:customStyle="1" w:styleId="CommentTextChar">
    <w:name w:val="Comment Text Char"/>
    <w:basedOn w:val="DefaultParagraphFont"/>
    <w:link w:val="CommentText"/>
    <w:rsid w:val="00BE5F0A"/>
    <w:rPr>
      <w:sz w:val="20"/>
      <w:szCs w:val="20"/>
    </w:rPr>
  </w:style>
  <w:style w:type="paragraph" w:styleId="CommentSubject">
    <w:name w:val="annotation subject"/>
    <w:basedOn w:val="CommentText"/>
    <w:next w:val="CommentText"/>
    <w:link w:val="CommentSubjectChar"/>
    <w:uiPriority w:val="99"/>
    <w:semiHidden/>
    <w:unhideWhenUsed/>
    <w:rsid w:val="00BE5F0A"/>
    <w:rPr>
      <w:b/>
      <w:bCs/>
    </w:rPr>
  </w:style>
  <w:style w:type="character" w:customStyle="1" w:styleId="CommentSubjectChar">
    <w:name w:val="Comment Subject Char"/>
    <w:basedOn w:val="CommentTextChar"/>
    <w:link w:val="CommentSubject"/>
    <w:uiPriority w:val="99"/>
    <w:semiHidden/>
    <w:rsid w:val="00BE5F0A"/>
    <w:rPr>
      <w:b/>
      <w:bCs/>
      <w:sz w:val="20"/>
      <w:szCs w:val="20"/>
    </w:rPr>
  </w:style>
  <w:style w:type="paragraph" w:styleId="BalloonText">
    <w:name w:val="Balloon Text"/>
    <w:basedOn w:val="Normal"/>
    <w:link w:val="BalloonTextChar"/>
    <w:uiPriority w:val="99"/>
    <w:semiHidden/>
    <w:unhideWhenUsed/>
    <w:rsid w:val="00BE5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0A"/>
    <w:rPr>
      <w:rFonts w:ascii="Segoe UI" w:hAnsi="Segoe UI" w:cs="Segoe UI"/>
      <w:sz w:val="18"/>
      <w:szCs w:val="18"/>
    </w:rPr>
  </w:style>
  <w:style w:type="character" w:styleId="Hyperlink">
    <w:name w:val="Hyperlink"/>
    <w:basedOn w:val="DefaultParagraphFont"/>
    <w:uiPriority w:val="99"/>
    <w:unhideWhenUsed/>
    <w:rsid w:val="00807D96"/>
    <w:rPr>
      <w:color w:val="0563C1" w:themeColor="hyperlink"/>
      <w:u w:val="single"/>
    </w:rPr>
  </w:style>
  <w:style w:type="character" w:styleId="UnresolvedMention">
    <w:name w:val="Unresolved Mention"/>
    <w:basedOn w:val="DefaultParagraphFont"/>
    <w:uiPriority w:val="99"/>
    <w:semiHidden/>
    <w:unhideWhenUsed/>
    <w:rsid w:val="00807D96"/>
    <w:rPr>
      <w:color w:val="605E5C"/>
      <w:shd w:val="clear" w:color="auto" w:fill="E1DFDD"/>
    </w:rPr>
  </w:style>
  <w:style w:type="paragraph" w:styleId="ListBullet">
    <w:name w:val="List Bullet"/>
    <w:basedOn w:val="Normal"/>
    <w:qFormat/>
    <w:rsid w:val="00DA6575"/>
    <w:pPr>
      <w:numPr>
        <w:numId w:val="7"/>
      </w:numPr>
      <w:spacing w:after="80" w:line="240" w:lineRule="atLeast"/>
    </w:pPr>
    <w:rPr>
      <w:rFonts w:ascii="Arial" w:eastAsia="Times New Roman" w:hAnsi="Arial" w:cs="Times New Roman"/>
      <w:sz w:val="20"/>
      <w:szCs w:val="24"/>
      <w:lang w:eastAsia="en-AU"/>
    </w:rPr>
  </w:style>
  <w:style w:type="character" w:styleId="FootnoteReference">
    <w:name w:val="footnote reference"/>
    <w:basedOn w:val="DefaultParagraphFont"/>
    <w:semiHidden/>
    <w:rsid w:val="00DA6575"/>
    <w:rPr>
      <w:rFonts w:ascii="Arial" w:hAnsi="Arial"/>
      <w:vertAlign w:val="superscript"/>
    </w:rPr>
  </w:style>
  <w:style w:type="paragraph" w:styleId="FootnoteText">
    <w:name w:val="footnote text"/>
    <w:basedOn w:val="Normal"/>
    <w:link w:val="FootnoteTextChar"/>
    <w:rsid w:val="00DA6575"/>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basedOn w:val="DefaultParagraphFont"/>
    <w:link w:val="FootnoteText"/>
    <w:rsid w:val="00DA6575"/>
    <w:rPr>
      <w:rFonts w:ascii="Arial" w:eastAsia="Times New Roman" w:hAnsi="Arial" w:cs="Times New Roman"/>
      <w:sz w:val="16"/>
      <w:szCs w:val="16"/>
      <w:lang w:eastAsia="en-AU"/>
    </w:rPr>
  </w:style>
  <w:style w:type="paragraph" w:customStyle="1" w:styleId="ListBulletLast">
    <w:name w:val="List Bullet Last"/>
    <w:basedOn w:val="ListBullet"/>
    <w:qFormat/>
    <w:rsid w:val="00DA6575"/>
    <w:pPr>
      <w:spacing w:after="240"/>
    </w:pPr>
    <w:rPr>
      <w:rFonts w:cs="Arial"/>
    </w:rPr>
  </w:style>
  <w:style w:type="character" w:styleId="FollowedHyperlink">
    <w:name w:val="FollowedHyperlink"/>
    <w:basedOn w:val="DefaultParagraphFont"/>
    <w:uiPriority w:val="99"/>
    <w:semiHidden/>
    <w:unhideWhenUsed/>
    <w:rsid w:val="00D05072"/>
    <w:rPr>
      <w:color w:val="954F72" w:themeColor="followedHyperlink"/>
      <w:u w:val="single"/>
    </w:rPr>
  </w:style>
  <w:style w:type="paragraph" w:styleId="Revision">
    <w:name w:val="Revision"/>
    <w:hidden/>
    <w:uiPriority w:val="99"/>
    <w:semiHidden/>
    <w:rsid w:val="00917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7C00901" TargetMode="External"/><Relationship Id="rId13" Type="http://schemas.openxmlformats.org/officeDocument/2006/relationships/hyperlink" Target="https://www.legislation.gov.au/Details/F2016C002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ma.gov.au/theACMA/vhf-high-band-frequency-band-plan-148-to-174-mhz-over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8C00926" TargetMode="External"/><Relationship Id="rId5" Type="http://schemas.openxmlformats.org/officeDocument/2006/relationships/webSettings" Target="webSettings.xml"/><Relationship Id="rId15" Type="http://schemas.openxmlformats.org/officeDocument/2006/relationships/hyperlink" Target="http://www.acma.gov.au" TargetMode="External"/><Relationship Id="rId10" Type="http://schemas.openxmlformats.org/officeDocument/2006/relationships/hyperlink" Target="https://www.legislation.gov.au/Details/F2018C00919" TargetMode="External"/><Relationship Id="rId4" Type="http://schemas.openxmlformats.org/officeDocument/2006/relationships/settings" Target="settings.xml"/><Relationship Id="rId9" Type="http://schemas.openxmlformats.org/officeDocument/2006/relationships/hyperlink" Target="https://www.legislation.gov.au/Details/F2018C00925" TargetMode="External"/><Relationship Id="rId14"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A71C-96C3-482A-8488-1219AE37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White</dc:creator>
  <cp:keywords/>
  <dc:description/>
  <cp:lastModifiedBy>Amanda Duvall</cp:lastModifiedBy>
  <cp:revision>3</cp:revision>
  <cp:lastPrinted>2019-05-22T00:57:00Z</cp:lastPrinted>
  <dcterms:created xsi:type="dcterms:W3CDTF">2019-06-06T05:09:00Z</dcterms:created>
  <dcterms:modified xsi:type="dcterms:W3CDTF">2019-06-06T05:10:00Z</dcterms:modified>
</cp:coreProperties>
</file>