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251AF" w14:textId="7FB20175" w:rsidR="00F802E2" w:rsidRPr="00045CBE" w:rsidRDefault="00F802E2" w:rsidP="00F802E2">
      <w:pPr>
        <w:spacing w:after="240"/>
        <w:jc w:val="center"/>
        <w:rPr>
          <w:rFonts w:ascii="Times New Roman" w:eastAsia="Times New Roman" w:hAnsi="Times New Roman"/>
          <w:b/>
          <w:sz w:val="24"/>
          <w:szCs w:val="24"/>
          <w:lang w:eastAsia="en-AU"/>
        </w:rPr>
      </w:pPr>
      <w:bookmarkStart w:id="0" w:name="_GoBack"/>
      <w:bookmarkEnd w:id="0"/>
      <w:r w:rsidRPr="00045CBE">
        <w:rPr>
          <w:rFonts w:ascii="Times New Roman" w:eastAsia="Times New Roman" w:hAnsi="Times New Roman"/>
          <w:b/>
          <w:sz w:val="24"/>
          <w:szCs w:val="24"/>
          <w:lang w:eastAsia="en-AU"/>
        </w:rPr>
        <w:t>Insurance (prudential standard) determination</w:t>
      </w:r>
      <w:r w:rsidR="00A8122B" w:rsidRPr="00045CBE">
        <w:rPr>
          <w:rFonts w:ascii="Times New Roman" w:eastAsia="Times New Roman" w:hAnsi="Times New Roman"/>
          <w:b/>
          <w:sz w:val="24"/>
          <w:szCs w:val="24"/>
          <w:lang w:eastAsia="en-AU"/>
        </w:rPr>
        <w:t>s</w:t>
      </w:r>
      <w:r w:rsidRPr="00045CBE">
        <w:rPr>
          <w:rFonts w:ascii="Times New Roman" w:eastAsia="Times New Roman" w:hAnsi="Times New Roman"/>
          <w:b/>
          <w:sz w:val="24"/>
          <w:szCs w:val="24"/>
          <w:lang w:eastAsia="en-AU"/>
        </w:rPr>
        <w:t xml:space="preserve"> No</w:t>
      </w:r>
      <w:r w:rsidR="00FC6B63">
        <w:rPr>
          <w:rFonts w:ascii="Times New Roman" w:eastAsia="Times New Roman" w:hAnsi="Times New Roman"/>
          <w:b/>
          <w:sz w:val="24"/>
          <w:szCs w:val="24"/>
          <w:lang w:eastAsia="en-AU"/>
        </w:rPr>
        <w:t xml:space="preserve">s. </w:t>
      </w:r>
      <w:r w:rsidR="000512E9">
        <w:rPr>
          <w:rFonts w:ascii="Times New Roman" w:eastAsia="Times New Roman" w:hAnsi="Times New Roman"/>
          <w:b/>
          <w:sz w:val="24"/>
          <w:szCs w:val="24"/>
          <w:lang w:eastAsia="en-AU"/>
        </w:rPr>
        <w:t>10 to 13</w:t>
      </w:r>
      <w:r w:rsidR="00FC6B63">
        <w:rPr>
          <w:rFonts w:ascii="Times New Roman" w:eastAsia="Times New Roman" w:hAnsi="Times New Roman"/>
          <w:b/>
          <w:sz w:val="24"/>
          <w:szCs w:val="24"/>
          <w:lang w:eastAsia="en-AU"/>
        </w:rPr>
        <w:t xml:space="preserve"> </w:t>
      </w:r>
      <w:r w:rsidRPr="009D252F">
        <w:rPr>
          <w:rFonts w:ascii="Times New Roman" w:eastAsia="Times New Roman" w:hAnsi="Times New Roman"/>
          <w:b/>
          <w:sz w:val="24"/>
          <w:szCs w:val="24"/>
          <w:lang w:eastAsia="en-AU"/>
        </w:rPr>
        <w:t>of</w:t>
      </w:r>
      <w:r w:rsidRPr="00045CBE">
        <w:rPr>
          <w:rFonts w:ascii="Times New Roman" w:eastAsia="Times New Roman" w:hAnsi="Times New Roman"/>
          <w:b/>
          <w:sz w:val="24"/>
          <w:szCs w:val="24"/>
          <w:lang w:eastAsia="en-AU"/>
        </w:rPr>
        <w:t xml:space="preserve"> 201</w:t>
      </w:r>
      <w:r w:rsidR="00757CD4">
        <w:rPr>
          <w:rFonts w:ascii="Times New Roman" w:eastAsia="Times New Roman" w:hAnsi="Times New Roman"/>
          <w:b/>
          <w:sz w:val="24"/>
          <w:szCs w:val="24"/>
          <w:lang w:eastAsia="en-AU"/>
        </w:rPr>
        <w:t>9</w:t>
      </w:r>
    </w:p>
    <w:p w14:paraId="19344D77" w14:textId="77777777" w:rsidR="00A019DA" w:rsidRPr="00045CBE" w:rsidRDefault="002F73E5" w:rsidP="00B321B0">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u w:val="single"/>
          <w:lang w:eastAsia="en-AU"/>
        </w:rPr>
        <w:t>EXPLANATORY</w:t>
      </w:r>
      <w:r w:rsidR="00A019DA" w:rsidRPr="00045CBE">
        <w:rPr>
          <w:rFonts w:ascii="Times New Roman" w:eastAsia="Times New Roman" w:hAnsi="Times New Roman"/>
          <w:b/>
          <w:sz w:val="24"/>
          <w:szCs w:val="24"/>
          <w:u w:val="single"/>
          <w:lang w:eastAsia="en-AU"/>
        </w:rPr>
        <w:t xml:space="preserve"> STATEMENT</w:t>
      </w:r>
    </w:p>
    <w:p w14:paraId="068C8C20" w14:textId="77777777" w:rsidR="00A019DA" w:rsidRPr="00045CBE" w:rsidRDefault="00A019DA" w:rsidP="00B321B0">
      <w:pPr>
        <w:spacing w:after="240"/>
        <w:jc w:val="center"/>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Prepared by the Australian Prudential Regulation Authority (</w:t>
      </w:r>
      <w:r w:rsidRPr="00045CBE">
        <w:rPr>
          <w:rFonts w:ascii="Times New Roman" w:eastAsia="Times New Roman" w:hAnsi="Times New Roman"/>
          <w:b/>
          <w:iCs/>
          <w:sz w:val="24"/>
          <w:szCs w:val="24"/>
          <w:lang w:eastAsia="en-AU"/>
        </w:rPr>
        <w:t>APRA</w:t>
      </w:r>
      <w:r w:rsidRPr="00045CBE">
        <w:rPr>
          <w:rFonts w:ascii="Times New Roman" w:eastAsia="Times New Roman" w:hAnsi="Times New Roman"/>
          <w:b/>
          <w:sz w:val="24"/>
          <w:szCs w:val="24"/>
          <w:lang w:eastAsia="en-AU"/>
        </w:rPr>
        <w:t>)</w:t>
      </w:r>
    </w:p>
    <w:p w14:paraId="58E85C73" w14:textId="77777777" w:rsidR="007816F0" w:rsidRPr="00045CBE" w:rsidRDefault="007816F0" w:rsidP="00092E8C">
      <w:pPr>
        <w:shd w:val="clear" w:color="auto" w:fill="FFFFFF" w:themeFill="background1"/>
        <w:spacing w:after="240"/>
        <w:jc w:val="center"/>
        <w:rPr>
          <w:rFonts w:ascii="Times New Roman" w:hAnsi="Times New Roman"/>
          <w:sz w:val="24"/>
          <w:szCs w:val="24"/>
          <w:lang w:val="en-US"/>
        </w:rPr>
      </w:pPr>
      <w:bookmarkStart w:id="1" w:name="bkExplanatory"/>
      <w:bookmarkStart w:id="2" w:name="bkAct"/>
      <w:bookmarkEnd w:id="1"/>
      <w:bookmarkEnd w:id="2"/>
      <w:r w:rsidRPr="00045CBE">
        <w:rPr>
          <w:rFonts w:ascii="Times New Roman" w:hAnsi="Times New Roman"/>
          <w:i/>
          <w:iCs/>
          <w:color w:val="000000"/>
          <w:sz w:val="24"/>
          <w:szCs w:val="24"/>
        </w:rPr>
        <w:t>Insurance Act 1973</w:t>
      </w:r>
      <w:r w:rsidRPr="00045CBE">
        <w:rPr>
          <w:rFonts w:ascii="Times New Roman" w:hAnsi="Times New Roman"/>
          <w:color w:val="000000"/>
          <w:sz w:val="24"/>
          <w:szCs w:val="24"/>
        </w:rPr>
        <w:t>, section 32</w:t>
      </w:r>
    </w:p>
    <w:p w14:paraId="6ADFB851" w14:textId="755280D0" w:rsidR="00712ABC" w:rsidRPr="00712ABC" w:rsidRDefault="00AB3743" w:rsidP="00211B57">
      <w:pPr>
        <w:shd w:val="clear" w:color="auto" w:fill="FFFFFF" w:themeFill="background1"/>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Under subsection 32(1) of the </w:t>
      </w:r>
      <w:r w:rsidRPr="00211B57">
        <w:rPr>
          <w:rFonts w:ascii="Times New Roman" w:hAnsi="Times New Roman"/>
          <w:i/>
          <w:sz w:val="24"/>
          <w:szCs w:val="24"/>
        </w:rPr>
        <w:t>Insurance Act 1973</w:t>
      </w:r>
      <w:r>
        <w:rPr>
          <w:rFonts w:ascii="Times New Roman" w:hAnsi="Times New Roman"/>
          <w:sz w:val="24"/>
          <w:szCs w:val="24"/>
        </w:rPr>
        <w:t xml:space="preserve"> (the Act), </w:t>
      </w:r>
      <w:r w:rsidR="007816F0" w:rsidRPr="00045CBE">
        <w:rPr>
          <w:rFonts w:ascii="Times New Roman" w:hAnsi="Times New Roman"/>
          <w:sz w:val="24"/>
          <w:szCs w:val="24"/>
        </w:rPr>
        <w:t xml:space="preserve">APRA </w:t>
      </w:r>
      <w:r>
        <w:rPr>
          <w:rFonts w:ascii="Times New Roman" w:hAnsi="Times New Roman"/>
          <w:sz w:val="24"/>
          <w:szCs w:val="24"/>
        </w:rPr>
        <w:t xml:space="preserve">has the power to determine standards (prudential standards), in writing, in relation to prudential matters to be complied with by general insurers, authorised non-operating holding companies (authorised insurance NOHCs), and subsidiaries of general insurers and authorised NOHCs. Under subsection 32(4) of the Act, APRA </w:t>
      </w:r>
      <w:r w:rsidR="007816F0" w:rsidRPr="00045CBE">
        <w:rPr>
          <w:rFonts w:ascii="Times New Roman" w:hAnsi="Times New Roman"/>
          <w:sz w:val="24"/>
          <w:szCs w:val="24"/>
        </w:rPr>
        <w:t xml:space="preserve">may, in writing, </w:t>
      </w:r>
      <w:r w:rsidR="00F87D3E">
        <w:rPr>
          <w:rFonts w:ascii="Times New Roman" w:hAnsi="Times New Roman"/>
          <w:sz w:val="24"/>
          <w:szCs w:val="24"/>
        </w:rPr>
        <w:t>vary or revoke</w:t>
      </w:r>
      <w:r w:rsidR="00E07DFA">
        <w:rPr>
          <w:rFonts w:ascii="Times New Roman" w:hAnsi="Times New Roman"/>
          <w:sz w:val="24"/>
          <w:szCs w:val="24"/>
        </w:rPr>
        <w:t xml:space="preserve"> a prudential standard.</w:t>
      </w:r>
    </w:p>
    <w:p w14:paraId="23AEF6C3" w14:textId="70048F4E" w:rsidR="007816F0" w:rsidRPr="00045CBE" w:rsidRDefault="00266880" w:rsidP="009D7325">
      <w:pPr>
        <w:shd w:val="clear" w:color="auto" w:fill="FFFFFF" w:themeFill="background1"/>
        <w:spacing w:before="100" w:beforeAutospacing="1" w:after="100" w:afterAutospacing="1"/>
        <w:jc w:val="both"/>
        <w:rPr>
          <w:rFonts w:ascii="Times New Roman" w:hAnsi="Times New Roman"/>
          <w:sz w:val="24"/>
          <w:szCs w:val="24"/>
          <w:lang w:val="en-US"/>
        </w:rPr>
      </w:pPr>
      <w:r>
        <w:rPr>
          <w:rFonts w:ascii="Times New Roman" w:hAnsi="Times New Roman"/>
          <w:sz w:val="24"/>
          <w:szCs w:val="24"/>
        </w:rPr>
        <w:t>On</w:t>
      </w:r>
      <w:r w:rsidR="007F009D">
        <w:rPr>
          <w:rFonts w:ascii="Times New Roman" w:hAnsi="Times New Roman"/>
          <w:sz w:val="24"/>
          <w:szCs w:val="24"/>
        </w:rPr>
        <w:t xml:space="preserve"> 19</w:t>
      </w:r>
      <w:r w:rsidR="00B664B9">
        <w:rPr>
          <w:rFonts w:ascii="Times New Roman" w:hAnsi="Times New Roman"/>
          <w:sz w:val="24"/>
          <w:szCs w:val="24"/>
        </w:rPr>
        <w:t xml:space="preserve"> </w:t>
      </w:r>
      <w:r w:rsidR="00211B57">
        <w:rPr>
          <w:rFonts w:ascii="Times New Roman" w:hAnsi="Times New Roman"/>
          <w:sz w:val="24"/>
          <w:szCs w:val="24"/>
        </w:rPr>
        <w:t xml:space="preserve">June </w:t>
      </w:r>
      <w:r>
        <w:rPr>
          <w:rFonts w:ascii="Times New Roman" w:hAnsi="Times New Roman"/>
          <w:sz w:val="24"/>
          <w:szCs w:val="24"/>
        </w:rPr>
        <w:t>2019</w:t>
      </w:r>
      <w:r w:rsidR="007816F0" w:rsidRPr="00045CBE">
        <w:rPr>
          <w:rFonts w:ascii="Times New Roman" w:hAnsi="Times New Roman"/>
          <w:sz w:val="24"/>
          <w:szCs w:val="24"/>
        </w:rPr>
        <w:t>, APRA made the following</w:t>
      </w:r>
      <w:r w:rsidR="007816F0" w:rsidRPr="00045CBE">
        <w:rPr>
          <w:rFonts w:ascii="Times New Roman" w:hAnsi="Times New Roman"/>
          <w:sz w:val="24"/>
          <w:szCs w:val="24"/>
          <w:shd w:val="clear" w:color="auto" w:fill="FFFFFF" w:themeFill="background1"/>
        </w:rPr>
        <w:t xml:space="preserve"> determination</w:t>
      </w:r>
      <w:r w:rsidR="006F4A37">
        <w:rPr>
          <w:rFonts w:ascii="Times New Roman" w:hAnsi="Times New Roman"/>
          <w:sz w:val="24"/>
          <w:szCs w:val="24"/>
          <w:shd w:val="clear" w:color="auto" w:fill="FFFFFF" w:themeFill="background1"/>
        </w:rPr>
        <w:t xml:space="preserve"> instruments</w:t>
      </w:r>
      <w:r w:rsidR="007816F0" w:rsidRPr="00045CBE">
        <w:rPr>
          <w:rFonts w:ascii="Times New Roman" w:hAnsi="Times New Roman"/>
          <w:sz w:val="24"/>
          <w:szCs w:val="24"/>
        </w:rPr>
        <w:t xml:space="preserve"> (the </w:t>
      </w:r>
      <w:r w:rsidR="00DF5870">
        <w:rPr>
          <w:rFonts w:ascii="Times New Roman" w:hAnsi="Times New Roman"/>
          <w:sz w:val="24"/>
          <w:szCs w:val="24"/>
        </w:rPr>
        <w:t>I</w:t>
      </w:r>
      <w:r w:rsidR="007816F0" w:rsidRPr="00045CBE">
        <w:rPr>
          <w:rFonts w:ascii="Times New Roman" w:hAnsi="Times New Roman"/>
          <w:sz w:val="24"/>
          <w:szCs w:val="24"/>
        </w:rPr>
        <w:t>nstrument</w:t>
      </w:r>
      <w:r w:rsidR="00876606">
        <w:rPr>
          <w:rFonts w:ascii="Times New Roman" w:hAnsi="Times New Roman"/>
          <w:sz w:val="24"/>
          <w:szCs w:val="24"/>
        </w:rPr>
        <w:t>s</w:t>
      </w:r>
      <w:r w:rsidR="007816F0" w:rsidRPr="00045CBE">
        <w:rPr>
          <w:rFonts w:ascii="Times New Roman" w:hAnsi="Times New Roman"/>
          <w:sz w:val="24"/>
          <w:szCs w:val="24"/>
        </w:rPr>
        <w:t>):</w:t>
      </w:r>
    </w:p>
    <w:p w14:paraId="0A3D49B8" w14:textId="61D2FE76" w:rsidR="006F4A37" w:rsidRDefault="006F4A37" w:rsidP="0012122C">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rPr>
        <w:t xml:space="preserve">Insurance (prudential standard) </w:t>
      </w:r>
      <w:r w:rsidR="000512E9">
        <w:rPr>
          <w:rFonts w:ascii="Times New Roman" w:hAnsi="Times New Roman"/>
          <w:sz w:val="24"/>
          <w:szCs w:val="24"/>
        </w:rPr>
        <w:t>determination</w:t>
      </w:r>
      <w:r>
        <w:rPr>
          <w:rFonts w:ascii="Times New Roman" w:hAnsi="Times New Roman"/>
          <w:sz w:val="24"/>
          <w:szCs w:val="24"/>
        </w:rPr>
        <w:t xml:space="preserve"> No. </w:t>
      </w:r>
      <w:r w:rsidR="000512E9">
        <w:rPr>
          <w:rFonts w:ascii="Times New Roman" w:hAnsi="Times New Roman"/>
          <w:sz w:val="24"/>
          <w:szCs w:val="24"/>
        </w:rPr>
        <w:t>10</w:t>
      </w:r>
      <w:r>
        <w:rPr>
          <w:rFonts w:ascii="Times New Roman" w:hAnsi="Times New Roman"/>
          <w:sz w:val="24"/>
          <w:szCs w:val="24"/>
        </w:rPr>
        <w:t xml:space="preserve"> of 2019 </w:t>
      </w:r>
      <w:r w:rsidR="00136E09">
        <w:rPr>
          <w:rFonts w:ascii="Times New Roman" w:hAnsi="Times New Roman"/>
          <w:sz w:val="24"/>
          <w:szCs w:val="24"/>
        </w:rPr>
        <w:t xml:space="preserve">(the instrument) </w:t>
      </w:r>
      <w:r>
        <w:rPr>
          <w:rFonts w:ascii="Times New Roman" w:hAnsi="Times New Roman"/>
          <w:sz w:val="24"/>
          <w:szCs w:val="24"/>
        </w:rPr>
        <w:t xml:space="preserve">which revokes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 xml:space="preserve">110 Capital Adequacy </w:t>
      </w:r>
      <w:r w:rsidRPr="00045CBE">
        <w:rPr>
          <w:rFonts w:ascii="Times New Roman" w:hAnsi="Times New Roman"/>
          <w:sz w:val="24"/>
          <w:szCs w:val="24"/>
        </w:rPr>
        <w:t xml:space="preserve">made under Insurance </w:t>
      </w:r>
      <w:r w:rsidR="00136E09">
        <w:rPr>
          <w:rFonts w:ascii="Times New Roman" w:hAnsi="Times New Roman"/>
          <w:sz w:val="24"/>
          <w:szCs w:val="24"/>
        </w:rPr>
        <w:t xml:space="preserve">(prudential standard) </w:t>
      </w:r>
      <w:r w:rsidRPr="00045CBE">
        <w:rPr>
          <w:rFonts w:ascii="Times New Roman" w:hAnsi="Times New Roman"/>
          <w:sz w:val="24"/>
          <w:szCs w:val="24"/>
        </w:rPr>
        <w:t xml:space="preserve">determination No. </w:t>
      </w:r>
      <w:r>
        <w:rPr>
          <w:rFonts w:ascii="Times New Roman" w:hAnsi="Times New Roman"/>
          <w:sz w:val="24"/>
          <w:szCs w:val="24"/>
        </w:rPr>
        <w:t>1</w:t>
      </w:r>
      <w:r w:rsidRPr="00045CBE">
        <w:rPr>
          <w:rFonts w:ascii="Times New Roman" w:hAnsi="Times New Roman"/>
          <w:sz w:val="24"/>
          <w:szCs w:val="24"/>
        </w:rPr>
        <w:t xml:space="preserve"> of </w:t>
      </w:r>
      <w:r>
        <w:rPr>
          <w:rFonts w:ascii="Times New Roman" w:hAnsi="Times New Roman"/>
          <w:sz w:val="24"/>
          <w:szCs w:val="24"/>
        </w:rPr>
        <w:t>2019;</w:t>
      </w:r>
    </w:p>
    <w:p w14:paraId="6C41D821" w14:textId="77777777" w:rsidR="006F4A37" w:rsidRPr="00211B57" w:rsidRDefault="006F4A37" w:rsidP="0012122C">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Pr>
          <w:rFonts w:ascii="Times New Roman" w:hAnsi="Times New Roman"/>
          <w:sz w:val="24"/>
          <w:szCs w:val="24"/>
        </w:rPr>
        <w:t xml:space="preserve">Insurance (prudential standard) </w:t>
      </w:r>
      <w:r w:rsidR="000512E9">
        <w:rPr>
          <w:rFonts w:ascii="Times New Roman" w:hAnsi="Times New Roman"/>
          <w:sz w:val="24"/>
          <w:szCs w:val="24"/>
        </w:rPr>
        <w:t>determination</w:t>
      </w:r>
      <w:r>
        <w:rPr>
          <w:rFonts w:ascii="Times New Roman" w:hAnsi="Times New Roman"/>
          <w:sz w:val="24"/>
          <w:szCs w:val="24"/>
        </w:rPr>
        <w:t xml:space="preserve"> No. </w:t>
      </w:r>
      <w:r w:rsidR="000512E9">
        <w:rPr>
          <w:rFonts w:ascii="Times New Roman" w:hAnsi="Times New Roman"/>
          <w:sz w:val="24"/>
          <w:szCs w:val="24"/>
        </w:rPr>
        <w:t>11</w:t>
      </w:r>
      <w:r>
        <w:rPr>
          <w:rFonts w:ascii="Times New Roman" w:hAnsi="Times New Roman"/>
          <w:sz w:val="24"/>
          <w:szCs w:val="24"/>
        </w:rPr>
        <w:t xml:space="preserve"> of 2019 </w:t>
      </w:r>
      <w:r w:rsidR="00136E09">
        <w:rPr>
          <w:rFonts w:ascii="Times New Roman" w:hAnsi="Times New Roman"/>
          <w:sz w:val="24"/>
          <w:szCs w:val="24"/>
        </w:rPr>
        <w:t xml:space="preserve">(the instrument) </w:t>
      </w:r>
      <w:r>
        <w:rPr>
          <w:rFonts w:ascii="Times New Roman" w:hAnsi="Times New Roman"/>
          <w:sz w:val="24"/>
          <w:szCs w:val="24"/>
        </w:rPr>
        <w:t xml:space="preserve">which revokes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116 Capital Adequacy: Insurance Concentration Risk Charge</w:t>
      </w:r>
      <w:r w:rsidRPr="00045CBE">
        <w:rPr>
          <w:rFonts w:ascii="Times New Roman" w:hAnsi="Times New Roman"/>
          <w:sz w:val="24"/>
          <w:szCs w:val="24"/>
        </w:rPr>
        <w:t xml:space="preserve"> made under Insurance </w:t>
      </w:r>
      <w:r w:rsidR="00136E09">
        <w:rPr>
          <w:rFonts w:ascii="Times New Roman" w:hAnsi="Times New Roman"/>
          <w:sz w:val="24"/>
          <w:szCs w:val="24"/>
        </w:rPr>
        <w:t xml:space="preserve">(prudential standard) </w:t>
      </w:r>
      <w:r w:rsidRPr="00045CBE">
        <w:rPr>
          <w:rFonts w:ascii="Times New Roman" w:hAnsi="Times New Roman"/>
          <w:sz w:val="24"/>
          <w:szCs w:val="24"/>
        </w:rPr>
        <w:t xml:space="preserve">determination No. </w:t>
      </w:r>
      <w:r>
        <w:rPr>
          <w:rFonts w:ascii="Times New Roman" w:hAnsi="Times New Roman"/>
          <w:sz w:val="24"/>
          <w:szCs w:val="24"/>
        </w:rPr>
        <w:t>6</w:t>
      </w:r>
      <w:r w:rsidRPr="00045CBE">
        <w:rPr>
          <w:rFonts w:ascii="Times New Roman" w:hAnsi="Times New Roman"/>
          <w:sz w:val="24"/>
          <w:szCs w:val="24"/>
        </w:rPr>
        <w:t xml:space="preserve"> of 201</w:t>
      </w:r>
      <w:r>
        <w:rPr>
          <w:rFonts w:ascii="Times New Roman" w:hAnsi="Times New Roman"/>
          <w:sz w:val="24"/>
          <w:szCs w:val="24"/>
        </w:rPr>
        <w:t xml:space="preserve">9; </w:t>
      </w:r>
    </w:p>
    <w:p w14:paraId="350D6459" w14:textId="6E82B9D9" w:rsidR="0012122C" w:rsidRPr="0012122C" w:rsidRDefault="0012122C" w:rsidP="0012122C">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 determination No. </w:t>
      </w:r>
      <w:r w:rsidR="000512E9">
        <w:rPr>
          <w:rFonts w:ascii="Times New Roman" w:hAnsi="Times New Roman"/>
          <w:sz w:val="24"/>
          <w:szCs w:val="24"/>
          <w:lang w:val="en-US"/>
        </w:rPr>
        <w:t xml:space="preserve">12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t>
      </w:r>
      <w:r w:rsidR="00136E09">
        <w:rPr>
          <w:rFonts w:ascii="Times New Roman" w:hAnsi="Times New Roman"/>
          <w:sz w:val="24"/>
          <w:szCs w:val="24"/>
          <w:lang w:val="en-US"/>
        </w:rPr>
        <w:t xml:space="preserve">(the instrument) </w:t>
      </w:r>
      <w:r w:rsidRPr="00045CBE">
        <w:rPr>
          <w:rFonts w:ascii="Times New Roman" w:hAnsi="Times New Roman"/>
          <w:sz w:val="24"/>
          <w:szCs w:val="24"/>
          <w:lang w:val="en-US"/>
        </w:rPr>
        <w:t xml:space="preserve">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 xml:space="preserve">110 Capital Adequacy </w:t>
      </w:r>
      <w:r w:rsidRPr="00045CBE">
        <w:rPr>
          <w:rFonts w:ascii="Times New Roman" w:hAnsi="Times New Roman"/>
          <w:sz w:val="24"/>
          <w:szCs w:val="24"/>
        </w:rPr>
        <w:t xml:space="preserve">made under Insurance </w:t>
      </w:r>
      <w:r w:rsidR="00136E09">
        <w:rPr>
          <w:rFonts w:ascii="Times New Roman" w:hAnsi="Times New Roman"/>
          <w:sz w:val="24"/>
          <w:szCs w:val="24"/>
        </w:rPr>
        <w:t xml:space="preserve">(prudential standard) </w:t>
      </w:r>
      <w:r w:rsidRPr="00045CBE">
        <w:rPr>
          <w:rFonts w:ascii="Times New Roman" w:hAnsi="Times New Roman"/>
          <w:sz w:val="24"/>
          <w:szCs w:val="24"/>
        </w:rPr>
        <w:t xml:space="preserve">determination No. </w:t>
      </w:r>
      <w:r w:rsidR="00611CCB">
        <w:rPr>
          <w:rFonts w:ascii="Times New Roman" w:hAnsi="Times New Roman"/>
          <w:sz w:val="24"/>
          <w:szCs w:val="24"/>
        </w:rPr>
        <w:t>3</w:t>
      </w:r>
      <w:r w:rsidRPr="00045CBE">
        <w:rPr>
          <w:rFonts w:ascii="Times New Roman" w:hAnsi="Times New Roman"/>
          <w:sz w:val="24"/>
          <w:szCs w:val="24"/>
        </w:rPr>
        <w:t xml:space="preserve"> of </w:t>
      </w:r>
      <w:r>
        <w:rPr>
          <w:rFonts w:ascii="Times New Roman" w:hAnsi="Times New Roman"/>
          <w:sz w:val="24"/>
          <w:szCs w:val="24"/>
        </w:rPr>
        <w:t>201</w:t>
      </w:r>
      <w:r w:rsidR="00611CCB">
        <w:rPr>
          <w:rFonts w:ascii="Times New Roman" w:hAnsi="Times New Roman"/>
          <w:sz w:val="24"/>
          <w:szCs w:val="24"/>
        </w:rPr>
        <w:t>4</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Pr>
          <w:rFonts w:ascii="Times New Roman" w:hAnsi="Times New Roman"/>
          <w:i/>
          <w:iCs/>
          <w:sz w:val="24"/>
          <w:szCs w:val="24"/>
        </w:rPr>
        <w:t>110 Capital Adequacy</w:t>
      </w:r>
      <w:r w:rsidRPr="00045CBE">
        <w:rPr>
          <w:rFonts w:ascii="Times New Roman" w:hAnsi="Times New Roman"/>
          <w:i/>
          <w:iCs/>
          <w:sz w:val="24"/>
          <w:szCs w:val="24"/>
        </w:rPr>
        <w:t xml:space="preserve"> </w:t>
      </w:r>
      <w:r w:rsidRPr="00045CBE">
        <w:rPr>
          <w:rFonts w:ascii="Times New Roman" w:hAnsi="Times New Roman"/>
          <w:iCs/>
          <w:sz w:val="24"/>
          <w:szCs w:val="24"/>
        </w:rPr>
        <w:t>(</w:t>
      </w:r>
      <w:r w:rsidRPr="00045CBE">
        <w:rPr>
          <w:rFonts w:ascii="Times New Roman" w:hAnsi="Times New Roman"/>
          <w:sz w:val="24"/>
          <w:szCs w:val="24"/>
        </w:rPr>
        <w:t>GPS 1</w:t>
      </w:r>
      <w:r>
        <w:rPr>
          <w:rFonts w:ascii="Times New Roman" w:hAnsi="Times New Roman"/>
          <w:sz w:val="24"/>
          <w:szCs w:val="24"/>
        </w:rPr>
        <w:t>10</w:t>
      </w:r>
      <w:r w:rsidRPr="00045CBE">
        <w:rPr>
          <w:rFonts w:ascii="Times New Roman" w:hAnsi="Times New Roman"/>
          <w:sz w:val="24"/>
          <w:szCs w:val="24"/>
        </w:rPr>
        <w:t>)</w:t>
      </w:r>
      <w:r w:rsidRPr="00045CBE">
        <w:rPr>
          <w:rFonts w:ascii="Times New Roman" w:hAnsi="Times New Roman"/>
          <w:sz w:val="24"/>
          <w:szCs w:val="24"/>
          <w:lang w:val="en-US"/>
        </w:rPr>
        <w:t>;</w:t>
      </w:r>
      <w:r w:rsidR="006B4074">
        <w:rPr>
          <w:rFonts w:ascii="Times New Roman" w:hAnsi="Times New Roman"/>
          <w:sz w:val="24"/>
          <w:szCs w:val="24"/>
          <w:lang w:val="en-US"/>
        </w:rPr>
        <w:t xml:space="preserve"> and</w:t>
      </w:r>
    </w:p>
    <w:p w14:paraId="5DCF75A2" w14:textId="0A2C016B" w:rsidR="0012122C" w:rsidRPr="00211B57" w:rsidRDefault="0012122C" w:rsidP="0012122C">
      <w:pPr>
        <w:pStyle w:val="ListParagraph"/>
        <w:numPr>
          <w:ilvl w:val="0"/>
          <w:numId w:val="8"/>
        </w:numPr>
        <w:shd w:val="clear" w:color="auto" w:fill="FFFFFF" w:themeFill="background1"/>
        <w:spacing w:before="100" w:beforeAutospacing="1" w:after="240"/>
        <w:ind w:left="567" w:hanging="573"/>
        <w:jc w:val="both"/>
        <w:rPr>
          <w:rFonts w:ascii="Times New Roman" w:hAnsi="Times New Roman"/>
          <w:sz w:val="24"/>
          <w:szCs w:val="24"/>
        </w:rPr>
      </w:pPr>
      <w:r w:rsidRPr="00045CBE">
        <w:rPr>
          <w:rFonts w:ascii="Times New Roman" w:hAnsi="Times New Roman"/>
          <w:sz w:val="24"/>
          <w:szCs w:val="24"/>
          <w:lang w:val="en-US"/>
        </w:rPr>
        <w:t xml:space="preserve">Insurance (prudential standard) determination No. </w:t>
      </w:r>
      <w:r w:rsidR="000512E9">
        <w:rPr>
          <w:rFonts w:ascii="Times New Roman" w:hAnsi="Times New Roman"/>
          <w:sz w:val="24"/>
          <w:szCs w:val="24"/>
          <w:lang w:val="en-US"/>
        </w:rPr>
        <w:t xml:space="preserve">13 </w:t>
      </w:r>
      <w:r w:rsidRPr="00045CBE">
        <w:rPr>
          <w:rFonts w:ascii="Times New Roman" w:hAnsi="Times New Roman"/>
          <w:sz w:val="24"/>
          <w:szCs w:val="24"/>
          <w:lang w:val="en-US"/>
        </w:rPr>
        <w:t>of 201</w:t>
      </w:r>
      <w:r>
        <w:rPr>
          <w:rFonts w:ascii="Times New Roman" w:hAnsi="Times New Roman"/>
          <w:sz w:val="24"/>
          <w:szCs w:val="24"/>
          <w:lang w:val="en-US"/>
        </w:rPr>
        <w:t>9</w:t>
      </w:r>
      <w:r w:rsidRPr="00045CBE">
        <w:rPr>
          <w:rFonts w:ascii="Times New Roman" w:hAnsi="Times New Roman"/>
          <w:sz w:val="24"/>
          <w:szCs w:val="24"/>
          <w:lang w:val="en-US"/>
        </w:rPr>
        <w:t xml:space="preserve"> </w:t>
      </w:r>
      <w:r w:rsidR="00136E09">
        <w:rPr>
          <w:rFonts w:ascii="Times New Roman" w:hAnsi="Times New Roman"/>
          <w:sz w:val="24"/>
          <w:szCs w:val="24"/>
          <w:lang w:val="en-US"/>
        </w:rPr>
        <w:t xml:space="preserve">(the instrument) </w:t>
      </w:r>
      <w:r w:rsidRPr="00045CBE">
        <w:rPr>
          <w:rFonts w:ascii="Times New Roman" w:hAnsi="Times New Roman"/>
          <w:sz w:val="24"/>
          <w:szCs w:val="24"/>
          <w:lang w:val="en-US"/>
        </w:rPr>
        <w:t xml:space="preserve">which </w:t>
      </w:r>
      <w:r w:rsidRPr="00045CBE">
        <w:rPr>
          <w:rFonts w:ascii="Times New Roman" w:hAnsi="Times New Roman"/>
          <w:sz w:val="24"/>
          <w:szCs w:val="24"/>
          <w:shd w:val="clear" w:color="auto" w:fill="FFFFFF" w:themeFill="background1"/>
        </w:rPr>
        <w:t>revokes</w:t>
      </w:r>
      <w:r w:rsidRPr="00045CBE">
        <w:rPr>
          <w:rFonts w:ascii="Times New Roman" w:hAnsi="Times New Roman"/>
          <w:sz w:val="24"/>
          <w:szCs w:val="24"/>
        </w:rPr>
        <w:t xml:space="preserve"> </w:t>
      </w:r>
      <w:r w:rsidRPr="00045CBE">
        <w:rPr>
          <w:rFonts w:ascii="Times New Roman" w:hAnsi="Times New Roman"/>
          <w:i/>
          <w:iCs/>
          <w:sz w:val="24"/>
          <w:szCs w:val="24"/>
        </w:rPr>
        <w:t>Prudential Standard</w:t>
      </w:r>
      <w:r w:rsidRPr="00045CBE">
        <w:rPr>
          <w:rFonts w:ascii="Times New Roman" w:hAnsi="Times New Roman"/>
          <w:sz w:val="24"/>
          <w:szCs w:val="24"/>
        </w:rPr>
        <w:t xml:space="preserve"> </w:t>
      </w:r>
      <w:r w:rsidRPr="00045CBE">
        <w:rPr>
          <w:rFonts w:ascii="Times New Roman" w:hAnsi="Times New Roman"/>
          <w:i/>
          <w:iCs/>
          <w:sz w:val="24"/>
          <w:szCs w:val="24"/>
          <w:lang w:val="en-US"/>
        </w:rPr>
        <w:t xml:space="preserve">GPS </w:t>
      </w:r>
      <w:r>
        <w:rPr>
          <w:rFonts w:ascii="Times New Roman" w:hAnsi="Times New Roman"/>
          <w:i/>
          <w:iCs/>
          <w:sz w:val="24"/>
          <w:szCs w:val="24"/>
          <w:lang w:val="en-US"/>
        </w:rPr>
        <w:t>116 Capital Adequacy: Insurance Concentration Risk Charge</w:t>
      </w:r>
      <w:r w:rsidRPr="00045CBE">
        <w:rPr>
          <w:rFonts w:ascii="Times New Roman" w:hAnsi="Times New Roman"/>
          <w:sz w:val="24"/>
          <w:szCs w:val="24"/>
        </w:rPr>
        <w:t xml:space="preserve"> made under Insurance </w:t>
      </w:r>
      <w:r w:rsidR="00136E09">
        <w:rPr>
          <w:rFonts w:ascii="Times New Roman" w:hAnsi="Times New Roman"/>
          <w:sz w:val="24"/>
          <w:szCs w:val="24"/>
        </w:rPr>
        <w:t xml:space="preserve">(prudential standard) </w:t>
      </w:r>
      <w:r w:rsidRPr="00045CBE">
        <w:rPr>
          <w:rFonts w:ascii="Times New Roman" w:hAnsi="Times New Roman"/>
          <w:sz w:val="24"/>
          <w:szCs w:val="24"/>
        </w:rPr>
        <w:t xml:space="preserve">determination No. </w:t>
      </w:r>
      <w:r>
        <w:rPr>
          <w:rFonts w:ascii="Times New Roman" w:hAnsi="Times New Roman"/>
          <w:sz w:val="24"/>
          <w:szCs w:val="24"/>
        </w:rPr>
        <w:t>6</w:t>
      </w:r>
      <w:r w:rsidRPr="00045CBE">
        <w:rPr>
          <w:rFonts w:ascii="Times New Roman" w:hAnsi="Times New Roman"/>
          <w:sz w:val="24"/>
          <w:szCs w:val="24"/>
        </w:rPr>
        <w:t xml:space="preserve"> of 201</w:t>
      </w:r>
      <w:r w:rsidR="00611CCB">
        <w:rPr>
          <w:rFonts w:ascii="Times New Roman" w:hAnsi="Times New Roman"/>
          <w:sz w:val="24"/>
          <w:szCs w:val="24"/>
        </w:rPr>
        <w:t>2</w:t>
      </w:r>
      <w:r w:rsidRPr="00045CBE">
        <w:rPr>
          <w:rFonts w:ascii="Times New Roman" w:hAnsi="Times New Roman"/>
          <w:sz w:val="24"/>
          <w:szCs w:val="24"/>
        </w:rPr>
        <w:t xml:space="preserve"> and determines a </w:t>
      </w:r>
      <w:r w:rsidRPr="00045CBE">
        <w:rPr>
          <w:rFonts w:ascii="Times New Roman" w:hAnsi="Times New Roman"/>
          <w:sz w:val="24"/>
          <w:szCs w:val="24"/>
          <w:shd w:val="clear" w:color="auto" w:fill="FFFFFF" w:themeFill="background1"/>
        </w:rPr>
        <w:t>new</w:t>
      </w:r>
      <w:r w:rsidRPr="00045CBE">
        <w:rPr>
          <w:rFonts w:ascii="Times New Roman" w:hAnsi="Times New Roman"/>
          <w:i/>
          <w:iCs/>
          <w:sz w:val="24"/>
          <w:szCs w:val="24"/>
        </w:rPr>
        <w:t xml:space="preserve"> Prudential Standard GPS </w:t>
      </w:r>
      <w:r>
        <w:rPr>
          <w:rFonts w:ascii="Times New Roman" w:hAnsi="Times New Roman"/>
          <w:i/>
          <w:iCs/>
          <w:sz w:val="24"/>
          <w:szCs w:val="24"/>
        </w:rPr>
        <w:t xml:space="preserve">116 Capital Adequacy: </w:t>
      </w:r>
      <w:r>
        <w:rPr>
          <w:rFonts w:ascii="Times New Roman" w:hAnsi="Times New Roman"/>
          <w:i/>
          <w:iCs/>
          <w:sz w:val="24"/>
          <w:szCs w:val="24"/>
          <w:lang w:val="en-US"/>
        </w:rPr>
        <w:t>Insurance Concentration Risk Charge</w:t>
      </w:r>
      <w:r w:rsidRPr="00045CBE">
        <w:rPr>
          <w:rFonts w:ascii="Times New Roman" w:hAnsi="Times New Roman"/>
          <w:sz w:val="24"/>
          <w:szCs w:val="24"/>
        </w:rPr>
        <w:t xml:space="preserve"> </w:t>
      </w:r>
      <w:r>
        <w:rPr>
          <w:rFonts w:ascii="Times New Roman" w:hAnsi="Times New Roman"/>
          <w:sz w:val="24"/>
          <w:szCs w:val="24"/>
        </w:rPr>
        <w:t>(GPS 116</w:t>
      </w:r>
      <w:r w:rsidRPr="00045CBE">
        <w:rPr>
          <w:rFonts w:ascii="Times New Roman" w:hAnsi="Times New Roman"/>
          <w:sz w:val="24"/>
          <w:szCs w:val="24"/>
        </w:rPr>
        <w:t>)</w:t>
      </w:r>
      <w:r w:rsidR="006B4074">
        <w:rPr>
          <w:rFonts w:ascii="Times New Roman" w:hAnsi="Times New Roman"/>
          <w:sz w:val="24"/>
          <w:szCs w:val="24"/>
          <w:lang w:val="en-US"/>
        </w:rPr>
        <w:t>.</w:t>
      </w:r>
    </w:p>
    <w:p w14:paraId="7593350E" w14:textId="03485655" w:rsidR="00211B57" w:rsidRPr="006B4074" w:rsidRDefault="00211B57" w:rsidP="006B4074">
      <w:pPr>
        <w:shd w:val="clear" w:color="auto" w:fill="FFFFFF" w:themeFill="background1"/>
        <w:spacing w:before="100" w:beforeAutospacing="1" w:after="240"/>
        <w:ind w:left="-6"/>
        <w:jc w:val="both"/>
        <w:rPr>
          <w:rFonts w:ascii="Times New Roman" w:hAnsi="Times New Roman"/>
          <w:sz w:val="24"/>
          <w:szCs w:val="24"/>
          <w:lang w:val="en-US"/>
        </w:rPr>
      </w:pPr>
      <w:r w:rsidRPr="006B4074">
        <w:rPr>
          <w:rFonts w:ascii="Times New Roman" w:hAnsi="Times New Roman"/>
          <w:sz w:val="24"/>
          <w:szCs w:val="24"/>
          <w:lang w:val="en-US"/>
        </w:rPr>
        <w:t xml:space="preserve">Insurance (prudential standard) determination No. 10 of 2019 and Insurance (prudential standard) determination No. 11 of 2019 commence on the date they are signed, and Insurance (prudential standard) determination No. 12 of 2019 and Insurance (prudential standard) determination No. 13 of 2019 commence on 1 July 2019. </w:t>
      </w:r>
    </w:p>
    <w:p w14:paraId="19CF90A2" w14:textId="7E1BE5F5" w:rsidR="00A019DA" w:rsidRPr="00045CBE" w:rsidRDefault="00A019DA" w:rsidP="009D7325">
      <w:pPr>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Background</w:t>
      </w:r>
    </w:p>
    <w:p w14:paraId="4AEC6933" w14:textId="3A231EDE" w:rsidR="00B75C4D" w:rsidRDefault="0012122C" w:rsidP="00B36058">
      <w:pPr>
        <w:spacing w:after="240"/>
        <w:jc w:val="both"/>
        <w:rPr>
          <w:rFonts w:ascii="Times New Roman" w:hAnsi="Times New Roman"/>
          <w:sz w:val="24"/>
        </w:rPr>
      </w:pPr>
      <w:r>
        <w:rPr>
          <w:rFonts w:ascii="Times New Roman" w:hAnsi="Times New Roman"/>
          <w:sz w:val="24"/>
        </w:rPr>
        <w:t xml:space="preserve">On 17 April 2019, APRA </w:t>
      </w:r>
      <w:r w:rsidR="00D27D6D">
        <w:rPr>
          <w:rFonts w:ascii="Times New Roman" w:hAnsi="Times New Roman"/>
          <w:sz w:val="24"/>
        </w:rPr>
        <w:t>determined</w:t>
      </w:r>
      <w:r w:rsidR="00B75C4D" w:rsidRPr="00B75C4D">
        <w:rPr>
          <w:rFonts w:ascii="Times New Roman" w:hAnsi="Times New Roman"/>
          <w:sz w:val="24"/>
        </w:rPr>
        <w:t xml:space="preserve"> </w:t>
      </w:r>
      <w:r w:rsidR="00D27D6D">
        <w:rPr>
          <w:rFonts w:ascii="Times New Roman" w:hAnsi="Times New Roman"/>
          <w:sz w:val="24"/>
        </w:rPr>
        <w:t>nine</w:t>
      </w:r>
      <w:r w:rsidR="00D27D6D" w:rsidRPr="00B75C4D">
        <w:rPr>
          <w:rFonts w:ascii="Times New Roman" w:hAnsi="Times New Roman"/>
          <w:sz w:val="24"/>
        </w:rPr>
        <w:t xml:space="preserve"> </w:t>
      </w:r>
      <w:r w:rsidR="00227F35">
        <w:rPr>
          <w:rFonts w:ascii="Times New Roman" w:hAnsi="Times New Roman"/>
          <w:sz w:val="24"/>
        </w:rPr>
        <w:t xml:space="preserve">general insurance </w:t>
      </w:r>
      <w:r w:rsidR="00B75C4D" w:rsidRPr="00B75C4D">
        <w:rPr>
          <w:rFonts w:ascii="Times New Roman" w:hAnsi="Times New Roman"/>
          <w:sz w:val="24"/>
        </w:rPr>
        <w:t xml:space="preserve">prudential </w:t>
      </w:r>
      <w:r w:rsidR="002F1572" w:rsidRPr="00B75C4D">
        <w:rPr>
          <w:rFonts w:ascii="Times New Roman" w:hAnsi="Times New Roman"/>
          <w:sz w:val="24"/>
        </w:rPr>
        <w:t>standards reflecting</w:t>
      </w:r>
      <w:r w:rsidR="00D27D6D">
        <w:rPr>
          <w:rFonts w:ascii="Times New Roman" w:hAnsi="Times New Roman"/>
          <w:sz w:val="24"/>
        </w:rPr>
        <w:t xml:space="preserve"> </w:t>
      </w:r>
      <w:r w:rsidR="00B75C4D" w:rsidRPr="00B75C4D">
        <w:rPr>
          <w:rFonts w:ascii="Times New Roman" w:hAnsi="Times New Roman"/>
          <w:sz w:val="24"/>
        </w:rPr>
        <w:t xml:space="preserve">consequential </w:t>
      </w:r>
      <w:r w:rsidR="00D27D6D">
        <w:rPr>
          <w:rFonts w:ascii="Times New Roman" w:hAnsi="Times New Roman"/>
          <w:sz w:val="24"/>
        </w:rPr>
        <w:t>amendments</w:t>
      </w:r>
      <w:r w:rsidR="00D27D6D" w:rsidRPr="00B75C4D">
        <w:rPr>
          <w:rFonts w:ascii="Times New Roman" w:hAnsi="Times New Roman"/>
          <w:sz w:val="24"/>
        </w:rPr>
        <w:t xml:space="preserve"> </w:t>
      </w:r>
      <w:r w:rsidR="00B75C4D" w:rsidRPr="00B75C4D">
        <w:rPr>
          <w:rFonts w:ascii="Times New Roman" w:hAnsi="Times New Roman"/>
          <w:sz w:val="24"/>
        </w:rPr>
        <w:t xml:space="preserve">arising from the introduction of the new </w:t>
      </w:r>
      <w:r w:rsidR="00B75C4D" w:rsidRPr="00B75C4D">
        <w:rPr>
          <w:rFonts w:ascii="Times New Roman" w:hAnsi="Times New Roman"/>
          <w:i/>
          <w:sz w:val="24"/>
        </w:rPr>
        <w:t>Prudential Standard CPS 320 Actuarial and Related Matters</w:t>
      </w:r>
      <w:r w:rsidR="00B75C4D" w:rsidRPr="00B75C4D">
        <w:rPr>
          <w:rFonts w:ascii="Times New Roman" w:hAnsi="Times New Roman"/>
          <w:sz w:val="24"/>
        </w:rPr>
        <w:t xml:space="preserve"> (CPS 320) and </w:t>
      </w:r>
      <w:r w:rsidR="00B75C4D" w:rsidRPr="00B75C4D">
        <w:rPr>
          <w:rFonts w:ascii="Times New Roman" w:hAnsi="Times New Roman"/>
          <w:i/>
          <w:sz w:val="24"/>
        </w:rPr>
        <w:t>Prudential Standard GPS 340 Insurance Liability Valuation</w:t>
      </w:r>
      <w:r w:rsidR="00B75C4D" w:rsidRPr="00B75C4D">
        <w:rPr>
          <w:rFonts w:ascii="Times New Roman" w:hAnsi="Times New Roman"/>
          <w:sz w:val="24"/>
        </w:rPr>
        <w:t xml:space="preserve"> (GPS 340).</w:t>
      </w:r>
    </w:p>
    <w:p w14:paraId="6A8C94E7" w14:textId="10A7C7F2" w:rsidR="008A0756" w:rsidRDefault="00B75C4D" w:rsidP="00F32981">
      <w:pPr>
        <w:spacing w:after="240"/>
        <w:jc w:val="both"/>
        <w:rPr>
          <w:rFonts w:ascii="Times New Roman" w:hAnsi="Times New Roman"/>
          <w:sz w:val="24"/>
        </w:rPr>
      </w:pPr>
      <w:r>
        <w:rPr>
          <w:rFonts w:ascii="Times New Roman" w:hAnsi="Times New Roman"/>
          <w:sz w:val="24"/>
        </w:rPr>
        <w:lastRenderedPageBreak/>
        <w:t>During th</w:t>
      </w:r>
      <w:r w:rsidR="00DE20FA">
        <w:rPr>
          <w:rFonts w:ascii="Times New Roman" w:hAnsi="Times New Roman"/>
          <w:sz w:val="24"/>
        </w:rPr>
        <w:t>e</w:t>
      </w:r>
      <w:r>
        <w:rPr>
          <w:rFonts w:ascii="Times New Roman" w:hAnsi="Times New Roman"/>
          <w:sz w:val="24"/>
        </w:rPr>
        <w:t xml:space="preserve"> process</w:t>
      </w:r>
      <w:r w:rsidR="00DE20FA">
        <w:rPr>
          <w:rFonts w:ascii="Times New Roman" w:hAnsi="Times New Roman"/>
          <w:sz w:val="24"/>
        </w:rPr>
        <w:t xml:space="preserve"> of revoking the former versions of those nine general insurance prudential standards and determining new versions of those standards</w:t>
      </w:r>
      <w:r>
        <w:rPr>
          <w:rFonts w:ascii="Times New Roman" w:hAnsi="Times New Roman"/>
          <w:sz w:val="24"/>
        </w:rPr>
        <w:t xml:space="preserve">, several words were </w:t>
      </w:r>
      <w:r w:rsidR="008A0756">
        <w:rPr>
          <w:rFonts w:ascii="Times New Roman" w:hAnsi="Times New Roman"/>
          <w:sz w:val="24"/>
        </w:rPr>
        <w:t>inadvertently</w:t>
      </w:r>
      <w:r>
        <w:rPr>
          <w:rFonts w:ascii="Times New Roman" w:hAnsi="Times New Roman"/>
          <w:sz w:val="24"/>
        </w:rPr>
        <w:t xml:space="preserve"> </w:t>
      </w:r>
      <w:r w:rsidR="008A0756">
        <w:rPr>
          <w:rFonts w:ascii="Times New Roman" w:hAnsi="Times New Roman"/>
          <w:sz w:val="24"/>
        </w:rPr>
        <w:t>omitted</w:t>
      </w:r>
      <w:r w:rsidR="00F32981">
        <w:rPr>
          <w:rFonts w:ascii="Times New Roman" w:hAnsi="Times New Roman"/>
          <w:sz w:val="24"/>
        </w:rPr>
        <w:t xml:space="preserve"> from GPS 110 and </w:t>
      </w:r>
      <w:r>
        <w:rPr>
          <w:rFonts w:ascii="Times New Roman" w:hAnsi="Times New Roman"/>
          <w:sz w:val="24"/>
        </w:rPr>
        <w:t>GPS 116</w:t>
      </w:r>
      <w:r w:rsidR="002A0843">
        <w:rPr>
          <w:rFonts w:ascii="Times New Roman" w:hAnsi="Times New Roman"/>
          <w:sz w:val="24"/>
        </w:rPr>
        <w:t xml:space="preserve"> </w:t>
      </w:r>
      <w:r w:rsidR="00053507">
        <w:rPr>
          <w:rFonts w:ascii="Times New Roman" w:hAnsi="Times New Roman"/>
          <w:sz w:val="24"/>
        </w:rPr>
        <w:t xml:space="preserve">as made under </w:t>
      </w:r>
      <w:r w:rsidR="00053507" w:rsidRPr="00045CBE">
        <w:rPr>
          <w:rFonts w:ascii="Times New Roman" w:hAnsi="Times New Roman"/>
          <w:sz w:val="24"/>
          <w:szCs w:val="24"/>
        </w:rPr>
        <w:t>Insurance</w:t>
      </w:r>
      <w:r w:rsidR="00993284">
        <w:rPr>
          <w:rFonts w:ascii="Times New Roman" w:hAnsi="Times New Roman"/>
          <w:sz w:val="24"/>
          <w:szCs w:val="24"/>
        </w:rPr>
        <w:t xml:space="preserve"> (prudential standard)</w:t>
      </w:r>
      <w:r w:rsidR="00053507" w:rsidRPr="00045CBE">
        <w:rPr>
          <w:rFonts w:ascii="Times New Roman" w:hAnsi="Times New Roman"/>
          <w:sz w:val="24"/>
          <w:szCs w:val="24"/>
        </w:rPr>
        <w:t xml:space="preserve"> determination No. </w:t>
      </w:r>
      <w:r w:rsidR="00053507">
        <w:rPr>
          <w:rFonts w:ascii="Times New Roman" w:hAnsi="Times New Roman"/>
          <w:sz w:val="24"/>
          <w:szCs w:val="24"/>
        </w:rPr>
        <w:t>1</w:t>
      </w:r>
      <w:r w:rsidR="002F1572">
        <w:rPr>
          <w:rFonts w:ascii="Times New Roman" w:hAnsi="Times New Roman"/>
          <w:sz w:val="24"/>
          <w:szCs w:val="24"/>
        </w:rPr>
        <w:t xml:space="preserve"> of </w:t>
      </w:r>
      <w:r w:rsidR="00053507">
        <w:rPr>
          <w:rFonts w:ascii="Times New Roman" w:hAnsi="Times New Roman"/>
          <w:sz w:val="24"/>
          <w:szCs w:val="24"/>
        </w:rPr>
        <w:t>2019 and</w:t>
      </w:r>
      <w:r w:rsidR="00053507">
        <w:rPr>
          <w:rFonts w:ascii="Times New Roman" w:hAnsi="Times New Roman"/>
          <w:sz w:val="24"/>
        </w:rPr>
        <w:t xml:space="preserve"> </w:t>
      </w:r>
      <w:r w:rsidR="00053507" w:rsidRPr="00045CBE">
        <w:rPr>
          <w:rFonts w:ascii="Times New Roman" w:hAnsi="Times New Roman"/>
          <w:sz w:val="24"/>
          <w:szCs w:val="24"/>
        </w:rPr>
        <w:t xml:space="preserve">Insurance </w:t>
      </w:r>
      <w:r w:rsidR="00993284">
        <w:rPr>
          <w:rFonts w:ascii="Times New Roman" w:hAnsi="Times New Roman"/>
          <w:sz w:val="24"/>
          <w:szCs w:val="24"/>
        </w:rPr>
        <w:t xml:space="preserve">(prudential standard) </w:t>
      </w:r>
      <w:r w:rsidR="00053507" w:rsidRPr="00045CBE">
        <w:rPr>
          <w:rFonts w:ascii="Times New Roman" w:hAnsi="Times New Roman"/>
          <w:sz w:val="24"/>
          <w:szCs w:val="24"/>
        </w:rPr>
        <w:t xml:space="preserve">determination No. </w:t>
      </w:r>
      <w:r w:rsidR="00053507">
        <w:rPr>
          <w:rFonts w:ascii="Times New Roman" w:hAnsi="Times New Roman"/>
          <w:sz w:val="24"/>
          <w:szCs w:val="24"/>
        </w:rPr>
        <w:t>6</w:t>
      </w:r>
      <w:r w:rsidR="00053507" w:rsidRPr="00045CBE">
        <w:rPr>
          <w:rFonts w:ascii="Times New Roman" w:hAnsi="Times New Roman"/>
          <w:sz w:val="24"/>
          <w:szCs w:val="24"/>
        </w:rPr>
        <w:t xml:space="preserve"> of 201</w:t>
      </w:r>
      <w:r w:rsidR="00053507">
        <w:rPr>
          <w:rFonts w:ascii="Times New Roman" w:hAnsi="Times New Roman"/>
          <w:sz w:val="24"/>
          <w:szCs w:val="24"/>
        </w:rPr>
        <w:t>9</w:t>
      </w:r>
      <w:r w:rsidR="002A0843">
        <w:rPr>
          <w:rFonts w:ascii="Times New Roman" w:hAnsi="Times New Roman"/>
          <w:sz w:val="24"/>
          <w:szCs w:val="24"/>
        </w:rPr>
        <w:t xml:space="preserve"> (respectively)</w:t>
      </w:r>
      <w:r w:rsidR="00F32981">
        <w:rPr>
          <w:rFonts w:ascii="Times New Roman" w:hAnsi="Times New Roman"/>
          <w:sz w:val="24"/>
        </w:rPr>
        <w:t>.</w:t>
      </w:r>
      <w:r>
        <w:rPr>
          <w:rFonts w:ascii="Times New Roman" w:hAnsi="Times New Roman"/>
          <w:sz w:val="24"/>
        </w:rPr>
        <w:t xml:space="preserve"> </w:t>
      </w:r>
    </w:p>
    <w:p w14:paraId="2E3957C8" w14:textId="77777777" w:rsidR="00166BAA" w:rsidRPr="00EC2380" w:rsidRDefault="00166BAA" w:rsidP="008A0756">
      <w:pPr>
        <w:numPr>
          <w:ilvl w:val="0"/>
          <w:numId w:val="2"/>
        </w:numPr>
        <w:spacing w:after="240"/>
        <w:jc w:val="both"/>
        <w:rPr>
          <w:rFonts w:ascii="Times New Roman" w:eastAsia="Times New Roman" w:hAnsi="Times New Roman"/>
          <w:b/>
          <w:sz w:val="24"/>
          <w:szCs w:val="24"/>
          <w:lang w:eastAsia="en-AU"/>
        </w:rPr>
      </w:pPr>
      <w:r w:rsidRPr="00EC2380">
        <w:rPr>
          <w:rFonts w:ascii="Times New Roman" w:eastAsia="Times New Roman" w:hAnsi="Times New Roman"/>
          <w:b/>
          <w:sz w:val="24"/>
          <w:szCs w:val="24"/>
          <w:lang w:eastAsia="en-AU"/>
        </w:rPr>
        <w:t xml:space="preserve">Purpose </w:t>
      </w:r>
      <w:r w:rsidR="000C33D9" w:rsidRPr="00EC2380">
        <w:rPr>
          <w:rFonts w:ascii="Times New Roman" w:eastAsia="Times New Roman" w:hAnsi="Times New Roman"/>
          <w:b/>
          <w:sz w:val="24"/>
          <w:szCs w:val="24"/>
          <w:lang w:eastAsia="en-AU"/>
        </w:rPr>
        <w:t xml:space="preserve">and operation </w:t>
      </w:r>
      <w:r w:rsidRPr="00EC2380">
        <w:rPr>
          <w:rFonts w:ascii="Times New Roman" w:eastAsia="Times New Roman" w:hAnsi="Times New Roman"/>
          <w:b/>
          <w:sz w:val="24"/>
          <w:szCs w:val="24"/>
          <w:lang w:eastAsia="en-AU"/>
        </w:rPr>
        <w:t>of the instruments</w:t>
      </w:r>
    </w:p>
    <w:p w14:paraId="68E962C7" w14:textId="600E5A3E" w:rsidR="00CA2857" w:rsidRDefault="00166BAA" w:rsidP="009D7325">
      <w:pPr>
        <w:spacing w:after="240"/>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w:t>
      </w:r>
      <w:r w:rsidR="004918D3">
        <w:rPr>
          <w:rFonts w:ascii="Times New Roman" w:eastAsia="Times New Roman" w:hAnsi="Times New Roman"/>
          <w:sz w:val="24"/>
          <w:szCs w:val="24"/>
          <w:lang w:eastAsia="en-AU"/>
        </w:rPr>
        <w:t>these</w:t>
      </w:r>
      <w:r w:rsidR="002B5A26">
        <w:rPr>
          <w:rFonts w:ascii="Times New Roman" w:eastAsia="Times New Roman" w:hAnsi="Times New Roman"/>
          <w:sz w:val="24"/>
          <w:szCs w:val="24"/>
          <w:lang w:eastAsia="en-AU"/>
        </w:rPr>
        <w:t xml:space="preserve"> instrument</w:t>
      </w:r>
      <w:r w:rsidR="004918D3">
        <w:rPr>
          <w:rFonts w:ascii="Times New Roman" w:eastAsia="Times New Roman" w:hAnsi="Times New Roman"/>
          <w:sz w:val="24"/>
          <w:szCs w:val="24"/>
          <w:lang w:eastAsia="en-AU"/>
        </w:rPr>
        <w:t>s</w:t>
      </w:r>
      <w:r w:rsidR="002B5A26">
        <w:rPr>
          <w:rFonts w:ascii="Times New Roman" w:eastAsia="Times New Roman" w:hAnsi="Times New Roman"/>
          <w:sz w:val="24"/>
          <w:szCs w:val="24"/>
          <w:lang w:eastAsia="en-AU"/>
        </w:rPr>
        <w:t xml:space="preserve"> is to </w:t>
      </w:r>
      <w:r w:rsidR="00EB5786">
        <w:rPr>
          <w:rFonts w:ascii="Times New Roman" w:eastAsia="Times New Roman" w:hAnsi="Times New Roman"/>
          <w:sz w:val="24"/>
          <w:szCs w:val="24"/>
          <w:lang w:eastAsia="en-AU"/>
        </w:rPr>
        <w:t xml:space="preserve">revoke the </w:t>
      </w:r>
      <w:r w:rsidR="00764812">
        <w:rPr>
          <w:rFonts w:ascii="Times New Roman" w:eastAsia="Times New Roman" w:hAnsi="Times New Roman"/>
          <w:sz w:val="24"/>
          <w:szCs w:val="24"/>
          <w:lang w:eastAsia="en-AU"/>
        </w:rPr>
        <w:t xml:space="preserve">versions of GPS 110 and GPS 116 </w:t>
      </w:r>
      <w:r w:rsidR="002413C2">
        <w:rPr>
          <w:rFonts w:ascii="Times New Roman" w:eastAsia="Times New Roman" w:hAnsi="Times New Roman"/>
          <w:sz w:val="24"/>
          <w:szCs w:val="24"/>
          <w:lang w:eastAsia="en-AU"/>
        </w:rPr>
        <w:t xml:space="preserve">as </w:t>
      </w:r>
      <w:r w:rsidR="002413C2">
        <w:rPr>
          <w:rFonts w:ascii="Times New Roman" w:hAnsi="Times New Roman"/>
          <w:sz w:val="24"/>
        </w:rPr>
        <w:t xml:space="preserve">made under </w:t>
      </w:r>
      <w:r w:rsidR="002413C2" w:rsidRPr="00045CBE">
        <w:rPr>
          <w:rFonts w:ascii="Times New Roman" w:hAnsi="Times New Roman"/>
          <w:sz w:val="24"/>
          <w:szCs w:val="24"/>
        </w:rPr>
        <w:t>Insurance</w:t>
      </w:r>
      <w:r w:rsidR="002413C2">
        <w:rPr>
          <w:rFonts w:ascii="Times New Roman" w:hAnsi="Times New Roman"/>
          <w:sz w:val="24"/>
          <w:szCs w:val="24"/>
        </w:rPr>
        <w:t xml:space="preserve"> (prudential standard)</w:t>
      </w:r>
      <w:r w:rsidR="002413C2" w:rsidRPr="00045CBE">
        <w:rPr>
          <w:rFonts w:ascii="Times New Roman" w:hAnsi="Times New Roman"/>
          <w:sz w:val="24"/>
          <w:szCs w:val="24"/>
        </w:rPr>
        <w:t xml:space="preserve"> determination No. </w:t>
      </w:r>
      <w:r w:rsidR="002413C2">
        <w:rPr>
          <w:rFonts w:ascii="Times New Roman" w:hAnsi="Times New Roman"/>
          <w:sz w:val="24"/>
          <w:szCs w:val="24"/>
        </w:rPr>
        <w:t>1</w:t>
      </w:r>
      <w:r w:rsidR="002F1572">
        <w:rPr>
          <w:rFonts w:ascii="Times New Roman" w:hAnsi="Times New Roman"/>
          <w:sz w:val="24"/>
          <w:szCs w:val="24"/>
        </w:rPr>
        <w:t xml:space="preserve"> of </w:t>
      </w:r>
      <w:r w:rsidR="002413C2">
        <w:rPr>
          <w:rFonts w:ascii="Times New Roman" w:hAnsi="Times New Roman"/>
          <w:sz w:val="24"/>
          <w:szCs w:val="24"/>
        </w:rPr>
        <w:t>2019 and</w:t>
      </w:r>
      <w:r w:rsidR="002413C2">
        <w:rPr>
          <w:rFonts w:ascii="Times New Roman" w:hAnsi="Times New Roman"/>
          <w:sz w:val="24"/>
        </w:rPr>
        <w:t xml:space="preserve"> </w:t>
      </w:r>
      <w:r w:rsidR="002413C2" w:rsidRPr="00045CBE">
        <w:rPr>
          <w:rFonts w:ascii="Times New Roman" w:hAnsi="Times New Roman"/>
          <w:sz w:val="24"/>
          <w:szCs w:val="24"/>
        </w:rPr>
        <w:t xml:space="preserve">Insurance </w:t>
      </w:r>
      <w:r w:rsidR="002413C2">
        <w:rPr>
          <w:rFonts w:ascii="Times New Roman" w:hAnsi="Times New Roman"/>
          <w:sz w:val="24"/>
          <w:szCs w:val="24"/>
        </w:rPr>
        <w:t xml:space="preserve">(prudential standard) </w:t>
      </w:r>
      <w:r w:rsidR="002413C2" w:rsidRPr="00045CBE">
        <w:rPr>
          <w:rFonts w:ascii="Times New Roman" w:hAnsi="Times New Roman"/>
          <w:sz w:val="24"/>
          <w:szCs w:val="24"/>
        </w:rPr>
        <w:t xml:space="preserve">determination No. </w:t>
      </w:r>
      <w:r w:rsidR="002413C2">
        <w:rPr>
          <w:rFonts w:ascii="Times New Roman" w:hAnsi="Times New Roman"/>
          <w:sz w:val="24"/>
          <w:szCs w:val="24"/>
        </w:rPr>
        <w:t>6</w:t>
      </w:r>
      <w:r w:rsidR="002413C2" w:rsidRPr="00045CBE">
        <w:rPr>
          <w:rFonts w:ascii="Times New Roman" w:hAnsi="Times New Roman"/>
          <w:sz w:val="24"/>
          <w:szCs w:val="24"/>
        </w:rPr>
        <w:t xml:space="preserve"> of 201</w:t>
      </w:r>
      <w:r w:rsidR="002413C2">
        <w:rPr>
          <w:rFonts w:ascii="Times New Roman" w:hAnsi="Times New Roman"/>
          <w:sz w:val="24"/>
          <w:szCs w:val="24"/>
        </w:rPr>
        <w:t>9 (respectively)</w:t>
      </w:r>
      <w:r w:rsidR="00DF4834">
        <w:rPr>
          <w:rFonts w:ascii="Times New Roman" w:hAnsi="Times New Roman"/>
          <w:sz w:val="24"/>
          <w:szCs w:val="24"/>
        </w:rPr>
        <w:t xml:space="preserve"> containing the minor omissions</w:t>
      </w:r>
      <w:r w:rsidR="00764812">
        <w:rPr>
          <w:rFonts w:ascii="Times New Roman" w:eastAsia="Times New Roman" w:hAnsi="Times New Roman"/>
          <w:sz w:val="24"/>
          <w:szCs w:val="24"/>
          <w:lang w:eastAsia="en-AU"/>
        </w:rPr>
        <w:t>,</w:t>
      </w:r>
      <w:r w:rsidR="00940DF7">
        <w:rPr>
          <w:rFonts w:ascii="Times New Roman" w:eastAsia="Times New Roman" w:hAnsi="Times New Roman"/>
          <w:sz w:val="24"/>
          <w:szCs w:val="24"/>
          <w:lang w:eastAsia="en-AU"/>
        </w:rPr>
        <w:t xml:space="preserve"> and to </w:t>
      </w:r>
      <w:r w:rsidR="00764812">
        <w:rPr>
          <w:rFonts w:ascii="Times New Roman" w:eastAsia="Times New Roman" w:hAnsi="Times New Roman"/>
          <w:sz w:val="24"/>
          <w:szCs w:val="24"/>
          <w:lang w:eastAsia="en-AU"/>
        </w:rPr>
        <w:t xml:space="preserve">determine new versions of GPS 110 and GPS 116 </w:t>
      </w:r>
      <w:r w:rsidR="00DF4834">
        <w:rPr>
          <w:rFonts w:ascii="Times New Roman" w:eastAsia="Times New Roman" w:hAnsi="Times New Roman"/>
          <w:sz w:val="24"/>
          <w:szCs w:val="24"/>
          <w:lang w:eastAsia="en-AU"/>
        </w:rPr>
        <w:t>correcting</w:t>
      </w:r>
      <w:r w:rsidR="00DB4C8D">
        <w:rPr>
          <w:rFonts w:ascii="Times New Roman" w:eastAsia="Times New Roman" w:hAnsi="Times New Roman"/>
          <w:sz w:val="24"/>
          <w:szCs w:val="24"/>
          <w:lang w:eastAsia="en-AU"/>
        </w:rPr>
        <w:t xml:space="preserve"> </w:t>
      </w:r>
      <w:r w:rsidR="00DF4834">
        <w:rPr>
          <w:rFonts w:ascii="Times New Roman" w:eastAsia="Times New Roman" w:hAnsi="Times New Roman"/>
          <w:sz w:val="24"/>
          <w:szCs w:val="24"/>
          <w:lang w:eastAsia="en-AU"/>
        </w:rPr>
        <w:t>those</w:t>
      </w:r>
      <w:r w:rsidR="00764812">
        <w:rPr>
          <w:rFonts w:ascii="Times New Roman" w:eastAsia="Times New Roman" w:hAnsi="Times New Roman"/>
          <w:sz w:val="24"/>
          <w:szCs w:val="24"/>
          <w:lang w:eastAsia="en-AU"/>
        </w:rPr>
        <w:t xml:space="preserve"> </w:t>
      </w:r>
      <w:r w:rsidR="001519CA">
        <w:rPr>
          <w:rFonts w:ascii="Times New Roman" w:eastAsia="Times New Roman" w:hAnsi="Times New Roman"/>
          <w:sz w:val="24"/>
          <w:szCs w:val="24"/>
          <w:lang w:eastAsia="en-AU"/>
        </w:rPr>
        <w:t>minor omissions</w:t>
      </w:r>
      <w:r w:rsidR="00EB5786">
        <w:rPr>
          <w:rFonts w:ascii="Times New Roman" w:eastAsia="Times New Roman" w:hAnsi="Times New Roman"/>
          <w:sz w:val="24"/>
          <w:szCs w:val="24"/>
          <w:lang w:eastAsia="en-AU"/>
        </w:rPr>
        <w:t>.</w:t>
      </w:r>
      <w:r w:rsidR="00DC62B8">
        <w:rPr>
          <w:rFonts w:ascii="Times New Roman" w:eastAsia="Times New Roman" w:hAnsi="Times New Roman"/>
          <w:sz w:val="24"/>
          <w:szCs w:val="24"/>
          <w:lang w:eastAsia="en-AU"/>
        </w:rPr>
        <w:t xml:space="preserve"> </w:t>
      </w:r>
      <w:r w:rsidR="00764812">
        <w:rPr>
          <w:rFonts w:ascii="Times New Roman" w:eastAsia="Times New Roman" w:hAnsi="Times New Roman"/>
          <w:sz w:val="24"/>
          <w:szCs w:val="24"/>
          <w:lang w:eastAsia="en-AU"/>
        </w:rPr>
        <w:t>The instruments</w:t>
      </w:r>
      <w:r w:rsidR="00DC62B8">
        <w:rPr>
          <w:rFonts w:ascii="Times New Roman" w:eastAsia="Times New Roman" w:hAnsi="Times New Roman"/>
          <w:sz w:val="24"/>
          <w:szCs w:val="24"/>
          <w:lang w:eastAsia="en-AU"/>
        </w:rPr>
        <w:t xml:space="preserve"> </w:t>
      </w:r>
      <w:r w:rsidR="00764812">
        <w:rPr>
          <w:rFonts w:ascii="Times New Roman" w:eastAsia="Times New Roman" w:hAnsi="Times New Roman"/>
          <w:sz w:val="24"/>
          <w:szCs w:val="24"/>
          <w:lang w:eastAsia="en-AU"/>
        </w:rPr>
        <w:t xml:space="preserve">do </w:t>
      </w:r>
      <w:r w:rsidR="002E382A">
        <w:rPr>
          <w:rFonts w:ascii="Times New Roman" w:eastAsia="Times New Roman" w:hAnsi="Times New Roman"/>
          <w:sz w:val="24"/>
          <w:szCs w:val="24"/>
          <w:lang w:eastAsia="en-AU"/>
        </w:rPr>
        <w:t>not make any other changes.</w:t>
      </w:r>
    </w:p>
    <w:p w14:paraId="2822C445" w14:textId="411F2E0F" w:rsidR="002E382A" w:rsidRPr="002E382A" w:rsidRDefault="002E382A" w:rsidP="002E382A">
      <w:pPr>
        <w:spacing w:after="240"/>
        <w:jc w:val="both"/>
        <w:rPr>
          <w:rFonts w:ascii="Times New Roman" w:hAnsi="Times New Roman"/>
          <w:sz w:val="24"/>
        </w:rPr>
      </w:pPr>
      <w:r>
        <w:rPr>
          <w:rFonts w:ascii="Times New Roman" w:hAnsi="Times New Roman"/>
          <w:sz w:val="24"/>
        </w:rPr>
        <w:t>P</w:t>
      </w:r>
      <w:r w:rsidRPr="002E382A">
        <w:rPr>
          <w:rFonts w:ascii="Times New Roman" w:hAnsi="Times New Roman"/>
          <w:sz w:val="24"/>
        </w:rPr>
        <w:t xml:space="preserve">rudential standards </w:t>
      </w:r>
      <w:r>
        <w:rPr>
          <w:rFonts w:ascii="Times New Roman" w:hAnsi="Times New Roman"/>
          <w:sz w:val="24"/>
        </w:rPr>
        <w:t xml:space="preserve">GPS 110 and GPS 116 </w:t>
      </w:r>
      <w:r w:rsidRPr="002E382A">
        <w:rPr>
          <w:rFonts w:ascii="Times New Roman" w:hAnsi="Times New Roman"/>
          <w:sz w:val="24"/>
        </w:rPr>
        <w:t>provide for APRA to exercise various discretions, including the power to adjust or exclude a specific requirement in the standard in relation to a regulated entity.</w:t>
      </w:r>
      <w:r>
        <w:rPr>
          <w:rFonts w:ascii="Times New Roman" w:hAnsi="Times New Roman"/>
          <w:sz w:val="24"/>
        </w:rPr>
        <w:t xml:space="preserve"> </w:t>
      </w:r>
      <w:r w:rsidRPr="002E382A">
        <w:rPr>
          <w:rFonts w:ascii="Times New Roman" w:hAnsi="Times New Roman"/>
          <w:b/>
          <w:bCs/>
          <w:sz w:val="24"/>
        </w:rPr>
        <w:t xml:space="preserve"> </w:t>
      </w:r>
      <w:r w:rsidRPr="002E382A">
        <w:rPr>
          <w:rFonts w:ascii="Times New Roman" w:hAnsi="Times New Roman"/>
          <w:sz w:val="24"/>
        </w:rPr>
        <w:t>Decisions made by the APRA exercising those discretions are not directly subject to merits review. This is because these decisions are preliminary decisions that may facilitate or lead to substantive decisions which are subject to merits review.</w:t>
      </w:r>
    </w:p>
    <w:p w14:paraId="58D05F36" w14:textId="77777777" w:rsidR="002E382A" w:rsidRPr="002E382A" w:rsidRDefault="002E382A" w:rsidP="002E382A">
      <w:pPr>
        <w:spacing w:after="240"/>
        <w:jc w:val="both"/>
        <w:rPr>
          <w:rFonts w:ascii="Times New Roman" w:hAnsi="Times New Roman"/>
          <w:sz w:val="24"/>
        </w:rPr>
      </w:pPr>
      <w:r w:rsidRPr="002E382A">
        <w:rPr>
          <w:rFonts w:ascii="Times New Roman" w:hAnsi="Times New Roman"/>
          <w:sz w:val="24"/>
        </w:rPr>
        <w:t xml:space="preserve">A breach of a prudential standard is also breach of the enabling legislation, as each enabling Act provides that regulated entities must comply with the standard.  However there are no penalties prescribed for such breaches. Instead, an entity’s breach of the prudential standard/enabling legislation is grounds for the APRA to make further, substantive decisions under the </w:t>
      </w:r>
      <w:r w:rsidRPr="002E382A">
        <w:rPr>
          <w:rFonts w:ascii="Times New Roman" w:hAnsi="Times New Roman"/>
          <w:i/>
          <w:iCs/>
          <w:sz w:val="24"/>
        </w:rPr>
        <w:t>Insurance Act 1973</w:t>
      </w:r>
      <w:r w:rsidRPr="002E382A">
        <w:rPr>
          <w:rFonts w:ascii="Times New Roman" w:hAnsi="Times New Roman"/>
          <w:sz w:val="24"/>
        </w:rPr>
        <w:t xml:space="preserve"> (Insurance Act) in relation to the entity. Those decisions are:</w:t>
      </w:r>
    </w:p>
    <w:p w14:paraId="4CE173C8" w14:textId="77777777" w:rsidR="002E382A" w:rsidRPr="002E382A" w:rsidRDefault="002E382A" w:rsidP="00A27BAC">
      <w:pPr>
        <w:numPr>
          <w:ilvl w:val="0"/>
          <w:numId w:val="18"/>
        </w:numPr>
        <w:spacing w:after="240"/>
        <w:ind w:left="709" w:hanging="425"/>
        <w:jc w:val="both"/>
        <w:rPr>
          <w:rFonts w:ascii="Times New Roman" w:hAnsi="Times New Roman"/>
          <w:sz w:val="24"/>
        </w:rPr>
      </w:pPr>
      <w:r w:rsidRPr="002E382A">
        <w:rPr>
          <w:rFonts w:ascii="Times New Roman" w:hAnsi="Times New Roman"/>
          <w:sz w:val="24"/>
        </w:rPr>
        <w:t>to revoke an authorisation to carry on insurance business (s.15A Insurance Act); and</w:t>
      </w:r>
    </w:p>
    <w:p w14:paraId="00239F58" w14:textId="77777777" w:rsidR="002E382A" w:rsidRPr="002E382A" w:rsidRDefault="002E382A" w:rsidP="00A27BAC">
      <w:pPr>
        <w:numPr>
          <w:ilvl w:val="0"/>
          <w:numId w:val="18"/>
        </w:numPr>
        <w:spacing w:after="240"/>
        <w:ind w:left="709" w:hanging="425"/>
        <w:jc w:val="both"/>
        <w:rPr>
          <w:rFonts w:ascii="Times New Roman" w:hAnsi="Times New Roman"/>
          <w:sz w:val="24"/>
        </w:rPr>
      </w:pPr>
      <w:r w:rsidRPr="002E382A">
        <w:rPr>
          <w:rFonts w:ascii="Times New Roman" w:hAnsi="Times New Roman"/>
          <w:sz w:val="24"/>
        </w:rPr>
        <w:t>to issue a direction to the insurer, including a direction to comply with the whole or part of a prudential standard (s.104 Insurance Act).</w:t>
      </w:r>
    </w:p>
    <w:p w14:paraId="54501810" w14:textId="77777777" w:rsidR="002E382A" w:rsidRPr="002E382A" w:rsidRDefault="002E382A" w:rsidP="002E382A">
      <w:pPr>
        <w:spacing w:after="240"/>
        <w:jc w:val="both"/>
        <w:rPr>
          <w:rFonts w:ascii="Times New Roman" w:hAnsi="Times New Roman"/>
          <w:sz w:val="24"/>
        </w:rPr>
      </w:pPr>
      <w:r w:rsidRPr="002E382A">
        <w:rPr>
          <w:rFonts w:ascii="Times New Roman" w:hAnsi="Times New Roman"/>
          <w:sz w:val="24"/>
        </w:rPr>
        <w:t>It is only at this stage that an entity is exposed to a penalty: loss of licence under s.15A or 50 penalty units if it breaches the direction (s.108 Insurance Act). The subsequent substantive decisions of APRA to impose a direction or revoke a licence are subject to merits review. In nearly all cases the substantive decisions are preceded by consultation with the regulated entity to raise any concerns they may have in relation to the decision.  The exception is provided in section 15(4) of the Insurance Act, whereby APRA may dispense with consultation if it is satisfied that doing so would result in a delay in revocation that would be contrary to the national interest.</w:t>
      </w:r>
    </w:p>
    <w:p w14:paraId="5C7F654D" w14:textId="77777777" w:rsidR="00A019DA" w:rsidRPr="00045CBE" w:rsidRDefault="00A019DA" w:rsidP="009D7325">
      <w:pPr>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Consultation</w:t>
      </w:r>
    </w:p>
    <w:p w14:paraId="1E5E223A" w14:textId="4C4F9558" w:rsidR="00EF753E" w:rsidRPr="00EF753E" w:rsidRDefault="00435A5D" w:rsidP="00EF753E">
      <w:pPr>
        <w:shd w:val="clear" w:color="auto" w:fill="FFFFFF"/>
        <w:spacing w:before="100" w:beforeAutospacing="1" w:after="240"/>
        <w:jc w:val="both"/>
        <w:rPr>
          <w:rFonts w:ascii="Times New Roman" w:eastAsia="Times New Roman" w:hAnsi="Times New Roman"/>
          <w:sz w:val="24"/>
          <w:szCs w:val="24"/>
          <w:lang w:eastAsia="en-AU"/>
        </w:rPr>
      </w:pPr>
      <w:bookmarkStart w:id="3" w:name="bkConsultation"/>
      <w:bookmarkEnd w:id="3"/>
      <w:r>
        <w:rPr>
          <w:rFonts w:ascii="Times New Roman" w:hAnsi="Times New Roman"/>
          <w:sz w:val="24"/>
          <w:szCs w:val="24"/>
        </w:rPr>
        <w:t>The instruments are</w:t>
      </w:r>
      <w:r w:rsidR="00881249">
        <w:rPr>
          <w:rFonts w:ascii="Times New Roman" w:hAnsi="Times New Roman"/>
          <w:sz w:val="24"/>
          <w:szCs w:val="24"/>
        </w:rPr>
        <w:t xml:space="preserve"> minor and machinery </w:t>
      </w:r>
      <w:r>
        <w:rPr>
          <w:rFonts w:ascii="Times New Roman" w:hAnsi="Times New Roman"/>
          <w:sz w:val="24"/>
          <w:szCs w:val="24"/>
        </w:rPr>
        <w:t xml:space="preserve">in </w:t>
      </w:r>
      <w:r w:rsidR="00881249">
        <w:rPr>
          <w:rFonts w:ascii="Times New Roman" w:hAnsi="Times New Roman"/>
          <w:sz w:val="24"/>
          <w:szCs w:val="24"/>
        </w:rPr>
        <w:t xml:space="preserve">nature </w:t>
      </w:r>
      <w:r>
        <w:rPr>
          <w:rFonts w:ascii="Times New Roman" w:hAnsi="Times New Roman"/>
          <w:sz w:val="24"/>
          <w:szCs w:val="24"/>
        </w:rPr>
        <w:t>and do not substantially alter existing arrangements</w:t>
      </w:r>
      <w:r w:rsidR="00881249">
        <w:rPr>
          <w:rFonts w:ascii="Times New Roman" w:hAnsi="Times New Roman"/>
          <w:sz w:val="24"/>
          <w:szCs w:val="24"/>
        </w:rPr>
        <w:t xml:space="preserve">. </w:t>
      </w:r>
    </w:p>
    <w:p w14:paraId="263F559C" w14:textId="77777777" w:rsidR="002E382A" w:rsidRDefault="002E382A">
      <w:pPr>
        <w:rPr>
          <w:rFonts w:ascii="Times New Roman" w:eastAsia="Times New Roman" w:hAnsi="Times New Roman"/>
          <w:b/>
          <w:sz w:val="24"/>
          <w:szCs w:val="24"/>
          <w:lang w:eastAsia="en-AU"/>
        </w:rPr>
      </w:pPr>
      <w:r>
        <w:rPr>
          <w:rFonts w:ascii="Times New Roman" w:eastAsia="Times New Roman" w:hAnsi="Times New Roman"/>
          <w:b/>
          <w:sz w:val="24"/>
          <w:szCs w:val="24"/>
          <w:lang w:eastAsia="en-AU"/>
        </w:rPr>
        <w:br w:type="page"/>
      </w:r>
    </w:p>
    <w:p w14:paraId="1C53CA16" w14:textId="6436D2BC" w:rsidR="00A019DA" w:rsidRPr="00045CBE" w:rsidRDefault="00A019DA" w:rsidP="009D7325">
      <w:pPr>
        <w:pStyle w:val="ListParagraph"/>
        <w:numPr>
          <w:ilvl w:val="0"/>
          <w:numId w:val="2"/>
        </w:numPr>
        <w:spacing w:after="240"/>
        <w:jc w:val="both"/>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lastRenderedPageBreak/>
        <w:t>Regulation Impact Statement</w:t>
      </w:r>
    </w:p>
    <w:p w14:paraId="1A3FCC2D" w14:textId="05EC1AAE" w:rsidR="00C83B51" w:rsidRDefault="00B93F87" w:rsidP="009D7325">
      <w:pPr>
        <w:spacing w:before="100" w:beforeAutospacing="1" w:after="100" w:afterAutospacing="1"/>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The Office of Best Practice and Regulation</w:t>
      </w:r>
      <w:r w:rsidR="00C83B51">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advised that a </w:t>
      </w:r>
      <w:r w:rsidR="00E45AFC" w:rsidRPr="00913FA1">
        <w:rPr>
          <w:rFonts w:ascii="Times New Roman" w:eastAsia="Times New Roman" w:hAnsi="Times New Roman"/>
          <w:sz w:val="24"/>
          <w:szCs w:val="24"/>
          <w:lang w:eastAsia="en-AU"/>
        </w:rPr>
        <w:t xml:space="preserve">Regulation Impact Statement </w:t>
      </w:r>
      <w:r w:rsidR="00C83B51">
        <w:rPr>
          <w:rFonts w:ascii="Times New Roman" w:eastAsia="Times New Roman" w:hAnsi="Times New Roman"/>
          <w:sz w:val="24"/>
          <w:szCs w:val="24"/>
          <w:lang w:eastAsia="en-AU"/>
        </w:rPr>
        <w:t>was</w:t>
      </w:r>
      <w:r w:rsidR="00913FA1" w:rsidRPr="00913FA1">
        <w:rPr>
          <w:rFonts w:ascii="Times New Roman" w:eastAsia="Times New Roman" w:hAnsi="Times New Roman"/>
          <w:sz w:val="24"/>
          <w:szCs w:val="24"/>
          <w:lang w:eastAsia="en-AU"/>
        </w:rPr>
        <w:t xml:space="preserve"> not required </w:t>
      </w:r>
      <w:r w:rsidR="00E45AFC" w:rsidRPr="00913FA1">
        <w:rPr>
          <w:rFonts w:ascii="Times New Roman" w:eastAsia="Times New Roman" w:hAnsi="Times New Roman"/>
          <w:sz w:val="24"/>
          <w:szCs w:val="24"/>
          <w:lang w:eastAsia="en-AU"/>
        </w:rPr>
        <w:t>for</w:t>
      </w:r>
      <w:r w:rsidR="001B4BD6">
        <w:rPr>
          <w:rFonts w:ascii="Times New Roman" w:eastAsia="Times New Roman" w:hAnsi="Times New Roman"/>
          <w:sz w:val="24"/>
          <w:szCs w:val="24"/>
          <w:lang w:eastAsia="en-AU"/>
        </w:rPr>
        <w:t xml:space="preserve"> </w:t>
      </w:r>
      <w:r w:rsidR="00C83B51">
        <w:rPr>
          <w:rFonts w:ascii="Times New Roman" w:eastAsia="Times New Roman" w:hAnsi="Times New Roman"/>
          <w:sz w:val="24"/>
          <w:szCs w:val="24"/>
          <w:lang w:eastAsia="en-AU"/>
        </w:rPr>
        <w:t xml:space="preserve">the prudential standards (CPS 320 and GPS 340) that gave rise to these consequential amendments. </w:t>
      </w:r>
    </w:p>
    <w:p w14:paraId="241237F6" w14:textId="77777777" w:rsidR="00A92F79" w:rsidRPr="00045CBE" w:rsidRDefault="00A92F79" w:rsidP="009D7325">
      <w:pPr>
        <w:pStyle w:val="Heading"/>
        <w:numPr>
          <w:ilvl w:val="0"/>
          <w:numId w:val="2"/>
        </w:numPr>
        <w:spacing w:before="0" w:after="240"/>
        <w:jc w:val="both"/>
        <w:rPr>
          <w:rFonts w:cs="Times New Roman"/>
          <w:i/>
          <w:sz w:val="24"/>
          <w:szCs w:val="24"/>
        </w:rPr>
      </w:pPr>
      <w:r w:rsidRPr="00045CBE">
        <w:rPr>
          <w:rFonts w:cs="Times New Roman"/>
          <w:sz w:val="24"/>
          <w:szCs w:val="24"/>
        </w:rPr>
        <w:t xml:space="preserve">Statement of compatibility prepared in accordance with Part 3 of the </w:t>
      </w:r>
      <w:r w:rsidRPr="00045CBE">
        <w:rPr>
          <w:rFonts w:cs="Times New Roman"/>
          <w:i/>
          <w:sz w:val="24"/>
          <w:szCs w:val="24"/>
        </w:rPr>
        <w:t>Human Rights (Parliamentary Scrutiny) Act 2011</w:t>
      </w:r>
    </w:p>
    <w:p w14:paraId="69F9938F" w14:textId="77777777" w:rsidR="00C7033B" w:rsidRPr="00045CBE" w:rsidRDefault="00A92F79" w:rsidP="00740ABA">
      <w:pPr>
        <w:pStyle w:val="Heading"/>
        <w:spacing w:before="0" w:after="240"/>
        <w:jc w:val="both"/>
        <w:rPr>
          <w:rFonts w:cs="Times New Roman"/>
          <w:b w:val="0"/>
          <w:kern w:val="0"/>
          <w:sz w:val="24"/>
          <w:szCs w:val="24"/>
          <w:lang w:val="en-GB"/>
        </w:rPr>
      </w:pPr>
      <w:r w:rsidRPr="00045CBE">
        <w:rPr>
          <w:rFonts w:cs="Times New Roman"/>
          <w:b w:val="0"/>
          <w:kern w:val="0"/>
          <w:sz w:val="24"/>
          <w:szCs w:val="24"/>
          <w:lang w:val="en-GB"/>
        </w:rPr>
        <w:t xml:space="preserve">A Statement of compatibility prepared in accordance with Part 3 of the </w:t>
      </w:r>
      <w:r w:rsidRPr="00045CBE">
        <w:rPr>
          <w:rFonts w:cs="Times New Roman"/>
          <w:b w:val="0"/>
          <w:i/>
          <w:sz w:val="24"/>
          <w:szCs w:val="24"/>
          <w:lang w:val="en-GB"/>
        </w:rPr>
        <w:t>Human Rights (Parliamentary Scrutiny) Act 2011</w:t>
      </w:r>
      <w:r w:rsidRPr="00045CBE">
        <w:rPr>
          <w:rFonts w:cs="Times New Roman"/>
          <w:b w:val="0"/>
          <w:kern w:val="0"/>
          <w:sz w:val="24"/>
          <w:szCs w:val="24"/>
          <w:lang w:val="en-GB"/>
        </w:rPr>
        <w:t xml:space="preserve"> is provided at Attachment A to this Explanatory Statement.</w:t>
      </w:r>
    </w:p>
    <w:p w14:paraId="269EC1D2" w14:textId="77777777" w:rsidR="00C67094" w:rsidRPr="00045CBE" w:rsidRDefault="008B2660" w:rsidP="00B321B0">
      <w:pPr>
        <w:spacing w:after="240"/>
        <w:jc w:val="both"/>
        <w:rPr>
          <w:rFonts w:ascii="Times New Roman" w:eastAsia="Times New Roman" w:hAnsi="Times New Roman"/>
          <w:sz w:val="24"/>
          <w:szCs w:val="24"/>
          <w:lang w:eastAsia="en-AU"/>
        </w:rPr>
      </w:pPr>
      <w:r w:rsidRPr="00045CBE">
        <w:rPr>
          <w:rFonts w:ascii="Times New Roman" w:eastAsia="Times New Roman" w:hAnsi="Times New Roman"/>
          <w:sz w:val="24"/>
          <w:szCs w:val="24"/>
          <w:lang w:eastAsia="en-AU"/>
        </w:rPr>
        <w:br w:type="page"/>
      </w:r>
    </w:p>
    <w:p w14:paraId="337E6C35" w14:textId="77777777" w:rsidR="00A92F79" w:rsidRPr="00045CBE" w:rsidRDefault="00A92F79" w:rsidP="00041B8A">
      <w:pPr>
        <w:pStyle w:val="Heading"/>
        <w:keepNext w:val="0"/>
        <w:spacing w:before="0" w:after="240"/>
        <w:jc w:val="center"/>
        <w:rPr>
          <w:rFonts w:cs="Times New Roman"/>
          <w:sz w:val="24"/>
          <w:szCs w:val="24"/>
        </w:rPr>
      </w:pPr>
      <w:r w:rsidRPr="00045CBE">
        <w:rPr>
          <w:rFonts w:cs="Times New Roman"/>
          <w:sz w:val="24"/>
          <w:szCs w:val="24"/>
          <w:lang w:val="en-GB"/>
        </w:rPr>
        <w:lastRenderedPageBreak/>
        <w:t>ATTACHMENT A</w:t>
      </w:r>
    </w:p>
    <w:p w14:paraId="1409FBB5" w14:textId="77777777" w:rsidR="00A92F79" w:rsidRPr="00045CBE" w:rsidRDefault="00A92F79" w:rsidP="00B321B0">
      <w:pPr>
        <w:pStyle w:val="Heading"/>
        <w:keepNext w:val="0"/>
        <w:spacing w:before="0" w:after="240"/>
        <w:jc w:val="center"/>
        <w:rPr>
          <w:rFonts w:cs="Times New Roman"/>
          <w:sz w:val="24"/>
          <w:szCs w:val="24"/>
        </w:rPr>
      </w:pPr>
      <w:r w:rsidRPr="00045CBE">
        <w:rPr>
          <w:rFonts w:cs="Times New Roman"/>
          <w:sz w:val="24"/>
          <w:szCs w:val="24"/>
        </w:rPr>
        <w:t>Statement of Compatibility with Human Rights</w:t>
      </w:r>
    </w:p>
    <w:p w14:paraId="5E0A090C" w14:textId="77777777" w:rsidR="00A92F79" w:rsidRPr="00045CBE" w:rsidRDefault="00A92F79" w:rsidP="00740ABA">
      <w:pPr>
        <w:pStyle w:val="Heading1"/>
        <w:spacing w:after="240"/>
        <w:jc w:val="center"/>
        <w:rPr>
          <w:rFonts w:ascii="Times New Roman" w:hAnsi="Times New Roman"/>
          <w:b w:val="0"/>
          <w:i/>
          <w:sz w:val="24"/>
          <w:szCs w:val="24"/>
        </w:rPr>
      </w:pPr>
      <w:r w:rsidRPr="00045CBE">
        <w:rPr>
          <w:rFonts w:ascii="Times New Roman" w:hAnsi="Times New Roman"/>
          <w:b w:val="0"/>
          <w:sz w:val="24"/>
          <w:szCs w:val="24"/>
        </w:rPr>
        <w:t xml:space="preserve">Prepared in accordance with Part 3 of the </w:t>
      </w:r>
      <w:r w:rsidRPr="00045CBE">
        <w:rPr>
          <w:rFonts w:ascii="Times New Roman" w:hAnsi="Times New Roman"/>
          <w:b w:val="0"/>
          <w:i/>
          <w:sz w:val="24"/>
          <w:szCs w:val="24"/>
        </w:rPr>
        <w:t>Human Rights (Parliamentary Scrutiny) Act 2011</w:t>
      </w:r>
    </w:p>
    <w:p w14:paraId="4209F756" w14:textId="3A32736F" w:rsidR="000565C4" w:rsidRPr="00045CBE" w:rsidRDefault="000565C4" w:rsidP="00A01500">
      <w:pPr>
        <w:spacing w:after="240"/>
        <w:rPr>
          <w:rFonts w:ascii="Times New Roman" w:eastAsia="Times New Roman" w:hAnsi="Times New Roman"/>
          <w:b/>
          <w:sz w:val="24"/>
          <w:szCs w:val="24"/>
          <w:lang w:eastAsia="en-AU"/>
        </w:rPr>
      </w:pPr>
      <w:r w:rsidRPr="00045CBE">
        <w:rPr>
          <w:rFonts w:ascii="Times New Roman" w:eastAsia="Times New Roman" w:hAnsi="Times New Roman"/>
          <w:b/>
          <w:sz w:val="24"/>
          <w:szCs w:val="24"/>
          <w:lang w:eastAsia="en-AU"/>
        </w:rPr>
        <w:t xml:space="preserve">Insurance (prudential standard) determination </w:t>
      </w:r>
      <w:r w:rsidRPr="00211B57">
        <w:rPr>
          <w:rFonts w:ascii="Times New Roman" w:eastAsia="Times New Roman" w:hAnsi="Times New Roman"/>
          <w:b/>
          <w:sz w:val="24"/>
          <w:szCs w:val="24"/>
          <w:lang w:eastAsia="en-AU"/>
        </w:rPr>
        <w:t>No</w:t>
      </w:r>
      <w:r w:rsidR="00764812" w:rsidRPr="00211B57">
        <w:rPr>
          <w:rFonts w:ascii="Times New Roman" w:eastAsia="Times New Roman" w:hAnsi="Times New Roman"/>
          <w:b/>
          <w:sz w:val="24"/>
          <w:szCs w:val="24"/>
          <w:lang w:eastAsia="en-AU"/>
        </w:rPr>
        <w:t>s.</w:t>
      </w:r>
      <w:r w:rsidR="002F6F40" w:rsidRPr="00211B57">
        <w:rPr>
          <w:rFonts w:ascii="Times New Roman" w:eastAsia="Times New Roman" w:hAnsi="Times New Roman"/>
          <w:b/>
          <w:sz w:val="24"/>
          <w:szCs w:val="24"/>
          <w:lang w:eastAsia="en-AU"/>
        </w:rPr>
        <w:t xml:space="preserve"> </w:t>
      </w:r>
      <w:r w:rsidR="00DF4834" w:rsidRPr="00211B57">
        <w:rPr>
          <w:rFonts w:ascii="Times New Roman" w:eastAsia="Times New Roman" w:hAnsi="Times New Roman"/>
          <w:b/>
          <w:sz w:val="24"/>
          <w:szCs w:val="24"/>
          <w:lang w:eastAsia="en-AU"/>
        </w:rPr>
        <w:t>10 to 13</w:t>
      </w:r>
      <w:r w:rsidR="002F6F40" w:rsidRPr="00211B57">
        <w:rPr>
          <w:rFonts w:ascii="Times New Roman" w:eastAsia="Times New Roman" w:hAnsi="Times New Roman"/>
          <w:b/>
          <w:sz w:val="24"/>
          <w:szCs w:val="24"/>
          <w:lang w:eastAsia="en-AU"/>
        </w:rPr>
        <w:t xml:space="preserve"> </w:t>
      </w:r>
      <w:r w:rsidR="00DC5143" w:rsidRPr="00211B57">
        <w:rPr>
          <w:rFonts w:ascii="Times New Roman" w:eastAsia="Times New Roman" w:hAnsi="Times New Roman"/>
          <w:b/>
          <w:sz w:val="24"/>
          <w:szCs w:val="24"/>
          <w:lang w:eastAsia="en-AU"/>
        </w:rPr>
        <w:t>of 2019</w:t>
      </w:r>
    </w:p>
    <w:p w14:paraId="13628040" w14:textId="6AA18B41" w:rsidR="00A92F79" w:rsidRPr="00045CBE" w:rsidRDefault="00DF4834" w:rsidP="00740ABA">
      <w:pPr>
        <w:spacing w:after="240"/>
        <w:jc w:val="both"/>
        <w:rPr>
          <w:rFonts w:ascii="Times New Roman" w:hAnsi="Times New Roman"/>
          <w:sz w:val="24"/>
          <w:szCs w:val="24"/>
        </w:rPr>
      </w:pPr>
      <w:r>
        <w:rPr>
          <w:rFonts w:ascii="Times New Roman" w:hAnsi="Times New Roman"/>
          <w:sz w:val="24"/>
          <w:szCs w:val="24"/>
        </w:rPr>
        <w:t>These</w:t>
      </w:r>
      <w:r w:rsidRPr="00045CBE">
        <w:rPr>
          <w:rFonts w:ascii="Times New Roman" w:hAnsi="Times New Roman"/>
          <w:sz w:val="24"/>
          <w:szCs w:val="24"/>
        </w:rPr>
        <w:t xml:space="preserve"> </w:t>
      </w:r>
      <w:r w:rsidR="00A92F79" w:rsidRPr="00045CBE">
        <w:rPr>
          <w:rFonts w:ascii="Times New Roman" w:hAnsi="Times New Roman"/>
          <w:sz w:val="24"/>
          <w:szCs w:val="24"/>
        </w:rPr>
        <w:t>Legislative Instrument</w:t>
      </w:r>
      <w:r>
        <w:rPr>
          <w:rFonts w:ascii="Times New Roman" w:hAnsi="Times New Roman"/>
          <w:sz w:val="24"/>
          <w:szCs w:val="24"/>
        </w:rPr>
        <w:t>s</w:t>
      </w:r>
      <w:r w:rsidR="00940DF7">
        <w:rPr>
          <w:rFonts w:ascii="Times New Roman" w:hAnsi="Times New Roman"/>
          <w:sz w:val="24"/>
          <w:szCs w:val="24"/>
        </w:rPr>
        <w:t xml:space="preserve"> </w:t>
      </w:r>
      <w:r>
        <w:rPr>
          <w:rFonts w:ascii="Times New Roman" w:hAnsi="Times New Roman"/>
          <w:sz w:val="24"/>
          <w:szCs w:val="24"/>
        </w:rPr>
        <w:t>(instruments) are</w:t>
      </w:r>
      <w:r w:rsidRPr="00045CBE">
        <w:rPr>
          <w:rFonts w:ascii="Times New Roman" w:hAnsi="Times New Roman"/>
          <w:sz w:val="24"/>
          <w:szCs w:val="24"/>
        </w:rPr>
        <w:t xml:space="preserve"> </w:t>
      </w:r>
      <w:r w:rsidR="00A92F79" w:rsidRPr="00045CBE">
        <w:rPr>
          <w:rFonts w:ascii="Times New Roman" w:hAnsi="Times New Roman"/>
          <w:sz w:val="24"/>
          <w:szCs w:val="24"/>
        </w:rPr>
        <w:t xml:space="preserve">compatible with the human rights and freedoms recognised or declared in the international instrument listed in section 3 of the </w:t>
      </w:r>
      <w:r w:rsidR="00A92F79" w:rsidRPr="00045CBE">
        <w:rPr>
          <w:rFonts w:ascii="Times New Roman" w:hAnsi="Times New Roman"/>
          <w:i/>
          <w:sz w:val="24"/>
          <w:szCs w:val="24"/>
        </w:rPr>
        <w:t>Human Rights (Parliamentary Scrutiny) Act 2011</w:t>
      </w:r>
      <w:r w:rsidR="00A92F79" w:rsidRPr="00045CBE">
        <w:rPr>
          <w:rFonts w:ascii="Times New Roman" w:hAnsi="Times New Roman"/>
          <w:sz w:val="24"/>
          <w:szCs w:val="24"/>
        </w:rPr>
        <w:t xml:space="preserve"> (HRPS Act)</w:t>
      </w:r>
      <w:r w:rsidR="00B60C5A" w:rsidRPr="00045CBE">
        <w:rPr>
          <w:rFonts w:ascii="Times New Roman" w:hAnsi="Times New Roman"/>
          <w:sz w:val="24"/>
          <w:szCs w:val="24"/>
        </w:rPr>
        <w:t>.</w:t>
      </w:r>
    </w:p>
    <w:p w14:paraId="44DEE134" w14:textId="77777777"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Overview of the Legislative Instrument</w:t>
      </w:r>
    </w:p>
    <w:p w14:paraId="35726C72" w14:textId="20872277" w:rsidR="00F6561D" w:rsidRDefault="00F6561D" w:rsidP="00A9359D">
      <w:pPr>
        <w:spacing w:after="240"/>
        <w:jc w:val="both"/>
        <w:rPr>
          <w:rFonts w:ascii="Times New Roman" w:hAnsi="Times New Roman"/>
          <w:sz w:val="24"/>
        </w:rPr>
      </w:pPr>
      <w:r>
        <w:rPr>
          <w:rFonts w:ascii="Times New Roman" w:hAnsi="Times New Roman"/>
          <w:sz w:val="24"/>
        </w:rPr>
        <w:t xml:space="preserve">The purpose of these instruments is to </w:t>
      </w:r>
      <w:r w:rsidR="00DF4834">
        <w:rPr>
          <w:rFonts w:ascii="Times New Roman" w:hAnsi="Times New Roman"/>
          <w:sz w:val="24"/>
        </w:rPr>
        <w:t>correct</w:t>
      </w:r>
      <w:r w:rsidR="00DB4C8D">
        <w:rPr>
          <w:rFonts w:ascii="Times New Roman" w:hAnsi="Times New Roman"/>
          <w:sz w:val="24"/>
        </w:rPr>
        <w:t xml:space="preserve"> </w:t>
      </w:r>
      <w:r>
        <w:rPr>
          <w:rFonts w:ascii="Times New Roman" w:hAnsi="Times New Roman"/>
          <w:sz w:val="24"/>
        </w:rPr>
        <w:t xml:space="preserve">minor omissions </w:t>
      </w:r>
      <w:r w:rsidR="00790966">
        <w:rPr>
          <w:rFonts w:ascii="Times New Roman" w:hAnsi="Times New Roman"/>
          <w:sz w:val="24"/>
        </w:rPr>
        <w:t xml:space="preserve">in </w:t>
      </w:r>
      <w:r w:rsidR="00DF4834">
        <w:rPr>
          <w:rFonts w:ascii="Times New Roman" w:hAnsi="Times New Roman"/>
          <w:sz w:val="24"/>
        </w:rPr>
        <w:t xml:space="preserve">the versions of </w:t>
      </w:r>
      <w:r w:rsidR="00790966">
        <w:rPr>
          <w:rFonts w:ascii="Times New Roman" w:hAnsi="Times New Roman"/>
          <w:sz w:val="24"/>
        </w:rPr>
        <w:t xml:space="preserve">GPS 110 and GPS 116 </w:t>
      </w:r>
      <w:r w:rsidR="00DF4834">
        <w:rPr>
          <w:rFonts w:ascii="Times New Roman" w:eastAsia="Times New Roman" w:hAnsi="Times New Roman"/>
          <w:sz w:val="24"/>
          <w:szCs w:val="24"/>
          <w:lang w:eastAsia="en-AU"/>
        </w:rPr>
        <w:t xml:space="preserve">as </w:t>
      </w:r>
      <w:r w:rsidR="00DF4834">
        <w:rPr>
          <w:rFonts w:ascii="Times New Roman" w:hAnsi="Times New Roman"/>
          <w:sz w:val="24"/>
        </w:rPr>
        <w:t xml:space="preserve">made under </w:t>
      </w:r>
      <w:r w:rsidR="00DF4834" w:rsidRPr="00045CBE">
        <w:rPr>
          <w:rFonts w:ascii="Times New Roman" w:hAnsi="Times New Roman"/>
          <w:sz w:val="24"/>
          <w:szCs w:val="24"/>
        </w:rPr>
        <w:t>Insurance</w:t>
      </w:r>
      <w:r w:rsidR="00DF4834">
        <w:rPr>
          <w:rFonts w:ascii="Times New Roman" w:hAnsi="Times New Roman"/>
          <w:sz w:val="24"/>
          <w:szCs w:val="24"/>
        </w:rPr>
        <w:t xml:space="preserve"> (prudential standard)</w:t>
      </w:r>
      <w:r w:rsidR="00DF4834" w:rsidRPr="00045CBE">
        <w:rPr>
          <w:rFonts w:ascii="Times New Roman" w:hAnsi="Times New Roman"/>
          <w:sz w:val="24"/>
          <w:szCs w:val="24"/>
        </w:rPr>
        <w:t xml:space="preserve"> determination No. </w:t>
      </w:r>
      <w:r w:rsidR="00DF4834">
        <w:rPr>
          <w:rFonts w:ascii="Times New Roman" w:hAnsi="Times New Roman"/>
          <w:sz w:val="24"/>
          <w:szCs w:val="24"/>
        </w:rPr>
        <w:t>1</w:t>
      </w:r>
      <w:r w:rsidR="00DF4834" w:rsidRPr="00045CBE">
        <w:rPr>
          <w:rFonts w:ascii="Times New Roman" w:hAnsi="Times New Roman"/>
          <w:sz w:val="24"/>
          <w:szCs w:val="24"/>
        </w:rPr>
        <w:t xml:space="preserve"> </w:t>
      </w:r>
      <w:r w:rsidR="002F1572" w:rsidRPr="00045CBE">
        <w:rPr>
          <w:rFonts w:ascii="Times New Roman" w:hAnsi="Times New Roman"/>
          <w:sz w:val="24"/>
          <w:szCs w:val="24"/>
        </w:rPr>
        <w:t xml:space="preserve">of </w:t>
      </w:r>
      <w:r w:rsidR="002F1572">
        <w:rPr>
          <w:rFonts w:ascii="Times New Roman" w:hAnsi="Times New Roman"/>
          <w:sz w:val="24"/>
          <w:szCs w:val="24"/>
        </w:rPr>
        <w:t>2019</w:t>
      </w:r>
      <w:r w:rsidR="00DF4834">
        <w:rPr>
          <w:rFonts w:ascii="Times New Roman" w:hAnsi="Times New Roman"/>
          <w:sz w:val="24"/>
          <w:szCs w:val="24"/>
        </w:rPr>
        <w:t xml:space="preserve"> and</w:t>
      </w:r>
      <w:r w:rsidR="00DF4834">
        <w:rPr>
          <w:rFonts w:ascii="Times New Roman" w:hAnsi="Times New Roman"/>
          <w:sz w:val="24"/>
        </w:rPr>
        <w:t xml:space="preserve"> </w:t>
      </w:r>
      <w:r w:rsidR="00DF4834" w:rsidRPr="00045CBE">
        <w:rPr>
          <w:rFonts w:ascii="Times New Roman" w:hAnsi="Times New Roman"/>
          <w:sz w:val="24"/>
          <w:szCs w:val="24"/>
        </w:rPr>
        <w:t xml:space="preserve">Insurance </w:t>
      </w:r>
      <w:r w:rsidR="00DF4834">
        <w:rPr>
          <w:rFonts w:ascii="Times New Roman" w:hAnsi="Times New Roman"/>
          <w:sz w:val="24"/>
          <w:szCs w:val="24"/>
        </w:rPr>
        <w:t xml:space="preserve">(prudential standard) </w:t>
      </w:r>
      <w:r w:rsidR="00DF4834" w:rsidRPr="00045CBE">
        <w:rPr>
          <w:rFonts w:ascii="Times New Roman" w:hAnsi="Times New Roman"/>
          <w:sz w:val="24"/>
          <w:szCs w:val="24"/>
        </w:rPr>
        <w:t xml:space="preserve">determination No. </w:t>
      </w:r>
      <w:r w:rsidR="00DF4834">
        <w:rPr>
          <w:rFonts w:ascii="Times New Roman" w:hAnsi="Times New Roman"/>
          <w:sz w:val="24"/>
          <w:szCs w:val="24"/>
        </w:rPr>
        <w:t>6</w:t>
      </w:r>
      <w:r w:rsidR="00DF4834" w:rsidRPr="00045CBE">
        <w:rPr>
          <w:rFonts w:ascii="Times New Roman" w:hAnsi="Times New Roman"/>
          <w:sz w:val="24"/>
          <w:szCs w:val="24"/>
        </w:rPr>
        <w:t xml:space="preserve"> of</w:t>
      </w:r>
      <w:r w:rsidR="00E07DFA">
        <w:rPr>
          <w:rFonts w:ascii="Times New Roman" w:hAnsi="Times New Roman"/>
          <w:sz w:val="24"/>
          <w:szCs w:val="24"/>
        </w:rPr>
        <w:t xml:space="preserve"> </w:t>
      </w:r>
      <w:r w:rsidR="00DF4834" w:rsidRPr="00045CBE">
        <w:rPr>
          <w:rFonts w:ascii="Times New Roman" w:hAnsi="Times New Roman"/>
          <w:sz w:val="24"/>
          <w:szCs w:val="24"/>
        </w:rPr>
        <w:t>201</w:t>
      </w:r>
      <w:r w:rsidR="00DF4834">
        <w:rPr>
          <w:rFonts w:ascii="Times New Roman" w:hAnsi="Times New Roman"/>
          <w:sz w:val="24"/>
          <w:szCs w:val="24"/>
        </w:rPr>
        <w:t xml:space="preserve">9 (respectively) </w:t>
      </w:r>
      <w:r w:rsidR="00790966">
        <w:rPr>
          <w:rFonts w:ascii="Times New Roman" w:hAnsi="Times New Roman"/>
          <w:sz w:val="24"/>
        </w:rPr>
        <w:t>arising from</w:t>
      </w:r>
      <w:r>
        <w:rPr>
          <w:rFonts w:ascii="Times New Roman" w:hAnsi="Times New Roman"/>
          <w:sz w:val="24"/>
        </w:rPr>
        <w:t xml:space="preserve"> consequential </w:t>
      </w:r>
      <w:r w:rsidR="00DF4834">
        <w:rPr>
          <w:rFonts w:ascii="Times New Roman" w:hAnsi="Times New Roman"/>
          <w:sz w:val="24"/>
        </w:rPr>
        <w:t xml:space="preserve">amendments </w:t>
      </w:r>
      <w:r>
        <w:rPr>
          <w:rFonts w:ascii="Times New Roman" w:hAnsi="Times New Roman"/>
          <w:sz w:val="24"/>
        </w:rPr>
        <w:t xml:space="preserve">made to </w:t>
      </w:r>
      <w:r w:rsidR="00790966" w:rsidRPr="00211B57">
        <w:rPr>
          <w:rFonts w:ascii="Times New Roman" w:hAnsi="Times New Roman"/>
          <w:iCs/>
          <w:sz w:val="24"/>
          <w:szCs w:val="24"/>
        </w:rPr>
        <w:t>GPS 110 and GPS 116</w:t>
      </w:r>
      <w:r w:rsidR="00DB4C8D">
        <w:rPr>
          <w:rFonts w:ascii="Times New Roman" w:hAnsi="Times New Roman"/>
          <w:iCs/>
          <w:sz w:val="24"/>
          <w:szCs w:val="24"/>
        </w:rPr>
        <w:t xml:space="preserve"> in April 2019</w:t>
      </w:r>
      <w:r w:rsidR="00EF74F1">
        <w:rPr>
          <w:rFonts w:ascii="Times New Roman" w:hAnsi="Times New Roman"/>
          <w:i/>
          <w:iCs/>
          <w:sz w:val="24"/>
          <w:szCs w:val="24"/>
          <w:lang w:val="en-US"/>
        </w:rPr>
        <w:t xml:space="preserve"> </w:t>
      </w:r>
      <w:r>
        <w:rPr>
          <w:rFonts w:ascii="Times New Roman" w:hAnsi="Times New Roman"/>
          <w:sz w:val="24"/>
        </w:rPr>
        <w:t xml:space="preserve">to </w:t>
      </w:r>
      <w:r w:rsidR="008A0756">
        <w:rPr>
          <w:rFonts w:ascii="Times New Roman" w:hAnsi="Times New Roman"/>
          <w:sz w:val="24"/>
        </w:rPr>
        <w:t>reflect</w:t>
      </w:r>
      <w:r>
        <w:rPr>
          <w:rFonts w:ascii="Times New Roman" w:hAnsi="Times New Roman"/>
          <w:sz w:val="24"/>
        </w:rPr>
        <w:t xml:space="preserve"> the introduction of </w:t>
      </w:r>
      <w:r w:rsidR="00790966" w:rsidRPr="00211B57">
        <w:rPr>
          <w:rFonts w:ascii="Times New Roman" w:hAnsi="Times New Roman"/>
          <w:sz w:val="24"/>
        </w:rPr>
        <w:t>CPS 320 and GPS 340</w:t>
      </w:r>
      <w:r w:rsidRPr="00790966">
        <w:rPr>
          <w:rFonts w:ascii="Times New Roman" w:hAnsi="Times New Roman"/>
          <w:sz w:val="24"/>
        </w:rPr>
        <w:t>.</w:t>
      </w:r>
    </w:p>
    <w:p w14:paraId="01B7221E" w14:textId="77777777" w:rsidR="00A92F79" w:rsidRPr="00045CBE" w:rsidRDefault="00A92F79" w:rsidP="00740ABA">
      <w:pPr>
        <w:spacing w:after="240"/>
        <w:jc w:val="both"/>
        <w:rPr>
          <w:rFonts w:ascii="Times New Roman" w:hAnsi="Times New Roman"/>
          <w:sz w:val="24"/>
          <w:szCs w:val="24"/>
        </w:rPr>
      </w:pPr>
      <w:r w:rsidRPr="00045CBE">
        <w:rPr>
          <w:rFonts w:ascii="Times New Roman" w:hAnsi="Times New Roman"/>
          <w:b/>
          <w:sz w:val="24"/>
          <w:szCs w:val="24"/>
        </w:rPr>
        <w:t>Human rights implications</w:t>
      </w:r>
    </w:p>
    <w:p w14:paraId="69A47E10" w14:textId="77777777" w:rsidR="00A92F79" w:rsidRPr="00045CBE" w:rsidRDefault="00A92F79" w:rsidP="00217CED">
      <w:pPr>
        <w:spacing w:after="240"/>
        <w:jc w:val="both"/>
        <w:rPr>
          <w:rFonts w:ascii="Times New Roman" w:eastAsia="Times New Roman" w:hAnsi="Times New Roman"/>
          <w:i/>
          <w:iCs/>
          <w:sz w:val="24"/>
          <w:szCs w:val="24"/>
          <w:lang w:eastAsia="en-AU"/>
        </w:rPr>
      </w:pPr>
      <w:r w:rsidRPr="00045CBE">
        <w:rPr>
          <w:rFonts w:ascii="Times New Roman" w:hAnsi="Times New Roman"/>
          <w:sz w:val="24"/>
          <w:szCs w:val="24"/>
        </w:rPr>
        <w:t>APRA has assessed the instrument</w:t>
      </w:r>
      <w:r w:rsidR="00FE04DC" w:rsidRPr="00045CBE">
        <w:rPr>
          <w:rFonts w:ascii="Times New Roman" w:hAnsi="Times New Roman"/>
          <w:sz w:val="24"/>
          <w:szCs w:val="24"/>
        </w:rPr>
        <w:t>s</w:t>
      </w:r>
      <w:r w:rsidRPr="00045CBE">
        <w:rPr>
          <w:rFonts w:ascii="Times New Roman" w:hAnsi="Times New Roman"/>
          <w:sz w:val="24"/>
          <w:szCs w:val="24"/>
        </w:rPr>
        <w:t xml:space="preserve"> against the international instruments listed in section 3 of the HRPS Act and </w:t>
      </w:r>
      <w:r w:rsidR="00FE04DC" w:rsidRPr="00045CBE">
        <w:rPr>
          <w:rFonts w:ascii="Times New Roman" w:hAnsi="Times New Roman"/>
          <w:sz w:val="24"/>
          <w:szCs w:val="24"/>
        </w:rPr>
        <w:t xml:space="preserve">has </w:t>
      </w:r>
      <w:r w:rsidRPr="00045CBE">
        <w:rPr>
          <w:rFonts w:ascii="Times New Roman" w:hAnsi="Times New Roman"/>
          <w:sz w:val="24"/>
          <w:szCs w:val="24"/>
        </w:rPr>
        <w:t xml:space="preserve">determined that </w:t>
      </w:r>
      <w:r w:rsidR="00FE04DC" w:rsidRPr="00045CBE">
        <w:rPr>
          <w:rFonts w:ascii="Times New Roman" w:hAnsi="Times New Roman"/>
          <w:sz w:val="24"/>
          <w:szCs w:val="24"/>
        </w:rPr>
        <w:t>the instruments do</w:t>
      </w:r>
      <w:r w:rsidR="002249BD" w:rsidRPr="00045CBE">
        <w:rPr>
          <w:rFonts w:ascii="Times New Roman" w:hAnsi="Times New Roman"/>
          <w:sz w:val="24"/>
          <w:szCs w:val="24"/>
        </w:rPr>
        <w:t xml:space="preserve"> not engage </w:t>
      </w:r>
      <w:r w:rsidR="002249BD" w:rsidRPr="00045CBE">
        <w:rPr>
          <w:rFonts w:ascii="Times New Roman" w:eastAsia="Times New Roman" w:hAnsi="Times New Roman"/>
          <w:sz w:val="24"/>
          <w:szCs w:val="24"/>
          <w:lang w:eastAsia="en-AU"/>
        </w:rPr>
        <w:t>any of the applicable rights or freedoms</w:t>
      </w:r>
      <w:r w:rsidR="00B60C5A" w:rsidRPr="00045CBE">
        <w:rPr>
          <w:rFonts w:ascii="Times New Roman" w:eastAsia="Times New Roman" w:hAnsi="Times New Roman"/>
          <w:sz w:val="24"/>
          <w:szCs w:val="24"/>
          <w:lang w:eastAsia="en-AU"/>
        </w:rPr>
        <w:t>.</w:t>
      </w:r>
    </w:p>
    <w:p w14:paraId="66850940" w14:textId="77777777" w:rsidR="00A92F79" w:rsidRPr="00045CBE" w:rsidRDefault="00A92F79" w:rsidP="00F83148">
      <w:pPr>
        <w:spacing w:after="240"/>
        <w:jc w:val="both"/>
        <w:rPr>
          <w:rFonts w:ascii="Times New Roman" w:hAnsi="Times New Roman"/>
          <w:b/>
          <w:sz w:val="24"/>
          <w:szCs w:val="24"/>
        </w:rPr>
      </w:pPr>
      <w:r w:rsidRPr="00045CBE">
        <w:rPr>
          <w:rFonts w:ascii="Times New Roman" w:hAnsi="Times New Roman"/>
          <w:b/>
          <w:sz w:val="24"/>
          <w:szCs w:val="24"/>
        </w:rPr>
        <w:t>Conclusion</w:t>
      </w:r>
    </w:p>
    <w:p w14:paraId="3B40AD00" w14:textId="3AB066C5" w:rsidR="00B04B20" w:rsidRPr="002C3918" w:rsidRDefault="002F1572" w:rsidP="002C3918">
      <w:pPr>
        <w:spacing w:after="240"/>
        <w:jc w:val="both"/>
        <w:rPr>
          <w:rFonts w:ascii="Times New Roman" w:hAnsi="Times New Roman"/>
          <w:sz w:val="24"/>
          <w:szCs w:val="24"/>
        </w:rPr>
      </w:pPr>
      <w:r>
        <w:rPr>
          <w:rFonts w:ascii="Times New Roman" w:hAnsi="Times New Roman"/>
          <w:sz w:val="24"/>
          <w:szCs w:val="24"/>
        </w:rPr>
        <w:t>These</w:t>
      </w:r>
      <w:r w:rsidRPr="00045CBE">
        <w:rPr>
          <w:rFonts w:ascii="Times New Roman" w:hAnsi="Times New Roman"/>
          <w:sz w:val="24"/>
          <w:szCs w:val="24"/>
        </w:rPr>
        <w:t xml:space="preserve"> </w:t>
      </w:r>
      <w:r>
        <w:rPr>
          <w:rFonts w:ascii="Times New Roman" w:hAnsi="Times New Roman"/>
          <w:sz w:val="24"/>
          <w:szCs w:val="24"/>
        </w:rPr>
        <w:t>instruments</w:t>
      </w:r>
      <w:r w:rsidR="00A92F79" w:rsidRPr="00045CBE">
        <w:rPr>
          <w:rFonts w:ascii="Times New Roman" w:hAnsi="Times New Roman"/>
          <w:sz w:val="24"/>
          <w:szCs w:val="24"/>
        </w:rPr>
        <w:t xml:space="preserve"> </w:t>
      </w:r>
      <w:r w:rsidR="0034558E">
        <w:rPr>
          <w:rFonts w:ascii="Times New Roman" w:hAnsi="Times New Roman"/>
          <w:sz w:val="24"/>
          <w:szCs w:val="24"/>
        </w:rPr>
        <w:t>are</w:t>
      </w:r>
      <w:r w:rsidR="00FE04DC" w:rsidRPr="00045CBE">
        <w:rPr>
          <w:rFonts w:ascii="Times New Roman" w:hAnsi="Times New Roman"/>
          <w:sz w:val="24"/>
          <w:szCs w:val="24"/>
        </w:rPr>
        <w:t xml:space="preserve"> </w:t>
      </w:r>
      <w:r w:rsidR="00A92F79" w:rsidRPr="00045CBE">
        <w:rPr>
          <w:rFonts w:ascii="Times New Roman" w:hAnsi="Times New Roman"/>
          <w:sz w:val="24"/>
          <w:szCs w:val="24"/>
        </w:rPr>
        <w:t xml:space="preserve">compatible with human rights </w:t>
      </w:r>
      <w:r w:rsidR="00B60C5A" w:rsidRPr="00045CBE">
        <w:rPr>
          <w:rFonts w:ascii="Times New Roman" w:hAnsi="Times New Roman"/>
          <w:sz w:val="24"/>
          <w:szCs w:val="24"/>
        </w:rPr>
        <w:t>as</w:t>
      </w:r>
      <w:r w:rsidR="00A92F79" w:rsidRPr="00045CBE">
        <w:rPr>
          <w:rFonts w:ascii="Times New Roman" w:hAnsi="Times New Roman"/>
          <w:sz w:val="24"/>
          <w:szCs w:val="24"/>
        </w:rPr>
        <w:t xml:space="preserve"> </w:t>
      </w:r>
      <w:r w:rsidR="0034558E">
        <w:rPr>
          <w:rFonts w:ascii="Times New Roman" w:hAnsi="Times New Roman"/>
          <w:sz w:val="24"/>
          <w:szCs w:val="24"/>
        </w:rPr>
        <w:t>they</w:t>
      </w:r>
      <w:r w:rsidR="0034558E" w:rsidRPr="00045CBE">
        <w:rPr>
          <w:rFonts w:ascii="Times New Roman" w:hAnsi="Times New Roman"/>
          <w:sz w:val="24"/>
          <w:szCs w:val="24"/>
        </w:rPr>
        <w:t xml:space="preserve"> </w:t>
      </w:r>
      <w:r w:rsidR="00E454F2" w:rsidRPr="00045CBE">
        <w:rPr>
          <w:rFonts w:ascii="Times New Roman" w:hAnsi="Times New Roman"/>
          <w:sz w:val="24"/>
          <w:szCs w:val="24"/>
        </w:rPr>
        <w:t>do</w:t>
      </w:r>
      <w:r w:rsidR="00940DF7">
        <w:rPr>
          <w:rFonts w:ascii="Times New Roman" w:hAnsi="Times New Roman"/>
          <w:sz w:val="24"/>
          <w:szCs w:val="24"/>
        </w:rPr>
        <w:t>es</w:t>
      </w:r>
      <w:r w:rsidR="00E454F2" w:rsidRPr="00045CBE">
        <w:rPr>
          <w:rFonts w:ascii="Times New Roman" w:hAnsi="Times New Roman"/>
          <w:sz w:val="24"/>
          <w:szCs w:val="24"/>
        </w:rPr>
        <w:t xml:space="preserve"> not </w:t>
      </w:r>
      <w:r w:rsidR="00B60C5A" w:rsidRPr="00045CBE">
        <w:rPr>
          <w:rFonts w:ascii="Times New Roman" w:hAnsi="Times New Roman"/>
          <w:sz w:val="24"/>
          <w:szCs w:val="24"/>
        </w:rPr>
        <w:t>raise any</w:t>
      </w:r>
      <w:r w:rsidR="00A92F79" w:rsidRPr="00045CBE">
        <w:rPr>
          <w:rFonts w:ascii="Times New Roman" w:hAnsi="Times New Roman"/>
          <w:sz w:val="24"/>
          <w:szCs w:val="24"/>
        </w:rPr>
        <w:t xml:space="preserve"> human rights</w:t>
      </w:r>
      <w:r w:rsidR="00E454F2" w:rsidRPr="00045CBE">
        <w:rPr>
          <w:rFonts w:ascii="Times New Roman" w:hAnsi="Times New Roman"/>
          <w:sz w:val="24"/>
          <w:szCs w:val="24"/>
        </w:rPr>
        <w:t xml:space="preserve"> </w:t>
      </w:r>
      <w:r w:rsidR="00B60C5A" w:rsidRPr="00045CBE">
        <w:rPr>
          <w:rFonts w:ascii="Times New Roman" w:hAnsi="Times New Roman"/>
          <w:sz w:val="24"/>
          <w:szCs w:val="24"/>
        </w:rPr>
        <w:t>issues</w:t>
      </w:r>
      <w:r w:rsidR="00E454F2" w:rsidRPr="00045CBE">
        <w:rPr>
          <w:rFonts w:ascii="Times New Roman" w:hAnsi="Times New Roman"/>
          <w:sz w:val="24"/>
          <w:szCs w:val="24"/>
        </w:rPr>
        <w:t>.</w:t>
      </w:r>
    </w:p>
    <w:sectPr w:rsidR="00B04B20" w:rsidRPr="002C3918"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4F8F" w14:textId="77777777" w:rsidR="00CB2562" w:rsidRDefault="00CB2562" w:rsidP="00A019DA">
      <w:r>
        <w:separator/>
      </w:r>
    </w:p>
  </w:endnote>
  <w:endnote w:type="continuationSeparator" w:id="0">
    <w:p w14:paraId="6AC2A7D1" w14:textId="77777777" w:rsidR="00CB2562" w:rsidRDefault="00CB2562" w:rsidP="00A019DA">
      <w:r>
        <w:continuationSeparator/>
      </w:r>
    </w:p>
  </w:endnote>
  <w:endnote w:type="continuationNotice" w:id="1">
    <w:p w14:paraId="2BE875A8" w14:textId="77777777" w:rsidR="00CB2562" w:rsidRDefault="00CB2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OT Medium">
    <w:panose1 w:val="020B0604020201010104"/>
    <w:charset w:val="00"/>
    <w:family w:val="swiss"/>
    <w:pitch w:val="variable"/>
    <w:sig w:usb0="800000EF" w:usb1="4000A47B" w:usb2="00000000" w:usb3="00000000" w:csb0="00000001" w:csb1="00000000"/>
  </w:font>
  <w:font w:name="DIN OT Light">
    <w:panose1 w:val="020B0504020201010104"/>
    <w:charset w:val="00"/>
    <w:family w:val="swiss"/>
    <w:pitch w:val="variable"/>
    <w:sig w:usb0="800000EF" w:usb1="4000A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3A4F9" w14:textId="77777777" w:rsidR="00F20290" w:rsidRPr="00B321B0" w:rsidRDefault="00F20290">
    <w:pPr>
      <w:pStyle w:val="Footer"/>
      <w:jc w:val="center"/>
      <w:rPr>
        <w:rFonts w:ascii="Times New Roman" w:hAnsi="Times New Roman"/>
        <w:sz w:val="24"/>
        <w:szCs w:val="24"/>
      </w:rPr>
    </w:pPr>
    <w:r w:rsidRPr="00B321B0">
      <w:rPr>
        <w:rFonts w:ascii="Times New Roman" w:hAnsi="Times New Roman"/>
        <w:sz w:val="24"/>
        <w:szCs w:val="24"/>
      </w:rPr>
      <w:fldChar w:fldCharType="begin"/>
    </w:r>
    <w:r w:rsidRPr="00B321B0">
      <w:rPr>
        <w:rFonts w:ascii="Times New Roman" w:hAnsi="Times New Roman"/>
        <w:sz w:val="24"/>
        <w:szCs w:val="24"/>
      </w:rPr>
      <w:instrText xml:space="preserve"> PAGE   \* MERGEFORMAT </w:instrText>
    </w:r>
    <w:r w:rsidRPr="00B321B0">
      <w:rPr>
        <w:rFonts w:ascii="Times New Roman" w:hAnsi="Times New Roman"/>
        <w:sz w:val="24"/>
        <w:szCs w:val="24"/>
      </w:rPr>
      <w:fldChar w:fldCharType="separate"/>
    </w:r>
    <w:r w:rsidR="004250C3">
      <w:rPr>
        <w:rFonts w:ascii="Times New Roman" w:hAnsi="Times New Roman"/>
        <w:noProof/>
        <w:sz w:val="24"/>
        <w:szCs w:val="24"/>
      </w:rPr>
      <w:t>1</w:t>
    </w:r>
    <w:r w:rsidRPr="00B321B0">
      <w:rPr>
        <w:rFonts w:ascii="Times New Roman" w:hAnsi="Times New Roman"/>
        <w:sz w:val="24"/>
        <w:szCs w:val="24"/>
      </w:rPr>
      <w:fldChar w:fldCharType="end"/>
    </w:r>
  </w:p>
  <w:p w14:paraId="26DC8DAB" w14:textId="77777777" w:rsidR="00F20290" w:rsidRDefault="00F20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2959A" w14:textId="77777777" w:rsidR="00CB2562" w:rsidRDefault="00CB2562" w:rsidP="00A019DA">
      <w:r>
        <w:separator/>
      </w:r>
    </w:p>
  </w:footnote>
  <w:footnote w:type="continuationSeparator" w:id="0">
    <w:p w14:paraId="45BBA333" w14:textId="77777777" w:rsidR="00CB2562" w:rsidRDefault="00CB2562" w:rsidP="00A019DA">
      <w:r>
        <w:continuationSeparator/>
      </w:r>
    </w:p>
  </w:footnote>
  <w:footnote w:type="continuationNotice" w:id="1">
    <w:p w14:paraId="616C0300" w14:textId="77777777" w:rsidR="00CB2562" w:rsidRDefault="00CB25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FF26E2"/>
    <w:multiLevelType w:val="hybridMultilevel"/>
    <w:tmpl w:val="0A6E95DE"/>
    <w:lvl w:ilvl="0" w:tplc="640477D0">
      <w:start w:val="1"/>
      <w:numFmt w:val="bullet"/>
      <w:lvlText w:val=""/>
      <w:lvlJc w:val="left"/>
      <w:pPr>
        <w:tabs>
          <w:tab w:val="num" w:pos="567"/>
        </w:tabs>
        <w:ind w:left="567" w:hanging="567"/>
      </w:pPr>
      <w:rPr>
        <w:rFonts w:ascii="Symbol" w:hAnsi="Symbol" w:hint="default"/>
      </w:rPr>
    </w:lvl>
    <w:lvl w:ilvl="1" w:tplc="DA1AAF7A">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F5231C"/>
    <w:multiLevelType w:val="hybridMultilevel"/>
    <w:tmpl w:val="5FF4A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0A3342"/>
    <w:multiLevelType w:val="hybridMultilevel"/>
    <w:tmpl w:val="37E476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EE5DBB"/>
    <w:multiLevelType w:val="hybridMultilevel"/>
    <w:tmpl w:val="1BBC3D8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44487A"/>
    <w:multiLevelType w:val="hybridMultilevel"/>
    <w:tmpl w:val="4CE8B044"/>
    <w:lvl w:ilvl="0" w:tplc="B4C20D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417795C"/>
    <w:multiLevelType w:val="hybridMultilevel"/>
    <w:tmpl w:val="398AEA52"/>
    <w:lvl w:ilvl="0" w:tplc="F3165A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327004"/>
    <w:multiLevelType w:val="hybridMultilevel"/>
    <w:tmpl w:val="71F0604C"/>
    <w:lvl w:ilvl="0" w:tplc="9110B89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57CD1A86"/>
    <w:multiLevelType w:val="hybridMultilevel"/>
    <w:tmpl w:val="20AE2AFA"/>
    <w:lvl w:ilvl="0" w:tplc="B4C20DD6">
      <w:start w:val="1"/>
      <w:numFmt w:val="decimal"/>
      <w:lvlText w:val="(%1)"/>
      <w:lvlJc w:val="left"/>
      <w:pPr>
        <w:ind w:left="570" w:hanging="51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5CBC58C9"/>
    <w:multiLevelType w:val="hybridMultilevel"/>
    <w:tmpl w:val="B608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1F5EA5"/>
    <w:multiLevelType w:val="hybridMultilevel"/>
    <w:tmpl w:val="6C9C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2164B5"/>
    <w:multiLevelType w:val="hybridMultilevel"/>
    <w:tmpl w:val="7CA2F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E5624C"/>
    <w:multiLevelType w:val="hybridMultilevel"/>
    <w:tmpl w:val="089E07A2"/>
    <w:lvl w:ilvl="0" w:tplc="3E8878E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10"/>
  </w:num>
  <w:num w:numId="5">
    <w:abstractNumId w:val="0"/>
  </w:num>
  <w:num w:numId="6">
    <w:abstractNumId w:val="4"/>
  </w:num>
  <w:num w:numId="7">
    <w:abstractNumId w:val="7"/>
  </w:num>
  <w:num w:numId="8">
    <w:abstractNumId w:val="15"/>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3"/>
  </w:num>
  <w:num w:numId="14">
    <w:abstractNumId w:val="9"/>
  </w:num>
  <w:num w:numId="15">
    <w:abstractNumId w:val="6"/>
  </w:num>
  <w:num w:numId="16">
    <w:abstractNumId w:val="5"/>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DA"/>
    <w:rsid w:val="00001B24"/>
    <w:rsid w:val="00003339"/>
    <w:rsid w:val="00011546"/>
    <w:rsid w:val="00011886"/>
    <w:rsid w:val="00017600"/>
    <w:rsid w:val="00026362"/>
    <w:rsid w:val="000376F7"/>
    <w:rsid w:val="00041B8A"/>
    <w:rsid w:val="00045CBE"/>
    <w:rsid w:val="00045EB8"/>
    <w:rsid w:val="00050CDC"/>
    <w:rsid w:val="000512E9"/>
    <w:rsid w:val="00053507"/>
    <w:rsid w:val="000565C4"/>
    <w:rsid w:val="00056DF9"/>
    <w:rsid w:val="00064FE7"/>
    <w:rsid w:val="00092E8C"/>
    <w:rsid w:val="000A5431"/>
    <w:rsid w:val="000B4066"/>
    <w:rsid w:val="000C0282"/>
    <w:rsid w:val="000C2EEB"/>
    <w:rsid w:val="000C33D9"/>
    <w:rsid w:val="000E2AEC"/>
    <w:rsid w:val="000F47C6"/>
    <w:rsid w:val="001000B5"/>
    <w:rsid w:val="001171A4"/>
    <w:rsid w:val="0012122C"/>
    <w:rsid w:val="00124A40"/>
    <w:rsid w:val="00124F24"/>
    <w:rsid w:val="001343BB"/>
    <w:rsid w:val="001360AC"/>
    <w:rsid w:val="00136E09"/>
    <w:rsid w:val="00147B11"/>
    <w:rsid w:val="001519CA"/>
    <w:rsid w:val="0016052A"/>
    <w:rsid w:val="00166BAA"/>
    <w:rsid w:val="0017163B"/>
    <w:rsid w:val="00171A11"/>
    <w:rsid w:val="00182FA1"/>
    <w:rsid w:val="001927DC"/>
    <w:rsid w:val="00193258"/>
    <w:rsid w:val="001974EA"/>
    <w:rsid w:val="001B1EBD"/>
    <w:rsid w:val="001B4BD6"/>
    <w:rsid w:val="001B794D"/>
    <w:rsid w:val="001D02DB"/>
    <w:rsid w:val="001D40E7"/>
    <w:rsid w:val="001D7B63"/>
    <w:rsid w:val="001E2B48"/>
    <w:rsid w:val="001E47FB"/>
    <w:rsid w:val="001F1972"/>
    <w:rsid w:val="0020616E"/>
    <w:rsid w:val="00210A20"/>
    <w:rsid w:val="00211B57"/>
    <w:rsid w:val="00217CED"/>
    <w:rsid w:val="002214DA"/>
    <w:rsid w:val="002249BD"/>
    <w:rsid w:val="002253EE"/>
    <w:rsid w:val="00227F35"/>
    <w:rsid w:val="002307C7"/>
    <w:rsid w:val="00233935"/>
    <w:rsid w:val="00235CDF"/>
    <w:rsid w:val="002413C2"/>
    <w:rsid w:val="00252A14"/>
    <w:rsid w:val="00263BBC"/>
    <w:rsid w:val="00265061"/>
    <w:rsid w:val="00266880"/>
    <w:rsid w:val="00274606"/>
    <w:rsid w:val="00276B9C"/>
    <w:rsid w:val="00280BE5"/>
    <w:rsid w:val="00291AB4"/>
    <w:rsid w:val="002928D4"/>
    <w:rsid w:val="002966FF"/>
    <w:rsid w:val="002A0843"/>
    <w:rsid w:val="002B5A26"/>
    <w:rsid w:val="002C3918"/>
    <w:rsid w:val="002C5926"/>
    <w:rsid w:val="002D6418"/>
    <w:rsid w:val="002D6F8D"/>
    <w:rsid w:val="002E382A"/>
    <w:rsid w:val="002F1572"/>
    <w:rsid w:val="002F6F40"/>
    <w:rsid w:val="002F73E5"/>
    <w:rsid w:val="0030211C"/>
    <w:rsid w:val="00302BA3"/>
    <w:rsid w:val="003147ED"/>
    <w:rsid w:val="00316109"/>
    <w:rsid w:val="003277AD"/>
    <w:rsid w:val="00333FD4"/>
    <w:rsid w:val="00344C24"/>
    <w:rsid w:val="0034558E"/>
    <w:rsid w:val="00350A4B"/>
    <w:rsid w:val="003636F6"/>
    <w:rsid w:val="00365FDB"/>
    <w:rsid w:val="0037376A"/>
    <w:rsid w:val="00397C2C"/>
    <w:rsid w:val="003A1FDF"/>
    <w:rsid w:val="003A399A"/>
    <w:rsid w:val="003C007E"/>
    <w:rsid w:val="003C0448"/>
    <w:rsid w:val="003C18E8"/>
    <w:rsid w:val="003C3819"/>
    <w:rsid w:val="003D5032"/>
    <w:rsid w:val="003F0ADB"/>
    <w:rsid w:val="003F43BA"/>
    <w:rsid w:val="00403FF5"/>
    <w:rsid w:val="004250C3"/>
    <w:rsid w:val="00425E95"/>
    <w:rsid w:val="004265BD"/>
    <w:rsid w:val="00427B85"/>
    <w:rsid w:val="00435A5D"/>
    <w:rsid w:val="0045030A"/>
    <w:rsid w:val="00451286"/>
    <w:rsid w:val="00455E40"/>
    <w:rsid w:val="004616D0"/>
    <w:rsid w:val="00472E3B"/>
    <w:rsid w:val="004812D5"/>
    <w:rsid w:val="0048656B"/>
    <w:rsid w:val="004918D3"/>
    <w:rsid w:val="004A2D1C"/>
    <w:rsid w:val="004A4890"/>
    <w:rsid w:val="004C3D07"/>
    <w:rsid w:val="004C6F2C"/>
    <w:rsid w:val="004D043F"/>
    <w:rsid w:val="004D4955"/>
    <w:rsid w:val="004E38FC"/>
    <w:rsid w:val="004F51B6"/>
    <w:rsid w:val="00501C69"/>
    <w:rsid w:val="00502C3C"/>
    <w:rsid w:val="00511B96"/>
    <w:rsid w:val="005145F7"/>
    <w:rsid w:val="005200A8"/>
    <w:rsid w:val="0052378D"/>
    <w:rsid w:val="00523CAD"/>
    <w:rsid w:val="00527CA3"/>
    <w:rsid w:val="005313A1"/>
    <w:rsid w:val="005316AE"/>
    <w:rsid w:val="00536927"/>
    <w:rsid w:val="00543E93"/>
    <w:rsid w:val="00550770"/>
    <w:rsid w:val="0055440B"/>
    <w:rsid w:val="00557C34"/>
    <w:rsid w:val="005659DA"/>
    <w:rsid w:val="00576825"/>
    <w:rsid w:val="0058565A"/>
    <w:rsid w:val="0059125E"/>
    <w:rsid w:val="005D0589"/>
    <w:rsid w:val="005D08C0"/>
    <w:rsid w:val="005D495C"/>
    <w:rsid w:val="005D53F7"/>
    <w:rsid w:val="005E3449"/>
    <w:rsid w:val="005E5910"/>
    <w:rsid w:val="005F2583"/>
    <w:rsid w:val="0060686D"/>
    <w:rsid w:val="0061115B"/>
    <w:rsid w:val="00611CCB"/>
    <w:rsid w:val="006142DC"/>
    <w:rsid w:val="00622480"/>
    <w:rsid w:val="00623CAA"/>
    <w:rsid w:val="00624144"/>
    <w:rsid w:val="00630FE1"/>
    <w:rsid w:val="00634F20"/>
    <w:rsid w:val="00647D58"/>
    <w:rsid w:val="00661A1C"/>
    <w:rsid w:val="006636F2"/>
    <w:rsid w:val="006815AD"/>
    <w:rsid w:val="00684F73"/>
    <w:rsid w:val="00686A28"/>
    <w:rsid w:val="006940D4"/>
    <w:rsid w:val="006963CB"/>
    <w:rsid w:val="006A4437"/>
    <w:rsid w:val="006A4802"/>
    <w:rsid w:val="006A4B93"/>
    <w:rsid w:val="006A5025"/>
    <w:rsid w:val="006B4074"/>
    <w:rsid w:val="006B7C3E"/>
    <w:rsid w:val="006C7F37"/>
    <w:rsid w:val="006D1E34"/>
    <w:rsid w:val="006D7CB9"/>
    <w:rsid w:val="006E10B7"/>
    <w:rsid w:val="006E16D2"/>
    <w:rsid w:val="006E31AB"/>
    <w:rsid w:val="006F4A37"/>
    <w:rsid w:val="006F741F"/>
    <w:rsid w:val="006F7458"/>
    <w:rsid w:val="007031F4"/>
    <w:rsid w:val="00712ABC"/>
    <w:rsid w:val="00713105"/>
    <w:rsid w:val="007134CD"/>
    <w:rsid w:val="00716488"/>
    <w:rsid w:val="00722F0D"/>
    <w:rsid w:val="00724F23"/>
    <w:rsid w:val="00731313"/>
    <w:rsid w:val="00733BF6"/>
    <w:rsid w:val="00733F50"/>
    <w:rsid w:val="00736F45"/>
    <w:rsid w:val="00740ABA"/>
    <w:rsid w:val="00745847"/>
    <w:rsid w:val="00757CD4"/>
    <w:rsid w:val="0076261B"/>
    <w:rsid w:val="00763FA9"/>
    <w:rsid w:val="00764812"/>
    <w:rsid w:val="00775B50"/>
    <w:rsid w:val="007816F0"/>
    <w:rsid w:val="00782F3F"/>
    <w:rsid w:val="00784B9E"/>
    <w:rsid w:val="00790966"/>
    <w:rsid w:val="00795E43"/>
    <w:rsid w:val="007A57EC"/>
    <w:rsid w:val="007A697A"/>
    <w:rsid w:val="007B0912"/>
    <w:rsid w:val="007B22D9"/>
    <w:rsid w:val="007B6B00"/>
    <w:rsid w:val="007C2031"/>
    <w:rsid w:val="007D1A3B"/>
    <w:rsid w:val="007E5EB7"/>
    <w:rsid w:val="007F009D"/>
    <w:rsid w:val="007F6365"/>
    <w:rsid w:val="007F7E05"/>
    <w:rsid w:val="00810EAA"/>
    <w:rsid w:val="00812CFD"/>
    <w:rsid w:val="00833AFB"/>
    <w:rsid w:val="00842C9B"/>
    <w:rsid w:val="0084435E"/>
    <w:rsid w:val="0085264D"/>
    <w:rsid w:val="00853C86"/>
    <w:rsid w:val="00862198"/>
    <w:rsid w:val="00862553"/>
    <w:rsid w:val="00866738"/>
    <w:rsid w:val="00871745"/>
    <w:rsid w:val="00872391"/>
    <w:rsid w:val="00876606"/>
    <w:rsid w:val="00876BEF"/>
    <w:rsid w:val="00881249"/>
    <w:rsid w:val="0088577B"/>
    <w:rsid w:val="008862EF"/>
    <w:rsid w:val="008963AD"/>
    <w:rsid w:val="008A0756"/>
    <w:rsid w:val="008A162E"/>
    <w:rsid w:val="008A3EBC"/>
    <w:rsid w:val="008A5B86"/>
    <w:rsid w:val="008B1B78"/>
    <w:rsid w:val="008B2660"/>
    <w:rsid w:val="008D3E84"/>
    <w:rsid w:val="008E0B46"/>
    <w:rsid w:val="008E2F6B"/>
    <w:rsid w:val="008E3F6A"/>
    <w:rsid w:val="00900FCC"/>
    <w:rsid w:val="0090635F"/>
    <w:rsid w:val="00910FE5"/>
    <w:rsid w:val="00913FA1"/>
    <w:rsid w:val="009159B4"/>
    <w:rsid w:val="00921933"/>
    <w:rsid w:val="00926DC2"/>
    <w:rsid w:val="0093540A"/>
    <w:rsid w:val="00940DF7"/>
    <w:rsid w:val="0095304A"/>
    <w:rsid w:val="00953CD2"/>
    <w:rsid w:val="00956081"/>
    <w:rsid w:val="009668C8"/>
    <w:rsid w:val="00976248"/>
    <w:rsid w:val="00986B49"/>
    <w:rsid w:val="00993284"/>
    <w:rsid w:val="00994C30"/>
    <w:rsid w:val="00995165"/>
    <w:rsid w:val="0099534C"/>
    <w:rsid w:val="0099555C"/>
    <w:rsid w:val="009A195A"/>
    <w:rsid w:val="009B3F14"/>
    <w:rsid w:val="009C28CB"/>
    <w:rsid w:val="009C47FE"/>
    <w:rsid w:val="009C5368"/>
    <w:rsid w:val="009D252F"/>
    <w:rsid w:val="009D378C"/>
    <w:rsid w:val="009D4937"/>
    <w:rsid w:val="009D5193"/>
    <w:rsid w:val="009D6BEB"/>
    <w:rsid w:val="009D7325"/>
    <w:rsid w:val="009E0C0D"/>
    <w:rsid w:val="009E34B1"/>
    <w:rsid w:val="009F2479"/>
    <w:rsid w:val="00A009F3"/>
    <w:rsid w:val="00A010DD"/>
    <w:rsid w:val="00A01500"/>
    <w:rsid w:val="00A019DA"/>
    <w:rsid w:val="00A035E0"/>
    <w:rsid w:val="00A13FCA"/>
    <w:rsid w:val="00A16056"/>
    <w:rsid w:val="00A27BAC"/>
    <w:rsid w:val="00A4465A"/>
    <w:rsid w:val="00A462DF"/>
    <w:rsid w:val="00A53EEA"/>
    <w:rsid w:val="00A5493C"/>
    <w:rsid w:val="00A619DF"/>
    <w:rsid w:val="00A62DB5"/>
    <w:rsid w:val="00A63A2B"/>
    <w:rsid w:val="00A6661A"/>
    <w:rsid w:val="00A76663"/>
    <w:rsid w:val="00A8122B"/>
    <w:rsid w:val="00A85364"/>
    <w:rsid w:val="00A92F79"/>
    <w:rsid w:val="00A9359D"/>
    <w:rsid w:val="00A937DC"/>
    <w:rsid w:val="00AA1DBC"/>
    <w:rsid w:val="00AA41AD"/>
    <w:rsid w:val="00AB1641"/>
    <w:rsid w:val="00AB24AD"/>
    <w:rsid w:val="00AB3743"/>
    <w:rsid w:val="00AC01A0"/>
    <w:rsid w:val="00AC0343"/>
    <w:rsid w:val="00AC2517"/>
    <w:rsid w:val="00AE1B22"/>
    <w:rsid w:val="00AE28E9"/>
    <w:rsid w:val="00AF0776"/>
    <w:rsid w:val="00AF2D37"/>
    <w:rsid w:val="00AF35D4"/>
    <w:rsid w:val="00AF664C"/>
    <w:rsid w:val="00B04B20"/>
    <w:rsid w:val="00B067E1"/>
    <w:rsid w:val="00B16F16"/>
    <w:rsid w:val="00B20C58"/>
    <w:rsid w:val="00B23B70"/>
    <w:rsid w:val="00B321B0"/>
    <w:rsid w:val="00B32EFB"/>
    <w:rsid w:val="00B36058"/>
    <w:rsid w:val="00B5019C"/>
    <w:rsid w:val="00B60C5A"/>
    <w:rsid w:val="00B664B9"/>
    <w:rsid w:val="00B71298"/>
    <w:rsid w:val="00B75C4D"/>
    <w:rsid w:val="00B80137"/>
    <w:rsid w:val="00B93F87"/>
    <w:rsid w:val="00B94A4B"/>
    <w:rsid w:val="00B96868"/>
    <w:rsid w:val="00B97C0C"/>
    <w:rsid w:val="00BA1754"/>
    <w:rsid w:val="00BC0081"/>
    <w:rsid w:val="00BC4AE7"/>
    <w:rsid w:val="00BC650B"/>
    <w:rsid w:val="00BC6E9D"/>
    <w:rsid w:val="00BE53E1"/>
    <w:rsid w:val="00BF3855"/>
    <w:rsid w:val="00C01C4D"/>
    <w:rsid w:val="00C0285D"/>
    <w:rsid w:val="00C028A1"/>
    <w:rsid w:val="00C03CC3"/>
    <w:rsid w:val="00C03DDD"/>
    <w:rsid w:val="00C22A3C"/>
    <w:rsid w:val="00C302FA"/>
    <w:rsid w:val="00C33347"/>
    <w:rsid w:val="00C50FD1"/>
    <w:rsid w:val="00C635C9"/>
    <w:rsid w:val="00C67094"/>
    <w:rsid w:val="00C7033B"/>
    <w:rsid w:val="00C72BE4"/>
    <w:rsid w:val="00C83B51"/>
    <w:rsid w:val="00C84A47"/>
    <w:rsid w:val="00C8696F"/>
    <w:rsid w:val="00C8718D"/>
    <w:rsid w:val="00C979B8"/>
    <w:rsid w:val="00CA2857"/>
    <w:rsid w:val="00CA6CB3"/>
    <w:rsid w:val="00CA6F4C"/>
    <w:rsid w:val="00CB2562"/>
    <w:rsid w:val="00CC0ED5"/>
    <w:rsid w:val="00CC1506"/>
    <w:rsid w:val="00CD5BBD"/>
    <w:rsid w:val="00CD72BC"/>
    <w:rsid w:val="00CE7B60"/>
    <w:rsid w:val="00D02988"/>
    <w:rsid w:val="00D032FC"/>
    <w:rsid w:val="00D039F0"/>
    <w:rsid w:val="00D10079"/>
    <w:rsid w:val="00D131B9"/>
    <w:rsid w:val="00D14FE8"/>
    <w:rsid w:val="00D266E5"/>
    <w:rsid w:val="00D27D6D"/>
    <w:rsid w:val="00D324E4"/>
    <w:rsid w:val="00D33934"/>
    <w:rsid w:val="00D400CE"/>
    <w:rsid w:val="00D402A9"/>
    <w:rsid w:val="00D42CEF"/>
    <w:rsid w:val="00D43D56"/>
    <w:rsid w:val="00D447D3"/>
    <w:rsid w:val="00D4534F"/>
    <w:rsid w:val="00D47A85"/>
    <w:rsid w:val="00D54D1A"/>
    <w:rsid w:val="00D57D2D"/>
    <w:rsid w:val="00D604C3"/>
    <w:rsid w:val="00D64906"/>
    <w:rsid w:val="00D66493"/>
    <w:rsid w:val="00D72C82"/>
    <w:rsid w:val="00D74FAC"/>
    <w:rsid w:val="00D81D32"/>
    <w:rsid w:val="00D82D54"/>
    <w:rsid w:val="00D83388"/>
    <w:rsid w:val="00D91019"/>
    <w:rsid w:val="00D97CC3"/>
    <w:rsid w:val="00DA0571"/>
    <w:rsid w:val="00DA1A5F"/>
    <w:rsid w:val="00DB142D"/>
    <w:rsid w:val="00DB4C8D"/>
    <w:rsid w:val="00DC028C"/>
    <w:rsid w:val="00DC5143"/>
    <w:rsid w:val="00DC62B8"/>
    <w:rsid w:val="00DD014B"/>
    <w:rsid w:val="00DD7206"/>
    <w:rsid w:val="00DE20FA"/>
    <w:rsid w:val="00DE40D2"/>
    <w:rsid w:val="00DE5310"/>
    <w:rsid w:val="00DE565D"/>
    <w:rsid w:val="00DE668F"/>
    <w:rsid w:val="00DF11D9"/>
    <w:rsid w:val="00DF3577"/>
    <w:rsid w:val="00DF4834"/>
    <w:rsid w:val="00DF5870"/>
    <w:rsid w:val="00E015B7"/>
    <w:rsid w:val="00E01DFC"/>
    <w:rsid w:val="00E03D4C"/>
    <w:rsid w:val="00E07DFA"/>
    <w:rsid w:val="00E15497"/>
    <w:rsid w:val="00E201A8"/>
    <w:rsid w:val="00E204A3"/>
    <w:rsid w:val="00E2673A"/>
    <w:rsid w:val="00E40A94"/>
    <w:rsid w:val="00E454F2"/>
    <w:rsid w:val="00E45AFC"/>
    <w:rsid w:val="00E637B6"/>
    <w:rsid w:val="00E6498C"/>
    <w:rsid w:val="00E676B0"/>
    <w:rsid w:val="00E7297F"/>
    <w:rsid w:val="00E8243F"/>
    <w:rsid w:val="00E86C18"/>
    <w:rsid w:val="00E90C89"/>
    <w:rsid w:val="00E93986"/>
    <w:rsid w:val="00EA35C5"/>
    <w:rsid w:val="00EB3653"/>
    <w:rsid w:val="00EB3F8E"/>
    <w:rsid w:val="00EB5786"/>
    <w:rsid w:val="00EC2380"/>
    <w:rsid w:val="00EC5653"/>
    <w:rsid w:val="00EC5B18"/>
    <w:rsid w:val="00ED1CEF"/>
    <w:rsid w:val="00ED4131"/>
    <w:rsid w:val="00EE3A52"/>
    <w:rsid w:val="00EF74F1"/>
    <w:rsid w:val="00EF753E"/>
    <w:rsid w:val="00F0172B"/>
    <w:rsid w:val="00F117C5"/>
    <w:rsid w:val="00F1311D"/>
    <w:rsid w:val="00F13364"/>
    <w:rsid w:val="00F14758"/>
    <w:rsid w:val="00F16720"/>
    <w:rsid w:val="00F17B54"/>
    <w:rsid w:val="00F20290"/>
    <w:rsid w:val="00F259BE"/>
    <w:rsid w:val="00F27316"/>
    <w:rsid w:val="00F27E8F"/>
    <w:rsid w:val="00F31D48"/>
    <w:rsid w:val="00F32981"/>
    <w:rsid w:val="00F6561D"/>
    <w:rsid w:val="00F704D8"/>
    <w:rsid w:val="00F716B8"/>
    <w:rsid w:val="00F7219F"/>
    <w:rsid w:val="00F7706D"/>
    <w:rsid w:val="00F802E2"/>
    <w:rsid w:val="00F8191E"/>
    <w:rsid w:val="00F83148"/>
    <w:rsid w:val="00F85112"/>
    <w:rsid w:val="00F87D3E"/>
    <w:rsid w:val="00FA5345"/>
    <w:rsid w:val="00FB10E2"/>
    <w:rsid w:val="00FB1101"/>
    <w:rsid w:val="00FB5DA6"/>
    <w:rsid w:val="00FB7B30"/>
    <w:rsid w:val="00FC541B"/>
    <w:rsid w:val="00FC6B63"/>
    <w:rsid w:val="00FD062D"/>
    <w:rsid w:val="00FD412C"/>
    <w:rsid w:val="00FE04DC"/>
    <w:rsid w:val="00FE24F8"/>
    <w:rsid w:val="00FE2514"/>
    <w:rsid w:val="00FE25D9"/>
    <w:rsid w:val="00FF24D5"/>
    <w:rsid w:val="00FF4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AC55D6"/>
  <w15:chartTrackingRefBased/>
  <w15:docId w15:val="{86B8BDF4-C89F-4797-9B31-EF85B7C9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9DA"/>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character" w:styleId="FootnoteReference">
    <w:name w:val="footnote reference"/>
    <w:basedOn w:val="DefaultParagraphFont"/>
    <w:uiPriority w:val="99"/>
    <w:semiHidden/>
    <w:unhideWhenUsed/>
    <w:rsid w:val="00A019DA"/>
  </w:style>
  <w:style w:type="paragraph" w:styleId="FootnoteText">
    <w:name w:val="footnote text"/>
    <w:basedOn w:val="Normal"/>
    <w:link w:val="FootnoteTextChar"/>
    <w:uiPriority w:val="99"/>
    <w:semiHidden/>
    <w:unhideWhenUsed/>
    <w:rsid w:val="00A019DA"/>
    <w:pPr>
      <w:spacing w:before="100" w:beforeAutospacing="1" w:after="100" w:afterAutospacing="1"/>
    </w:pPr>
    <w:rPr>
      <w:rFonts w:ascii="Times New Roman" w:eastAsia="Times New Roman" w:hAnsi="Times New Roman"/>
      <w:sz w:val="24"/>
      <w:szCs w:val="24"/>
      <w:lang w:eastAsia="en-AU"/>
    </w:rPr>
  </w:style>
  <w:style w:type="character" w:customStyle="1" w:styleId="FootnoteTextChar">
    <w:name w:val="Footnote Text Char"/>
    <w:link w:val="FootnoteText"/>
    <w:uiPriority w:val="99"/>
    <w:semiHidden/>
    <w:rsid w:val="00A019DA"/>
    <w:rPr>
      <w:rFonts w:ascii="Times New Roman" w:eastAsia="Times New Roman" w:hAnsi="Times New Roman" w:cs="Times New Roman"/>
      <w:sz w:val="24"/>
      <w:szCs w:val="24"/>
      <w:lang w:eastAsia="en-AU"/>
    </w:rPr>
  </w:style>
  <w:style w:type="paragraph" w:styleId="ListParagraph">
    <w:name w:val="List Paragraph"/>
    <w:basedOn w:val="Normal"/>
    <w:uiPriority w:val="34"/>
    <w:rsid w:val="00A019DA"/>
    <w:pPr>
      <w:ind w:left="720"/>
    </w:pPr>
  </w:style>
  <w:style w:type="paragraph" w:styleId="Footer">
    <w:name w:val="footer"/>
    <w:basedOn w:val="Normal"/>
    <w:link w:val="FooterChar"/>
    <w:uiPriority w:val="99"/>
    <w:unhideWhenUsed/>
    <w:rsid w:val="00A019DA"/>
    <w:pPr>
      <w:tabs>
        <w:tab w:val="center" w:pos="4513"/>
        <w:tab w:val="right" w:pos="9026"/>
      </w:tabs>
    </w:pPr>
  </w:style>
  <w:style w:type="character" w:customStyle="1" w:styleId="FooterChar">
    <w:name w:val="Footer Char"/>
    <w:link w:val="Footer"/>
    <w:uiPriority w:val="99"/>
    <w:rsid w:val="00A019DA"/>
    <w:rPr>
      <w:rFonts w:ascii="Trebuchet MS" w:eastAsia="Calibri" w:hAnsi="Trebuchet MS" w:cs="Times New Roman"/>
    </w:rPr>
  </w:style>
  <w:style w:type="paragraph" w:customStyle="1" w:styleId="Heading">
    <w:name w:val="Heading"/>
    <w:basedOn w:val="Normal"/>
    <w:rsid w:val="00A92F79"/>
    <w:pPr>
      <w:keepNext/>
      <w:spacing w:before="240" w:after="60"/>
      <w:outlineLvl w:val="0"/>
    </w:pPr>
    <w:rPr>
      <w:rFonts w:ascii="Times New Roman" w:eastAsia="Times New Roman" w:hAnsi="Times New Roman" w:cs="Arial"/>
      <w:b/>
      <w:kern w:val="32"/>
      <w:sz w:val="26"/>
      <w:szCs w:val="32"/>
    </w:rPr>
  </w:style>
  <w:style w:type="character" w:styleId="CommentReference">
    <w:name w:val="annotation reference"/>
    <w:uiPriority w:val="99"/>
    <w:semiHidden/>
    <w:unhideWhenUsed/>
    <w:rsid w:val="00B60C5A"/>
    <w:rPr>
      <w:sz w:val="16"/>
      <w:szCs w:val="16"/>
    </w:rPr>
  </w:style>
  <w:style w:type="paragraph" w:styleId="CommentText">
    <w:name w:val="annotation text"/>
    <w:basedOn w:val="Normal"/>
    <w:link w:val="CommentTextChar"/>
    <w:uiPriority w:val="99"/>
    <w:unhideWhenUsed/>
    <w:rsid w:val="00B60C5A"/>
    <w:rPr>
      <w:sz w:val="20"/>
      <w:szCs w:val="20"/>
    </w:rPr>
  </w:style>
  <w:style w:type="character" w:customStyle="1" w:styleId="CommentTextChar">
    <w:name w:val="Comment Text Char"/>
    <w:link w:val="CommentText"/>
    <w:uiPriority w:val="99"/>
    <w:rsid w:val="00B60C5A"/>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B60C5A"/>
    <w:rPr>
      <w:b/>
      <w:bCs/>
    </w:rPr>
  </w:style>
  <w:style w:type="character" w:customStyle="1" w:styleId="CommentSubjectChar">
    <w:name w:val="Comment Subject Char"/>
    <w:link w:val="CommentSubject"/>
    <w:uiPriority w:val="99"/>
    <w:semiHidden/>
    <w:rsid w:val="00B60C5A"/>
    <w:rPr>
      <w:rFonts w:ascii="Trebuchet MS" w:hAnsi="Trebuchet MS"/>
      <w:b/>
      <w:bCs/>
      <w:lang w:eastAsia="en-US"/>
    </w:rPr>
  </w:style>
  <w:style w:type="paragraph" w:styleId="Header">
    <w:name w:val="header"/>
    <w:basedOn w:val="Normal"/>
    <w:link w:val="HeaderChar"/>
    <w:uiPriority w:val="99"/>
    <w:unhideWhenUsed/>
    <w:rsid w:val="00740ABA"/>
    <w:pPr>
      <w:tabs>
        <w:tab w:val="center" w:pos="4513"/>
        <w:tab w:val="right" w:pos="9026"/>
      </w:tabs>
    </w:pPr>
  </w:style>
  <w:style w:type="character" w:customStyle="1" w:styleId="HeaderChar">
    <w:name w:val="Header Char"/>
    <w:link w:val="Header"/>
    <w:uiPriority w:val="99"/>
    <w:rsid w:val="00740ABA"/>
    <w:rPr>
      <w:rFonts w:ascii="Trebuchet MS" w:hAnsi="Trebuchet MS"/>
      <w:sz w:val="22"/>
      <w:szCs w:val="22"/>
      <w:lang w:eastAsia="en-US"/>
    </w:rPr>
  </w:style>
  <w:style w:type="paragraph" w:customStyle="1" w:styleId="apranormal">
    <w:name w:val="apranormal"/>
    <w:basedOn w:val="Normal"/>
    <w:rsid w:val="00C33347"/>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E676B0"/>
    <w:rPr>
      <w:sz w:val="20"/>
      <w:szCs w:val="20"/>
    </w:rPr>
  </w:style>
  <w:style w:type="character" w:customStyle="1" w:styleId="EndnoteTextChar">
    <w:name w:val="Endnote Text Char"/>
    <w:link w:val="EndnoteText"/>
    <w:uiPriority w:val="99"/>
    <w:semiHidden/>
    <w:rsid w:val="00E676B0"/>
    <w:rPr>
      <w:rFonts w:ascii="Trebuchet MS" w:hAnsi="Trebuchet MS"/>
      <w:lang w:eastAsia="en-US"/>
    </w:rPr>
  </w:style>
  <w:style w:type="character" w:styleId="EndnoteReference">
    <w:name w:val="endnote reference"/>
    <w:uiPriority w:val="99"/>
    <w:semiHidden/>
    <w:unhideWhenUsed/>
    <w:rsid w:val="00E676B0"/>
    <w:rPr>
      <w:vertAlign w:val="superscript"/>
    </w:rPr>
  </w:style>
  <w:style w:type="character" w:styleId="Hyperlink">
    <w:name w:val="Hyperlink"/>
    <w:uiPriority w:val="99"/>
    <w:rsid w:val="00E676B0"/>
    <w:rPr>
      <w:rFonts w:ascii="DIN OT Medium" w:hAnsi="DIN OT Medium"/>
      <w:color w:val="00B0F0"/>
      <w:sz w:val="22"/>
      <w:u w:val="single"/>
    </w:rPr>
  </w:style>
  <w:style w:type="paragraph" w:customStyle="1" w:styleId="APRANORMAL0">
    <w:name w:val="APRA NORMAL"/>
    <w:basedOn w:val="Normal"/>
    <w:link w:val="APRANORMALChar"/>
    <w:qFormat/>
    <w:rsid w:val="00A462DF"/>
    <w:pPr>
      <w:spacing w:after="240"/>
    </w:pPr>
    <w:rPr>
      <w:rFonts w:ascii="DIN OT Light" w:eastAsia="Trebuchet MS" w:hAnsi="DIN OT Light"/>
      <w:lang w:val="en-GB"/>
    </w:rPr>
  </w:style>
  <w:style w:type="character" w:customStyle="1" w:styleId="APRANORMALChar">
    <w:name w:val="APRA NORMAL Char"/>
    <w:link w:val="APRANORMAL0"/>
    <w:rsid w:val="00A462DF"/>
    <w:rPr>
      <w:rFonts w:ascii="DIN OT Light" w:eastAsia="Trebuchet MS" w:hAnsi="DIN OT Light"/>
      <w:sz w:val="22"/>
      <w:szCs w:val="22"/>
      <w:lang w:val="en-GB" w:eastAsia="en-US"/>
    </w:rPr>
  </w:style>
  <w:style w:type="paragraph" w:customStyle="1" w:styleId="Default">
    <w:name w:val="Default"/>
    <w:rsid w:val="00A6661A"/>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60686D"/>
    <w:pPr>
      <w:spacing w:after="240"/>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rsid w:val="0060686D"/>
    <w:rPr>
      <w:rFonts w:ascii="Times New Roman" w:eastAsia="Times New Roman" w:hAnsi="Times New Roman"/>
      <w:sz w:val="24"/>
    </w:rPr>
  </w:style>
  <w:style w:type="character" w:styleId="FollowedHyperlink">
    <w:name w:val="FollowedHyperlink"/>
    <w:basedOn w:val="DefaultParagraphFont"/>
    <w:uiPriority w:val="99"/>
    <w:semiHidden/>
    <w:unhideWhenUsed/>
    <w:rsid w:val="005200A8"/>
    <w:rPr>
      <w:color w:val="954F72" w:themeColor="followedHyperlink"/>
      <w:u w:val="single"/>
    </w:rPr>
  </w:style>
  <w:style w:type="paragraph" w:styleId="Revision">
    <w:name w:val="Revision"/>
    <w:hidden/>
    <w:uiPriority w:val="99"/>
    <w:semiHidden/>
    <w:rsid w:val="001E47FB"/>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29589">
      <w:bodyDiv w:val="1"/>
      <w:marLeft w:val="0"/>
      <w:marRight w:val="0"/>
      <w:marTop w:val="0"/>
      <w:marBottom w:val="0"/>
      <w:divBdr>
        <w:top w:val="none" w:sz="0" w:space="0" w:color="auto"/>
        <w:left w:val="none" w:sz="0" w:space="0" w:color="auto"/>
        <w:bottom w:val="none" w:sz="0" w:space="0" w:color="auto"/>
        <w:right w:val="none" w:sz="0" w:space="0" w:color="auto"/>
      </w:divBdr>
    </w:div>
    <w:div w:id="647129710">
      <w:bodyDiv w:val="1"/>
      <w:marLeft w:val="0"/>
      <w:marRight w:val="0"/>
      <w:marTop w:val="0"/>
      <w:marBottom w:val="0"/>
      <w:divBdr>
        <w:top w:val="none" w:sz="0" w:space="0" w:color="auto"/>
        <w:left w:val="none" w:sz="0" w:space="0" w:color="auto"/>
        <w:bottom w:val="none" w:sz="0" w:space="0" w:color="auto"/>
        <w:right w:val="none" w:sz="0" w:space="0" w:color="auto"/>
      </w:divBdr>
    </w:div>
    <w:div w:id="1027757437">
      <w:bodyDiv w:val="1"/>
      <w:marLeft w:val="0"/>
      <w:marRight w:val="0"/>
      <w:marTop w:val="0"/>
      <w:marBottom w:val="0"/>
      <w:divBdr>
        <w:top w:val="none" w:sz="0" w:space="0" w:color="auto"/>
        <w:left w:val="none" w:sz="0" w:space="0" w:color="auto"/>
        <w:bottom w:val="none" w:sz="0" w:space="0" w:color="auto"/>
        <w:right w:val="none" w:sz="0" w:space="0" w:color="auto"/>
      </w:divBdr>
      <w:divsChild>
        <w:div w:id="517042422">
          <w:marLeft w:val="0"/>
          <w:marRight w:val="0"/>
          <w:marTop w:val="0"/>
          <w:marBottom w:val="0"/>
          <w:divBdr>
            <w:top w:val="none" w:sz="0" w:space="0" w:color="auto"/>
            <w:left w:val="none" w:sz="0" w:space="0" w:color="auto"/>
            <w:bottom w:val="none" w:sz="0" w:space="0" w:color="auto"/>
            <w:right w:val="none" w:sz="0" w:space="0" w:color="auto"/>
          </w:divBdr>
          <w:divsChild>
            <w:div w:id="1515610166">
              <w:marLeft w:val="0"/>
              <w:marRight w:val="0"/>
              <w:marTop w:val="0"/>
              <w:marBottom w:val="0"/>
              <w:divBdr>
                <w:top w:val="none" w:sz="0" w:space="0" w:color="auto"/>
                <w:left w:val="none" w:sz="0" w:space="0" w:color="auto"/>
                <w:bottom w:val="none" w:sz="0" w:space="0" w:color="auto"/>
                <w:right w:val="none" w:sz="0" w:space="0" w:color="auto"/>
              </w:divBdr>
              <w:divsChild>
                <w:div w:id="1030910296">
                  <w:marLeft w:val="0"/>
                  <w:marRight w:val="0"/>
                  <w:marTop w:val="0"/>
                  <w:marBottom w:val="0"/>
                  <w:divBdr>
                    <w:top w:val="none" w:sz="0" w:space="0" w:color="auto"/>
                    <w:left w:val="none" w:sz="0" w:space="0" w:color="auto"/>
                    <w:bottom w:val="none" w:sz="0" w:space="0" w:color="auto"/>
                    <w:right w:val="none" w:sz="0" w:space="0" w:color="auto"/>
                  </w:divBdr>
                  <w:divsChild>
                    <w:div w:id="1766615282">
                      <w:marLeft w:val="0"/>
                      <w:marRight w:val="0"/>
                      <w:marTop w:val="0"/>
                      <w:marBottom w:val="0"/>
                      <w:divBdr>
                        <w:top w:val="none" w:sz="0" w:space="0" w:color="auto"/>
                        <w:left w:val="none" w:sz="0" w:space="0" w:color="auto"/>
                        <w:bottom w:val="none" w:sz="0" w:space="0" w:color="auto"/>
                        <w:right w:val="none" w:sz="0" w:space="0" w:color="auto"/>
                      </w:divBdr>
                      <w:divsChild>
                        <w:div w:id="1625306859">
                          <w:marLeft w:val="0"/>
                          <w:marRight w:val="0"/>
                          <w:marTop w:val="0"/>
                          <w:marBottom w:val="0"/>
                          <w:divBdr>
                            <w:top w:val="none" w:sz="0" w:space="0" w:color="auto"/>
                            <w:left w:val="none" w:sz="0" w:space="0" w:color="auto"/>
                            <w:bottom w:val="none" w:sz="0" w:space="0" w:color="auto"/>
                            <w:right w:val="none" w:sz="0" w:space="0" w:color="auto"/>
                          </w:divBdr>
                          <w:divsChild>
                            <w:div w:id="985668806">
                              <w:marLeft w:val="0"/>
                              <w:marRight w:val="0"/>
                              <w:marTop w:val="0"/>
                              <w:marBottom w:val="0"/>
                              <w:divBdr>
                                <w:top w:val="none" w:sz="0" w:space="0" w:color="auto"/>
                                <w:left w:val="none" w:sz="0" w:space="0" w:color="auto"/>
                                <w:bottom w:val="none" w:sz="0" w:space="0" w:color="auto"/>
                                <w:right w:val="none" w:sz="0" w:space="0" w:color="auto"/>
                              </w:divBdr>
                              <w:divsChild>
                                <w:div w:id="73089811">
                                  <w:marLeft w:val="0"/>
                                  <w:marRight w:val="0"/>
                                  <w:marTop w:val="0"/>
                                  <w:marBottom w:val="0"/>
                                  <w:divBdr>
                                    <w:top w:val="none" w:sz="0" w:space="0" w:color="auto"/>
                                    <w:left w:val="none" w:sz="0" w:space="0" w:color="auto"/>
                                    <w:bottom w:val="none" w:sz="0" w:space="0" w:color="auto"/>
                                    <w:right w:val="none" w:sz="0" w:space="0" w:color="auto"/>
                                  </w:divBdr>
                                  <w:divsChild>
                                    <w:div w:id="367295260">
                                      <w:marLeft w:val="0"/>
                                      <w:marRight w:val="0"/>
                                      <w:marTop w:val="0"/>
                                      <w:marBottom w:val="0"/>
                                      <w:divBdr>
                                        <w:top w:val="none" w:sz="0" w:space="0" w:color="auto"/>
                                        <w:left w:val="none" w:sz="0" w:space="0" w:color="auto"/>
                                        <w:bottom w:val="none" w:sz="0" w:space="0" w:color="auto"/>
                                        <w:right w:val="none" w:sz="0" w:space="0" w:color="auto"/>
                                      </w:divBdr>
                                      <w:divsChild>
                                        <w:div w:id="2033452256">
                                          <w:marLeft w:val="0"/>
                                          <w:marRight w:val="0"/>
                                          <w:marTop w:val="0"/>
                                          <w:marBottom w:val="0"/>
                                          <w:divBdr>
                                            <w:top w:val="none" w:sz="0" w:space="0" w:color="auto"/>
                                            <w:left w:val="none" w:sz="0" w:space="0" w:color="auto"/>
                                            <w:bottom w:val="none" w:sz="0" w:space="0" w:color="auto"/>
                                            <w:right w:val="none" w:sz="0" w:space="0" w:color="auto"/>
                                          </w:divBdr>
                                          <w:divsChild>
                                            <w:div w:id="136411821">
                                              <w:marLeft w:val="0"/>
                                              <w:marRight w:val="0"/>
                                              <w:marTop w:val="0"/>
                                              <w:marBottom w:val="0"/>
                                              <w:divBdr>
                                                <w:top w:val="none" w:sz="0" w:space="0" w:color="auto"/>
                                                <w:left w:val="none" w:sz="0" w:space="0" w:color="auto"/>
                                                <w:bottom w:val="none" w:sz="0" w:space="0" w:color="auto"/>
                                                <w:right w:val="none" w:sz="0" w:space="0" w:color="auto"/>
                                              </w:divBdr>
                                              <w:divsChild>
                                                <w:div w:id="812677395">
                                                  <w:marLeft w:val="0"/>
                                                  <w:marRight w:val="0"/>
                                                  <w:marTop w:val="0"/>
                                                  <w:marBottom w:val="0"/>
                                                  <w:divBdr>
                                                    <w:top w:val="none" w:sz="0" w:space="0" w:color="auto"/>
                                                    <w:left w:val="none" w:sz="0" w:space="0" w:color="auto"/>
                                                    <w:bottom w:val="none" w:sz="0" w:space="0" w:color="auto"/>
                                                    <w:right w:val="none" w:sz="0" w:space="0" w:color="auto"/>
                                                  </w:divBdr>
                                                  <w:divsChild>
                                                    <w:div w:id="1770731425">
                                                      <w:marLeft w:val="0"/>
                                                      <w:marRight w:val="0"/>
                                                      <w:marTop w:val="0"/>
                                                      <w:marBottom w:val="0"/>
                                                      <w:divBdr>
                                                        <w:top w:val="none" w:sz="0" w:space="0" w:color="auto"/>
                                                        <w:left w:val="none" w:sz="0" w:space="0" w:color="auto"/>
                                                        <w:bottom w:val="none" w:sz="0" w:space="0" w:color="auto"/>
                                                        <w:right w:val="none" w:sz="0" w:space="0" w:color="auto"/>
                                                      </w:divBdr>
                                                      <w:divsChild>
                                                        <w:div w:id="807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745661">
      <w:bodyDiv w:val="1"/>
      <w:marLeft w:val="0"/>
      <w:marRight w:val="0"/>
      <w:marTop w:val="0"/>
      <w:marBottom w:val="0"/>
      <w:divBdr>
        <w:top w:val="none" w:sz="0" w:space="0" w:color="auto"/>
        <w:left w:val="none" w:sz="0" w:space="0" w:color="auto"/>
        <w:bottom w:val="none" w:sz="0" w:space="0" w:color="auto"/>
        <w:right w:val="none" w:sz="0" w:space="0" w:color="auto"/>
      </w:divBdr>
      <w:divsChild>
        <w:div w:id="1086145326">
          <w:marLeft w:val="0"/>
          <w:marRight w:val="0"/>
          <w:marTop w:val="0"/>
          <w:marBottom w:val="0"/>
          <w:divBdr>
            <w:top w:val="none" w:sz="0" w:space="0" w:color="auto"/>
            <w:left w:val="none" w:sz="0" w:space="0" w:color="auto"/>
            <w:bottom w:val="none" w:sz="0" w:space="0" w:color="auto"/>
            <w:right w:val="none" w:sz="0" w:space="0" w:color="auto"/>
          </w:divBdr>
          <w:divsChild>
            <w:div w:id="1565801331">
              <w:marLeft w:val="0"/>
              <w:marRight w:val="0"/>
              <w:marTop w:val="0"/>
              <w:marBottom w:val="0"/>
              <w:divBdr>
                <w:top w:val="none" w:sz="0" w:space="0" w:color="auto"/>
                <w:left w:val="none" w:sz="0" w:space="0" w:color="auto"/>
                <w:bottom w:val="none" w:sz="0" w:space="0" w:color="auto"/>
                <w:right w:val="none" w:sz="0" w:space="0" w:color="auto"/>
              </w:divBdr>
              <w:divsChild>
                <w:div w:id="1584952691">
                  <w:marLeft w:val="0"/>
                  <w:marRight w:val="0"/>
                  <w:marTop w:val="0"/>
                  <w:marBottom w:val="0"/>
                  <w:divBdr>
                    <w:top w:val="none" w:sz="0" w:space="0" w:color="auto"/>
                    <w:left w:val="none" w:sz="0" w:space="0" w:color="auto"/>
                    <w:bottom w:val="none" w:sz="0" w:space="0" w:color="auto"/>
                    <w:right w:val="none" w:sz="0" w:space="0" w:color="auto"/>
                  </w:divBdr>
                  <w:divsChild>
                    <w:div w:id="386956856">
                      <w:marLeft w:val="0"/>
                      <w:marRight w:val="0"/>
                      <w:marTop w:val="0"/>
                      <w:marBottom w:val="0"/>
                      <w:divBdr>
                        <w:top w:val="none" w:sz="0" w:space="0" w:color="auto"/>
                        <w:left w:val="none" w:sz="0" w:space="0" w:color="auto"/>
                        <w:bottom w:val="none" w:sz="0" w:space="0" w:color="auto"/>
                        <w:right w:val="none" w:sz="0" w:space="0" w:color="auto"/>
                      </w:divBdr>
                      <w:divsChild>
                        <w:div w:id="151531814">
                          <w:marLeft w:val="0"/>
                          <w:marRight w:val="0"/>
                          <w:marTop w:val="0"/>
                          <w:marBottom w:val="0"/>
                          <w:divBdr>
                            <w:top w:val="none" w:sz="0" w:space="0" w:color="auto"/>
                            <w:left w:val="none" w:sz="0" w:space="0" w:color="auto"/>
                            <w:bottom w:val="none" w:sz="0" w:space="0" w:color="auto"/>
                            <w:right w:val="none" w:sz="0" w:space="0" w:color="auto"/>
                          </w:divBdr>
                          <w:divsChild>
                            <w:div w:id="161892554">
                              <w:marLeft w:val="0"/>
                              <w:marRight w:val="0"/>
                              <w:marTop w:val="0"/>
                              <w:marBottom w:val="0"/>
                              <w:divBdr>
                                <w:top w:val="none" w:sz="0" w:space="0" w:color="auto"/>
                                <w:left w:val="none" w:sz="0" w:space="0" w:color="auto"/>
                                <w:bottom w:val="none" w:sz="0" w:space="0" w:color="auto"/>
                                <w:right w:val="none" w:sz="0" w:space="0" w:color="auto"/>
                              </w:divBdr>
                              <w:divsChild>
                                <w:div w:id="2123304708">
                                  <w:marLeft w:val="0"/>
                                  <w:marRight w:val="0"/>
                                  <w:marTop w:val="0"/>
                                  <w:marBottom w:val="0"/>
                                  <w:divBdr>
                                    <w:top w:val="none" w:sz="0" w:space="0" w:color="auto"/>
                                    <w:left w:val="none" w:sz="0" w:space="0" w:color="auto"/>
                                    <w:bottom w:val="none" w:sz="0" w:space="0" w:color="auto"/>
                                    <w:right w:val="none" w:sz="0" w:space="0" w:color="auto"/>
                                  </w:divBdr>
                                  <w:divsChild>
                                    <w:div w:id="669525742">
                                      <w:marLeft w:val="0"/>
                                      <w:marRight w:val="0"/>
                                      <w:marTop w:val="0"/>
                                      <w:marBottom w:val="0"/>
                                      <w:divBdr>
                                        <w:top w:val="none" w:sz="0" w:space="0" w:color="auto"/>
                                        <w:left w:val="none" w:sz="0" w:space="0" w:color="auto"/>
                                        <w:bottom w:val="none" w:sz="0" w:space="0" w:color="auto"/>
                                        <w:right w:val="none" w:sz="0" w:space="0" w:color="auto"/>
                                      </w:divBdr>
                                      <w:divsChild>
                                        <w:div w:id="1964654597">
                                          <w:marLeft w:val="0"/>
                                          <w:marRight w:val="0"/>
                                          <w:marTop w:val="0"/>
                                          <w:marBottom w:val="0"/>
                                          <w:divBdr>
                                            <w:top w:val="none" w:sz="0" w:space="0" w:color="auto"/>
                                            <w:left w:val="none" w:sz="0" w:space="0" w:color="auto"/>
                                            <w:bottom w:val="none" w:sz="0" w:space="0" w:color="auto"/>
                                            <w:right w:val="none" w:sz="0" w:space="0" w:color="auto"/>
                                          </w:divBdr>
                                          <w:divsChild>
                                            <w:div w:id="896356134">
                                              <w:marLeft w:val="0"/>
                                              <w:marRight w:val="0"/>
                                              <w:marTop w:val="0"/>
                                              <w:marBottom w:val="0"/>
                                              <w:divBdr>
                                                <w:top w:val="none" w:sz="0" w:space="0" w:color="auto"/>
                                                <w:left w:val="none" w:sz="0" w:space="0" w:color="auto"/>
                                                <w:bottom w:val="none" w:sz="0" w:space="0" w:color="auto"/>
                                                <w:right w:val="none" w:sz="0" w:space="0" w:color="auto"/>
                                              </w:divBdr>
                                              <w:divsChild>
                                                <w:div w:id="1154222462">
                                                  <w:marLeft w:val="0"/>
                                                  <w:marRight w:val="0"/>
                                                  <w:marTop w:val="0"/>
                                                  <w:marBottom w:val="0"/>
                                                  <w:divBdr>
                                                    <w:top w:val="none" w:sz="0" w:space="0" w:color="auto"/>
                                                    <w:left w:val="none" w:sz="0" w:space="0" w:color="auto"/>
                                                    <w:bottom w:val="none" w:sz="0" w:space="0" w:color="auto"/>
                                                    <w:right w:val="none" w:sz="0" w:space="0" w:color="auto"/>
                                                  </w:divBdr>
                                                  <w:divsChild>
                                                    <w:div w:id="892040555">
                                                      <w:marLeft w:val="0"/>
                                                      <w:marRight w:val="0"/>
                                                      <w:marTop w:val="0"/>
                                                      <w:marBottom w:val="0"/>
                                                      <w:divBdr>
                                                        <w:top w:val="none" w:sz="0" w:space="0" w:color="auto"/>
                                                        <w:left w:val="none" w:sz="0" w:space="0" w:color="auto"/>
                                                        <w:bottom w:val="none" w:sz="0" w:space="0" w:color="auto"/>
                                                        <w:right w:val="none" w:sz="0" w:space="0" w:color="auto"/>
                                                      </w:divBdr>
                                                      <w:divsChild>
                                                        <w:div w:id="8738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2469541">
      <w:bodyDiv w:val="1"/>
      <w:marLeft w:val="0"/>
      <w:marRight w:val="0"/>
      <w:marTop w:val="0"/>
      <w:marBottom w:val="0"/>
      <w:divBdr>
        <w:top w:val="none" w:sz="0" w:space="0" w:color="auto"/>
        <w:left w:val="none" w:sz="0" w:space="0" w:color="auto"/>
        <w:bottom w:val="none" w:sz="0" w:space="0" w:color="auto"/>
        <w:right w:val="none" w:sz="0" w:space="0" w:color="auto"/>
      </w:divBdr>
    </w:div>
    <w:div w:id="1645740479">
      <w:bodyDiv w:val="1"/>
      <w:marLeft w:val="0"/>
      <w:marRight w:val="0"/>
      <w:marTop w:val="0"/>
      <w:marBottom w:val="0"/>
      <w:divBdr>
        <w:top w:val="none" w:sz="0" w:space="0" w:color="auto"/>
        <w:left w:val="none" w:sz="0" w:space="0" w:color="auto"/>
        <w:bottom w:val="none" w:sz="0" w:space="0" w:color="auto"/>
        <w:right w:val="none" w:sz="0" w:space="0" w:color="auto"/>
      </w:divBdr>
      <w:divsChild>
        <w:div w:id="92938712">
          <w:marLeft w:val="0"/>
          <w:marRight w:val="0"/>
          <w:marTop w:val="0"/>
          <w:marBottom w:val="0"/>
          <w:divBdr>
            <w:top w:val="none" w:sz="0" w:space="0" w:color="auto"/>
            <w:left w:val="none" w:sz="0" w:space="0" w:color="auto"/>
            <w:bottom w:val="none" w:sz="0" w:space="0" w:color="auto"/>
            <w:right w:val="none" w:sz="0" w:space="0" w:color="auto"/>
          </w:divBdr>
          <w:divsChild>
            <w:div w:id="518811109">
              <w:marLeft w:val="0"/>
              <w:marRight w:val="0"/>
              <w:marTop w:val="0"/>
              <w:marBottom w:val="0"/>
              <w:divBdr>
                <w:top w:val="none" w:sz="0" w:space="0" w:color="auto"/>
                <w:left w:val="none" w:sz="0" w:space="0" w:color="auto"/>
                <w:bottom w:val="none" w:sz="0" w:space="0" w:color="auto"/>
                <w:right w:val="none" w:sz="0" w:space="0" w:color="auto"/>
              </w:divBdr>
              <w:divsChild>
                <w:div w:id="620042045">
                  <w:marLeft w:val="0"/>
                  <w:marRight w:val="0"/>
                  <w:marTop w:val="0"/>
                  <w:marBottom w:val="0"/>
                  <w:divBdr>
                    <w:top w:val="none" w:sz="0" w:space="0" w:color="auto"/>
                    <w:left w:val="none" w:sz="0" w:space="0" w:color="auto"/>
                    <w:bottom w:val="none" w:sz="0" w:space="0" w:color="auto"/>
                    <w:right w:val="none" w:sz="0" w:space="0" w:color="auto"/>
                  </w:divBdr>
                  <w:divsChild>
                    <w:div w:id="318537424">
                      <w:marLeft w:val="0"/>
                      <w:marRight w:val="0"/>
                      <w:marTop w:val="0"/>
                      <w:marBottom w:val="0"/>
                      <w:divBdr>
                        <w:top w:val="none" w:sz="0" w:space="0" w:color="auto"/>
                        <w:left w:val="none" w:sz="0" w:space="0" w:color="auto"/>
                        <w:bottom w:val="none" w:sz="0" w:space="0" w:color="auto"/>
                        <w:right w:val="none" w:sz="0" w:space="0" w:color="auto"/>
                      </w:divBdr>
                      <w:divsChild>
                        <w:div w:id="176234929">
                          <w:marLeft w:val="0"/>
                          <w:marRight w:val="0"/>
                          <w:marTop w:val="0"/>
                          <w:marBottom w:val="0"/>
                          <w:divBdr>
                            <w:top w:val="none" w:sz="0" w:space="0" w:color="auto"/>
                            <w:left w:val="none" w:sz="0" w:space="0" w:color="auto"/>
                            <w:bottom w:val="none" w:sz="0" w:space="0" w:color="auto"/>
                            <w:right w:val="none" w:sz="0" w:space="0" w:color="auto"/>
                          </w:divBdr>
                          <w:divsChild>
                            <w:div w:id="1134446851">
                              <w:marLeft w:val="0"/>
                              <w:marRight w:val="0"/>
                              <w:marTop w:val="0"/>
                              <w:marBottom w:val="0"/>
                              <w:divBdr>
                                <w:top w:val="none" w:sz="0" w:space="0" w:color="auto"/>
                                <w:left w:val="none" w:sz="0" w:space="0" w:color="auto"/>
                                <w:bottom w:val="none" w:sz="0" w:space="0" w:color="auto"/>
                                <w:right w:val="none" w:sz="0" w:space="0" w:color="auto"/>
                              </w:divBdr>
                              <w:divsChild>
                                <w:div w:id="303707608">
                                  <w:marLeft w:val="0"/>
                                  <w:marRight w:val="0"/>
                                  <w:marTop w:val="0"/>
                                  <w:marBottom w:val="0"/>
                                  <w:divBdr>
                                    <w:top w:val="none" w:sz="0" w:space="0" w:color="auto"/>
                                    <w:left w:val="none" w:sz="0" w:space="0" w:color="auto"/>
                                    <w:bottom w:val="none" w:sz="0" w:space="0" w:color="auto"/>
                                    <w:right w:val="none" w:sz="0" w:space="0" w:color="auto"/>
                                  </w:divBdr>
                                  <w:divsChild>
                                    <w:div w:id="1152409934">
                                      <w:marLeft w:val="0"/>
                                      <w:marRight w:val="0"/>
                                      <w:marTop w:val="0"/>
                                      <w:marBottom w:val="0"/>
                                      <w:divBdr>
                                        <w:top w:val="none" w:sz="0" w:space="0" w:color="auto"/>
                                        <w:left w:val="none" w:sz="0" w:space="0" w:color="auto"/>
                                        <w:bottom w:val="none" w:sz="0" w:space="0" w:color="auto"/>
                                        <w:right w:val="none" w:sz="0" w:space="0" w:color="auto"/>
                                      </w:divBdr>
                                      <w:divsChild>
                                        <w:div w:id="229000912">
                                          <w:marLeft w:val="0"/>
                                          <w:marRight w:val="0"/>
                                          <w:marTop w:val="0"/>
                                          <w:marBottom w:val="0"/>
                                          <w:divBdr>
                                            <w:top w:val="none" w:sz="0" w:space="0" w:color="auto"/>
                                            <w:left w:val="none" w:sz="0" w:space="0" w:color="auto"/>
                                            <w:bottom w:val="none" w:sz="0" w:space="0" w:color="auto"/>
                                            <w:right w:val="none" w:sz="0" w:space="0" w:color="auto"/>
                                          </w:divBdr>
                                          <w:divsChild>
                                            <w:div w:id="678504888">
                                              <w:marLeft w:val="0"/>
                                              <w:marRight w:val="0"/>
                                              <w:marTop w:val="0"/>
                                              <w:marBottom w:val="0"/>
                                              <w:divBdr>
                                                <w:top w:val="none" w:sz="0" w:space="0" w:color="auto"/>
                                                <w:left w:val="none" w:sz="0" w:space="0" w:color="auto"/>
                                                <w:bottom w:val="none" w:sz="0" w:space="0" w:color="auto"/>
                                                <w:right w:val="none" w:sz="0" w:space="0" w:color="auto"/>
                                              </w:divBdr>
                                              <w:divsChild>
                                                <w:div w:id="520900177">
                                                  <w:marLeft w:val="0"/>
                                                  <w:marRight w:val="0"/>
                                                  <w:marTop w:val="0"/>
                                                  <w:marBottom w:val="0"/>
                                                  <w:divBdr>
                                                    <w:top w:val="none" w:sz="0" w:space="0" w:color="auto"/>
                                                    <w:left w:val="none" w:sz="0" w:space="0" w:color="auto"/>
                                                    <w:bottom w:val="none" w:sz="0" w:space="0" w:color="auto"/>
                                                    <w:right w:val="none" w:sz="0" w:space="0" w:color="auto"/>
                                                  </w:divBdr>
                                                  <w:divsChild>
                                                    <w:div w:id="1131897006">
                                                      <w:marLeft w:val="0"/>
                                                      <w:marRight w:val="0"/>
                                                      <w:marTop w:val="0"/>
                                                      <w:marBottom w:val="0"/>
                                                      <w:divBdr>
                                                        <w:top w:val="none" w:sz="0" w:space="0" w:color="auto"/>
                                                        <w:left w:val="none" w:sz="0" w:space="0" w:color="auto"/>
                                                        <w:bottom w:val="none" w:sz="0" w:space="0" w:color="auto"/>
                                                        <w:right w:val="none" w:sz="0" w:space="0" w:color="auto"/>
                                                      </w:divBdr>
                                                      <w:divsChild>
                                                        <w:div w:id="186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872275">
      <w:bodyDiv w:val="1"/>
      <w:marLeft w:val="0"/>
      <w:marRight w:val="0"/>
      <w:marTop w:val="0"/>
      <w:marBottom w:val="0"/>
      <w:divBdr>
        <w:top w:val="none" w:sz="0" w:space="0" w:color="auto"/>
        <w:left w:val="none" w:sz="0" w:space="0" w:color="auto"/>
        <w:bottom w:val="none" w:sz="0" w:space="0" w:color="auto"/>
        <w:right w:val="none" w:sz="0" w:space="0" w:color="auto"/>
      </w:divBdr>
    </w:div>
    <w:div w:id="18965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actuary, conseqential, actuarial valuation report </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24</Value>
      <Value>83</Value>
      <Value>234</Value>
      <Value>228</Value>
      <Value>134</Value>
      <Value>10</Value>
      <Value>26</Value>
      <Value>93</Value>
      <Value>109</Value>
      <Value>158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GPS 110 and GPS 116</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5JENXJJSCC7A-445999044-10847</_dlc_DocId>
    <_dlc_DocIdUrl xmlns="814d62cb-2db6-4c25-ab62-b9075facbc11">
      <Url>https://im/teams/LEGAL/_layouts/15/DocIdRedir.aspx?ID=5JENXJJSCC7A-445999044-10847</Url>
      <Description>5JENXJJSCC7A-445999044-10847</Description>
    </_dlc_DocIdUrl>
  </documentManagement>
</p:properties>
</file>

<file path=customXml/item4.xml><?xml version="1.0" encoding="utf-8"?>
<LongProperties xmlns="http://schemas.microsoft.com/office/2006/metadata/longProperties">
  <LongProp xmlns="" name="TaxCatchAll"><![CDATA[33;#Explanatory statement|b22f2e2f-3f73-411b-9a7c-34264d26fa25;#185;#Analysis on specific operational risks|616caadd-4803-499f-ae93-4950ad67a3ce;#14;#PHI|10657f9d-7e9a-e511-8d41-005056b54f10;#15;#Private Health Insurance (Prudential Supervision) Act 2015|01905406-79f0-428d-bcfd-886429f0c7a1;#1;#Draft|0e1556d2-3fe8-443a-ada7-3620563b46b3;#186;#Operational risk management framework|7c91d256-6852-4256-8552-4352700b7990;#154;#Prudential standard implementation|88b001fd-622d-45b4-9784-bf6a334327eb]]></LongProp>
</Long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FA4-D6AD-4B9E-B8F4-88B0A3488462}">
  <ds:schemaRefs>
    <ds:schemaRef ds:uri="Microsoft.SharePoint.Taxonomy.ContentTypeSync"/>
  </ds:schemaRefs>
</ds:datastoreItem>
</file>

<file path=customXml/itemProps2.xml><?xml version="1.0" encoding="utf-8"?>
<ds:datastoreItem xmlns:ds="http://schemas.openxmlformats.org/officeDocument/2006/customXml" ds:itemID="{4B1855CA-C831-479C-8C2E-0E69B07FEEF4}">
  <ds:schemaRefs>
    <ds:schemaRef ds:uri="http://schemas.microsoft.com/sharepoint/events"/>
  </ds:schemaRefs>
</ds:datastoreItem>
</file>

<file path=customXml/itemProps3.xml><?xml version="1.0" encoding="utf-8"?>
<ds:datastoreItem xmlns:ds="http://schemas.openxmlformats.org/officeDocument/2006/customXml" ds:itemID="{19997CF3-C486-462A-8E0D-DE01D4C6F8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99396A-3C22-4D97-95FC-AA1D765040FC}">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C2E6F35-6903-47F9-9DE1-581A11AED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A7527B-5CB4-4728-BBDB-1B4162A6F85F}">
  <ds:schemaRefs>
    <ds:schemaRef ds:uri="http://schemas.microsoft.com/sharepoint/v3/contenttype/forms"/>
  </ds:schemaRefs>
</ds:datastoreItem>
</file>

<file path=customXml/itemProps7.xml><?xml version="1.0" encoding="utf-8"?>
<ds:datastoreItem xmlns:ds="http://schemas.openxmlformats.org/officeDocument/2006/customXml" ds:itemID="{AEDD421E-DA95-44E9-BD90-18F3D5E5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5917</Characters>
  <Application>Microsoft Office Word</Application>
  <DocSecurity>0</DocSecurity>
  <Lines>107</Lines>
  <Paragraphs>38</Paragraphs>
  <ScaleCrop>false</ScaleCrop>
  <HeadingPairs>
    <vt:vector size="2" baseType="variant">
      <vt:variant>
        <vt:lpstr>Title</vt:lpstr>
      </vt:variant>
      <vt:variant>
        <vt:i4>1</vt:i4>
      </vt:variant>
    </vt:vector>
  </HeadingPairs>
  <TitlesOfParts>
    <vt:vector size="1" baseType="lpstr">
      <vt:lpstr>GPS 116 Explanatory Statement</vt:lpstr>
    </vt:vector>
  </TitlesOfParts>
  <Company>APRA</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116 Explanatory Statement</dc:title>
  <dc:subject/>
  <dc:creator>Fiona.Bowden</dc:creator>
  <cp:keywords>[SEC=UNCLASSIFIED]</cp:keywords>
  <dc:description/>
  <cp:lastModifiedBy>Li, Joanne</cp:lastModifiedBy>
  <cp:revision>2</cp:revision>
  <cp:lastPrinted>2019-06-20T03:10:00Z</cp:lastPrinted>
  <dcterms:created xsi:type="dcterms:W3CDTF">2019-09-19T02:23:00Z</dcterms:created>
  <dcterms:modified xsi:type="dcterms:W3CDTF">2019-09-19T02:23:00Z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DBF2C23E4BADD8D7D0B29BB6B332033121013C98</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A835D9712C8C7166151B66C46EBE2DA53D2CC82E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3BBB0966FF6849128F98E09B77575632</vt:lpwstr>
  </property>
  <property fmtid="{D5CDD505-2E9C-101B-9397-08002B2CF9AE}" pid="16" name="PM_OriginationTimeStamp">
    <vt:lpwstr>2019-09-19T02:23:29Z</vt:lpwstr>
  </property>
  <property fmtid="{D5CDD505-2E9C-101B-9397-08002B2CF9AE}" pid="17" name="PM_Hash_Version">
    <vt:lpwstr>2018.0</vt:lpwstr>
  </property>
  <property fmtid="{D5CDD505-2E9C-101B-9397-08002B2CF9AE}" pid="18" name="PM_Hash_Salt_Prev">
    <vt:lpwstr>711026930C2DE10F2369D33A4A9DFAAA</vt:lpwstr>
  </property>
  <property fmtid="{D5CDD505-2E9C-101B-9397-08002B2CF9AE}" pid="19" name="PM_Hash_Salt">
    <vt:lpwstr>EC11B7C12A6EC681A8C37F06E5381739</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_dlc_DocId">
    <vt:lpwstr>WP5AJ56JFQTV-44125397-565</vt:lpwstr>
  </property>
  <property fmtid="{D5CDD505-2E9C-101B-9397-08002B2CF9AE}" pid="23" name="_dlc_DocIdItemGuid">
    <vt:lpwstr>12387368-861e-481d-baa2-37b26116df35</vt:lpwstr>
  </property>
  <property fmtid="{D5CDD505-2E9C-101B-9397-08002B2CF9AE}" pid="24" name="_dlc_DocIdUrl">
    <vt:lpwstr>https://im/teams/POLICYINS/_layouts/15/DocIdRedir.aspx?ID=WP5AJ56JFQTV-44125397-565, WP5AJ56JFQTV-44125397-565</vt:lpwstr>
  </property>
  <property fmtid="{D5CDD505-2E9C-101B-9397-08002B2CF9AE}" pid="25" name="IsLocked">
    <vt:lpwstr>Yes</vt:lpwstr>
  </property>
  <property fmtid="{D5CDD505-2E9C-101B-9397-08002B2CF9AE}" pid="26" name="APRAExternalOrganisation">
    <vt:lpwstr/>
  </property>
  <property fmtid="{D5CDD505-2E9C-101B-9397-08002B2CF9AE}" pid="27" name="APRAIRTR">
    <vt:lpwstr/>
  </property>
  <property fmtid="{D5CDD505-2E9C-101B-9397-08002B2CF9AE}" pid="28" name="APRACategory">
    <vt:lpwstr/>
  </property>
  <property fmtid="{D5CDD505-2E9C-101B-9397-08002B2CF9AE}" pid="29" name="display_urn:schemas-microsoft-com:office:office#APRAOwner">
    <vt:lpwstr>Bowden, Fiona</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1;#Draft|0e1556d2-3fe8-443a-ada7-3620563b46b3</vt:lpwstr>
  </property>
  <property fmtid="{D5CDD505-2E9C-101B-9397-08002B2CF9AE}" pid="33" name="APRAPRSG">
    <vt:lpwstr/>
  </property>
  <property fmtid="{D5CDD505-2E9C-101B-9397-08002B2CF9AE}" pid="34" name="APRACostCentre">
    <vt:lpwstr>158;#PAD300|98bbdbe4-d019-48eb-87c4-aa31a7f2f98f;#24;#Legal - ADI|652d8d2a-ab45-47b4-ac6e-fe6ac9299b39;#26;#Legal - Insurance: General|8229dc1a-d7f2-47b2-844a-b026fed0c13d;#93;#Legal - Insurance: Health|21611e62-d688-4f0d-8807-02701cc43699;#83;#Legal - In</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Year">
    <vt:lpwstr>228;#2019|7f488d12-1aa7-4fe3-8821-bfe8262e80d0</vt:lpwstr>
  </property>
  <property fmtid="{D5CDD505-2E9C-101B-9397-08002B2CF9AE}" pid="38" name="APRAIndustry">
    <vt:lpwstr/>
  </property>
  <property fmtid="{D5CDD505-2E9C-101B-9397-08002B2CF9AE}" pid="39" name="APRALegislation">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{12387368-861e-481d-baa2-37b26116df35}</vt:lpwstr>
  </property>
  <property fmtid="{D5CDD505-2E9C-101B-9397-08002B2CF9AE}" pid="44" name="RecordPoint_ActiveItemWebId">
    <vt:lpwstr>{75a71c27-8d66-4282-ae60-1bfc22a83be1}</vt:lpwstr>
  </property>
  <property fmtid="{D5CDD505-2E9C-101B-9397-08002B2CF9AE}" pid="45" name="RecordPoint_RecordNumberSubmitted">
    <vt:lpwstr/>
  </property>
  <property fmtid="{D5CDD505-2E9C-101B-9397-08002B2CF9AE}" pid="46" name="IT system type">
    <vt:lpwstr/>
  </property>
  <property fmtid="{D5CDD505-2E9C-101B-9397-08002B2CF9AE}" pid="47" name="ContentTypeId">
    <vt:lpwstr>0x0101008CA7A4F8331B45C7B0D3158B4994D0CA0200577EC0F5A1FBFC498F9A8436B963F8A6</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RecordPoint_SubmissionCompleted">
    <vt:lpwstr/>
  </property>
  <property fmtid="{D5CDD505-2E9C-101B-9397-08002B2CF9AE}" pid="52" name="PM_Note">
    <vt:lpwstr/>
  </property>
  <property fmtid="{D5CDD505-2E9C-101B-9397-08002B2CF9AE}" pid="53" name="PM_Markers">
    <vt:lpwstr/>
  </property>
</Properties>
</file>