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36C78" w14:textId="726F76E3" w:rsidR="00ED4AC2" w:rsidRPr="00866C07" w:rsidRDefault="00E26B8C" w:rsidP="00ED4AC2">
      <w:pPr>
        <w:pStyle w:val="Heading1"/>
      </w:pPr>
      <w:bookmarkStart w:id="0" w:name="_GoBack"/>
      <w:bookmarkEnd w:id="0"/>
      <w:r w:rsidRPr="00ED4AC2">
        <w:t>EXPLANATORY STATEMENT</w:t>
      </w:r>
    </w:p>
    <w:p w14:paraId="2CA53074" w14:textId="77777777" w:rsidR="00E26B8C" w:rsidRDefault="00E26B8C" w:rsidP="001C2945">
      <w:pPr>
        <w:tabs>
          <w:tab w:val="left" w:pos="1800"/>
        </w:tabs>
        <w:jc w:val="center"/>
        <w:rPr>
          <w:sz w:val="20"/>
          <w:szCs w:val="20"/>
        </w:rPr>
      </w:pPr>
    </w:p>
    <w:p w14:paraId="5840AB74" w14:textId="008A2CFD" w:rsidR="00E26B8C" w:rsidRDefault="00E26B8C" w:rsidP="001C2945">
      <w:pPr>
        <w:jc w:val="center"/>
        <w:rPr>
          <w:u w:val="single"/>
        </w:rPr>
      </w:pPr>
      <w:r>
        <w:rPr>
          <w:u w:val="single"/>
        </w:rPr>
        <w:t>Issued by the Authority of the Treasur</w:t>
      </w:r>
      <w:r w:rsidR="008E5B3D">
        <w:rPr>
          <w:u w:val="single"/>
        </w:rPr>
        <w:t>er and the Minister for Finance</w:t>
      </w:r>
    </w:p>
    <w:p w14:paraId="43FE6EC3" w14:textId="77777777" w:rsidR="00E26B8C" w:rsidRDefault="00E26B8C" w:rsidP="001C2945">
      <w:pPr>
        <w:jc w:val="center"/>
        <w:rPr>
          <w:u w:val="single"/>
        </w:rPr>
      </w:pPr>
    </w:p>
    <w:p w14:paraId="12EBFEB7" w14:textId="77777777" w:rsidR="00E26B8C" w:rsidRPr="00ED4AC2" w:rsidRDefault="008E5B3D" w:rsidP="00ED4AC2">
      <w:pPr>
        <w:pStyle w:val="Subtitle"/>
      </w:pPr>
      <w:r w:rsidRPr="00ED4AC2">
        <w:t>Medical Research Future Fund Act 2015</w:t>
      </w:r>
    </w:p>
    <w:p w14:paraId="02977E16" w14:textId="77777777" w:rsidR="008E5B3D" w:rsidRPr="008E5B3D" w:rsidRDefault="008E5B3D" w:rsidP="001C2945">
      <w:pPr>
        <w:jc w:val="center"/>
      </w:pPr>
    </w:p>
    <w:p w14:paraId="3455AC09" w14:textId="20CE688B" w:rsidR="00E26B8C" w:rsidRPr="00FA232C" w:rsidRDefault="008E5B3D" w:rsidP="00FA232C">
      <w:pPr>
        <w:pStyle w:val="Heading2"/>
      </w:pPr>
      <w:bookmarkStart w:id="1" w:name="Citation"/>
      <w:r w:rsidRPr="00ED4AC2">
        <w:t>Medical Research F</w:t>
      </w:r>
      <w:r w:rsidR="0081561D">
        <w:t>uture Fund (Crediting of</w:t>
      </w:r>
      <w:r w:rsidRPr="00ED4AC2">
        <w:t xml:space="preserve"> Amounts) Determination </w:t>
      </w:r>
      <w:bookmarkEnd w:id="1"/>
      <w:r w:rsidRPr="00ED4AC2">
        <w:t>201</w:t>
      </w:r>
      <w:r w:rsidR="00855913">
        <w:t>9</w:t>
      </w:r>
    </w:p>
    <w:p w14:paraId="7F2B968A" w14:textId="77777777" w:rsidR="00B70D26" w:rsidRDefault="00B70D26" w:rsidP="004467CF">
      <w:pPr>
        <w:pStyle w:val="Heading3"/>
      </w:pPr>
    </w:p>
    <w:p w14:paraId="578036B4" w14:textId="3804BE37" w:rsidR="005252BE" w:rsidRDefault="005252BE" w:rsidP="004467CF">
      <w:pPr>
        <w:pStyle w:val="Heading3"/>
      </w:pPr>
      <w:r>
        <w:t>Notes on Sections</w:t>
      </w:r>
    </w:p>
    <w:p w14:paraId="29020745" w14:textId="77777777" w:rsidR="005252BE" w:rsidRPr="00F32B2C" w:rsidRDefault="005252BE" w:rsidP="00E84592"/>
    <w:p w14:paraId="20D67A64" w14:textId="1E7DB472" w:rsidR="00FD2B9C" w:rsidRDefault="00FD2B9C" w:rsidP="004467CF">
      <w:pPr>
        <w:pStyle w:val="Heading3"/>
      </w:pPr>
      <w:r>
        <w:t>Section 1 – Name</w:t>
      </w:r>
    </w:p>
    <w:p w14:paraId="006617D6" w14:textId="325DBA49" w:rsidR="00FD2B9C" w:rsidRDefault="00FD2B9C" w:rsidP="00E84592">
      <w:pPr>
        <w:rPr>
          <w:i/>
        </w:rPr>
      </w:pPr>
      <w:r>
        <w:t xml:space="preserve">Section 1 provides for the determination to be cited as the </w:t>
      </w:r>
      <w:r>
        <w:rPr>
          <w:i/>
        </w:rPr>
        <w:t>Medical Research Future Fund (Crediting of Amounts) Determination 201</w:t>
      </w:r>
      <w:r w:rsidR="00855913">
        <w:rPr>
          <w:i/>
        </w:rPr>
        <w:t>9</w:t>
      </w:r>
      <w:r>
        <w:rPr>
          <w:i/>
        </w:rPr>
        <w:t>.</w:t>
      </w:r>
    </w:p>
    <w:p w14:paraId="5CE6BB79" w14:textId="1AB2EA20" w:rsidR="00FD2B9C" w:rsidRDefault="00FD2B9C" w:rsidP="00E84592">
      <w:pPr>
        <w:rPr>
          <w:i/>
        </w:rPr>
      </w:pPr>
    </w:p>
    <w:p w14:paraId="5CCC86F2" w14:textId="319A1750" w:rsidR="00FD2B9C" w:rsidRDefault="00FD2B9C" w:rsidP="00E84592">
      <w:pPr>
        <w:spacing w:after="120"/>
      </w:pPr>
      <w:r>
        <w:rPr>
          <w:b/>
        </w:rPr>
        <w:t>Section 2 – Commencement</w:t>
      </w:r>
    </w:p>
    <w:p w14:paraId="6E881C02" w14:textId="76B505BD" w:rsidR="00FD2B9C" w:rsidRDefault="00FD2B9C" w:rsidP="00FD2B9C">
      <w:r>
        <w:t>Section 2 provides that the</w:t>
      </w:r>
      <w:r w:rsidR="00A7659E">
        <w:t xml:space="preserve"> </w:t>
      </w:r>
      <w:r>
        <w:t>d</w:t>
      </w:r>
      <w:r w:rsidRPr="00164C9A">
        <w:t xml:space="preserve">etermination commences on the day </w:t>
      </w:r>
      <w:r>
        <w:t xml:space="preserve">after </w:t>
      </w:r>
      <w:r w:rsidRPr="00164C9A">
        <w:t>it is registered on the Federal Register of Legislation.</w:t>
      </w:r>
    </w:p>
    <w:p w14:paraId="6C8CE339" w14:textId="17FDAD8D" w:rsidR="00FD2B9C" w:rsidRDefault="00FD2B9C" w:rsidP="00FD2B9C"/>
    <w:p w14:paraId="79F7B7BC" w14:textId="2686AB65" w:rsidR="00FD2B9C" w:rsidRDefault="00FD2B9C" w:rsidP="00E84592">
      <w:pPr>
        <w:spacing w:after="120"/>
        <w:rPr>
          <w:b/>
        </w:rPr>
      </w:pPr>
      <w:r>
        <w:rPr>
          <w:b/>
        </w:rPr>
        <w:t>Section 3 – Authority</w:t>
      </w:r>
    </w:p>
    <w:p w14:paraId="1E5F51C6" w14:textId="30035D77" w:rsidR="00FD2B9C" w:rsidRPr="00FD2B9C" w:rsidRDefault="00A7659E" w:rsidP="00FD2B9C">
      <w:r>
        <w:t>Section 3 provides that paragraph 15</w:t>
      </w:r>
      <w:r w:rsidRPr="0028587D">
        <w:t>(1)</w:t>
      </w:r>
      <w:r>
        <w:t xml:space="preserve">(a) </w:t>
      </w:r>
      <w:r w:rsidRPr="0028587D">
        <w:t>of</w:t>
      </w:r>
      <w:r>
        <w:t xml:space="preserve"> </w:t>
      </w:r>
      <w:r w:rsidRPr="0028587D">
        <w:t xml:space="preserve">the </w:t>
      </w:r>
      <w:r w:rsidRPr="00374958">
        <w:rPr>
          <w:i/>
        </w:rPr>
        <w:t xml:space="preserve">Medical </w:t>
      </w:r>
      <w:r w:rsidRPr="001C2945">
        <w:rPr>
          <w:i/>
        </w:rPr>
        <w:t>Research Future Fund Act 2015</w:t>
      </w:r>
      <w:r>
        <w:t xml:space="preserve"> </w:t>
      </w:r>
      <w:r w:rsidR="00E80914">
        <w:t xml:space="preserve">(the Act) </w:t>
      </w:r>
      <w:r>
        <w:t>allows</w:t>
      </w:r>
      <w:r w:rsidRPr="001C2945">
        <w:t xml:space="preserve"> the responsible Ministers</w:t>
      </w:r>
      <w:r w:rsidR="00F32B2C">
        <w:t xml:space="preserve"> to determine</w:t>
      </w:r>
      <w:r>
        <w:t>, by writing</w:t>
      </w:r>
      <w:r w:rsidRPr="001C2945">
        <w:t xml:space="preserve"> that a specified amount is to be credited to the Medical Research Future Fund</w:t>
      </w:r>
      <w:r w:rsidR="005252BE">
        <w:t xml:space="preserve"> (MRFF)</w:t>
      </w:r>
      <w:r>
        <w:t xml:space="preserve"> </w:t>
      </w:r>
      <w:r w:rsidRPr="001C2945">
        <w:t>Special Account on a specified day.</w:t>
      </w:r>
    </w:p>
    <w:p w14:paraId="01C21327" w14:textId="5ED3ADDA" w:rsidR="00FD2B9C" w:rsidRPr="00FD2B9C" w:rsidRDefault="00FD2B9C" w:rsidP="00E84592"/>
    <w:p w14:paraId="3886582B" w14:textId="35D8491C" w:rsidR="00FD2B9C" w:rsidRDefault="005252BE" w:rsidP="00E84592">
      <w:pPr>
        <w:spacing w:after="120"/>
      </w:pPr>
      <w:r>
        <w:rPr>
          <w:b/>
        </w:rPr>
        <w:t>Section 4 – Crediting of Amounts</w:t>
      </w:r>
    </w:p>
    <w:p w14:paraId="0C4A3781" w14:textId="779B11EF" w:rsidR="004E443B" w:rsidRPr="004E443B" w:rsidRDefault="005252BE" w:rsidP="00057E8B">
      <w:r>
        <w:t xml:space="preserve">Section 4 provides that </w:t>
      </w:r>
      <w:r w:rsidRPr="002E44E0">
        <w:t xml:space="preserve">the </w:t>
      </w:r>
      <w:r w:rsidR="00193080" w:rsidRPr="002E44E0">
        <w:t>determination</w:t>
      </w:r>
      <w:r w:rsidRPr="002E44E0">
        <w:t xml:space="preserve"> credit</w:t>
      </w:r>
      <w:r w:rsidR="00193080" w:rsidRPr="002E44E0">
        <w:t>s</w:t>
      </w:r>
      <w:r w:rsidRPr="002E44E0">
        <w:t xml:space="preserve"> $</w:t>
      </w:r>
      <w:r w:rsidR="00855913" w:rsidRPr="002E44E0">
        <w:t>7,830,490</w:t>
      </w:r>
      <w:r w:rsidR="002E44E0" w:rsidRPr="002E44E0">
        <w:t>,000</w:t>
      </w:r>
      <w:r w:rsidRPr="002E44E0">
        <w:t xml:space="preserve">.00 to the MRFF Special Account on </w:t>
      </w:r>
      <w:r w:rsidR="003D3802" w:rsidRPr="002E44E0">
        <w:t>23</w:t>
      </w:r>
      <w:r w:rsidRPr="002E44E0">
        <w:t> July 201</w:t>
      </w:r>
      <w:r w:rsidR="00855913" w:rsidRPr="002E44E0">
        <w:t>9</w:t>
      </w:r>
      <w:r w:rsidRPr="002E44E0">
        <w:t xml:space="preserve">. </w:t>
      </w:r>
      <w:r w:rsidR="004E443B" w:rsidRPr="002E44E0">
        <w:t xml:space="preserve">The amount of the credit is consistent with current Budget forecasts and represents the estimated value of health function savings published in the 2014-15 Budget, adjusted for subsequent policy </w:t>
      </w:r>
      <w:r w:rsidR="004E443B" w:rsidRPr="004E443B">
        <w:t>decisions.</w:t>
      </w:r>
    </w:p>
    <w:p w14:paraId="0013E50C" w14:textId="77777777" w:rsidR="005252BE" w:rsidRPr="00F32B2C" w:rsidRDefault="005252BE" w:rsidP="004E443B"/>
    <w:p w14:paraId="1B71C331" w14:textId="3B7F61C4" w:rsidR="0049368D" w:rsidRPr="0049368D" w:rsidRDefault="0049368D" w:rsidP="004467CF">
      <w:pPr>
        <w:pStyle w:val="Heading3"/>
      </w:pPr>
      <w:r w:rsidRPr="0049368D">
        <w:t>Outline</w:t>
      </w:r>
    </w:p>
    <w:p w14:paraId="55B599AB" w14:textId="74F330FA" w:rsidR="00E26B8C" w:rsidRPr="008E5B3D" w:rsidRDefault="00C76BA3">
      <w:pPr>
        <w:rPr>
          <w:highlight w:val="yellow"/>
        </w:rPr>
      </w:pPr>
      <w:r>
        <w:t>Subs</w:t>
      </w:r>
      <w:r w:rsidR="00DE2517">
        <w:t xml:space="preserve">ection 15(2) of the Act provides that in making a determination, the responsible Ministers must (subject to </w:t>
      </w:r>
      <w:r>
        <w:t>sub</w:t>
      </w:r>
      <w:r w:rsidR="00DE2517">
        <w:t>section 15(4)) have regard to the object of the Act</w:t>
      </w:r>
      <w:r w:rsidR="00B3646C">
        <w:t xml:space="preserve"> as set out in section 3</w:t>
      </w:r>
      <w:r w:rsidR="00E9647A">
        <w:t>,</w:t>
      </w:r>
      <w:r w:rsidR="00517B3D">
        <w:t xml:space="preserve"> which is </w:t>
      </w:r>
      <w:r w:rsidR="00517B3D" w:rsidRPr="00517B3D">
        <w:t>to</w:t>
      </w:r>
      <w:r w:rsidR="00B3646C" w:rsidRPr="00517B3D">
        <w:t xml:space="preserve"> improve the health and wellbeing of Australians by establishing the MRFF to provide grants of financial assistance to support medical research and medical innovation.</w:t>
      </w:r>
      <w:r w:rsidR="00B3646C">
        <w:t xml:space="preserve"> The determination supports the object by</w:t>
      </w:r>
      <w:r w:rsidR="00654DD5">
        <w:t xml:space="preserve"> contributing to a secure ongoing revenue stream provided by the MRFF.</w:t>
      </w:r>
      <w:r w:rsidR="00B3646C" w:rsidRPr="00E6321F" w:rsidDel="003C7095">
        <w:t xml:space="preserve"> </w:t>
      </w:r>
    </w:p>
    <w:p w14:paraId="32D51FDC" w14:textId="77777777" w:rsidR="00E26B8C" w:rsidRPr="008E5B3D" w:rsidRDefault="00E26B8C" w:rsidP="001C2945">
      <w:pPr>
        <w:rPr>
          <w:highlight w:val="yellow"/>
        </w:rPr>
      </w:pPr>
    </w:p>
    <w:p w14:paraId="03A49114" w14:textId="2D94D925" w:rsidR="005C363B" w:rsidRPr="00164C9A" w:rsidRDefault="00CA0C51" w:rsidP="005C363B">
      <w:r w:rsidRPr="00164C9A">
        <w:t>S</w:t>
      </w:r>
      <w:r w:rsidR="009E690B">
        <w:t>ubs</w:t>
      </w:r>
      <w:r w:rsidRPr="00164C9A">
        <w:t>ection</w:t>
      </w:r>
      <w:r w:rsidR="005C363B" w:rsidRPr="00164C9A">
        <w:t xml:space="preserve"> 15(3</w:t>
      </w:r>
      <w:r w:rsidR="009B6F71" w:rsidRPr="00164C9A">
        <w:t xml:space="preserve">) of the Act provides that the </w:t>
      </w:r>
      <w:r w:rsidR="003C7095">
        <w:t>d</w:t>
      </w:r>
      <w:r w:rsidR="005C363B" w:rsidRPr="00164C9A">
        <w:t xml:space="preserve">etermination is a legislative instrument for the purpose of the </w:t>
      </w:r>
      <w:r w:rsidR="002E67A0" w:rsidRPr="00164C9A">
        <w:rPr>
          <w:i/>
        </w:rPr>
        <w:t>Legislation</w:t>
      </w:r>
      <w:r w:rsidR="005C363B" w:rsidRPr="00164C9A">
        <w:rPr>
          <w:i/>
        </w:rPr>
        <w:t xml:space="preserve"> Act 2003</w:t>
      </w:r>
      <w:r w:rsidR="005C363B" w:rsidRPr="00164C9A">
        <w:t xml:space="preserve"> but is not subject to disallowance under section 42 of the </w:t>
      </w:r>
      <w:r w:rsidR="002E67A0" w:rsidRPr="00164C9A">
        <w:rPr>
          <w:i/>
        </w:rPr>
        <w:t>Legislation</w:t>
      </w:r>
      <w:r w:rsidR="005C363B" w:rsidRPr="00164C9A">
        <w:rPr>
          <w:i/>
        </w:rPr>
        <w:t xml:space="preserve"> Act 2003</w:t>
      </w:r>
      <w:r w:rsidR="005C363B" w:rsidRPr="00164C9A">
        <w:t xml:space="preserve">. </w:t>
      </w:r>
    </w:p>
    <w:p w14:paraId="5B5E5D58" w14:textId="77777777" w:rsidR="00E26B8C" w:rsidRPr="00164C9A" w:rsidRDefault="00E26B8C" w:rsidP="001C2945"/>
    <w:p w14:paraId="41E183D3" w14:textId="2666CC5C" w:rsidR="00C108A7" w:rsidRPr="00164C9A" w:rsidRDefault="00C108A7" w:rsidP="004467CF">
      <w:pPr>
        <w:pStyle w:val="Heading3"/>
      </w:pPr>
      <w:r w:rsidRPr="00164C9A">
        <w:t xml:space="preserve">Consultation </w:t>
      </w:r>
    </w:p>
    <w:p w14:paraId="733A8C9E" w14:textId="17902CF3" w:rsidR="000B4886" w:rsidRPr="00E84592" w:rsidRDefault="000B4886" w:rsidP="00C108A7">
      <w:pPr>
        <w:rPr>
          <w:b/>
        </w:rPr>
      </w:pPr>
      <w:r>
        <w:t xml:space="preserve">In accordance with section 17 of the </w:t>
      </w:r>
      <w:r w:rsidRPr="00841071">
        <w:rPr>
          <w:i/>
        </w:rPr>
        <w:t>Legislation Act 2003</w:t>
      </w:r>
      <w:r>
        <w:t>, consultation has</w:t>
      </w:r>
      <w:r w:rsidR="00210C16">
        <w:t xml:space="preserve"> occurred with the </w:t>
      </w:r>
      <w:r w:rsidR="007822FA">
        <w:t xml:space="preserve">Department of the Treasury, </w:t>
      </w:r>
      <w:r w:rsidR="00210C16">
        <w:t xml:space="preserve">Future Fund Management Agency, </w:t>
      </w:r>
      <w:r w:rsidR="00A92B8F">
        <w:t>the Australian Office of Financial Management</w:t>
      </w:r>
      <w:r w:rsidR="00210C16">
        <w:t xml:space="preserve"> and the Reserve Bank of Australia </w:t>
      </w:r>
      <w:r w:rsidR="00614349">
        <w:t xml:space="preserve">on a </w:t>
      </w:r>
      <w:r w:rsidR="004E443B">
        <w:t>mutually agreed</w:t>
      </w:r>
      <w:r w:rsidR="00614349">
        <w:t xml:space="preserve"> </w:t>
      </w:r>
      <w:r w:rsidR="00193080">
        <w:t xml:space="preserve">date </w:t>
      </w:r>
      <w:r w:rsidR="00614349">
        <w:t>to</w:t>
      </w:r>
      <w:r w:rsidR="00193080">
        <w:t xml:space="preserve"> transfer </w:t>
      </w:r>
      <w:r w:rsidR="00210C16">
        <w:t>the crediting amount</w:t>
      </w:r>
      <w:r w:rsidR="00614349">
        <w:t xml:space="preserve"> from the Consolidated Revenue Fund</w:t>
      </w:r>
      <w:r w:rsidR="00193080">
        <w:t xml:space="preserve"> to the MRFF Special Account</w:t>
      </w:r>
      <w:r w:rsidR="00A92B8F">
        <w:t>.</w:t>
      </w:r>
    </w:p>
    <w:p w14:paraId="06E527A5" w14:textId="2472582C" w:rsidR="00C635F2" w:rsidRDefault="005C363B" w:rsidP="00057E8B">
      <w:pPr>
        <w:rPr>
          <w:b/>
        </w:rPr>
      </w:pPr>
      <w:r w:rsidRPr="00164C9A" w:rsidDel="002702CC">
        <w:rPr>
          <w:rFonts w:eastAsia="Arial"/>
        </w:rPr>
        <w:lastRenderedPageBreak/>
        <w:t xml:space="preserve">The Office of Best Practice Regulation (OBPR) </w:t>
      </w:r>
      <w:r w:rsidR="006C3C98">
        <w:rPr>
          <w:rFonts w:eastAsia="Arial"/>
        </w:rPr>
        <w:t xml:space="preserve">has </w:t>
      </w:r>
      <w:r w:rsidR="0077208F">
        <w:rPr>
          <w:rFonts w:eastAsia="Arial"/>
        </w:rPr>
        <w:t xml:space="preserve">advised that the proposal is not likely to have a regulatory impact on business, community organisations or individuals, therefore a </w:t>
      </w:r>
      <w:r w:rsidR="00AC243A">
        <w:rPr>
          <w:rFonts w:eastAsia="Arial"/>
        </w:rPr>
        <w:t xml:space="preserve">Regulation Impact Statement is not required </w:t>
      </w:r>
      <w:r w:rsidR="003B2242" w:rsidRPr="00164C9A" w:rsidDel="002702CC">
        <w:rPr>
          <w:rFonts w:eastAsia="Arial"/>
        </w:rPr>
        <w:t>(OBPR ID:</w:t>
      </w:r>
      <w:r w:rsidR="003D3802">
        <w:rPr>
          <w:rFonts w:eastAsia="Arial"/>
        </w:rPr>
        <w:t xml:space="preserve"> 25205</w:t>
      </w:r>
      <w:r w:rsidRPr="00164C9A" w:rsidDel="002702CC">
        <w:rPr>
          <w:rFonts w:eastAsia="Arial"/>
        </w:rPr>
        <w:t>).</w:t>
      </w:r>
    </w:p>
    <w:p w14:paraId="35FBB84B" w14:textId="77777777" w:rsidR="004E443B" w:rsidRDefault="004E443B" w:rsidP="00C635F2">
      <w:pPr>
        <w:spacing w:line="360" w:lineRule="auto"/>
        <w:jc w:val="center"/>
        <w:rPr>
          <w:b/>
        </w:rPr>
      </w:pPr>
    </w:p>
    <w:p w14:paraId="0551AC37" w14:textId="77777777" w:rsidR="004E443B" w:rsidRDefault="004E443B" w:rsidP="00C635F2">
      <w:pPr>
        <w:spacing w:line="360" w:lineRule="auto"/>
        <w:jc w:val="center"/>
        <w:rPr>
          <w:b/>
        </w:rPr>
      </w:pPr>
    </w:p>
    <w:p w14:paraId="08E6D213" w14:textId="6F66A9FA" w:rsidR="00C635F2" w:rsidRPr="00C635F2" w:rsidRDefault="00C635F2" w:rsidP="00C635F2">
      <w:pPr>
        <w:spacing w:line="360" w:lineRule="auto"/>
        <w:jc w:val="center"/>
        <w:rPr>
          <w:b/>
        </w:rPr>
      </w:pPr>
      <w:r w:rsidRPr="00C635F2">
        <w:rPr>
          <w:b/>
        </w:rPr>
        <w:t xml:space="preserve">The Hon </w:t>
      </w:r>
      <w:r w:rsidR="00855913">
        <w:rPr>
          <w:b/>
        </w:rPr>
        <w:t>Josh Frydenberg</w:t>
      </w:r>
      <w:r w:rsidRPr="00C635F2">
        <w:rPr>
          <w:b/>
        </w:rPr>
        <w:t xml:space="preserve"> MP</w:t>
      </w:r>
    </w:p>
    <w:p w14:paraId="1A15D2DC" w14:textId="77777777" w:rsidR="00C635F2" w:rsidRDefault="00C635F2" w:rsidP="00C635F2">
      <w:pPr>
        <w:spacing w:line="360" w:lineRule="auto"/>
        <w:jc w:val="center"/>
        <w:rPr>
          <w:b/>
        </w:rPr>
      </w:pPr>
      <w:r w:rsidRPr="00C635F2">
        <w:rPr>
          <w:b/>
        </w:rPr>
        <w:t>Treasurer</w:t>
      </w:r>
    </w:p>
    <w:p w14:paraId="5246FEFD" w14:textId="77777777" w:rsidR="00C635F2" w:rsidRDefault="00C635F2" w:rsidP="00C635F2">
      <w:pPr>
        <w:spacing w:line="360" w:lineRule="auto"/>
        <w:jc w:val="center"/>
        <w:rPr>
          <w:b/>
        </w:rPr>
      </w:pPr>
    </w:p>
    <w:p w14:paraId="0B0679F8" w14:textId="77777777" w:rsidR="00C635F2" w:rsidRPr="00C635F2" w:rsidRDefault="00C635F2" w:rsidP="00C635F2">
      <w:pPr>
        <w:spacing w:line="360" w:lineRule="auto"/>
        <w:jc w:val="center"/>
        <w:rPr>
          <w:b/>
        </w:rPr>
      </w:pPr>
      <w:r w:rsidRPr="00C635F2">
        <w:rPr>
          <w:b/>
        </w:rPr>
        <w:t>Senator the Hon Mathias Cormann</w:t>
      </w:r>
    </w:p>
    <w:p w14:paraId="5C3EE8CA" w14:textId="423F1C1D" w:rsidR="00655B38" w:rsidRDefault="00C635F2" w:rsidP="000B4886">
      <w:pPr>
        <w:spacing w:line="360" w:lineRule="auto"/>
        <w:jc w:val="center"/>
        <w:rPr>
          <w:b/>
        </w:rPr>
      </w:pPr>
      <w:r w:rsidRPr="00C635F2">
        <w:rPr>
          <w:b/>
        </w:rPr>
        <w:t>Minister for Finance</w:t>
      </w:r>
    </w:p>
    <w:sectPr w:rsidR="00655B38" w:rsidSect="001C2945">
      <w:pgSz w:w="11906" w:h="16838"/>
      <w:pgMar w:top="1134" w:right="1416" w:bottom="1134" w:left="1418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481A9" w14:textId="77777777" w:rsidR="00A0051F" w:rsidRDefault="00A0051F">
      <w:r>
        <w:separator/>
      </w:r>
    </w:p>
  </w:endnote>
  <w:endnote w:type="continuationSeparator" w:id="0">
    <w:p w14:paraId="3989F729" w14:textId="77777777" w:rsidR="00A0051F" w:rsidRDefault="00A0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A5725" w14:textId="77777777" w:rsidR="00A0051F" w:rsidRDefault="00A0051F">
      <w:r>
        <w:separator/>
      </w:r>
    </w:p>
  </w:footnote>
  <w:footnote w:type="continuationSeparator" w:id="0">
    <w:p w14:paraId="6513A209" w14:textId="77777777" w:rsidR="00A0051F" w:rsidRDefault="00A0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33769"/>
    <w:multiLevelType w:val="hybridMultilevel"/>
    <w:tmpl w:val="E68E9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7E2E8A"/>
    <w:multiLevelType w:val="hybridMultilevel"/>
    <w:tmpl w:val="4DCCDC9C"/>
    <w:lvl w:ilvl="0" w:tplc="7288685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823CB3F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F11A6F"/>
    <w:multiLevelType w:val="hybridMultilevel"/>
    <w:tmpl w:val="0B446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8C"/>
    <w:rsid w:val="000269F9"/>
    <w:rsid w:val="00027EFF"/>
    <w:rsid w:val="00044EE6"/>
    <w:rsid w:val="00057E8B"/>
    <w:rsid w:val="0009218E"/>
    <w:rsid w:val="000B4886"/>
    <w:rsid w:val="000F2415"/>
    <w:rsid w:val="00120474"/>
    <w:rsid w:val="00164C9A"/>
    <w:rsid w:val="00171FE6"/>
    <w:rsid w:val="00172D76"/>
    <w:rsid w:val="00184DC3"/>
    <w:rsid w:val="00193080"/>
    <w:rsid w:val="001C2945"/>
    <w:rsid w:val="001D1797"/>
    <w:rsid w:val="001F4B83"/>
    <w:rsid w:val="00210C16"/>
    <w:rsid w:val="00217F0D"/>
    <w:rsid w:val="00237E11"/>
    <w:rsid w:val="002702CC"/>
    <w:rsid w:val="0029382D"/>
    <w:rsid w:val="002B5434"/>
    <w:rsid w:val="002B7B73"/>
    <w:rsid w:val="002D7FDD"/>
    <w:rsid w:val="002E44E0"/>
    <w:rsid w:val="002E562A"/>
    <w:rsid w:val="002E67A0"/>
    <w:rsid w:val="00301F87"/>
    <w:rsid w:val="00303CC5"/>
    <w:rsid w:val="003045B1"/>
    <w:rsid w:val="003364D5"/>
    <w:rsid w:val="00337C7F"/>
    <w:rsid w:val="00373964"/>
    <w:rsid w:val="00396480"/>
    <w:rsid w:val="003A162E"/>
    <w:rsid w:val="003A51B6"/>
    <w:rsid w:val="003B2242"/>
    <w:rsid w:val="003B2898"/>
    <w:rsid w:val="003C7095"/>
    <w:rsid w:val="003D3802"/>
    <w:rsid w:val="004306BC"/>
    <w:rsid w:val="004351C9"/>
    <w:rsid w:val="004467CF"/>
    <w:rsid w:val="004765EE"/>
    <w:rsid w:val="0049368D"/>
    <w:rsid w:val="004D44F4"/>
    <w:rsid w:val="004D46B7"/>
    <w:rsid w:val="004E3366"/>
    <w:rsid w:val="004E443B"/>
    <w:rsid w:val="004F4F1F"/>
    <w:rsid w:val="005131AF"/>
    <w:rsid w:val="00517B3D"/>
    <w:rsid w:val="005252BE"/>
    <w:rsid w:val="005B0540"/>
    <w:rsid w:val="005C363B"/>
    <w:rsid w:val="005E150F"/>
    <w:rsid w:val="005E57CA"/>
    <w:rsid w:val="006013A0"/>
    <w:rsid w:val="00607FBE"/>
    <w:rsid w:val="00611EB8"/>
    <w:rsid w:val="00614349"/>
    <w:rsid w:val="00654DD5"/>
    <w:rsid w:val="00655B38"/>
    <w:rsid w:val="00667039"/>
    <w:rsid w:val="00692AD3"/>
    <w:rsid w:val="006B4E96"/>
    <w:rsid w:val="006C3C98"/>
    <w:rsid w:val="006D1E44"/>
    <w:rsid w:val="006D4BE1"/>
    <w:rsid w:val="00701FD0"/>
    <w:rsid w:val="0077208F"/>
    <w:rsid w:val="00777EAE"/>
    <w:rsid w:val="007814F4"/>
    <w:rsid w:val="007822FA"/>
    <w:rsid w:val="007C2A35"/>
    <w:rsid w:val="007D355B"/>
    <w:rsid w:val="007D6A94"/>
    <w:rsid w:val="007E083B"/>
    <w:rsid w:val="007E7E8A"/>
    <w:rsid w:val="007F0C4B"/>
    <w:rsid w:val="0081401D"/>
    <w:rsid w:val="0081561D"/>
    <w:rsid w:val="00841071"/>
    <w:rsid w:val="00855913"/>
    <w:rsid w:val="008569DC"/>
    <w:rsid w:val="008662F3"/>
    <w:rsid w:val="008C6F91"/>
    <w:rsid w:val="008E5B3D"/>
    <w:rsid w:val="00923D52"/>
    <w:rsid w:val="0094188D"/>
    <w:rsid w:val="00964FA2"/>
    <w:rsid w:val="009709D9"/>
    <w:rsid w:val="009B1382"/>
    <w:rsid w:val="009B6F71"/>
    <w:rsid w:val="009E690B"/>
    <w:rsid w:val="009F113C"/>
    <w:rsid w:val="009F3B45"/>
    <w:rsid w:val="00A0051F"/>
    <w:rsid w:val="00A0297C"/>
    <w:rsid w:val="00A054BF"/>
    <w:rsid w:val="00A168B1"/>
    <w:rsid w:val="00A40ECB"/>
    <w:rsid w:val="00A6241B"/>
    <w:rsid w:val="00A63E73"/>
    <w:rsid w:val="00A7659E"/>
    <w:rsid w:val="00A91D64"/>
    <w:rsid w:val="00A92B8F"/>
    <w:rsid w:val="00AA5286"/>
    <w:rsid w:val="00AC243A"/>
    <w:rsid w:val="00AD16D8"/>
    <w:rsid w:val="00AE1B7F"/>
    <w:rsid w:val="00B22E37"/>
    <w:rsid w:val="00B319FB"/>
    <w:rsid w:val="00B32EBA"/>
    <w:rsid w:val="00B3646C"/>
    <w:rsid w:val="00B63286"/>
    <w:rsid w:val="00B70D26"/>
    <w:rsid w:val="00B85406"/>
    <w:rsid w:val="00C0767B"/>
    <w:rsid w:val="00C108A7"/>
    <w:rsid w:val="00C4549F"/>
    <w:rsid w:val="00C45581"/>
    <w:rsid w:val="00C635F2"/>
    <w:rsid w:val="00C76BA3"/>
    <w:rsid w:val="00C94DC8"/>
    <w:rsid w:val="00CA0C51"/>
    <w:rsid w:val="00CB7E34"/>
    <w:rsid w:val="00CE10E9"/>
    <w:rsid w:val="00D0370C"/>
    <w:rsid w:val="00D17310"/>
    <w:rsid w:val="00D2485D"/>
    <w:rsid w:val="00D4123F"/>
    <w:rsid w:val="00D4171D"/>
    <w:rsid w:val="00D53B4A"/>
    <w:rsid w:val="00D572C4"/>
    <w:rsid w:val="00D57B0F"/>
    <w:rsid w:val="00D75CE2"/>
    <w:rsid w:val="00D97C05"/>
    <w:rsid w:val="00DC7AC0"/>
    <w:rsid w:val="00DE2517"/>
    <w:rsid w:val="00DF3E43"/>
    <w:rsid w:val="00E01FA0"/>
    <w:rsid w:val="00E03D5D"/>
    <w:rsid w:val="00E156A0"/>
    <w:rsid w:val="00E16D9E"/>
    <w:rsid w:val="00E22CA1"/>
    <w:rsid w:val="00E26B8C"/>
    <w:rsid w:val="00E30DB0"/>
    <w:rsid w:val="00E45DF0"/>
    <w:rsid w:val="00E50E16"/>
    <w:rsid w:val="00E6321F"/>
    <w:rsid w:val="00E738E8"/>
    <w:rsid w:val="00E80914"/>
    <w:rsid w:val="00E809A5"/>
    <w:rsid w:val="00E82AD3"/>
    <w:rsid w:val="00E84592"/>
    <w:rsid w:val="00E9647A"/>
    <w:rsid w:val="00EA11B7"/>
    <w:rsid w:val="00ED4AC2"/>
    <w:rsid w:val="00ED4C42"/>
    <w:rsid w:val="00F14FC9"/>
    <w:rsid w:val="00F32B2C"/>
    <w:rsid w:val="00F43289"/>
    <w:rsid w:val="00F45F65"/>
    <w:rsid w:val="00F55FB4"/>
    <w:rsid w:val="00F643E0"/>
    <w:rsid w:val="00FA232C"/>
    <w:rsid w:val="00FC16B2"/>
    <w:rsid w:val="00FD2B9C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04756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AC2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AC2"/>
    <w:pPr>
      <w:tabs>
        <w:tab w:val="left" w:pos="180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AC2"/>
    <w:pPr>
      <w:jc w:val="center"/>
      <w:outlineLvl w:val="1"/>
    </w:pPr>
    <w:rPr>
      <w:b/>
      <w:bCs/>
    </w:rPr>
  </w:style>
  <w:style w:type="paragraph" w:styleId="Heading3">
    <w:name w:val="heading 3"/>
    <w:basedOn w:val="bids2heading"/>
    <w:next w:val="Normal"/>
    <w:link w:val="Heading3Char"/>
    <w:uiPriority w:val="9"/>
    <w:unhideWhenUsed/>
    <w:qFormat/>
    <w:rsid w:val="00F643E0"/>
    <w:pPr>
      <w:spacing w:after="120"/>
      <w:outlineLvl w:val="2"/>
    </w:pPr>
    <w:rPr>
      <w:rFonts w:ascii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B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6B8C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1C2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9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9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45"/>
    <w:rPr>
      <w:rFonts w:ascii="Tahoma" w:hAnsi="Tahoma" w:cs="Tahoma"/>
      <w:sz w:val="16"/>
      <w:szCs w:val="16"/>
      <w:lang w:eastAsia="en-US"/>
    </w:rPr>
  </w:style>
  <w:style w:type="paragraph" w:customStyle="1" w:styleId="bids2heading">
    <w:name w:val="bids 2 heading"/>
    <w:basedOn w:val="Normal"/>
    <w:rsid w:val="001C2945"/>
    <w:pPr>
      <w:autoSpaceDE w:val="0"/>
      <w:autoSpaceDN w:val="0"/>
      <w:spacing w:line="240" w:lineRule="auto"/>
    </w:pPr>
    <w:rPr>
      <w:rFonts w:ascii="Arial" w:hAnsi="Arial" w:cs="Arial"/>
      <w:b/>
      <w:bCs/>
      <w:lang w:val="en-GB"/>
    </w:rPr>
  </w:style>
  <w:style w:type="paragraph" w:customStyle="1" w:styleId="paragraph">
    <w:name w:val="paragraph"/>
    <w:aliases w:val="a"/>
    <w:basedOn w:val="Normal"/>
    <w:link w:val="paragraphChar"/>
    <w:rsid w:val="001C2945"/>
    <w:pPr>
      <w:tabs>
        <w:tab w:val="right" w:pos="1531"/>
      </w:tabs>
      <w:spacing w:before="40" w:line="240" w:lineRule="auto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locked/>
    <w:rsid w:val="001C2945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D4AC2"/>
    <w:rPr>
      <w:b/>
      <w:sz w:val="28"/>
      <w:szCs w:val="2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AC2"/>
    <w:pPr>
      <w:jc w:val="center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ED4AC2"/>
    <w:rPr>
      <w:i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D4AC2"/>
    <w:rPr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643E0"/>
    <w:rPr>
      <w:b/>
      <w:bCs/>
      <w:sz w:val="24"/>
      <w:szCs w:val="24"/>
      <w:lang w:eastAsia="en-US"/>
    </w:rPr>
  </w:style>
  <w:style w:type="paragraph" w:customStyle="1" w:styleId="Default">
    <w:name w:val="Default"/>
    <w:rsid w:val="00C108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lpText">
    <w:name w:val="Help Text"/>
    <w:basedOn w:val="DefaultParagraphFont"/>
    <w:semiHidden/>
    <w:rsid w:val="0039648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64C9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F113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COOG-1907-8889</_dlc_DocId>
    <_dlc_DocIdUrl xmlns="9eaec612-449c-4f02-bff7-1edcfe83088c">
      <Url>http://coog/Legal Service/_layouts/DocIdRedir.aspx?ID=COOG-1907-8889</Url>
      <Description>COOG-1907-8889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3915-90BB-4609-A827-BECA7763A7BB}"/>
</file>

<file path=customXml/itemProps2.xml><?xml version="1.0" encoding="utf-8"?>
<ds:datastoreItem xmlns:ds="http://schemas.openxmlformats.org/officeDocument/2006/customXml" ds:itemID="{01F2EE24-80FA-4FA3-918D-EDFA37EEA62B}"/>
</file>

<file path=customXml/itemProps3.xml><?xml version="1.0" encoding="utf-8"?>
<ds:datastoreItem xmlns:ds="http://schemas.openxmlformats.org/officeDocument/2006/customXml" ds:itemID="{5161BA28-5434-4A4D-B73B-B3D5BDD8B63C}"/>
</file>

<file path=customXml/itemProps4.xml><?xml version="1.0" encoding="utf-8"?>
<ds:datastoreItem xmlns:ds="http://schemas.openxmlformats.org/officeDocument/2006/customXml" ds:itemID="{61109F1E-119C-42E2-8619-5B2DC8064324}"/>
</file>

<file path=customXml/itemProps5.xml><?xml version="1.0" encoding="utf-8"?>
<ds:datastoreItem xmlns:ds="http://schemas.openxmlformats.org/officeDocument/2006/customXml" ds:itemID="{6ECA99F7-EE9E-4B18-A501-7ED2DC58BF3E}"/>
</file>

<file path=docProps/app.xml><?xml version="1.0" encoding="utf-8"?>
<Properties xmlns="http://schemas.openxmlformats.org/officeDocument/2006/extended-properties" xmlns:vt="http://schemas.openxmlformats.org/officeDocument/2006/docPropsVTypes">
  <Template>79C23FD5</Template>
  <TotalTime>0</TotalTime>
  <Pages>2</Pages>
  <Words>398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dcterms:created xsi:type="dcterms:W3CDTF">2019-06-24T00:21:00Z</dcterms:created>
  <dcterms:modified xsi:type="dcterms:W3CDTF">2019-06-24T00:21:00Z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0x010100FE3F154595F4084087D75A845A6C13FB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WSFooter">
    <vt:lpwstr>19125160</vt:lpwstr>
  </property>
  <property fmtid="{D5CDD505-2E9C-101B-9397-08002B2CF9AE}" pid="6" name="checkforsharepointfields">
    <vt:lpwstr>True</vt:lpwstr>
  </property>
  <property fmtid="{D5CDD505-2E9C-101B-9397-08002B2CF9AE}" pid="7" name="Template Filename">
    <vt:lpwstr/>
  </property>
  <property fmtid="{D5CDD505-2E9C-101B-9397-08002B2CF9AE}" pid="8" name="_dlc_DocIdItemGuid">
    <vt:lpwstr>f66a9600-f563-45c9-9c7f-1a89707d65ea</vt:lpwstr>
  </property>
</Properties>
</file>