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44A3" w14:textId="77777777" w:rsidR="00322517" w:rsidRDefault="00322517">
      <w:pPr>
        <w:jc w:val="center"/>
        <w:rPr>
          <w:b/>
          <w:sz w:val="28"/>
        </w:rPr>
      </w:pPr>
    </w:p>
    <w:p w14:paraId="0F8402DA" w14:textId="77777777" w:rsidR="00322517" w:rsidRDefault="00322517">
      <w:pPr>
        <w:jc w:val="center"/>
        <w:rPr>
          <w:b/>
          <w:sz w:val="28"/>
        </w:rPr>
      </w:pPr>
      <w:r>
        <w:rPr>
          <w:b/>
          <w:sz w:val="28"/>
        </w:rPr>
        <w:t>EXPLANATORY STATEMENT</w:t>
      </w:r>
    </w:p>
    <w:p w14:paraId="566E0C4F" w14:textId="77777777" w:rsidR="000178CC" w:rsidRDefault="000178CC" w:rsidP="00A52FB6">
      <w:pPr>
        <w:rPr>
          <w:sz w:val="28"/>
        </w:rPr>
      </w:pPr>
    </w:p>
    <w:p w14:paraId="56DB057E" w14:textId="6BD7CEBB" w:rsidR="00BE238D" w:rsidRPr="00FD18A1" w:rsidRDefault="00BE238D" w:rsidP="00BE238D">
      <w:pPr>
        <w:jc w:val="center"/>
        <w:rPr>
          <w:b/>
          <w:sz w:val="32"/>
        </w:rPr>
      </w:pPr>
      <w:r w:rsidRPr="00FD18A1">
        <w:rPr>
          <w:b/>
          <w:sz w:val="32"/>
        </w:rPr>
        <w:t>Defence Service Homes Insurance Scheme (Stateme</w:t>
      </w:r>
      <w:r w:rsidR="003926EF">
        <w:rPr>
          <w:b/>
          <w:sz w:val="32"/>
        </w:rPr>
        <w:t>nt of Conditions) Variation 2019</w:t>
      </w:r>
    </w:p>
    <w:p w14:paraId="4F2E6581" w14:textId="77777777" w:rsidR="00322517" w:rsidRDefault="00322517">
      <w:pPr>
        <w:rPr>
          <w:b/>
          <w:sz w:val="28"/>
        </w:rPr>
      </w:pPr>
    </w:p>
    <w:p w14:paraId="41F8D73C" w14:textId="77777777" w:rsidR="00322517" w:rsidRPr="00A52FB6" w:rsidRDefault="00322517">
      <w:pPr>
        <w:rPr>
          <w:sz w:val="24"/>
          <w:szCs w:val="24"/>
        </w:rPr>
      </w:pPr>
      <w:r w:rsidRPr="00A52FB6">
        <w:rPr>
          <w:b/>
          <w:sz w:val="24"/>
          <w:szCs w:val="24"/>
        </w:rPr>
        <w:t>EMPOWERING PROVISION</w:t>
      </w:r>
    </w:p>
    <w:p w14:paraId="1D9B578F" w14:textId="6E60A694" w:rsidR="00322517" w:rsidRPr="00A52FB6" w:rsidRDefault="007F48C2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Section 38A</w:t>
      </w:r>
      <w:r w:rsidR="00322517" w:rsidRPr="00A52FB6">
        <w:rPr>
          <w:sz w:val="24"/>
          <w:szCs w:val="24"/>
        </w:rPr>
        <w:t xml:space="preserve"> of the </w:t>
      </w:r>
      <w:r w:rsidR="00322517" w:rsidRPr="00A52FB6">
        <w:rPr>
          <w:i/>
          <w:sz w:val="24"/>
          <w:szCs w:val="24"/>
        </w:rPr>
        <w:t>Defence Service Homes Act 1918</w:t>
      </w:r>
      <w:r w:rsidR="003C2B93" w:rsidRPr="00A52FB6">
        <w:rPr>
          <w:sz w:val="24"/>
          <w:szCs w:val="24"/>
        </w:rPr>
        <w:t xml:space="preserve"> (the Act)</w:t>
      </w:r>
      <w:r w:rsidR="00322517" w:rsidRPr="00A52FB6">
        <w:rPr>
          <w:sz w:val="24"/>
          <w:szCs w:val="24"/>
        </w:rPr>
        <w:t>.</w:t>
      </w:r>
    </w:p>
    <w:p w14:paraId="6B7AD334" w14:textId="77777777" w:rsidR="00322517" w:rsidRPr="00A52FB6" w:rsidRDefault="00322517">
      <w:pPr>
        <w:rPr>
          <w:sz w:val="24"/>
          <w:szCs w:val="24"/>
        </w:rPr>
      </w:pPr>
    </w:p>
    <w:p w14:paraId="620562F5" w14:textId="77777777" w:rsidR="00322517" w:rsidRPr="00A52FB6" w:rsidRDefault="00322517">
      <w:pPr>
        <w:rPr>
          <w:b/>
          <w:sz w:val="24"/>
          <w:szCs w:val="24"/>
        </w:rPr>
      </w:pPr>
      <w:r w:rsidRPr="00A52FB6">
        <w:rPr>
          <w:b/>
          <w:sz w:val="24"/>
          <w:szCs w:val="24"/>
        </w:rPr>
        <w:t>PURPOSE</w:t>
      </w:r>
    </w:p>
    <w:p w14:paraId="03B22E98" w14:textId="0DBD8C10" w:rsidR="00FD18A1" w:rsidRPr="00F51D5A" w:rsidRDefault="00322517" w:rsidP="00F51D5A">
      <w:pPr>
        <w:spacing w:before="240" w:after="240"/>
        <w:rPr>
          <w:sz w:val="24"/>
          <w:szCs w:val="24"/>
        </w:rPr>
      </w:pPr>
      <w:r w:rsidRPr="00F51D5A">
        <w:rPr>
          <w:sz w:val="24"/>
          <w:szCs w:val="24"/>
        </w:rPr>
        <w:t xml:space="preserve">The </w:t>
      </w:r>
      <w:r w:rsidR="003C2B93" w:rsidRPr="00F51D5A">
        <w:rPr>
          <w:sz w:val="24"/>
          <w:szCs w:val="24"/>
        </w:rPr>
        <w:t>attached legislative instrument</w:t>
      </w:r>
      <w:r w:rsidR="008C6852" w:rsidRPr="00F51D5A">
        <w:rPr>
          <w:sz w:val="24"/>
          <w:szCs w:val="24"/>
        </w:rPr>
        <w:t xml:space="preserve"> (</w:t>
      </w:r>
      <w:r w:rsidR="00823A5E" w:rsidRPr="00F51D5A">
        <w:rPr>
          <w:sz w:val="24"/>
          <w:szCs w:val="24"/>
        </w:rPr>
        <w:t xml:space="preserve">Instrument </w:t>
      </w:r>
      <w:r w:rsidR="003926EF" w:rsidRPr="00F51D5A">
        <w:rPr>
          <w:sz w:val="24"/>
          <w:szCs w:val="24"/>
        </w:rPr>
        <w:t>2019</w:t>
      </w:r>
      <w:r w:rsidR="00DA3D20" w:rsidRPr="00F51D5A">
        <w:rPr>
          <w:sz w:val="24"/>
          <w:szCs w:val="24"/>
        </w:rPr>
        <w:t xml:space="preserve"> No.</w:t>
      </w:r>
      <w:r w:rsidR="006A0551" w:rsidRPr="00F51D5A">
        <w:rPr>
          <w:sz w:val="24"/>
          <w:szCs w:val="24"/>
        </w:rPr>
        <w:t xml:space="preserve"> M</w:t>
      </w:r>
      <w:r w:rsidR="003926EF" w:rsidRPr="00F51D5A">
        <w:rPr>
          <w:sz w:val="24"/>
          <w:szCs w:val="24"/>
        </w:rPr>
        <w:t>27</w:t>
      </w:r>
      <w:r w:rsidR="00DA3D20" w:rsidRPr="00F51D5A">
        <w:rPr>
          <w:sz w:val="24"/>
          <w:szCs w:val="24"/>
        </w:rPr>
        <w:t>)</w:t>
      </w:r>
      <w:r w:rsidR="008C6852" w:rsidRPr="00F51D5A">
        <w:rPr>
          <w:sz w:val="24"/>
          <w:szCs w:val="24"/>
        </w:rPr>
        <w:t xml:space="preserve"> </w:t>
      </w:r>
      <w:r w:rsidR="003C2B93" w:rsidRPr="00F51D5A">
        <w:rPr>
          <w:sz w:val="24"/>
          <w:szCs w:val="24"/>
        </w:rPr>
        <w:t>varies t</w:t>
      </w:r>
      <w:r w:rsidRPr="00F51D5A">
        <w:rPr>
          <w:sz w:val="24"/>
          <w:szCs w:val="24"/>
        </w:rPr>
        <w:t xml:space="preserve">he </w:t>
      </w:r>
      <w:r w:rsidR="00DA3D20" w:rsidRPr="00F51D5A">
        <w:rPr>
          <w:sz w:val="24"/>
          <w:szCs w:val="24"/>
        </w:rPr>
        <w:t xml:space="preserve">legislative instrument under the Act known as the </w:t>
      </w:r>
      <w:r w:rsidR="00B02498" w:rsidRPr="00F51D5A">
        <w:rPr>
          <w:sz w:val="24"/>
          <w:szCs w:val="24"/>
        </w:rPr>
        <w:t>Statement of Conditions</w:t>
      </w:r>
      <w:r w:rsidR="007F48C2" w:rsidRPr="00F51D5A">
        <w:rPr>
          <w:sz w:val="24"/>
          <w:szCs w:val="24"/>
        </w:rPr>
        <w:t xml:space="preserve"> by revoking the </w:t>
      </w:r>
      <w:r w:rsidR="007F48C2" w:rsidRPr="00F51D5A">
        <w:rPr>
          <w:i/>
          <w:sz w:val="24"/>
          <w:szCs w:val="24"/>
        </w:rPr>
        <w:t>Defence Service Homes Insurance Scheme (Statement of Conditions) Variation 2016</w:t>
      </w:r>
      <w:r w:rsidR="007F48C2" w:rsidRPr="00F51D5A">
        <w:rPr>
          <w:sz w:val="24"/>
          <w:szCs w:val="24"/>
        </w:rPr>
        <w:t xml:space="preserve"> (F2016L00553)</w:t>
      </w:r>
      <w:r w:rsidR="00E00F62" w:rsidRPr="00F51D5A">
        <w:rPr>
          <w:sz w:val="24"/>
          <w:szCs w:val="24"/>
        </w:rPr>
        <w:t>(revoked instrument)</w:t>
      </w:r>
      <w:r w:rsidR="007F48C2" w:rsidRPr="00F51D5A">
        <w:rPr>
          <w:sz w:val="24"/>
          <w:szCs w:val="24"/>
        </w:rPr>
        <w:t xml:space="preserve"> and replacing </w:t>
      </w:r>
      <w:r w:rsidR="009E7AE9">
        <w:rPr>
          <w:sz w:val="24"/>
          <w:szCs w:val="24"/>
        </w:rPr>
        <w:t xml:space="preserve">it </w:t>
      </w:r>
      <w:r w:rsidR="007F48C2" w:rsidRPr="00F51D5A">
        <w:rPr>
          <w:sz w:val="24"/>
          <w:szCs w:val="24"/>
        </w:rPr>
        <w:t>with a new Statement of Conditions</w:t>
      </w:r>
      <w:r w:rsidR="00994D56">
        <w:rPr>
          <w:sz w:val="24"/>
          <w:szCs w:val="24"/>
        </w:rPr>
        <w:t xml:space="preserve"> (new</w:t>
      </w:r>
      <w:r w:rsidR="00E00F62" w:rsidRPr="00F51D5A">
        <w:rPr>
          <w:sz w:val="24"/>
          <w:szCs w:val="24"/>
        </w:rPr>
        <w:t xml:space="preserve"> Statement of Conditions)</w:t>
      </w:r>
      <w:r w:rsidR="007F48C2" w:rsidRPr="00F51D5A">
        <w:rPr>
          <w:sz w:val="24"/>
          <w:szCs w:val="24"/>
        </w:rPr>
        <w:t>.</w:t>
      </w:r>
    </w:p>
    <w:p w14:paraId="10B37F07" w14:textId="25DAB668" w:rsidR="009E7AE9" w:rsidRDefault="00322517" w:rsidP="00F51D5A">
      <w:pPr>
        <w:rPr>
          <w:szCs w:val="24"/>
        </w:rPr>
      </w:pPr>
      <w:r w:rsidRPr="00F51D5A">
        <w:rPr>
          <w:sz w:val="24"/>
          <w:szCs w:val="24"/>
        </w:rPr>
        <w:t xml:space="preserve">The Australian Government provides domestic building insurance under the </w:t>
      </w:r>
      <w:r w:rsidR="004E4C18" w:rsidRPr="00F51D5A">
        <w:rPr>
          <w:sz w:val="24"/>
          <w:szCs w:val="24"/>
        </w:rPr>
        <w:t>Act</w:t>
      </w:r>
      <w:r w:rsidRPr="00F51D5A">
        <w:rPr>
          <w:sz w:val="24"/>
          <w:szCs w:val="24"/>
        </w:rPr>
        <w:t xml:space="preserve"> to eligible veterans and A</w:t>
      </w:r>
      <w:r w:rsidR="00B02498" w:rsidRPr="00F51D5A">
        <w:rPr>
          <w:sz w:val="24"/>
          <w:szCs w:val="24"/>
        </w:rPr>
        <w:t xml:space="preserve">ustralian </w:t>
      </w:r>
      <w:r w:rsidRPr="00F51D5A">
        <w:rPr>
          <w:sz w:val="24"/>
          <w:szCs w:val="24"/>
        </w:rPr>
        <w:t>D</w:t>
      </w:r>
      <w:r w:rsidR="00B02498" w:rsidRPr="00F51D5A">
        <w:rPr>
          <w:sz w:val="24"/>
          <w:szCs w:val="24"/>
        </w:rPr>
        <w:t xml:space="preserve">efence </w:t>
      </w:r>
      <w:r w:rsidRPr="00F51D5A">
        <w:rPr>
          <w:sz w:val="24"/>
          <w:szCs w:val="24"/>
        </w:rPr>
        <w:t>F</w:t>
      </w:r>
      <w:r w:rsidR="00B02498" w:rsidRPr="00F51D5A">
        <w:rPr>
          <w:sz w:val="24"/>
          <w:szCs w:val="24"/>
        </w:rPr>
        <w:t>orce</w:t>
      </w:r>
      <w:r w:rsidRPr="00F51D5A">
        <w:rPr>
          <w:sz w:val="24"/>
          <w:szCs w:val="24"/>
        </w:rPr>
        <w:t xml:space="preserve"> personnel</w:t>
      </w:r>
      <w:r w:rsidR="00E33902" w:rsidRPr="00F51D5A">
        <w:rPr>
          <w:sz w:val="24"/>
          <w:szCs w:val="24"/>
        </w:rPr>
        <w:t xml:space="preserve"> </w:t>
      </w:r>
      <w:r w:rsidR="001E019B" w:rsidRPr="00F51D5A">
        <w:rPr>
          <w:sz w:val="24"/>
          <w:szCs w:val="24"/>
        </w:rPr>
        <w:t xml:space="preserve">through </w:t>
      </w:r>
      <w:r w:rsidRPr="00F51D5A">
        <w:rPr>
          <w:sz w:val="24"/>
          <w:szCs w:val="24"/>
        </w:rPr>
        <w:t>the Defence Service Homes Insurance Scheme</w:t>
      </w:r>
      <w:r w:rsidR="008258EF" w:rsidRPr="00F51D5A">
        <w:rPr>
          <w:sz w:val="24"/>
          <w:szCs w:val="24"/>
        </w:rPr>
        <w:t xml:space="preserve"> </w:t>
      </w:r>
      <w:r w:rsidR="00EB2902">
        <w:rPr>
          <w:sz w:val="24"/>
          <w:szCs w:val="24"/>
        </w:rPr>
        <w:t>(DSHIS</w:t>
      </w:r>
      <w:r w:rsidR="00BD1A88" w:rsidRPr="00F51D5A">
        <w:rPr>
          <w:sz w:val="24"/>
          <w:szCs w:val="24"/>
        </w:rPr>
        <w:t>).</w:t>
      </w:r>
      <w:r w:rsidR="00643C0C" w:rsidRPr="00F51D5A">
        <w:rPr>
          <w:sz w:val="24"/>
          <w:szCs w:val="24"/>
        </w:rPr>
        <w:t xml:space="preserve"> </w:t>
      </w:r>
      <w:r w:rsidR="00994D56">
        <w:rPr>
          <w:sz w:val="24"/>
          <w:szCs w:val="24"/>
        </w:rPr>
        <w:t xml:space="preserve">The policy </w:t>
      </w:r>
      <w:r w:rsidR="00EB2902">
        <w:rPr>
          <w:sz w:val="24"/>
          <w:szCs w:val="24"/>
        </w:rPr>
        <w:t>issued under the DSHIS</w:t>
      </w:r>
      <w:r w:rsidR="00091452">
        <w:rPr>
          <w:sz w:val="24"/>
          <w:szCs w:val="24"/>
        </w:rPr>
        <w:t xml:space="preserve"> </w:t>
      </w:r>
      <w:r w:rsidR="00994D56">
        <w:rPr>
          <w:sz w:val="24"/>
          <w:szCs w:val="24"/>
        </w:rPr>
        <w:t xml:space="preserve">is </w:t>
      </w:r>
      <w:r w:rsidR="001002B9">
        <w:rPr>
          <w:sz w:val="24"/>
          <w:szCs w:val="24"/>
        </w:rPr>
        <w:t xml:space="preserve">a </w:t>
      </w:r>
      <w:r w:rsidR="00994D56" w:rsidRPr="001521C2">
        <w:rPr>
          <w:sz w:val="24"/>
          <w:szCs w:val="24"/>
        </w:rPr>
        <w:t>comprehensive build</w:t>
      </w:r>
      <w:r w:rsidR="001002B9">
        <w:rPr>
          <w:sz w:val="24"/>
          <w:szCs w:val="24"/>
        </w:rPr>
        <w:t>ing insurance policy</w:t>
      </w:r>
      <w:r w:rsidR="00994D56" w:rsidRPr="001521C2">
        <w:rPr>
          <w:sz w:val="24"/>
          <w:szCs w:val="24"/>
        </w:rPr>
        <w:t>.</w:t>
      </w:r>
    </w:p>
    <w:p w14:paraId="365E0C62" w14:textId="27FE5EF4" w:rsidR="007031E2" w:rsidRPr="001002B9" w:rsidRDefault="009E7AE9" w:rsidP="007031E2">
      <w:pPr>
        <w:spacing w:before="240"/>
        <w:rPr>
          <w:sz w:val="24"/>
          <w:szCs w:val="24"/>
        </w:rPr>
      </w:pPr>
      <w:r w:rsidRPr="00F51D5A">
        <w:rPr>
          <w:sz w:val="24"/>
          <w:szCs w:val="24"/>
        </w:rPr>
        <w:t>The purpose of the Statement of Conditions under section 38</w:t>
      </w:r>
      <w:r w:rsidR="001002B9" w:rsidRPr="00F51D5A">
        <w:rPr>
          <w:sz w:val="24"/>
          <w:szCs w:val="24"/>
        </w:rPr>
        <w:t>A</w:t>
      </w:r>
      <w:r w:rsidRPr="00F51D5A">
        <w:rPr>
          <w:sz w:val="24"/>
          <w:szCs w:val="24"/>
        </w:rPr>
        <w:t xml:space="preserve"> of the Act </w:t>
      </w:r>
      <w:r w:rsidR="007031E2" w:rsidRPr="00F51D5A">
        <w:rPr>
          <w:sz w:val="24"/>
          <w:szCs w:val="24"/>
        </w:rPr>
        <w:t xml:space="preserve">is to </w:t>
      </w:r>
      <w:r w:rsidR="002D5E49" w:rsidRPr="00F51D5A">
        <w:rPr>
          <w:sz w:val="24"/>
          <w:szCs w:val="24"/>
        </w:rPr>
        <w:t xml:space="preserve">set out the risks against which insurance is provided, including general exclusions, and other </w:t>
      </w:r>
      <w:r w:rsidR="00994D56" w:rsidRPr="00F51D5A">
        <w:rPr>
          <w:sz w:val="24"/>
          <w:szCs w:val="24"/>
        </w:rPr>
        <w:t>terms and c</w:t>
      </w:r>
      <w:r w:rsidR="001002B9" w:rsidRPr="00F51D5A">
        <w:rPr>
          <w:sz w:val="24"/>
          <w:szCs w:val="24"/>
        </w:rPr>
        <w:t>onditions that are to comprise the</w:t>
      </w:r>
      <w:r w:rsidR="00994D56" w:rsidRPr="00F51D5A">
        <w:rPr>
          <w:sz w:val="24"/>
          <w:szCs w:val="24"/>
        </w:rPr>
        <w:t xml:space="preserve"> policy of</w:t>
      </w:r>
      <w:r w:rsidR="00EB2902">
        <w:rPr>
          <w:sz w:val="24"/>
          <w:szCs w:val="24"/>
        </w:rPr>
        <w:t xml:space="preserve"> insurance under the DSHIS</w:t>
      </w:r>
      <w:r w:rsidR="00994D56" w:rsidRPr="00F51D5A">
        <w:rPr>
          <w:sz w:val="24"/>
          <w:szCs w:val="24"/>
        </w:rPr>
        <w:t xml:space="preserve">. </w:t>
      </w:r>
      <w:r w:rsidR="007031E2" w:rsidRPr="00F51D5A">
        <w:rPr>
          <w:sz w:val="24"/>
          <w:szCs w:val="24"/>
          <w:lang w:val="en"/>
        </w:rPr>
        <w:t xml:space="preserve">Australian law requires insurers to include the terms and conditions of an insurance product in a document, known as the Product Disclosure Statement (PDS). </w:t>
      </w:r>
      <w:r w:rsidR="007031E2" w:rsidRPr="001002B9">
        <w:rPr>
          <w:sz w:val="24"/>
          <w:szCs w:val="24"/>
        </w:rPr>
        <w:t xml:space="preserve">The Statement of Conditions operates </w:t>
      </w:r>
      <w:r w:rsidR="00091452" w:rsidRPr="001002B9">
        <w:rPr>
          <w:sz w:val="24"/>
          <w:szCs w:val="24"/>
        </w:rPr>
        <w:t xml:space="preserve">in a </w:t>
      </w:r>
      <w:r w:rsidR="007031E2" w:rsidRPr="001002B9">
        <w:rPr>
          <w:sz w:val="24"/>
          <w:szCs w:val="24"/>
        </w:rPr>
        <w:t xml:space="preserve">similar way to a </w:t>
      </w:r>
      <w:r w:rsidR="007031E2" w:rsidRPr="00F51D5A">
        <w:rPr>
          <w:sz w:val="24"/>
          <w:szCs w:val="24"/>
          <w:lang w:val="en"/>
        </w:rPr>
        <w:t>PDS.</w:t>
      </w:r>
    </w:p>
    <w:p w14:paraId="35F70DBA" w14:textId="6099EA06" w:rsidR="002D5E49" w:rsidRDefault="00091452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In accordance with the new</w:t>
      </w:r>
      <w:r w:rsidR="002D5E49">
        <w:rPr>
          <w:sz w:val="24"/>
          <w:szCs w:val="24"/>
        </w:rPr>
        <w:t xml:space="preserve"> </w:t>
      </w:r>
      <w:r w:rsidR="00EA14AC">
        <w:rPr>
          <w:sz w:val="24"/>
          <w:szCs w:val="24"/>
        </w:rPr>
        <w:t xml:space="preserve">Statement of </w:t>
      </w:r>
      <w:r w:rsidR="002D5E49">
        <w:rPr>
          <w:sz w:val="24"/>
          <w:szCs w:val="24"/>
        </w:rPr>
        <w:t>Conditions</w:t>
      </w:r>
      <w:r>
        <w:rPr>
          <w:sz w:val="24"/>
          <w:szCs w:val="24"/>
        </w:rPr>
        <w:t>,</w:t>
      </w:r>
      <w:r w:rsidR="002D5E49">
        <w:rPr>
          <w:sz w:val="24"/>
          <w:szCs w:val="24"/>
        </w:rPr>
        <w:t xml:space="preserve"> </w:t>
      </w:r>
      <w:r>
        <w:rPr>
          <w:sz w:val="24"/>
          <w:szCs w:val="24"/>
        </w:rPr>
        <w:t>insuranc</w:t>
      </w:r>
      <w:r w:rsidR="00EB2902">
        <w:rPr>
          <w:sz w:val="24"/>
          <w:szCs w:val="24"/>
        </w:rPr>
        <w:t>e cover provided under the DSHI</w:t>
      </w:r>
      <w:r w:rsidR="001550C8">
        <w:rPr>
          <w:sz w:val="24"/>
          <w:szCs w:val="24"/>
        </w:rPr>
        <w:t xml:space="preserve">S </w:t>
      </w:r>
      <w:r w:rsidR="002D5E49">
        <w:rPr>
          <w:sz w:val="24"/>
          <w:szCs w:val="24"/>
        </w:rPr>
        <w:t xml:space="preserve">will </w:t>
      </w:r>
      <w:r w:rsidR="001002B9">
        <w:rPr>
          <w:sz w:val="24"/>
          <w:szCs w:val="24"/>
        </w:rPr>
        <w:t xml:space="preserve">continue unchanged. </w:t>
      </w:r>
      <w:r>
        <w:rPr>
          <w:sz w:val="24"/>
          <w:szCs w:val="24"/>
        </w:rPr>
        <w:t xml:space="preserve">The new Statement of Conditions </w:t>
      </w:r>
      <w:r w:rsidR="00E32078">
        <w:rPr>
          <w:sz w:val="24"/>
          <w:szCs w:val="24"/>
        </w:rPr>
        <w:t xml:space="preserve">is neutral in terms of its impact on policy holders. </w:t>
      </w:r>
      <w:r w:rsidR="001002B9">
        <w:rPr>
          <w:sz w:val="24"/>
          <w:szCs w:val="24"/>
        </w:rPr>
        <w:t>P</w:t>
      </w:r>
      <w:r w:rsidR="002D5E49">
        <w:rPr>
          <w:sz w:val="24"/>
          <w:szCs w:val="24"/>
        </w:rPr>
        <w:t>olicy holder</w:t>
      </w:r>
      <w:r w:rsidR="001002B9">
        <w:rPr>
          <w:sz w:val="24"/>
          <w:szCs w:val="24"/>
        </w:rPr>
        <w:t>s</w:t>
      </w:r>
      <w:r w:rsidR="002D5E49">
        <w:rPr>
          <w:sz w:val="24"/>
          <w:szCs w:val="24"/>
        </w:rPr>
        <w:t xml:space="preserve"> will </w:t>
      </w:r>
      <w:r w:rsidR="001002B9">
        <w:rPr>
          <w:sz w:val="24"/>
          <w:szCs w:val="24"/>
        </w:rPr>
        <w:t xml:space="preserve">not </w:t>
      </w:r>
      <w:r w:rsidR="002D5E49">
        <w:rPr>
          <w:sz w:val="24"/>
          <w:szCs w:val="24"/>
        </w:rPr>
        <w:t xml:space="preserve">be </w:t>
      </w:r>
      <w:r>
        <w:rPr>
          <w:sz w:val="24"/>
          <w:szCs w:val="24"/>
        </w:rPr>
        <w:t>worse off on the commencement of this instrument</w:t>
      </w:r>
      <w:r w:rsidR="00EA14AC">
        <w:rPr>
          <w:sz w:val="24"/>
          <w:szCs w:val="24"/>
        </w:rPr>
        <w:t xml:space="preserve">. </w:t>
      </w:r>
    </w:p>
    <w:p w14:paraId="2E53AE04" w14:textId="60D68D63" w:rsidR="00EA14AC" w:rsidRDefault="00EA14AC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However, unlike the Statemen</w:t>
      </w:r>
      <w:r w:rsidR="00E32078">
        <w:rPr>
          <w:sz w:val="24"/>
          <w:szCs w:val="24"/>
        </w:rPr>
        <w:t xml:space="preserve">t of Conditions under </w:t>
      </w:r>
      <w:r w:rsidR="00E00F62">
        <w:rPr>
          <w:sz w:val="24"/>
          <w:szCs w:val="24"/>
        </w:rPr>
        <w:t>the revoked instrument</w:t>
      </w:r>
      <w:r>
        <w:rPr>
          <w:sz w:val="24"/>
          <w:szCs w:val="24"/>
        </w:rPr>
        <w:t xml:space="preserve">, the </w:t>
      </w:r>
      <w:r w:rsidR="002D5E49">
        <w:rPr>
          <w:sz w:val="24"/>
          <w:szCs w:val="24"/>
        </w:rPr>
        <w:t xml:space="preserve">new </w:t>
      </w:r>
      <w:r>
        <w:rPr>
          <w:sz w:val="24"/>
          <w:szCs w:val="24"/>
        </w:rPr>
        <w:t>Statement of Conditions does not set out customer information of a general nature</w:t>
      </w:r>
      <w:r w:rsidR="00E00F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information is </w:t>
      </w:r>
      <w:r w:rsidR="0026323C">
        <w:rPr>
          <w:sz w:val="24"/>
          <w:szCs w:val="24"/>
        </w:rPr>
        <w:t xml:space="preserve">provided </w:t>
      </w:r>
      <w:r w:rsidR="001002B9">
        <w:rPr>
          <w:sz w:val="24"/>
          <w:szCs w:val="24"/>
        </w:rPr>
        <w:t xml:space="preserve">directly </w:t>
      </w:r>
      <w:r w:rsidR="0026323C">
        <w:rPr>
          <w:sz w:val="24"/>
          <w:szCs w:val="24"/>
        </w:rPr>
        <w:t>to</w:t>
      </w:r>
      <w:r w:rsidR="00E32078">
        <w:rPr>
          <w:sz w:val="24"/>
          <w:szCs w:val="24"/>
        </w:rPr>
        <w:t xml:space="preserve"> policy holders</w:t>
      </w:r>
      <w:r w:rsidR="002632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A49AEAE" w14:textId="740AD348" w:rsidR="000F0F5C" w:rsidRDefault="001002B9" w:rsidP="00F51D5A">
      <w:pPr>
        <w:pStyle w:val="Blockquote"/>
        <w:spacing w:after="0"/>
        <w:ind w:left="0" w:right="357"/>
        <w:rPr>
          <w:szCs w:val="24"/>
        </w:rPr>
      </w:pPr>
      <w:r>
        <w:rPr>
          <w:szCs w:val="24"/>
        </w:rPr>
        <w:t>The new</w:t>
      </w:r>
      <w:r w:rsidR="007F48C2">
        <w:rPr>
          <w:szCs w:val="24"/>
        </w:rPr>
        <w:t xml:space="preserve"> Statement of Conditions will have effect from </w:t>
      </w:r>
      <w:r w:rsidR="007F48C2" w:rsidRPr="001550C8">
        <w:rPr>
          <w:szCs w:val="24"/>
        </w:rPr>
        <w:t>1 July 2019.</w:t>
      </w:r>
    </w:p>
    <w:p w14:paraId="5F255A47" w14:textId="77777777" w:rsidR="00322517" w:rsidRPr="00A52FB6" w:rsidRDefault="00322517">
      <w:pPr>
        <w:rPr>
          <w:b/>
          <w:sz w:val="24"/>
          <w:szCs w:val="24"/>
        </w:rPr>
      </w:pPr>
    </w:p>
    <w:p w14:paraId="370533C1" w14:textId="77777777" w:rsidR="007061AA" w:rsidRPr="00A52FB6" w:rsidRDefault="007061AA">
      <w:pPr>
        <w:rPr>
          <w:b/>
          <w:sz w:val="24"/>
          <w:szCs w:val="24"/>
        </w:rPr>
      </w:pPr>
      <w:r w:rsidRPr="00A52FB6">
        <w:rPr>
          <w:b/>
          <w:sz w:val="24"/>
          <w:szCs w:val="24"/>
        </w:rPr>
        <w:t>RETROSPECTIVITY</w:t>
      </w:r>
    </w:p>
    <w:p w14:paraId="5D9F4469" w14:textId="77777777" w:rsidR="007061AA" w:rsidRPr="00A52FB6" w:rsidRDefault="007061AA">
      <w:pPr>
        <w:rPr>
          <w:sz w:val="24"/>
          <w:szCs w:val="24"/>
        </w:rPr>
      </w:pPr>
    </w:p>
    <w:p w14:paraId="42104D0E" w14:textId="77777777" w:rsidR="007061AA" w:rsidRPr="00A52FB6" w:rsidRDefault="007061AA">
      <w:pPr>
        <w:rPr>
          <w:sz w:val="24"/>
          <w:szCs w:val="24"/>
        </w:rPr>
      </w:pPr>
      <w:r w:rsidRPr="00A52FB6">
        <w:rPr>
          <w:sz w:val="24"/>
          <w:szCs w:val="24"/>
        </w:rPr>
        <w:t>None.</w:t>
      </w:r>
    </w:p>
    <w:p w14:paraId="2200C96A" w14:textId="77777777" w:rsidR="001002B9" w:rsidRDefault="001002B9">
      <w:pPr>
        <w:rPr>
          <w:b/>
          <w:sz w:val="24"/>
          <w:szCs w:val="24"/>
        </w:rPr>
      </w:pPr>
    </w:p>
    <w:p w14:paraId="0388A541" w14:textId="77777777" w:rsidR="00322517" w:rsidRDefault="00322517">
      <w:pPr>
        <w:rPr>
          <w:b/>
          <w:sz w:val="24"/>
          <w:szCs w:val="24"/>
        </w:rPr>
      </w:pPr>
      <w:r w:rsidRPr="00A52FB6">
        <w:rPr>
          <w:b/>
          <w:sz w:val="24"/>
          <w:szCs w:val="24"/>
        </w:rPr>
        <w:t>CONSULTATION</w:t>
      </w:r>
    </w:p>
    <w:p w14:paraId="1D2B8A44" w14:textId="709D6E5D" w:rsidR="00554310" w:rsidRDefault="00843866" w:rsidP="00F51D5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C67CC2">
        <w:rPr>
          <w:sz w:val="24"/>
          <w:szCs w:val="24"/>
        </w:rPr>
        <w:t xml:space="preserve">17 of the </w:t>
      </w:r>
      <w:r w:rsidR="00F34562" w:rsidRPr="00F34562">
        <w:rPr>
          <w:i/>
          <w:sz w:val="24"/>
          <w:szCs w:val="24"/>
        </w:rPr>
        <w:t>Legislation Act 2003</w:t>
      </w:r>
      <w:r w:rsidR="00C67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requires a rule-maker to be satisfied </w:t>
      </w:r>
      <w:r w:rsidR="00C67CC2">
        <w:rPr>
          <w:sz w:val="24"/>
          <w:szCs w:val="24"/>
        </w:rPr>
        <w:t>that any consultation</w:t>
      </w:r>
      <w:r>
        <w:rPr>
          <w:sz w:val="24"/>
          <w:szCs w:val="24"/>
        </w:rPr>
        <w:t xml:space="preserve"> that is considered appropriate and reasonably practicable to undertake, has been </w:t>
      </w:r>
      <w:r w:rsidR="00C67CC2">
        <w:rPr>
          <w:sz w:val="24"/>
          <w:szCs w:val="24"/>
        </w:rPr>
        <w:t>undertaken</w:t>
      </w:r>
      <w:r>
        <w:rPr>
          <w:sz w:val="24"/>
          <w:szCs w:val="24"/>
        </w:rPr>
        <w:t>.</w:t>
      </w:r>
      <w:r w:rsidR="00C67CC2">
        <w:rPr>
          <w:sz w:val="24"/>
          <w:szCs w:val="24"/>
        </w:rPr>
        <w:t xml:space="preserve"> </w:t>
      </w:r>
    </w:p>
    <w:p w14:paraId="2B0D012C" w14:textId="2758B982" w:rsidR="004A6303" w:rsidRDefault="004A6303" w:rsidP="004A6303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The new Statement of Conditions set out the risks against which insurance is provided, including general exclusions,</w:t>
      </w:r>
      <w:r w:rsidRPr="00A52F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other </w:t>
      </w:r>
      <w:r w:rsidRPr="00A52FB6">
        <w:rPr>
          <w:sz w:val="24"/>
          <w:szCs w:val="24"/>
        </w:rPr>
        <w:t xml:space="preserve">terms and conditions that are to comprise a policy of insurance under the </w:t>
      </w:r>
      <w:r w:rsidR="001550C8">
        <w:rPr>
          <w:sz w:val="24"/>
          <w:szCs w:val="24"/>
        </w:rPr>
        <w:t>DSHIS</w:t>
      </w:r>
      <w:r w:rsidRPr="00A52F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91452">
        <w:rPr>
          <w:sz w:val="24"/>
          <w:szCs w:val="24"/>
        </w:rPr>
        <w:t xml:space="preserve">In accordance with the new Statement of Conditions, </w:t>
      </w:r>
      <w:r>
        <w:rPr>
          <w:sz w:val="24"/>
          <w:szCs w:val="24"/>
        </w:rPr>
        <w:t xml:space="preserve">insurance cover </w:t>
      </w:r>
      <w:r w:rsidR="00091452">
        <w:rPr>
          <w:sz w:val="24"/>
          <w:szCs w:val="24"/>
        </w:rPr>
        <w:t>under the DSHI</w:t>
      </w:r>
      <w:r w:rsidR="001550C8">
        <w:rPr>
          <w:sz w:val="24"/>
          <w:szCs w:val="24"/>
        </w:rPr>
        <w:t>S</w:t>
      </w:r>
      <w:r w:rsidR="00091452">
        <w:rPr>
          <w:sz w:val="24"/>
          <w:szCs w:val="24"/>
        </w:rPr>
        <w:t xml:space="preserve"> </w:t>
      </w:r>
      <w:r>
        <w:rPr>
          <w:sz w:val="24"/>
          <w:szCs w:val="24"/>
        </w:rPr>
        <w:t>will be maintained at existing levels</w:t>
      </w:r>
      <w:r w:rsidR="00091452">
        <w:rPr>
          <w:sz w:val="24"/>
          <w:szCs w:val="24"/>
        </w:rPr>
        <w:t xml:space="preserve">. The new Statement of Conditions </w:t>
      </w:r>
      <w:r>
        <w:rPr>
          <w:sz w:val="24"/>
          <w:szCs w:val="24"/>
        </w:rPr>
        <w:t xml:space="preserve">is neutral in terms of its impact on policy holders. </w:t>
      </w:r>
    </w:p>
    <w:p w14:paraId="1CCE15DC" w14:textId="2D5D0EDA" w:rsidR="006A0551" w:rsidRDefault="00843866" w:rsidP="00F51D5A">
      <w:pPr>
        <w:spacing w:before="240"/>
        <w:rPr>
          <w:sz w:val="24"/>
          <w:szCs w:val="24"/>
        </w:rPr>
      </w:pPr>
      <w:r w:rsidRPr="00CF2D06">
        <w:rPr>
          <w:sz w:val="24"/>
          <w:szCs w:val="24"/>
        </w:rPr>
        <w:t xml:space="preserve">Consultation in respect of the </w:t>
      </w:r>
      <w:r w:rsidR="0026323C">
        <w:rPr>
          <w:sz w:val="24"/>
          <w:szCs w:val="24"/>
        </w:rPr>
        <w:t xml:space="preserve">replacement Statement of Conditions </w:t>
      </w:r>
      <w:r>
        <w:rPr>
          <w:sz w:val="24"/>
          <w:szCs w:val="24"/>
        </w:rPr>
        <w:t>has been carried out within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the DSHI</w:t>
      </w:r>
      <w:r w:rsidR="001550C8">
        <w:rPr>
          <w:sz w:val="24"/>
          <w:szCs w:val="24"/>
        </w:rPr>
        <w:t>S</w:t>
      </w:r>
      <w:r w:rsidR="004A6303">
        <w:rPr>
          <w:sz w:val="24"/>
          <w:szCs w:val="24"/>
        </w:rPr>
        <w:t xml:space="preserve"> </w:t>
      </w:r>
      <w:r w:rsidRPr="002965DC">
        <w:rPr>
          <w:sz w:val="24"/>
          <w:szCs w:val="24"/>
        </w:rPr>
        <w:t>management team</w:t>
      </w:r>
      <w:r>
        <w:rPr>
          <w:sz w:val="24"/>
          <w:szCs w:val="24"/>
        </w:rPr>
        <w:t xml:space="preserve">.  </w:t>
      </w:r>
      <w:r w:rsidR="00C67CC2">
        <w:rPr>
          <w:sz w:val="24"/>
          <w:szCs w:val="24"/>
        </w:rPr>
        <w:t xml:space="preserve">Given </w:t>
      </w:r>
      <w:r w:rsidR="004A6303">
        <w:rPr>
          <w:sz w:val="24"/>
          <w:szCs w:val="24"/>
        </w:rPr>
        <w:t>no policy holder will be worse off under the new Statement of Conditions</w:t>
      </w:r>
      <w:r w:rsidR="00C67C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further consultation was </w:t>
      </w:r>
      <w:r w:rsidR="00C67CC2">
        <w:rPr>
          <w:sz w:val="24"/>
          <w:szCs w:val="24"/>
        </w:rPr>
        <w:t xml:space="preserve">not considered necessary or </w:t>
      </w:r>
      <w:r>
        <w:rPr>
          <w:sz w:val="24"/>
          <w:szCs w:val="24"/>
        </w:rPr>
        <w:t xml:space="preserve">appropriate. </w:t>
      </w:r>
    </w:p>
    <w:p w14:paraId="09A5FC45" w14:textId="4190D1E1" w:rsidR="00471D94" w:rsidRDefault="006A0551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In these circumstances</w:t>
      </w:r>
      <w:r w:rsidR="00471D94">
        <w:rPr>
          <w:sz w:val="24"/>
          <w:szCs w:val="24"/>
        </w:rPr>
        <w:t xml:space="preserve">, it is considered that the requirements of section 17 of the </w:t>
      </w:r>
      <w:r w:rsidR="00471D94" w:rsidRPr="00F34562">
        <w:rPr>
          <w:i/>
          <w:sz w:val="24"/>
          <w:szCs w:val="24"/>
        </w:rPr>
        <w:t>Legislation Act 2003</w:t>
      </w:r>
      <w:r w:rsidR="00471D94">
        <w:rPr>
          <w:sz w:val="24"/>
          <w:szCs w:val="24"/>
        </w:rPr>
        <w:t xml:space="preserve"> have been met.</w:t>
      </w:r>
    </w:p>
    <w:p w14:paraId="5A6E3A77" w14:textId="77777777" w:rsidR="00322517" w:rsidRPr="00A52FB6" w:rsidRDefault="00322517">
      <w:pPr>
        <w:rPr>
          <w:sz w:val="24"/>
          <w:szCs w:val="24"/>
        </w:rPr>
      </w:pPr>
    </w:p>
    <w:p w14:paraId="51C5C830" w14:textId="77777777" w:rsidR="00322517" w:rsidRPr="00A52FB6" w:rsidRDefault="00322517" w:rsidP="00F51D5A">
      <w:pPr>
        <w:pStyle w:val="Heading3"/>
        <w:spacing w:after="240"/>
        <w:rPr>
          <w:sz w:val="24"/>
          <w:szCs w:val="24"/>
        </w:rPr>
      </w:pPr>
      <w:r w:rsidRPr="00A52FB6">
        <w:rPr>
          <w:sz w:val="24"/>
          <w:szCs w:val="24"/>
        </w:rPr>
        <w:t>DOCUMENTS INCORPORATED BY REFERENCE</w:t>
      </w:r>
    </w:p>
    <w:p w14:paraId="2107D437" w14:textId="692FB83C" w:rsidR="003D3C49" w:rsidRDefault="00687BB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5870C31E" w14:textId="77777777" w:rsidR="004A6303" w:rsidRPr="00A52FB6" w:rsidRDefault="004A6303">
      <w:pPr>
        <w:rPr>
          <w:sz w:val="24"/>
          <w:szCs w:val="24"/>
        </w:rPr>
      </w:pPr>
    </w:p>
    <w:p w14:paraId="44651873" w14:textId="317D3ECC" w:rsidR="003D3C49" w:rsidRPr="00A52FB6" w:rsidRDefault="00A26CEF" w:rsidP="00F51D5A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REGULA</w:t>
      </w:r>
      <w:r w:rsidR="003D3C49" w:rsidRPr="00A52FB6">
        <w:rPr>
          <w:b/>
          <w:sz w:val="24"/>
          <w:szCs w:val="24"/>
        </w:rPr>
        <w:t>TORY IMPACT</w:t>
      </w:r>
    </w:p>
    <w:p w14:paraId="280ED1AE" w14:textId="4DEB764E" w:rsidR="003D3C49" w:rsidRPr="00A52FB6" w:rsidRDefault="004A6303">
      <w:pPr>
        <w:rPr>
          <w:i/>
          <w:sz w:val="24"/>
          <w:szCs w:val="24"/>
        </w:rPr>
      </w:pPr>
      <w:r>
        <w:rPr>
          <w:sz w:val="24"/>
          <w:szCs w:val="24"/>
        </w:rPr>
        <w:t>Nil</w:t>
      </w:r>
      <w:r w:rsidR="003D3C49" w:rsidRPr="002965DC">
        <w:rPr>
          <w:sz w:val="24"/>
          <w:szCs w:val="24"/>
        </w:rPr>
        <w:t xml:space="preserve">. </w:t>
      </w:r>
    </w:p>
    <w:p w14:paraId="24D67DD1" w14:textId="77777777" w:rsidR="006A0551" w:rsidRDefault="006A0551">
      <w:pPr>
        <w:rPr>
          <w:b/>
          <w:caps/>
          <w:sz w:val="24"/>
          <w:szCs w:val="24"/>
        </w:rPr>
      </w:pPr>
    </w:p>
    <w:p w14:paraId="0E0BA78B" w14:textId="69F9FFC0" w:rsidR="00F4590D" w:rsidRPr="00A52FB6" w:rsidRDefault="00F4590D" w:rsidP="005808A8">
      <w:pPr>
        <w:pStyle w:val="Heading2"/>
        <w:rPr>
          <w:rFonts w:ascii="Times New Roman" w:hAnsi="Times New Roman"/>
          <w:sz w:val="24"/>
          <w:szCs w:val="24"/>
        </w:rPr>
      </w:pPr>
      <w:r w:rsidRPr="00A52FB6">
        <w:rPr>
          <w:rFonts w:ascii="Times New Roman" w:hAnsi="Times New Roman"/>
          <w:sz w:val="24"/>
          <w:szCs w:val="24"/>
        </w:rPr>
        <w:t>Statement of Compatibility with Human Rights</w:t>
      </w:r>
    </w:p>
    <w:p w14:paraId="29C198CE" w14:textId="77777777" w:rsidR="00F4590D" w:rsidRPr="00A52FB6" w:rsidRDefault="00F4590D" w:rsidP="00F51D5A">
      <w:pPr>
        <w:spacing w:before="240"/>
        <w:rPr>
          <w:sz w:val="24"/>
          <w:szCs w:val="24"/>
        </w:rPr>
      </w:pPr>
      <w:r w:rsidRPr="00A52FB6">
        <w:rPr>
          <w:sz w:val="24"/>
          <w:szCs w:val="24"/>
        </w:rPr>
        <w:t xml:space="preserve">Prepared in accordance with Part 3 of the </w:t>
      </w:r>
      <w:r w:rsidRPr="00A52FB6">
        <w:rPr>
          <w:i/>
          <w:sz w:val="24"/>
          <w:szCs w:val="24"/>
        </w:rPr>
        <w:t>Human Rights (Parliamentary Scrutiny) Act 2011</w:t>
      </w:r>
      <w:r w:rsidRPr="00A52FB6">
        <w:rPr>
          <w:sz w:val="24"/>
          <w:szCs w:val="24"/>
        </w:rPr>
        <w:t>.</w:t>
      </w:r>
    </w:p>
    <w:p w14:paraId="12C80E98" w14:textId="7C90DE68" w:rsidR="000F012E" w:rsidRPr="00A52FB6" w:rsidRDefault="000F012E" w:rsidP="00F51D5A">
      <w:pPr>
        <w:spacing w:before="240"/>
        <w:rPr>
          <w:sz w:val="24"/>
          <w:szCs w:val="24"/>
        </w:rPr>
      </w:pPr>
      <w:r w:rsidRPr="00A52FB6">
        <w:rPr>
          <w:sz w:val="24"/>
          <w:szCs w:val="24"/>
        </w:rPr>
        <w:t>The attached legislative i</w:t>
      </w:r>
      <w:r w:rsidR="00F4590D" w:rsidRPr="00A52FB6">
        <w:rPr>
          <w:sz w:val="24"/>
          <w:szCs w:val="24"/>
        </w:rPr>
        <w:t>nstrument</w:t>
      </w:r>
      <w:r w:rsidRPr="00A52FB6">
        <w:rPr>
          <w:sz w:val="24"/>
          <w:szCs w:val="24"/>
        </w:rPr>
        <w:t xml:space="preserve"> does not engage a human right. It </w:t>
      </w:r>
      <w:r w:rsidR="003A1923">
        <w:rPr>
          <w:sz w:val="24"/>
          <w:szCs w:val="24"/>
        </w:rPr>
        <w:t xml:space="preserve">provides a </w:t>
      </w:r>
      <w:r w:rsidRPr="00A52FB6">
        <w:rPr>
          <w:sz w:val="24"/>
          <w:szCs w:val="24"/>
        </w:rPr>
        <w:t xml:space="preserve">legislative template for the standard terms and conditions that are to comprise a policy of insurance under the </w:t>
      </w:r>
      <w:r w:rsidR="003A1923">
        <w:rPr>
          <w:sz w:val="24"/>
          <w:szCs w:val="24"/>
        </w:rPr>
        <w:t>DSHI</w:t>
      </w:r>
      <w:r w:rsidR="001550C8">
        <w:rPr>
          <w:sz w:val="24"/>
          <w:szCs w:val="24"/>
        </w:rPr>
        <w:t>S</w:t>
      </w:r>
      <w:r w:rsidR="003A1923">
        <w:rPr>
          <w:sz w:val="24"/>
          <w:szCs w:val="24"/>
        </w:rPr>
        <w:t xml:space="preserve"> </w:t>
      </w:r>
      <w:r w:rsidR="00B53F4D">
        <w:rPr>
          <w:sz w:val="24"/>
          <w:szCs w:val="24"/>
        </w:rPr>
        <w:t>and operates in a similar way to a PDS.</w:t>
      </w:r>
    </w:p>
    <w:p w14:paraId="222D7BB3" w14:textId="77777777" w:rsidR="00F4590D" w:rsidRDefault="00CF2D06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0F012E" w:rsidRPr="00A52FB6">
        <w:rPr>
          <w:sz w:val="24"/>
          <w:szCs w:val="24"/>
        </w:rPr>
        <w:t>the attached instrument does not engage a human right</w:t>
      </w:r>
      <w:r>
        <w:rPr>
          <w:sz w:val="24"/>
          <w:szCs w:val="24"/>
        </w:rPr>
        <w:t xml:space="preserve">, it is considered to be compatible </w:t>
      </w:r>
      <w:r w:rsidR="00F4590D" w:rsidRPr="00A52FB6">
        <w:rPr>
          <w:sz w:val="24"/>
          <w:szCs w:val="24"/>
        </w:rPr>
        <w:t xml:space="preserve">with the human rights and freedoms recognised or declared in the international instruments listed in section 3 of the </w:t>
      </w:r>
      <w:r w:rsidR="00F4590D" w:rsidRPr="00A52FB6">
        <w:rPr>
          <w:i/>
          <w:sz w:val="24"/>
          <w:szCs w:val="24"/>
        </w:rPr>
        <w:t>Human Rights (Parliamentary Scrutiny) Act 2011</w:t>
      </w:r>
      <w:r w:rsidR="00F4590D" w:rsidRPr="00A52FB6">
        <w:rPr>
          <w:sz w:val="24"/>
          <w:szCs w:val="24"/>
        </w:rPr>
        <w:t>.</w:t>
      </w:r>
    </w:p>
    <w:p w14:paraId="292A0714" w14:textId="77777777" w:rsidR="003A1923" w:rsidRDefault="003A1923">
      <w:pPr>
        <w:rPr>
          <w:sz w:val="24"/>
          <w:szCs w:val="24"/>
        </w:rPr>
      </w:pPr>
    </w:p>
    <w:p w14:paraId="78E5A356" w14:textId="77777777" w:rsidR="00181C02" w:rsidRDefault="00181C02" w:rsidP="00181C02">
      <w:pPr>
        <w:rPr>
          <w:b/>
          <w:sz w:val="24"/>
          <w:szCs w:val="24"/>
        </w:rPr>
      </w:pPr>
    </w:p>
    <w:p w14:paraId="1E4EC229" w14:textId="320C2E13" w:rsidR="00181C02" w:rsidRPr="00244B90" w:rsidRDefault="00244B90" w:rsidP="00181C0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Mark Cormack </w:t>
      </w:r>
    </w:p>
    <w:p w14:paraId="4E7B72AA" w14:textId="5F08BB9E" w:rsidR="00181C02" w:rsidRDefault="00244B90" w:rsidP="00181C02">
      <w:pPr>
        <w:rPr>
          <w:sz w:val="24"/>
          <w:szCs w:val="24"/>
        </w:rPr>
      </w:pPr>
      <w:r>
        <w:rPr>
          <w:sz w:val="24"/>
          <w:szCs w:val="24"/>
        </w:rPr>
        <w:t xml:space="preserve">Deputy Secretary Policy and </w:t>
      </w:r>
      <w:r w:rsidR="00181C02">
        <w:rPr>
          <w:sz w:val="24"/>
          <w:szCs w:val="24"/>
        </w:rPr>
        <w:t xml:space="preserve">Programs </w:t>
      </w:r>
    </w:p>
    <w:p w14:paraId="70EAC071" w14:textId="77777777" w:rsidR="00181C02" w:rsidRDefault="00181C02" w:rsidP="00181C02">
      <w:pPr>
        <w:rPr>
          <w:sz w:val="24"/>
          <w:szCs w:val="24"/>
        </w:rPr>
      </w:pPr>
      <w:r>
        <w:rPr>
          <w:sz w:val="24"/>
          <w:szCs w:val="24"/>
        </w:rPr>
        <w:t>Delegate for the Minister for Veterans and Defence Personnel</w:t>
      </w:r>
    </w:p>
    <w:p w14:paraId="5B675EA9" w14:textId="77777777" w:rsidR="00F4590D" w:rsidRPr="00A52FB6" w:rsidRDefault="00F4590D">
      <w:pPr>
        <w:rPr>
          <w:sz w:val="24"/>
          <w:szCs w:val="24"/>
        </w:rPr>
      </w:pPr>
      <w:r w:rsidRPr="00A52FB6">
        <w:rPr>
          <w:sz w:val="24"/>
          <w:szCs w:val="24"/>
        </w:rPr>
        <w:t>Rule Maker</w:t>
      </w:r>
    </w:p>
    <w:p w14:paraId="27A7709B" w14:textId="77777777" w:rsidR="00594E61" w:rsidRPr="00A52FB6" w:rsidRDefault="00594E61" w:rsidP="00594E61">
      <w:pPr>
        <w:rPr>
          <w:sz w:val="24"/>
          <w:szCs w:val="24"/>
        </w:rPr>
      </w:pPr>
    </w:p>
    <w:p w14:paraId="5D97C3C6" w14:textId="77777777" w:rsidR="00C36ED8" w:rsidRPr="00A52FB6" w:rsidRDefault="00C36ED8" w:rsidP="00594E61">
      <w:pPr>
        <w:rPr>
          <w:b/>
          <w:sz w:val="24"/>
          <w:szCs w:val="24"/>
        </w:rPr>
      </w:pPr>
      <w:r w:rsidRPr="00A52FB6">
        <w:rPr>
          <w:b/>
          <w:sz w:val="24"/>
          <w:szCs w:val="24"/>
        </w:rPr>
        <w:t>FURTHER EXPLANATION</w:t>
      </w:r>
      <w:r w:rsidR="00FD18A1" w:rsidRPr="00A52FB6">
        <w:rPr>
          <w:b/>
          <w:sz w:val="24"/>
          <w:szCs w:val="24"/>
        </w:rPr>
        <w:t xml:space="preserve"> OF PROVISIONS</w:t>
      </w:r>
    </w:p>
    <w:p w14:paraId="223E5820" w14:textId="77777777" w:rsidR="00C36ED8" w:rsidRPr="00A52FB6" w:rsidRDefault="00C36ED8" w:rsidP="00594E61">
      <w:pPr>
        <w:rPr>
          <w:sz w:val="24"/>
          <w:szCs w:val="24"/>
        </w:rPr>
      </w:pPr>
    </w:p>
    <w:p w14:paraId="4CC78B42" w14:textId="77777777" w:rsidR="00C36ED8" w:rsidRPr="00A52FB6" w:rsidRDefault="00C36ED8" w:rsidP="00594E61">
      <w:pPr>
        <w:rPr>
          <w:sz w:val="24"/>
          <w:szCs w:val="24"/>
          <w:u w:val="single"/>
        </w:rPr>
      </w:pPr>
      <w:r w:rsidRPr="00A52FB6">
        <w:rPr>
          <w:sz w:val="24"/>
          <w:szCs w:val="24"/>
          <w:u w:val="single"/>
        </w:rPr>
        <w:t>Attachment A</w:t>
      </w:r>
    </w:p>
    <w:p w14:paraId="1E362F55" w14:textId="77777777" w:rsidR="00C36ED8" w:rsidRPr="00A52FB6" w:rsidRDefault="00C36ED8" w:rsidP="00594E61">
      <w:pPr>
        <w:rPr>
          <w:sz w:val="24"/>
          <w:szCs w:val="24"/>
        </w:rPr>
      </w:pPr>
    </w:p>
    <w:p w14:paraId="1FC286E1" w14:textId="77777777" w:rsidR="00FD18A1" w:rsidRDefault="00C36ED8" w:rsidP="00594E61">
      <w:pPr>
        <w:rPr>
          <w:sz w:val="28"/>
          <w:szCs w:val="28"/>
        </w:rPr>
      </w:pPr>
      <w:r w:rsidRPr="00A52FB6">
        <w:rPr>
          <w:sz w:val="24"/>
          <w:szCs w:val="24"/>
        </w:rPr>
        <w:br w:type="page"/>
      </w:r>
    </w:p>
    <w:p w14:paraId="04BD25A8" w14:textId="77777777" w:rsidR="00FD18A1" w:rsidRPr="00FD18A1" w:rsidRDefault="00FD18A1" w:rsidP="00FD18A1">
      <w:pPr>
        <w:ind w:left="2880"/>
        <w:jc w:val="right"/>
        <w:rPr>
          <w:sz w:val="28"/>
          <w:szCs w:val="28"/>
          <w:u w:val="single"/>
        </w:rPr>
      </w:pPr>
      <w:r w:rsidRPr="00FD18A1">
        <w:rPr>
          <w:sz w:val="28"/>
          <w:szCs w:val="28"/>
          <w:u w:val="single"/>
        </w:rPr>
        <w:lastRenderedPageBreak/>
        <w:t>Attachment A</w:t>
      </w:r>
    </w:p>
    <w:p w14:paraId="1C7E9DDB" w14:textId="77777777" w:rsidR="00B53F4D" w:rsidRPr="00F37E0D" w:rsidRDefault="00B53F4D" w:rsidP="00B53F4D">
      <w:pPr>
        <w:rPr>
          <w:b/>
          <w:color w:val="000000"/>
          <w:sz w:val="24"/>
          <w:szCs w:val="24"/>
        </w:rPr>
      </w:pPr>
      <w:r w:rsidRPr="00F37E0D">
        <w:rPr>
          <w:b/>
          <w:color w:val="000000"/>
          <w:sz w:val="24"/>
          <w:szCs w:val="24"/>
        </w:rPr>
        <w:t xml:space="preserve">FURTHER EXPLANATION OF PROVISIONS  </w:t>
      </w:r>
    </w:p>
    <w:p w14:paraId="675A4F2F" w14:textId="77777777" w:rsidR="00FD18A1" w:rsidRDefault="00FD18A1" w:rsidP="00594E61">
      <w:pPr>
        <w:rPr>
          <w:sz w:val="24"/>
          <w:szCs w:val="24"/>
        </w:rPr>
      </w:pPr>
    </w:p>
    <w:p w14:paraId="0E9C9DE9" w14:textId="77777777" w:rsidR="00C36ED8" w:rsidRPr="00F51D5A" w:rsidRDefault="00C36ED8" w:rsidP="00594E61">
      <w:pPr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Section 1</w:t>
      </w:r>
    </w:p>
    <w:p w14:paraId="2962B356" w14:textId="6DC5D55D" w:rsidR="00C36ED8" w:rsidRPr="00CB4275" w:rsidRDefault="00C36ED8" w:rsidP="00F51D5A">
      <w:pPr>
        <w:spacing w:before="240"/>
        <w:rPr>
          <w:sz w:val="24"/>
          <w:szCs w:val="24"/>
        </w:rPr>
      </w:pPr>
      <w:r w:rsidRPr="00C36ED8">
        <w:rPr>
          <w:sz w:val="24"/>
          <w:szCs w:val="24"/>
        </w:rPr>
        <w:t xml:space="preserve">This section sets out the name of the instrument - the </w:t>
      </w:r>
      <w:r w:rsidRPr="00C36ED8">
        <w:rPr>
          <w:i/>
          <w:sz w:val="24"/>
          <w:szCs w:val="24"/>
        </w:rPr>
        <w:t>Defence Service Homes Insurance Scheme (Statement of Conditions) Variation 201</w:t>
      </w:r>
      <w:r w:rsidR="007A0EE4">
        <w:rPr>
          <w:i/>
          <w:sz w:val="24"/>
          <w:szCs w:val="24"/>
        </w:rPr>
        <w:t>9</w:t>
      </w:r>
      <w:r w:rsidR="00CB4275">
        <w:rPr>
          <w:sz w:val="24"/>
          <w:szCs w:val="24"/>
        </w:rPr>
        <w:t>.</w:t>
      </w:r>
    </w:p>
    <w:p w14:paraId="4A86ACDA" w14:textId="6B9174AE" w:rsidR="00C36ED8" w:rsidRPr="00C36ED8" w:rsidRDefault="00C36ED8" w:rsidP="00594E61">
      <w:pPr>
        <w:rPr>
          <w:sz w:val="24"/>
          <w:szCs w:val="24"/>
        </w:rPr>
      </w:pPr>
    </w:p>
    <w:p w14:paraId="2BA21365" w14:textId="77777777" w:rsidR="00C36ED8" w:rsidRPr="00F51D5A" w:rsidRDefault="00C36ED8" w:rsidP="00594E61">
      <w:pPr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Section 2</w:t>
      </w:r>
    </w:p>
    <w:p w14:paraId="03CEC843" w14:textId="26047458" w:rsidR="00C36ED8" w:rsidRPr="00C36ED8" w:rsidRDefault="00C36ED8" w:rsidP="00F51D5A">
      <w:pPr>
        <w:spacing w:before="240"/>
        <w:rPr>
          <w:sz w:val="24"/>
          <w:szCs w:val="24"/>
        </w:rPr>
      </w:pPr>
      <w:r w:rsidRPr="000748E8">
        <w:rPr>
          <w:sz w:val="24"/>
          <w:szCs w:val="24"/>
        </w:rPr>
        <w:t xml:space="preserve">This section provides the instrument commences on </w:t>
      </w:r>
      <w:r w:rsidR="003A1923" w:rsidRPr="001550C8">
        <w:rPr>
          <w:sz w:val="24"/>
          <w:szCs w:val="24"/>
        </w:rPr>
        <w:t>1 July </w:t>
      </w:r>
      <w:r w:rsidR="007A0EE4" w:rsidRPr="001550C8">
        <w:rPr>
          <w:sz w:val="24"/>
          <w:szCs w:val="24"/>
        </w:rPr>
        <w:t>2019</w:t>
      </w:r>
      <w:r w:rsidRPr="001550C8">
        <w:rPr>
          <w:sz w:val="24"/>
          <w:szCs w:val="24"/>
        </w:rPr>
        <w:t>.</w:t>
      </w:r>
    </w:p>
    <w:p w14:paraId="02158E6B" w14:textId="77777777" w:rsidR="00C36ED8" w:rsidRPr="00A52FB6" w:rsidRDefault="00C36ED8" w:rsidP="00594E61">
      <w:pPr>
        <w:rPr>
          <w:sz w:val="24"/>
          <w:szCs w:val="24"/>
        </w:rPr>
      </w:pPr>
    </w:p>
    <w:p w14:paraId="100557F8" w14:textId="26A71DC8" w:rsidR="00C36ED8" w:rsidRPr="00F51D5A" w:rsidRDefault="006A0551" w:rsidP="00594E61">
      <w:pPr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Section 3</w:t>
      </w:r>
    </w:p>
    <w:p w14:paraId="380C884F" w14:textId="3DEC4AFC" w:rsidR="00F018ED" w:rsidRDefault="00F018ED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section </w:t>
      </w:r>
      <w:r w:rsidR="003A1923">
        <w:rPr>
          <w:sz w:val="24"/>
          <w:szCs w:val="24"/>
        </w:rPr>
        <w:t xml:space="preserve">provides </w:t>
      </w:r>
      <w:r>
        <w:rPr>
          <w:sz w:val="24"/>
          <w:szCs w:val="24"/>
        </w:rPr>
        <w:t xml:space="preserve">the attached instrument is made under </w:t>
      </w:r>
      <w:r w:rsidR="003A1923">
        <w:rPr>
          <w:sz w:val="24"/>
          <w:szCs w:val="24"/>
        </w:rPr>
        <w:t>section 38</w:t>
      </w:r>
      <w:r w:rsidR="00572157">
        <w:rPr>
          <w:sz w:val="24"/>
          <w:szCs w:val="24"/>
        </w:rPr>
        <w:t>A</w:t>
      </w:r>
      <w:r w:rsidR="003A1923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</w:t>
      </w:r>
      <w:r w:rsidRPr="00A242B8">
        <w:rPr>
          <w:i/>
          <w:sz w:val="24"/>
          <w:szCs w:val="24"/>
        </w:rPr>
        <w:t>Defence Service Homes Act 1918</w:t>
      </w:r>
      <w:r>
        <w:rPr>
          <w:sz w:val="24"/>
          <w:szCs w:val="24"/>
        </w:rPr>
        <w:t xml:space="preserve">. </w:t>
      </w:r>
    </w:p>
    <w:p w14:paraId="13266A59" w14:textId="77777777" w:rsidR="00885419" w:rsidRDefault="00885419" w:rsidP="00594E61">
      <w:pPr>
        <w:rPr>
          <w:sz w:val="24"/>
          <w:szCs w:val="24"/>
        </w:rPr>
      </w:pPr>
    </w:p>
    <w:p w14:paraId="4F6BCE5D" w14:textId="31704933" w:rsidR="00885419" w:rsidRPr="00F51D5A" w:rsidRDefault="006A0551" w:rsidP="00885419">
      <w:pPr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Section 4</w:t>
      </w:r>
    </w:p>
    <w:p w14:paraId="6BC6855C" w14:textId="7C995838" w:rsidR="003A1923" w:rsidRDefault="00885419" w:rsidP="00F51D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7A0EE4">
        <w:rPr>
          <w:sz w:val="24"/>
          <w:szCs w:val="24"/>
        </w:rPr>
        <w:t>section provides t</w:t>
      </w:r>
      <w:r w:rsidR="003A1923">
        <w:rPr>
          <w:color w:val="000000"/>
          <w:sz w:val="24"/>
          <w:szCs w:val="24"/>
        </w:rPr>
        <w:t xml:space="preserve">he </w:t>
      </w:r>
      <w:r w:rsidR="003A1923" w:rsidRPr="00A12A1A">
        <w:rPr>
          <w:i/>
          <w:color w:val="000000"/>
          <w:sz w:val="24"/>
          <w:szCs w:val="24"/>
        </w:rPr>
        <w:t>Defence Service Homes Insurance Scheme (Statement of Conditions) Variation 2016</w:t>
      </w:r>
      <w:r w:rsidR="003A1923">
        <w:rPr>
          <w:color w:val="000000"/>
          <w:sz w:val="24"/>
          <w:szCs w:val="24"/>
        </w:rPr>
        <w:t xml:space="preserve"> (F2016L00553) is revoked. </w:t>
      </w:r>
      <w:r w:rsidR="00C24EFD">
        <w:rPr>
          <w:color w:val="000000"/>
          <w:sz w:val="24"/>
          <w:szCs w:val="24"/>
        </w:rPr>
        <w:t xml:space="preserve">As a result, the variations to the Statement of Conditions cease to have any effect </w:t>
      </w:r>
      <w:r w:rsidR="00C24EFD" w:rsidRPr="001550C8">
        <w:rPr>
          <w:color w:val="000000"/>
          <w:sz w:val="24"/>
          <w:szCs w:val="24"/>
        </w:rPr>
        <w:t>on 1 July 2019</w:t>
      </w:r>
      <w:r w:rsidR="00C24EFD">
        <w:rPr>
          <w:color w:val="000000"/>
          <w:sz w:val="24"/>
          <w:szCs w:val="24"/>
        </w:rPr>
        <w:t>.</w:t>
      </w:r>
    </w:p>
    <w:p w14:paraId="26632D4D" w14:textId="77777777" w:rsidR="007A0EE4" w:rsidRDefault="007A0EE4" w:rsidP="006A0551">
      <w:pPr>
        <w:rPr>
          <w:sz w:val="24"/>
          <w:szCs w:val="24"/>
        </w:rPr>
      </w:pPr>
    </w:p>
    <w:p w14:paraId="7E8A860E" w14:textId="77777777" w:rsidR="006A0551" w:rsidRPr="00F51D5A" w:rsidRDefault="006A0551" w:rsidP="006A0551">
      <w:pPr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Section 5</w:t>
      </w:r>
    </w:p>
    <w:p w14:paraId="363BDD75" w14:textId="6CA060C4" w:rsidR="003A1923" w:rsidRDefault="006A0551" w:rsidP="00F51D5A">
      <w:pPr>
        <w:spacing w:before="240"/>
        <w:rPr>
          <w:sz w:val="24"/>
          <w:szCs w:val="24"/>
        </w:rPr>
      </w:pPr>
      <w:r w:rsidRPr="00A52FB6">
        <w:rPr>
          <w:sz w:val="24"/>
          <w:szCs w:val="24"/>
        </w:rPr>
        <w:t>This section is a saving</w:t>
      </w:r>
      <w:r w:rsidR="00CC69C0">
        <w:rPr>
          <w:sz w:val="24"/>
          <w:szCs w:val="24"/>
        </w:rPr>
        <w:t>s</w:t>
      </w:r>
      <w:r w:rsidRPr="00A52FB6">
        <w:rPr>
          <w:sz w:val="24"/>
          <w:szCs w:val="24"/>
        </w:rPr>
        <w:t xml:space="preserve"> provision and ensures that any right to a payment under the </w:t>
      </w:r>
      <w:r w:rsidR="007A0EE4">
        <w:rPr>
          <w:sz w:val="24"/>
          <w:szCs w:val="24"/>
        </w:rPr>
        <w:t xml:space="preserve">Statement of Conditions </w:t>
      </w:r>
      <w:r w:rsidR="003A1923">
        <w:rPr>
          <w:sz w:val="24"/>
          <w:szCs w:val="24"/>
        </w:rPr>
        <w:t xml:space="preserve">that was in force immediately before the commencement of this instrument continues on and after that commencement. The legal effect of this section is </w:t>
      </w:r>
      <w:r w:rsidR="00A3234A">
        <w:rPr>
          <w:sz w:val="24"/>
          <w:szCs w:val="24"/>
        </w:rPr>
        <w:t>to specifically preserve</w:t>
      </w:r>
      <w:r w:rsidR="00A3234A" w:rsidRPr="00A52FB6">
        <w:rPr>
          <w:sz w:val="24"/>
          <w:szCs w:val="24"/>
        </w:rPr>
        <w:t xml:space="preserve"> any such right until the payment is made</w:t>
      </w:r>
      <w:r w:rsidR="00A3234A">
        <w:rPr>
          <w:sz w:val="24"/>
          <w:szCs w:val="24"/>
        </w:rPr>
        <w:t>.</w:t>
      </w:r>
    </w:p>
    <w:p w14:paraId="40C69EB8" w14:textId="17F4F1AC" w:rsidR="003A1923" w:rsidRPr="00A52FB6" w:rsidRDefault="00A3234A" w:rsidP="001550C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note to this section provides that s</w:t>
      </w:r>
      <w:r w:rsidR="003A1923" w:rsidRPr="00A52FB6">
        <w:rPr>
          <w:sz w:val="24"/>
          <w:szCs w:val="24"/>
        </w:rPr>
        <w:t xml:space="preserve">ubsection 38A(4) of the </w:t>
      </w:r>
      <w:r w:rsidR="001550C8">
        <w:rPr>
          <w:sz w:val="24"/>
          <w:szCs w:val="24"/>
        </w:rPr>
        <w:t xml:space="preserve">Act provides that the Minister </w:t>
      </w:r>
      <w:r w:rsidR="003A1923" w:rsidRPr="00A52FB6">
        <w:rPr>
          <w:sz w:val="24"/>
          <w:szCs w:val="24"/>
        </w:rPr>
        <w:t xml:space="preserve">shall not vary the Statement of Conditions so as to remove the right of a person to receive a payment to which the person had become entitled before the variation.  </w:t>
      </w:r>
    </w:p>
    <w:p w14:paraId="33E5C208" w14:textId="77777777" w:rsidR="001550C8" w:rsidRDefault="001550C8" w:rsidP="00594E61">
      <w:pPr>
        <w:rPr>
          <w:sz w:val="24"/>
          <w:szCs w:val="24"/>
          <w:u w:val="single"/>
        </w:rPr>
      </w:pPr>
    </w:p>
    <w:p w14:paraId="54C656D8" w14:textId="14A58B64" w:rsidR="00F018ED" w:rsidRPr="00F51D5A" w:rsidRDefault="00885419" w:rsidP="00594E61">
      <w:pPr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Section 6</w:t>
      </w:r>
    </w:p>
    <w:p w14:paraId="2C9F5F1C" w14:textId="776E20C4" w:rsidR="00A3234A" w:rsidRDefault="00F018ED" w:rsidP="00A3234A">
      <w:pPr>
        <w:spacing w:before="240"/>
        <w:rPr>
          <w:sz w:val="24"/>
          <w:szCs w:val="24"/>
        </w:rPr>
      </w:pPr>
      <w:r w:rsidRPr="002053F3">
        <w:rPr>
          <w:sz w:val="24"/>
          <w:szCs w:val="24"/>
        </w:rPr>
        <w:t xml:space="preserve">This section provides </w:t>
      </w:r>
      <w:r w:rsidR="00590EAC">
        <w:rPr>
          <w:sz w:val="24"/>
          <w:szCs w:val="24"/>
        </w:rPr>
        <w:t xml:space="preserve">the </w:t>
      </w:r>
      <w:r w:rsidR="00590EAC" w:rsidRPr="00454F79">
        <w:rPr>
          <w:sz w:val="24"/>
          <w:szCs w:val="24"/>
        </w:rPr>
        <w:t xml:space="preserve">Statement of Conditions set out in the </w:t>
      </w:r>
      <w:r w:rsidR="00590EAC">
        <w:rPr>
          <w:sz w:val="24"/>
          <w:szCs w:val="24"/>
        </w:rPr>
        <w:t>Schedule</w:t>
      </w:r>
      <w:r w:rsidR="00A3234A">
        <w:rPr>
          <w:sz w:val="24"/>
          <w:szCs w:val="24"/>
        </w:rPr>
        <w:t xml:space="preserve"> applies for </w:t>
      </w:r>
      <w:r w:rsidR="00A3234A">
        <w:rPr>
          <w:kern w:val="28"/>
          <w:sz w:val="24"/>
          <w:szCs w:val="24"/>
        </w:rPr>
        <w:t xml:space="preserve">the purposes of </w:t>
      </w:r>
      <w:r w:rsidR="00D323B4">
        <w:rPr>
          <w:kern w:val="28"/>
          <w:sz w:val="24"/>
          <w:szCs w:val="24"/>
        </w:rPr>
        <w:t xml:space="preserve">Part VI of </w:t>
      </w:r>
      <w:r w:rsidR="00A3234A">
        <w:rPr>
          <w:kern w:val="28"/>
          <w:sz w:val="24"/>
          <w:szCs w:val="24"/>
        </w:rPr>
        <w:t xml:space="preserve">the </w:t>
      </w:r>
      <w:r w:rsidR="00A3234A" w:rsidRPr="00A3234A">
        <w:rPr>
          <w:i/>
          <w:sz w:val="24"/>
          <w:szCs w:val="24"/>
        </w:rPr>
        <w:t xml:space="preserve">Defence Service Homes Act </w:t>
      </w:r>
      <w:r w:rsidR="00A3234A" w:rsidRPr="00F51D5A">
        <w:rPr>
          <w:i/>
          <w:sz w:val="24"/>
          <w:szCs w:val="24"/>
        </w:rPr>
        <w:t>1918</w:t>
      </w:r>
      <w:r w:rsidR="00A3234A">
        <w:rPr>
          <w:sz w:val="24"/>
          <w:szCs w:val="24"/>
        </w:rPr>
        <w:t xml:space="preserve">. </w:t>
      </w:r>
      <w:r w:rsidR="00C24EFD" w:rsidRPr="00D323B4">
        <w:rPr>
          <w:sz w:val="24"/>
          <w:szCs w:val="24"/>
        </w:rPr>
        <w:t>This</w:t>
      </w:r>
      <w:r w:rsidR="00C24EFD">
        <w:rPr>
          <w:sz w:val="24"/>
          <w:szCs w:val="24"/>
        </w:rPr>
        <w:t xml:space="preserve"> means the </w:t>
      </w:r>
      <w:r w:rsidR="00A3234A">
        <w:rPr>
          <w:sz w:val="24"/>
          <w:szCs w:val="24"/>
        </w:rPr>
        <w:t>Statement of Conditions set out in the Schedule is in force on and after the commencement of this instrument.</w:t>
      </w:r>
      <w:r w:rsidR="00D323B4">
        <w:rPr>
          <w:sz w:val="24"/>
          <w:szCs w:val="24"/>
        </w:rPr>
        <w:t xml:space="preserve"> The Statement of Conditions is only relevant to Part VI of the </w:t>
      </w:r>
      <w:r w:rsidR="00D323B4" w:rsidRPr="00A3234A">
        <w:rPr>
          <w:i/>
          <w:sz w:val="24"/>
          <w:szCs w:val="24"/>
        </w:rPr>
        <w:t xml:space="preserve">Defence Service Homes Act </w:t>
      </w:r>
      <w:r w:rsidR="00D323B4" w:rsidRPr="001550C8">
        <w:rPr>
          <w:i/>
          <w:sz w:val="24"/>
          <w:szCs w:val="24"/>
        </w:rPr>
        <w:t>1918</w:t>
      </w:r>
      <w:r w:rsidR="00D323B4">
        <w:rPr>
          <w:sz w:val="24"/>
          <w:szCs w:val="24"/>
        </w:rPr>
        <w:t>.</w:t>
      </w:r>
    </w:p>
    <w:p w14:paraId="1051779D" w14:textId="77777777" w:rsidR="001550C8" w:rsidRDefault="001550C8" w:rsidP="001550C8">
      <w:pPr>
        <w:spacing w:before="240" w:after="240"/>
        <w:rPr>
          <w:sz w:val="24"/>
          <w:szCs w:val="24"/>
          <w:u w:val="single"/>
        </w:rPr>
      </w:pPr>
    </w:p>
    <w:p w14:paraId="4C60A92E" w14:textId="599BB83C" w:rsidR="00590EAC" w:rsidRPr="00F51D5A" w:rsidRDefault="00590EAC" w:rsidP="001550C8">
      <w:pPr>
        <w:spacing w:after="240"/>
        <w:rPr>
          <w:sz w:val="24"/>
          <w:szCs w:val="24"/>
          <w:u w:val="single"/>
        </w:rPr>
      </w:pPr>
      <w:r w:rsidRPr="00F51D5A">
        <w:rPr>
          <w:sz w:val="24"/>
          <w:szCs w:val="24"/>
          <w:u w:val="single"/>
        </w:rPr>
        <w:t>Schedule - Statement of Conditions</w:t>
      </w:r>
    </w:p>
    <w:p w14:paraId="5A9F8384" w14:textId="311E8B6D" w:rsidR="009E7AE9" w:rsidRDefault="00B53F4D" w:rsidP="00F1376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Schedule contains </w:t>
      </w:r>
      <w:r w:rsidR="00A3234A">
        <w:rPr>
          <w:sz w:val="24"/>
          <w:szCs w:val="24"/>
        </w:rPr>
        <w:t xml:space="preserve">the </w:t>
      </w:r>
      <w:r w:rsidR="00590EAC">
        <w:rPr>
          <w:sz w:val="24"/>
          <w:szCs w:val="24"/>
        </w:rPr>
        <w:t>Statement of Conditions</w:t>
      </w:r>
      <w:r>
        <w:rPr>
          <w:sz w:val="24"/>
          <w:szCs w:val="24"/>
        </w:rPr>
        <w:t xml:space="preserve">. The Statement of Conditions </w:t>
      </w:r>
      <w:r w:rsidR="009E7AE9">
        <w:rPr>
          <w:sz w:val="24"/>
          <w:szCs w:val="24"/>
        </w:rPr>
        <w:t>set</w:t>
      </w:r>
      <w:r>
        <w:rPr>
          <w:sz w:val="24"/>
          <w:szCs w:val="24"/>
        </w:rPr>
        <w:t>s</w:t>
      </w:r>
      <w:r w:rsidR="009E7AE9">
        <w:rPr>
          <w:sz w:val="24"/>
          <w:szCs w:val="24"/>
        </w:rPr>
        <w:t xml:space="preserve"> out the risks against which insurance is provided, including general exclusions,</w:t>
      </w:r>
      <w:r w:rsidR="009E7AE9" w:rsidRPr="00A52FB6">
        <w:rPr>
          <w:sz w:val="24"/>
          <w:szCs w:val="24"/>
        </w:rPr>
        <w:t xml:space="preserve"> </w:t>
      </w:r>
      <w:r w:rsidR="009E7AE9">
        <w:rPr>
          <w:sz w:val="24"/>
          <w:szCs w:val="24"/>
        </w:rPr>
        <w:t xml:space="preserve">and other </w:t>
      </w:r>
      <w:r w:rsidR="009E7AE9" w:rsidRPr="00A52FB6">
        <w:rPr>
          <w:sz w:val="24"/>
          <w:szCs w:val="24"/>
        </w:rPr>
        <w:t xml:space="preserve">terms and conditions that are to comprise a policy of insurance under the </w:t>
      </w:r>
      <w:r w:rsidR="009E7AE9">
        <w:rPr>
          <w:sz w:val="24"/>
          <w:szCs w:val="24"/>
        </w:rPr>
        <w:t>DSHI</w:t>
      </w:r>
      <w:r w:rsidR="001550C8">
        <w:rPr>
          <w:sz w:val="24"/>
          <w:szCs w:val="24"/>
        </w:rPr>
        <w:t>S</w:t>
      </w:r>
      <w:r w:rsidR="009E7AE9" w:rsidRPr="00A52FB6">
        <w:rPr>
          <w:sz w:val="24"/>
          <w:szCs w:val="24"/>
        </w:rPr>
        <w:t>.</w:t>
      </w:r>
      <w:r w:rsidR="009E7AE9">
        <w:rPr>
          <w:sz w:val="24"/>
          <w:szCs w:val="24"/>
        </w:rPr>
        <w:t xml:space="preserve"> </w:t>
      </w:r>
      <w:r w:rsidR="00F1376B">
        <w:rPr>
          <w:sz w:val="24"/>
          <w:szCs w:val="24"/>
        </w:rPr>
        <w:t xml:space="preserve">The risks are </w:t>
      </w:r>
      <w:r w:rsidR="00F1376B" w:rsidRPr="00F51D5A">
        <w:rPr>
          <w:sz w:val="24"/>
          <w:szCs w:val="24"/>
        </w:rPr>
        <w:t>loss or damage to a home;</w:t>
      </w:r>
      <w:r w:rsidR="00F1376B">
        <w:rPr>
          <w:sz w:val="24"/>
          <w:szCs w:val="24"/>
        </w:rPr>
        <w:t xml:space="preserve"> </w:t>
      </w:r>
      <w:r w:rsidR="00F1376B" w:rsidRPr="00F51D5A">
        <w:rPr>
          <w:sz w:val="24"/>
          <w:szCs w:val="24"/>
        </w:rPr>
        <w:t>accidental loss or damage;</w:t>
      </w:r>
      <w:r w:rsidR="00F1376B">
        <w:rPr>
          <w:sz w:val="24"/>
          <w:szCs w:val="24"/>
        </w:rPr>
        <w:t xml:space="preserve"> </w:t>
      </w:r>
      <w:r w:rsidR="00F1376B" w:rsidRPr="00F51D5A">
        <w:rPr>
          <w:sz w:val="24"/>
          <w:szCs w:val="24"/>
        </w:rPr>
        <w:t xml:space="preserve">fusion of </w:t>
      </w:r>
      <w:r w:rsidR="00F1376B" w:rsidRPr="00F51D5A">
        <w:rPr>
          <w:sz w:val="24"/>
          <w:szCs w:val="24"/>
        </w:rPr>
        <w:lastRenderedPageBreak/>
        <w:t>electrical motors;</w:t>
      </w:r>
      <w:r w:rsidR="00F1376B">
        <w:rPr>
          <w:sz w:val="24"/>
          <w:szCs w:val="24"/>
        </w:rPr>
        <w:t xml:space="preserve"> </w:t>
      </w:r>
      <w:r w:rsidR="00F1376B" w:rsidRPr="00F51D5A">
        <w:rPr>
          <w:sz w:val="24"/>
          <w:szCs w:val="24"/>
        </w:rPr>
        <w:t>owner’s or occupiers’s legal liability;</w:t>
      </w:r>
      <w:r w:rsidR="00F1376B">
        <w:rPr>
          <w:sz w:val="24"/>
          <w:szCs w:val="24"/>
        </w:rPr>
        <w:t xml:space="preserve"> strata title homes</w:t>
      </w:r>
      <w:r w:rsidR="00F1376B" w:rsidRPr="00F51D5A">
        <w:rPr>
          <w:sz w:val="24"/>
          <w:szCs w:val="24"/>
        </w:rPr>
        <w:t xml:space="preserve"> and</w:t>
      </w:r>
      <w:r w:rsidR="00F1376B">
        <w:rPr>
          <w:sz w:val="24"/>
          <w:szCs w:val="24"/>
        </w:rPr>
        <w:t xml:space="preserve"> </w:t>
      </w:r>
      <w:r w:rsidR="00F1376B" w:rsidRPr="00F51D5A">
        <w:rPr>
          <w:sz w:val="24"/>
          <w:szCs w:val="24"/>
        </w:rPr>
        <w:t>death of the insured or their family.</w:t>
      </w:r>
      <w:r w:rsidR="00F1376B">
        <w:rPr>
          <w:sz w:val="24"/>
          <w:szCs w:val="24"/>
        </w:rPr>
        <w:t xml:space="preserve"> </w:t>
      </w:r>
      <w:r w:rsidR="00951306">
        <w:rPr>
          <w:sz w:val="24"/>
          <w:szCs w:val="24"/>
        </w:rPr>
        <w:t>General exclusions include failing to keep the home or site in good repair and condition; defects in structure, design, work done or materials used on the home or at the site; wear and tear; any war or war like activities and any act of terrorism.</w:t>
      </w:r>
    </w:p>
    <w:p w14:paraId="00B3392F" w14:textId="16F8D94F" w:rsidR="007A0EE4" w:rsidRDefault="007A0EE4" w:rsidP="00594E61">
      <w:pPr>
        <w:rPr>
          <w:sz w:val="24"/>
          <w:szCs w:val="24"/>
        </w:rPr>
      </w:pPr>
    </w:p>
    <w:sectPr w:rsidR="007A0EE4" w:rsidSect="00F51D5A">
      <w:footerReference w:type="default" r:id="rId8"/>
      <w:pgSz w:w="11906" w:h="16838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AE485" w14:textId="77777777" w:rsidR="001002B9" w:rsidRDefault="001002B9" w:rsidP="001002B9">
      <w:r>
        <w:separator/>
      </w:r>
    </w:p>
  </w:endnote>
  <w:endnote w:type="continuationSeparator" w:id="0">
    <w:p w14:paraId="65D0D3AC" w14:textId="77777777" w:rsidR="001002B9" w:rsidRDefault="001002B9" w:rsidP="0010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3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ans Serif Std">
    <w:altName w:val="Rotis Sans Serif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80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A3AFF" w14:textId="0964A6C0" w:rsidR="001002B9" w:rsidRDefault="00100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B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CEE4C" w14:textId="77777777" w:rsidR="001002B9" w:rsidRDefault="00100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5C7D9" w14:textId="77777777" w:rsidR="001002B9" w:rsidRDefault="001002B9" w:rsidP="001002B9">
      <w:r>
        <w:separator/>
      </w:r>
    </w:p>
  </w:footnote>
  <w:footnote w:type="continuationSeparator" w:id="0">
    <w:p w14:paraId="08F40381" w14:textId="77777777" w:rsidR="001002B9" w:rsidRDefault="001002B9" w:rsidP="0010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721"/>
    <w:multiLevelType w:val="hybridMultilevel"/>
    <w:tmpl w:val="7674B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742"/>
    <w:multiLevelType w:val="hybridMultilevel"/>
    <w:tmpl w:val="4EE06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FF9"/>
    <w:multiLevelType w:val="hybridMultilevel"/>
    <w:tmpl w:val="FB3E19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" w:hanging="360"/>
      </w:pPr>
    </w:lvl>
    <w:lvl w:ilvl="2" w:tplc="0C09001B" w:tentative="1">
      <w:start w:val="1"/>
      <w:numFmt w:val="lowerRoman"/>
      <w:lvlText w:val="%3."/>
      <w:lvlJc w:val="right"/>
      <w:pPr>
        <w:ind w:left="807" w:hanging="180"/>
      </w:pPr>
    </w:lvl>
    <w:lvl w:ilvl="3" w:tplc="0C09000F" w:tentative="1">
      <w:start w:val="1"/>
      <w:numFmt w:val="decimal"/>
      <w:lvlText w:val="%4."/>
      <w:lvlJc w:val="left"/>
      <w:pPr>
        <w:ind w:left="1527" w:hanging="360"/>
      </w:pPr>
    </w:lvl>
    <w:lvl w:ilvl="4" w:tplc="0C090019" w:tentative="1">
      <w:start w:val="1"/>
      <w:numFmt w:val="lowerLetter"/>
      <w:lvlText w:val="%5."/>
      <w:lvlJc w:val="left"/>
      <w:pPr>
        <w:ind w:left="2247" w:hanging="360"/>
      </w:pPr>
    </w:lvl>
    <w:lvl w:ilvl="5" w:tplc="0C09001B" w:tentative="1">
      <w:start w:val="1"/>
      <w:numFmt w:val="lowerRoman"/>
      <w:lvlText w:val="%6."/>
      <w:lvlJc w:val="right"/>
      <w:pPr>
        <w:ind w:left="2967" w:hanging="180"/>
      </w:pPr>
    </w:lvl>
    <w:lvl w:ilvl="6" w:tplc="0C09000F" w:tentative="1">
      <w:start w:val="1"/>
      <w:numFmt w:val="decimal"/>
      <w:lvlText w:val="%7."/>
      <w:lvlJc w:val="left"/>
      <w:pPr>
        <w:ind w:left="3687" w:hanging="360"/>
      </w:pPr>
    </w:lvl>
    <w:lvl w:ilvl="7" w:tplc="0C090019" w:tentative="1">
      <w:start w:val="1"/>
      <w:numFmt w:val="lowerLetter"/>
      <w:lvlText w:val="%8."/>
      <w:lvlJc w:val="left"/>
      <w:pPr>
        <w:ind w:left="4407" w:hanging="360"/>
      </w:pPr>
    </w:lvl>
    <w:lvl w:ilvl="8" w:tplc="0C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BD86A2D"/>
    <w:multiLevelType w:val="hybridMultilevel"/>
    <w:tmpl w:val="5DE0EF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D4374"/>
    <w:multiLevelType w:val="hybridMultilevel"/>
    <w:tmpl w:val="1966E110"/>
    <w:lvl w:ilvl="0" w:tplc="9B30159A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02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C82191"/>
    <w:multiLevelType w:val="hybridMultilevel"/>
    <w:tmpl w:val="F1528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47FA"/>
    <w:multiLevelType w:val="hybridMultilevel"/>
    <w:tmpl w:val="DBF0357A"/>
    <w:lvl w:ilvl="0" w:tplc="639A7CA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721DA"/>
    <w:multiLevelType w:val="hybridMultilevel"/>
    <w:tmpl w:val="D57EE8A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02DF"/>
    <w:multiLevelType w:val="hybridMultilevel"/>
    <w:tmpl w:val="8752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6311"/>
    <w:multiLevelType w:val="hybridMultilevel"/>
    <w:tmpl w:val="821A9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5C4F"/>
    <w:multiLevelType w:val="hybridMultilevel"/>
    <w:tmpl w:val="11DA3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82508"/>
    <w:multiLevelType w:val="hybridMultilevel"/>
    <w:tmpl w:val="E938C4D6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1C613F"/>
    <w:multiLevelType w:val="hybridMultilevel"/>
    <w:tmpl w:val="7E76DA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93278"/>
    <w:multiLevelType w:val="hybridMultilevel"/>
    <w:tmpl w:val="C1FEA15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86"/>
    <w:rsid w:val="000160A1"/>
    <w:rsid w:val="000178CC"/>
    <w:rsid w:val="00023B88"/>
    <w:rsid w:val="000264DD"/>
    <w:rsid w:val="000273F1"/>
    <w:rsid w:val="0004557F"/>
    <w:rsid w:val="00055A76"/>
    <w:rsid w:val="000617C3"/>
    <w:rsid w:val="00073B83"/>
    <w:rsid w:val="000748E8"/>
    <w:rsid w:val="000778A8"/>
    <w:rsid w:val="00091452"/>
    <w:rsid w:val="0009591A"/>
    <w:rsid w:val="000977EB"/>
    <w:rsid w:val="000A63CD"/>
    <w:rsid w:val="000D17A8"/>
    <w:rsid w:val="000E3EA1"/>
    <w:rsid w:val="000E5E42"/>
    <w:rsid w:val="000F012E"/>
    <w:rsid w:val="000F0F5C"/>
    <w:rsid w:val="001002B9"/>
    <w:rsid w:val="001146E3"/>
    <w:rsid w:val="00115BCE"/>
    <w:rsid w:val="0012618B"/>
    <w:rsid w:val="001375F0"/>
    <w:rsid w:val="00143426"/>
    <w:rsid w:val="001449F4"/>
    <w:rsid w:val="00145760"/>
    <w:rsid w:val="00151C00"/>
    <w:rsid w:val="00153B03"/>
    <w:rsid w:val="001550C8"/>
    <w:rsid w:val="00156672"/>
    <w:rsid w:val="00181C02"/>
    <w:rsid w:val="00184ED8"/>
    <w:rsid w:val="001929CB"/>
    <w:rsid w:val="001A7E9F"/>
    <w:rsid w:val="001C24F5"/>
    <w:rsid w:val="001E019B"/>
    <w:rsid w:val="001F0941"/>
    <w:rsid w:val="001F5857"/>
    <w:rsid w:val="002053F3"/>
    <w:rsid w:val="00211CBC"/>
    <w:rsid w:val="002250E3"/>
    <w:rsid w:val="00227243"/>
    <w:rsid w:val="0024236C"/>
    <w:rsid w:val="00244B90"/>
    <w:rsid w:val="00247E99"/>
    <w:rsid w:val="00251976"/>
    <w:rsid w:val="00253ABE"/>
    <w:rsid w:val="0026310D"/>
    <w:rsid w:val="0026323C"/>
    <w:rsid w:val="00265E38"/>
    <w:rsid w:val="00271094"/>
    <w:rsid w:val="00273036"/>
    <w:rsid w:val="0027489D"/>
    <w:rsid w:val="00290AB9"/>
    <w:rsid w:val="0029557B"/>
    <w:rsid w:val="002965DC"/>
    <w:rsid w:val="002A339C"/>
    <w:rsid w:val="002D0A09"/>
    <w:rsid w:val="002D5E49"/>
    <w:rsid w:val="002E2E34"/>
    <w:rsid w:val="002F5354"/>
    <w:rsid w:val="002F7486"/>
    <w:rsid w:val="00312805"/>
    <w:rsid w:val="003165EF"/>
    <w:rsid w:val="0032059A"/>
    <w:rsid w:val="00322517"/>
    <w:rsid w:val="00364300"/>
    <w:rsid w:val="00373F62"/>
    <w:rsid w:val="0038689C"/>
    <w:rsid w:val="0039170C"/>
    <w:rsid w:val="003926EF"/>
    <w:rsid w:val="00395FA5"/>
    <w:rsid w:val="003A14CE"/>
    <w:rsid w:val="003A1923"/>
    <w:rsid w:val="003B3268"/>
    <w:rsid w:val="003C157D"/>
    <w:rsid w:val="003C2B93"/>
    <w:rsid w:val="003D3C49"/>
    <w:rsid w:val="003D7F43"/>
    <w:rsid w:val="003E366C"/>
    <w:rsid w:val="003F4089"/>
    <w:rsid w:val="004031D6"/>
    <w:rsid w:val="00410BEB"/>
    <w:rsid w:val="00416C97"/>
    <w:rsid w:val="00423086"/>
    <w:rsid w:val="00431FC3"/>
    <w:rsid w:val="0044343A"/>
    <w:rsid w:val="00447977"/>
    <w:rsid w:val="00450B22"/>
    <w:rsid w:val="0045153D"/>
    <w:rsid w:val="004533CE"/>
    <w:rsid w:val="00471D94"/>
    <w:rsid w:val="00477FAD"/>
    <w:rsid w:val="00486E56"/>
    <w:rsid w:val="00493D05"/>
    <w:rsid w:val="0049418F"/>
    <w:rsid w:val="004A6303"/>
    <w:rsid w:val="004B2E7B"/>
    <w:rsid w:val="004C0C4E"/>
    <w:rsid w:val="004E4C18"/>
    <w:rsid w:val="005136A2"/>
    <w:rsid w:val="00515DAF"/>
    <w:rsid w:val="005201F1"/>
    <w:rsid w:val="00554310"/>
    <w:rsid w:val="00563663"/>
    <w:rsid w:val="00565D1B"/>
    <w:rsid w:val="00571796"/>
    <w:rsid w:val="00572157"/>
    <w:rsid w:val="005808A8"/>
    <w:rsid w:val="00590C0D"/>
    <w:rsid w:val="00590EAC"/>
    <w:rsid w:val="00594E61"/>
    <w:rsid w:val="00596A67"/>
    <w:rsid w:val="00596B4A"/>
    <w:rsid w:val="005A65D9"/>
    <w:rsid w:val="005C4BA4"/>
    <w:rsid w:val="005C56C7"/>
    <w:rsid w:val="005D4E80"/>
    <w:rsid w:val="005E4841"/>
    <w:rsid w:val="005E5155"/>
    <w:rsid w:val="005F086D"/>
    <w:rsid w:val="005F7AE7"/>
    <w:rsid w:val="00605EDA"/>
    <w:rsid w:val="006108AC"/>
    <w:rsid w:val="00641D9B"/>
    <w:rsid w:val="00643C0C"/>
    <w:rsid w:val="0065119E"/>
    <w:rsid w:val="006658A0"/>
    <w:rsid w:val="00687BBA"/>
    <w:rsid w:val="006942D1"/>
    <w:rsid w:val="006A0551"/>
    <w:rsid w:val="006A05C7"/>
    <w:rsid w:val="006B23DB"/>
    <w:rsid w:val="006B3B9A"/>
    <w:rsid w:val="006C479E"/>
    <w:rsid w:val="006C6CC7"/>
    <w:rsid w:val="006D3186"/>
    <w:rsid w:val="007031E2"/>
    <w:rsid w:val="007031F4"/>
    <w:rsid w:val="00704C53"/>
    <w:rsid w:val="007061AA"/>
    <w:rsid w:val="00721FF2"/>
    <w:rsid w:val="0074469D"/>
    <w:rsid w:val="00756927"/>
    <w:rsid w:val="00761BBE"/>
    <w:rsid w:val="00763B7B"/>
    <w:rsid w:val="007765A7"/>
    <w:rsid w:val="007917E3"/>
    <w:rsid w:val="007A0A13"/>
    <w:rsid w:val="007A0EE4"/>
    <w:rsid w:val="007B139A"/>
    <w:rsid w:val="007C4AFB"/>
    <w:rsid w:val="007C588F"/>
    <w:rsid w:val="007D12B5"/>
    <w:rsid w:val="007D1D8C"/>
    <w:rsid w:val="007D67EC"/>
    <w:rsid w:val="007E249C"/>
    <w:rsid w:val="007F48C2"/>
    <w:rsid w:val="00813724"/>
    <w:rsid w:val="008166A2"/>
    <w:rsid w:val="00816C81"/>
    <w:rsid w:val="00821198"/>
    <w:rsid w:val="00821590"/>
    <w:rsid w:val="00823A5E"/>
    <w:rsid w:val="008258EF"/>
    <w:rsid w:val="00826D48"/>
    <w:rsid w:val="00843866"/>
    <w:rsid w:val="00864FA4"/>
    <w:rsid w:val="00882903"/>
    <w:rsid w:val="00885419"/>
    <w:rsid w:val="00886906"/>
    <w:rsid w:val="00895C96"/>
    <w:rsid w:val="008B199F"/>
    <w:rsid w:val="008B38D0"/>
    <w:rsid w:val="008B6010"/>
    <w:rsid w:val="008C0053"/>
    <w:rsid w:val="008C6852"/>
    <w:rsid w:val="008D72A2"/>
    <w:rsid w:val="008E4CDD"/>
    <w:rsid w:val="008F22F2"/>
    <w:rsid w:val="009322D6"/>
    <w:rsid w:val="009341A6"/>
    <w:rsid w:val="00951306"/>
    <w:rsid w:val="0097717F"/>
    <w:rsid w:val="00991898"/>
    <w:rsid w:val="00994D56"/>
    <w:rsid w:val="009A0BCE"/>
    <w:rsid w:val="009B468B"/>
    <w:rsid w:val="009C3373"/>
    <w:rsid w:val="009D284C"/>
    <w:rsid w:val="009D5DA7"/>
    <w:rsid w:val="009E7AE9"/>
    <w:rsid w:val="009F04A5"/>
    <w:rsid w:val="009F67A5"/>
    <w:rsid w:val="009F7A48"/>
    <w:rsid w:val="00A12AE9"/>
    <w:rsid w:val="00A13C89"/>
    <w:rsid w:val="00A15E05"/>
    <w:rsid w:val="00A26CEF"/>
    <w:rsid w:val="00A3234A"/>
    <w:rsid w:val="00A3495B"/>
    <w:rsid w:val="00A3594A"/>
    <w:rsid w:val="00A52FB6"/>
    <w:rsid w:val="00A568D5"/>
    <w:rsid w:val="00A74D75"/>
    <w:rsid w:val="00A761A7"/>
    <w:rsid w:val="00A83A3A"/>
    <w:rsid w:val="00AA0CEE"/>
    <w:rsid w:val="00AB48E1"/>
    <w:rsid w:val="00AC0901"/>
    <w:rsid w:val="00AD1B68"/>
    <w:rsid w:val="00AD5FEA"/>
    <w:rsid w:val="00AF0E70"/>
    <w:rsid w:val="00AF368A"/>
    <w:rsid w:val="00B00EBA"/>
    <w:rsid w:val="00B02498"/>
    <w:rsid w:val="00B12B67"/>
    <w:rsid w:val="00B1561A"/>
    <w:rsid w:val="00B23688"/>
    <w:rsid w:val="00B471BF"/>
    <w:rsid w:val="00B51CB7"/>
    <w:rsid w:val="00B531BB"/>
    <w:rsid w:val="00B53F4D"/>
    <w:rsid w:val="00B73666"/>
    <w:rsid w:val="00B94A8A"/>
    <w:rsid w:val="00B956E4"/>
    <w:rsid w:val="00BD1A88"/>
    <w:rsid w:val="00BE238D"/>
    <w:rsid w:val="00BE3D95"/>
    <w:rsid w:val="00BF1374"/>
    <w:rsid w:val="00C0324B"/>
    <w:rsid w:val="00C040EE"/>
    <w:rsid w:val="00C24EFD"/>
    <w:rsid w:val="00C36ED8"/>
    <w:rsid w:val="00C638C7"/>
    <w:rsid w:val="00C647B9"/>
    <w:rsid w:val="00C677F2"/>
    <w:rsid w:val="00C67CC2"/>
    <w:rsid w:val="00C72D6D"/>
    <w:rsid w:val="00C974DA"/>
    <w:rsid w:val="00CB03E6"/>
    <w:rsid w:val="00CB4275"/>
    <w:rsid w:val="00CB6384"/>
    <w:rsid w:val="00CB6840"/>
    <w:rsid w:val="00CB79DF"/>
    <w:rsid w:val="00CC69C0"/>
    <w:rsid w:val="00CC6B68"/>
    <w:rsid w:val="00CF2D06"/>
    <w:rsid w:val="00D12924"/>
    <w:rsid w:val="00D157B6"/>
    <w:rsid w:val="00D26860"/>
    <w:rsid w:val="00D323B4"/>
    <w:rsid w:val="00D41908"/>
    <w:rsid w:val="00D44A00"/>
    <w:rsid w:val="00D551F0"/>
    <w:rsid w:val="00D66DA5"/>
    <w:rsid w:val="00D8525A"/>
    <w:rsid w:val="00D85C6B"/>
    <w:rsid w:val="00D9594F"/>
    <w:rsid w:val="00DA3D20"/>
    <w:rsid w:val="00DA417A"/>
    <w:rsid w:val="00DB008B"/>
    <w:rsid w:val="00DC384D"/>
    <w:rsid w:val="00DE4488"/>
    <w:rsid w:val="00DE715C"/>
    <w:rsid w:val="00DF1536"/>
    <w:rsid w:val="00E00F62"/>
    <w:rsid w:val="00E01BC3"/>
    <w:rsid w:val="00E03B06"/>
    <w:rsid w:val="00E22FE1"/>
    <w:rsid w:val="00E32078"/>
    <w:rsid w:val="00E33902"/>
    <w:rsid w:val="00E37A90"/>
    <w:rsid w:val="00E564AB"/>
    <w:rsid w:val="00E8620C"/>
    <w:rsid w:val="00E94343"/>
    <w:rsid w:val="00E9659F"/>
    <w:rsid w:val="00E97D75"/>
    <w:rsid w:val="00EA14AC"/>
    <w:rsid w:val="00EB2902"/>
    <w:rsid w:val="00EB5C99"/>
    <w:rsid w:val="00EB6642"/>
    <w:rsid w:val="00EC1425"/>
    <w:rsid w:val="00ED56A8"/>
    <w:rsid w:val="00EE1747"/>
    <w:rsid w:val="00EF2135"/>
    <w:rsid w:val="00EF34D3"/>
    <w:rsid w:val="00EF592E"/>
    <w:rsid w:val="00F018ED"/>
    <w:rsid w:val="00F124A9"/>
    <w:rsid w:val="00F1376B"/>
    <w:rsid w:val="00F30EDD"/>
    <w:rsid w:val="00F34562"/>
    <w:rsid w:val="00F4590D"/>
    <w:rsid w:val="00F51D5A"/>
    <w:rsid w:val="00F57793"/>
    <w:rsid w:val="00F675D6"/>
    <w:rsid w:val="00F721E0"/>
    <w:rsid w:val="00F75FE6"/>
    <w:rsid w:val="00F84244"/>
    <w:rsid w:val="00F87318"/>
    <w:rsid w:val="00F93298"/>
    <w:rsid w:val="00FA117B"/>
    <w:rsid w:val="00FA32BF"/>
    <w:rsid w:val="00FA4381"/>
    <w:rsid w:val="00FA71A4"/>
    <w:rsid w:val="00FB1F3F"/>
    <w:rsid w:val="00FB4040"/>
    <w:rsid w:val="00FB4FAE"/>
    <w:rsid w:val="00FB71A2"/>
    <w:rsid w:val="00FC58B4"/>
    <w:rsid w:val="00FD18A1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61176"/>
  <w15:chartTrackingRefBased/>
  <w15:docId w15:val="{7AD85E64-F35A-4991-9721-353E11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4590D"/>
    <w:pPr>
      <w:keepNext/>
      <w:spacing w:before="120" w:after="120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qFormat/>
    <w:rsid w:val="005808A8"/>
    <w:pPr>
      <w:keepNext/>
      <w:jc w:val="both"/>
      <w:outlineLvl w:val="1"/>
    </w:pPr>
    <w:rPr>
      <w:rFonts w:ascii="Times New (W1)" w:hAnsi="Times New (W1)"/>
      <w:b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CB6840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rPr>
      <w:color w:val="0000FF"/>
      <w:sz w:val="28"/>
    </w:rPr>
  </w:style>
  <w:style w:type="paragraph" w:styleId="BalloonText">
    <w:name w:val="Balloon Text"/>
    <w:basedOn w:val="Normal"/>
    <w:semiHidden/>
    <w:rsid w:val="0015667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917E3"/>
    <w:pPr>
      <w:jc w:val="center"/>
    </w:pPr>
    <w:rPr>
      <w:b/>
      <w:sz w:val="28"/>
    </w:rPr>
  </w:style>
  <w:style w:type="paragraph" w:styleId="BlockText">
    <w:name w:val="Block Text"/>
    <w:basedOn w:val="Normal"/>
    <w:rsid w:val="00F4590D"/>
  </w:style>
  <w:style w:type="character" w:customStyle="1" w:styleId="StyleRotisSerif-Italic11ptItalicCustomColorRGB236411992">
    <w:name w:val="Style RotisSerif-Italic 11 pt Italic Custom Color(RGB(23641199...2"/>
    <w:rsid w:val="00594E61"/>
    <w:rPr>
      <w:rFonts w:ascii="RotisSerif-Italic" w:hAnsi="RotisSerif-Italic"/>
      <w:i/>
      <w:iCs/>
      <w:color w:val="333399"/>
      <w:sz w:val="22"/>
    </w:rPr>
  </w:style>
  <w:style w:type="paragraph" w:customStyle="1" w:styleId="Pa3">
    <w:name w:val="Pa3"/>
    <w:basedOn w:val="Normal"/>
    <w:next w:val="Normal"/>
    <w:rsid w:val="00594E61"/>
    <w:pPr>
      <w:autoSpaceDE w:val="0"/>
      <w:autoSpaceDN w:val="0"/>
      <w:adjustRightInd w:val="0"/>
      <w:spacing w:line="281" w:lineRule="atLeast"/>
    </w:pPr>
    <w:rPr>
      <w:rFonts w:ascii="Rotis Sans Serif Std" w:hAnsi="Rotis Sans Serif Std"/>
      <w:sz w:val="24"/>
      <w:szCs w:val="24"/>
      <w:lang w:eastAsia="zh-TW"/>
    </w:rPr>
  </w:style>
  <w:style w:type="paragraph" w:styleId="BodyText2">
    <w:name w:val="Body Text 2"/>
    <w:basedOn w:val="Normal"/>
    <w:rsid w:val="008B199F"/>
    <w:rPr>
      <w:rFonts w:ascii="Verdana" w:hAnsi="Verdana"/>
      <w:sz w:val="22"/>
      <w:szCs w:val="22"/>
    </w:rPr>
  </w:style>
  <w:style w:type="paragraph" w:styleId="BodyTextIndent">
    <w:name w:val="Body Text Indent"/>
    <w:basedOn w:val="Normal"/>
    <w:rsid w:val="009D284C"/>
    <w:pPr>
      <w:ind w:left="709"/>
    </w:pPr>
    <w:rPr>
      <w:rFonts w:ascii="Verdana" w:hAnsi="Verdana"/>
      <w:sz w:val="22"/>
      <w:szCs w:val="22"/>
    </w:rPr>
  </w:style>
  <w:style w:type="paragraph" w:styleId="BodyTextIndent2">
    <w:name w:val="Body Text Indent 2"/>
    <w:basedOn w:val="Normal"/>
    <w:rsid w:val="00AA0CEE"/>
    <w:pPr>
      <w:ind w:left="709"/>
    </w:pPr>
    <w:rPr>
      <w:rFonts w:ascii="Verdana" w:hAnsi="Verdana" w:cs="RotisSerif"/>
      <w:color w:val="000000"/>
      <w:sz w:val="22"/>
      <w:szCs w:val="22"/>
    </w:rPr>
  </w:style>
  <w:style w:type="paragraph" w:styleId="BodyText3">
    <w:name w:val="Body Text 3"/>
    <w:basedOn w:val="Normal"/>
    <w:rsid w:val="00CB03E6"/>
    <w:pPr>
      <w:autoSpaceDE w:val="0"/>
      <w:autoSpaceDN w:val="0"/>
      <w:adjustRightInd w:val="0"/>
    </w:pPr>
    <w:rPr>
      <w:iCs/>
      <w:color w:val="000000"/>
      <w:sz w:val="28"/>
      <w:szCs w:val="28"/>
    </w:rPr>
  </w:style>
  <w:style w:type="paragraph" w:styleId="BodyTextIndent3">
    <w:name w:val="Body Text Indent 3"/>
    <w:basedOn w:val="Normal"/>
    <w:rsid w:val="00EF34D3"/>
    <w:pPr>
      <w:ind w:left="709" w:hanging="709"/>
    </w:pPr>
    <w:rPr>
      <w:sz w:val="28"/>
      <w:szCs w:val="28"/>
    </w:rPr>
  </w:style>
  <w:style w:type="character" w:styleId="CommentReference">
    <w:name w:val="annotation reference"/>
    <w:rsid w:val="001375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75F0"/>
  </w:style>
  <w:style w:type="character" w:customStyle="1" w:styleId="CommentTextChar">
    <w:name w:val="Comment Text Char"/>
    <w:basedOn w:val="DefaultParagraphFont"/>
    <w:link w:val="CommentText"/>
    <w:rsid w:val="001375F0"/>
  </w:style>
  <w:style w:type="paragraph" w:styleId="CommentSubject">
    <w:name w:val="annotation subject"/>
    <w:basedOn w:val="CommentText"/>
    <w:next w:val="CommentText"/>
    <w:link w:val="CommentSubjectChar"/>
    <w:rsid w:val="001375F0"/>
    <w:rPr>
      <w:b/>
      <w:bCs/>
    </w:rPr>
  </w:style>
  <w:style w:type="character" w:customStyle="1" w:styleId="CommentSubjectChar">
    <w:name w:val="Comment Subject Char"/>
    <w:link w:val="CommentSubject"/>
    <w:rsid w:val="001375F0"/>
    <w:rPr>
      <w:b/>
      <w:bCs/>
    </w:rPr>
  </w:style>
  <w:style w:type="paragraph" w:styleId="ListParagraph">
    <w:name w:val="List Paragraph"/>
    <w:basedOn w:val="Normal"/>
    <w:uiPriority w:val="34"/>
    <w:qFormat/>
    <w:rsid w:val="00D85C6B"/>
    <w:pPr>
      <w:ind w:left="720"/>
    </w:pPr>
  </w:style>
  <w:style w:type="paragraph" w:customStyle="1" w:styleId="subsection">
    <w:name w:val="subsection"/>
    <w:aliases w:val="ss"/>
    <w:basedOn w:val="Normal"/>
    <w:rsid w:val="00590EAC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qFormat/>
    <w:rsid w:val="00885419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paragraph" w:styleId="NormalWeb">
    <w:name w:val="Normal (Web)"/>
    <w:basedOn w:val="Normal"/>
    <w:uiPriority w:val="99"/>
    <w:unhideWhenUsed/>
    <w:rsid w:val="007031E2"/>
    <w:pPr>
      <w:spacing w:after="220"/>
    </w:pPr>
    <w:rPr>
      <w:sz w:val="24"/>
      <w:szCs w:val="24"/>
    </w:rPr>
  </w:style>
  <w:style w:type="paragraph" w:styleId="Header">
    <w:name w:val="header"/>
    <w:basedOn w:val="Normal"/>
    <w:link w:val="HeaderChar"/>
    <w:rsid w:val="00100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02B9"/>
  </w:style>
  <w:style w:type="paragraph" w:styleId="Footer">
    <w:name w:val="footer"/>
    <w:basedOn w:val="Normal"/>
    <w:link w:val="FooterChar"/>
    <w:uiPriority w:val="99"/>
    <w:rsid w:val="00100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6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3F6C-A934-43F4-845C-61C1CA71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DVA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CCOLLM</dc:creator>
  <cp:keywords/>
  <cp:lastModifiedBy>Wright, Michael</cp:lastModifiedBy>
  <cp:revision>5</cp:revision>
  <cp:lastPrinted>2019-06-11T02:38:00Z</cp:lastPrinted>
  <dcterms:created xsi:type="dcterms:W3CDTF">2019-06-17T00:26:00Z</dcterms:created>
  <dcterms:modified xsi:type="dcterms:W3CDTF">2019-06-18T06:40:00Z</dcterms:modified>
</cp:coreProperties>
</file>