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6916376B" w:rsidR="002E3895" w:rsidRPr="005F09F7" w:rsidRDefault="6B329A72" w:rsidP="0086430F">
      <w:pPr>
        <w:pStyle w:val="Title"/>
      </w:pPr>
      <w:bookmarkStart w:id="0" w:name="_GoBack"/>
      <w:bookmarkEnd w:id="0"/>
      <w:r>
        <w:t>EXPLANATORY STATEMENT</w:t>
      </w:r>
    </w:p>
    <w:p w14:paraId="4492DBCF" w14:textId="77777777" w:rsidR="00575B12" w:rsidRDefault="00575B12" w:rsidP="005836CC">
      <w:pPr>
        <w:pStyle w:val="Sub-subtitle"/>
        <w:rPr>
          <w:i/>
          <w:sz w:val="24"/>
        </w:rPr>
      </w:pPr>
      <w:r w:rsidRPr="00121893">
        <w:rPr>
          <w:i/>
        </w:rPr>
        <w:t xml:space="preserve">Underwater Cultural </w:t>
      </w:r>
      <w:r w:rsidRPr="00575B12">
        <w:rPr>
          <w:i/>
        </w:rPr>
        <w:t>H</w:t>
      </w:r>
      <w:r w:rsidRPr="00121893">
        <w:rPr>
          <w:i/>
        </w:rPr>
        <w:t>eritage Act 2018</w:t>
      </w:r>
      <w:r>
        <w:t xml:space="preserve"> (Protected Zones) Declaration Instrument 2019 </w:t>
      </w:r>
    </w:p>
    <w:p w14:paraId="1018D714" w14:textId="510769FE" w:rsidR="004E0E3B" w:rsidRDefault="6B329A72" w:rsidP="005836CC">
      <w:pPr>
        <w:pStyle w:val="Sub-subtitle"/>
      </w:pPr>
      <w:r w:rsidRPr="00777960">
        <w:t>(</w:t>
      </w:r>
      <w:r w:rsidR="00777960" w:rsidRPr="00777960">
        <w:t xml:space="preserve">Issued by the authority of the </w:t>
      </w:r>
      <w:r w:rsidRPr="00777960">
        <w:t xml:space="preserve">Minister for the </w:t>
      </w:r>
      <w:r w:rsidR="00777960" w:rsidRPr="00777960">
        <w:t>Environment)</w:t>
      </w:r>
    </w:p>
    <w:p w14:paraId="199207AC" w14:textId="29714785" w:rsidR="000D0E22" w:rsidRDefault="004E0E3B" w:rsidP="005F09F7">
      <w:pPr>
        <w:pStyle w:val="Heading1"/>
      </w:pPr>
      <w:r>
        <w:t>Purpose and o</w:t>
      </w:r>
      <w:r w:rsidR="000D0E22" w:rsidRPr="000D0E22">
        <w:t>peration</w:t>
      </w:r>
    </w:p>
    <w:p w14:paraId="323E8357" w14:textId="77777777" w:rsidR="00CE0054" w:rsidRDefault="0046017F" w:rsidP="008A61E3">
      <w:pPr>
        <w:spacing w:before="120" w:after="120"/>
        <w:rPr>
          <w:rFonts w:cs="Times New Roman"/>
          <w:szCs w:val="24"/>
        </w:rPr>
      </w:pPr>
      <w:r>
        <w:rPr>
          <w:rFonts w:cs="Times New Roman"/>
          <w:szCs w:val="24"/>
        </w:rPr>
        <w:t>Subsection</w:t>
      </w:r>
      <w:r w:rsidR="008A61E3" w:rsidRPr="008A61E3">
        <w:rPr>
          <w:rFonts w:cs="Times New Roman"/>
          <w:szCs w:val="24"/>
        </w:rPr>
        <w:t xml:space="preserve"> 20(1) </w:t>
      </w:r>
      <w:r>
        <w:rPr>
          <w:rFonts w:cs="Times New Roman"/>
          <w:szCs w:val="24"/>
        </w:rPr>
        <w:t xml:space="preserve">of the </w:t>
      </w:r>
      <w:r w:rsidRPr="0046017F">
        <w:rPr>
          <w:rFonts w:cs="Times New Roman"/>
          <w:i/>
          <w:szCs w:val="24"/>
        </w:rPr>
        <w:t>Underwater Cultural Heritage Act 2018</w:t>
      </w:r>
      <w:r>
        <w:rPr>
          <w:rFonts w:cs="Times New Roman"/>
          <w:szCs w:val="24"/>
        </w:rPr>
        <w:t xml:space="preserve"> (the Act) </w:t>
      </w:r>
      <w:r w:rsidR="008A61E3" w:rsidRPr="008A61E3">
        <w:rPr>
          <w:rFonts w:cs="Times New Roman"/>
          <w:szCs w:val="24"/>
        </w:rPr>
        <w:t>provides that the Minister may, by legislative instrument, declare an area containing protected underwater heritage to be a protected zone.</w:t>
      </w:r>
      <w:r>
        <w:rPr>
          <w:rFonts w:cs="Times New Roman"/>
          <w:szCs w:val="24"/>
        </w:rPr>
        <w:t xml:space="preserve">  </w:t>
      </w:r>
    </w:p>
    <w:p w14:paraId="1F5E637D" w14:textId="3A1FD907" w:rsidR="008A61E3" w:rsidRPr="008A61E3" w:rsidRDefault="0046017F" w:rsidP="008A61E3">
      <w:pPr>
        <w:spacing w:before="120" w:after="120"/>
        <w:rPr>
          <w:rFonts w:cs="Times New Roman"/>
          <w:szCs w:val="24"/>
        </w:rPr>
      </w:pPr>
      <w:r>
        <w:rPr>
          <w:rFonts w:cs="Times New Roman"/>
          <w:szCs w:val="24"/>
        </w:rPr>
        <w:t>Protected zones provide an additional layer of protection for underwater cultural heritage sites</w:t>
      </w:r>
      <w:r w:rsidR="001964D5">
        <w:rPr>
          <w:rFonts w:cs="Times New Roman"/>
          <w:szCs w:val="24"/>
        </w:rPr>
        <w:t>. I</w:t>
      </w:r>
      <w:r w:rsidR="008A61E3" w:rsidRPr="008A61E3">
        <w:rPr>
          <w:rFonts w:cs="Times New Roman"/>
          <w:szCs w:val="24"/>
        </w:rPr>
        <w:t xml:space="preserve">n making a declaration, the Minister must have regard to </w:t>
      </w:r>
      <w:r w:rsidR="00601B29">
        <w:rPr>
          <w:rFonts w:cs="Times New Roman"/>
          <w:szCs w:val="24"/>
        </w:rPr>
        <w:t xml:space="preserve">the </w:t>
      </w:r>
      <w:r>
        <w:rPr>
          <w:rFonts w:cs="Times New Roman"/>
          <w:szCs w:val="24"/>
        </w:rPr>
        <w:t>matters</w:t>
      </w:r>
      <w:r w:rsidR="001964D5">
        <w:rPr>
          <w:rFonts w:cs="Times New Roman"/>
          <w:szCs w:val="24"/>
        </w:rPr>
        <w:t xml:space="preserve"> </w:t>
      </w:r>
      <w:r w:rsidR="00601B29">
        <w:rPr>
          <w:rFonts w:cs="Times New Roman"/>
          <w:szCs w:val="24"/>
        </w:rPr>
        <w:t>specified in</w:t>
      </w:r>
      <w:r w:rsidR="001964D5">
        <w:rPr>
          <w:rFonts w:cs="Times New Roman"/>
          <w:szCs w:val="24"/>
        </w:rPr>
        <w:t xml:space="preserve"> subsection 20(3) of the Act</w:t>
      </w:r>
      <w:r>
        <w:rPr>
          <w:rFonts w:cs="Times New Roman"/>
          <w:szCs w:val="24"/>
        </w:rPr>
        <w:t xml:space="preserve">, </w:t>
      </w:r>
      <w:r w:rsidR="00601B29">
        <w:rPr>
          <w:rFonts w:cs="Times New Roman"/>
          <w:szCs w:val="24"/>
        </w:rPr>
        <w:t xml:space="preserve">which </w:t>
      </w:r>
      <w:r w:rsidR="008A61E3" w:rsidRPr="008A61E3">
        <w:rPr>
          <w:rFonts w:cs="Times New Roman"/>
          <w:szCs w:val="24"/>
        </w:rPr>
        <w:t>includ</w:t>
      </w:r>
      <w:r w:rsidR="00601B29">
        <w:rPr>
          <w:rFonts w:cs="Times New Roman"/>
          <w:szCs w:val="24"/>
        </w:rPr>
        <w:t>e</w:t>
      </w:r>
      <w:r w:rsidR="008A61E3" w:rsidRPr="008A61E3">
        <w:rPr>
          <w:rFonts w:cs="Times New Roman"/>
          <w:szCs w:val="24"/>
        </w:rPr>
        <w:t xml:space="preserve"> conservation, management </w:t>
      </w:r>
      <w:r w:rsidR="00601B29">
        <w:rPr>
          <w:rFonts w:cs="Times New Roman"/>
          <w:szCs w:val="24"/>
        </w:rPr>
        <w:t>and</w:t>
      </w:r>
      <w:r w:rsidR="00601B29" w:rsidRPr="008A61E3">
        <w:rPr>
          <w:rFonts w:cs="Times New Roman"/>
          <w:szCs w:val="24"/>
        </w:rPr>
        <w:t xml:space="preserve"> </w:t>
      </w:r>
      <w:r w:rsidR="008A61E3" w:rsidRPr="008A61E3">
        <w:rPr>
          <w:rFonts w:cs="Times New Roman"/>
          <w:szCs w:val="24"/>
        </w:rPr>
        <w:t>public safety considerations.</w:t>
      </w:r>
      <w:r w:rsidR="009573E8">
        <w:rPr>
          <w:rFonts w:cs="Times New Roman"/>
          <w:szCs w:val="24"/>
        </w:rPr>
        <w:t xml:space="preserve"> </w:t>
      </w:r>
      <w:r w:rsidR="00833FE3">
        <w:rPr>
          <w:rFonts w:cs="Times New Roman"/>
          <w:szCs w:val="24"/>
        </w:rPr>
        <w:t xml:space="preserve">This ensures that site-specific features that may include, for example, unexploded military ordnances or unstable structures are taken into account. </w:t>
      </w:r>
    </w:p>
    <w:p w14:paraId="257802C4" w14:textId="75E57319" w:rsidR="008A61E3" w:rsidRPr="008A61E3" w:rsidRDefault="00601B29" w:rsidP="008A61E3">
      <w:pPr>
        <w:spacing w:before="120" w:after="120"/>
        <w:rPr>
          <w:rFonts w:cs="Times New Roman"/>
          <w:szCs w:val="24"/>
        </w:rPr>
      </w:pPr>
      <w:r>
        <w:rPr>
          <w:rFonts w:cs="Times New Roman"/>
          <w:szCs w:val="24"/>
        </w:rPr>
        <w:t>Under subsection 20(5)(d), t</w:t>
      </w:r>
      <w:r w:rsidR="008A61E3" w:rsidRPr="008A61E3">
        <w:rPr>
          <w:rFonts w:cs="Times New Roman"/>
          <w:szCs w:val="24"/>
        </w:rPr>
        <w:t xml:space="preserve">he Minister </w:t>
      </w:r>
      <w:r w:rsidR="001964D5">
        <w:rPr>
          <w:rFonts w:cs="Times New Roman"/>
          <w:szCs w:val="24"/>
        </w:rPr>
        <w:t xml:space="preserve">must </w:t>
      </w:r>
      <w:r w:rsidR="008A61E3" w:rsidRPr="008A61E3">
        <w:rPr>
          <w:rFonts w:cs="Times New Roman"/>
          <w:szCs w:val="24"/>
        </w:rPr>
        <w:t>specify the prohibited conduct for each prote</w:t>
      </w:r>
      <w:r w:rsidR="00CE0054">
        <w:rPr>
          <w:rFonts w:cs="Times New Roman"/>
          <w:szCs w:val="24"/>
        </w:rPr>
        <w:t>cted zone</w:t>
      </w:r>
      <w:r w:rsidR="001964D5">
        <w:rPr>
          <w:rFonts w:cs="Times New Roman"/>
          <w:szCs w:val="24"/>
        </w:rPr>
        <w:t>.</w:t>
      </w:r>
      <w:r w:rsidR="00CE0054">
        <w:rPr>
          <w:rFonts w:cs="Times New Roman"/>
          <w:szCs w:val="24"/>
        </w:rPr>
        <w:t xml:space="preserve"> </w:t>
      </w:r>
      <w:r w:rsidR="00833FE3">
        <w:rPr>
          <w:rFonts w:cs="Times New Roman"/>
          <w:szCs w:val="24"/>
        </w:rPr>
        <w:t>A non-exhaustive list</w:t>
      </w:r>
      <w:r w:rsidR="008A61E3" w:rsidRPr="008A61E3">
        <w:rPr>
          <w:rFonts w:cs="Times New Roman"/>
          <w:szCs w:val="24"/>
        </w:rPr>
        <w:t xml:space="preserve"> of </w:t>
      </w:r>
      <w:r w:rsidR="006A106E">
        <w:rPr>
          <w:rFonts w:cs="Times New Roman"/>
          <w:szCs w:val="24"/>
        </w:rPr>
        <w:t xml:space="preserve">the types of </w:t>
      </w:r>
      <w:r>
        <w:rPr>
          <w:rFonts w:cs="Times New Roman"/>
          <w:szCs w:val="24"/>
        </w:rPr>
        <w:t>conduct</w:t>
      </w:r>
      <w:r w:rsidRPr="008A61E3">
        <w:rPr>
          <w:rFonts w:cs="Times New Roman"/>
          <w:szCs w:val="24"/>
        </w:rPr>
        <w:t xml:space="preserve"> </w:t>
      </w:r>
      <w:r w:rsidR="008A61E3" w:rsidRPr="008A61E3">
        <w:rPr>
          <w:rFonts w:cs="Times New Roman"/>
          <w:szCs w:val="24"/>
        </w:rPr>
        <w:t>that can be prohibited</w:t>
      </w:r>
      <w:r w:rsidR="00CE0054">
        <w:rPr>
          <w:rFonts w:cs="Times New Roman"/>
          <w:szCs w:val="24"/>
        </w:rPr>
        <w:t xml:space="preserve"> </w:t>
      </w:r>
      <w:r w:rsidR="00833FE3">
        <w:rPr>
          <w:rFonts w:cs="Times New Roman"/>
          <w:szCs w:val="24"/>
        </w:rPr>
        <w:t xml:space="preserve">under subsection 20(5)(d) </w:t>
      </w:r>
      <w:r w:rsidR="00CE0054">
        <w:rPr>
          <w:rFonts w:cs="Times New Roman"/>
          <w:szCs w:val="24"/>
        </w:rPr>
        <w:t xml:space="preserve">are </w:t>
      </w:r>
      <w:r>
        <w:rPr>
          <w:rFonts w:cs="Times New Roman"/>
          <w:szCs w:val="24"/>
        </w:rPr>
        <w:t>specified in</w:t>
      </w:r>
      <w:r w:rsidR="001964D5">
        <w:rPr>
          <w:rFonts w:cs="Times New Roman"/>
          <w:szCs w:val="24"/>
        </w:rPr>
        <w:t xml:space="preserve"> subsection 20(7)</w:t>
      </w:r>
      <w:r w:rsidR="00FD5462">
        <w:rPr>
          <w:rFonts w:cs="Times New Roman"/>
          <w:szCs w:val="24"/>
        </w:rPr>
        <w:t>.</w:t>
      </w:r>
      <w:r w:rsidR="00E54310">
        <w:rPr>
          <w:rFonts w:cs="Times New Roman"/>
          <w:szCs w:val="24"/>
        </w:rPr>
        <w:t xml:space="preserve"> </w:t>
      </w:r>
      <w:r w:rsidR="00FD5462">
        <w:rPr>
          <w:rFonts w:cs="Times New Roman"/>
          <w:szCs w:val="24"/>
        </w:rPr>
        <w:t>This</w:t>
      </w:r>
      <w:r w:rsidR="008A61E3" w:rsidRPr="008A61E3">
        <w:rPr>
          <w:rFonts w:cs="Times New Roman"/>
          <w:szCs w:val="24"/>
        </w:rPr>
        <w:t xml:space="preserve"> allow</w:t>
      </w:r>
      <w:r w:rsidR="00FD5462">
        <w:rPr>
          <w:rFonts w:cs="Times New Roman"/>
          <w:szCs w:val="24"/>
        </w:rPr>
        <w:t>s</w:t>
      </w:r>
      <w:r w:rsidR="008A61E3" w:rsidRPr="008A61E3">
        <w:rPr>
          <w:rFonts w:cs="Times New Roman"/>
          <w:szCs w:val="24"/>
        </w:rPr>
        <w:t xml:space="preserve"> the declaration to be tailored to prohibit conduct in each zone to specifically suit </w:t>
      </w:r>
      <w:r w:rsidR="00B8644A">
        <w:rPr>
          <w:rFonts w:cs="Times New Roman"/>
          <w:szCs w:val="24"/>
        </w:rPr>
        <w:t>the site-specific circumstances</w:t>
      </w:r>
      <w:r w:rsidR="008A61E3" w:rsidRPr="008A61E3">
        <w:rPr>
          <w:rFonts w:cs="Times New Roman"/>
          <w:szCs w:val="24"/>
        </w:rPr>
        <w:t xml:space="preserve">. </w:t>
      </w:r>
      <w:r w:rsidR="00AD39C8">
        <w:rPr>
          <w:rFonts w:cs="Times New Roman"/>
          <w:szCs w:val="24"/>
        </w:rPr>
        <w:t>In this way, freedom of movement is not unnecessarily restricted where it does not impinge on the objective of protecting the underwater cultural heritage.</w:t>
      </w:r>
    </w:p>
    <w:p w14:paraId="0B05844C" w14:textId="7B9E4F66" w:rsidR="008A61E3" w:rsidRDefault="00EB3E9C" w:rsidP="008A61E3">
      <w:pPr>
        <w:spacing w:before="120" w:after="120"/>
        <w:rPr>
          <w:rFonts w:cs="Times New Roman"/>
          <w:szCs w:val="24"/>
        </w:rPr>
      </w:pPr>
      <w:r>
        <w:rPr>
          <w:rFonts w:cs="Times New Roman"/>
          <w:szCs w:val="24"/>
        </w:rPr>
        <w:t>Section 20 of the Act</w:t>
      </w:r>
      <w:r w:rsidR="008A61E3" w:rsidRPr="008A61E3">
        <w:rPr>
          <w:rFonts w:cs="Times New Roman"/>
          <w:szCs w:val="24"/>
        </w:rPr>
        <w:t xml:space="preserve"> also allows the size of protected zones to be tailored to suit individual site requirements. While it is not generally envisaged that the Minister will declare an area larger than 200 hectares, the flexibility for the Minister to declare a larger area will allow for zones to be established around sites that are widely spread e.g. shipwrecks in deep water that have extensive debris fields on the sea floor.</w:t>
      </w:r>
    </w:p>
    <w:p w14:paraId="66C2C89A" w14:textId="4D02D1B0" w:rsidR="00051217" w:rsidRDefault="00AD39C8" w:rsidP="00E10136">
      <w:pPr>
        <w:pStyle w:val="Sub-subtitle"/>
        <w:jc w:val="left"/>
      </w:pPr>
      <w:r>
        <w:t xml:space="preserve">To facilitate a smooth administrative transition from the, to be repealed, </w:t>
      </w:r>
      <w:r w:rsidRPr="00AD39C8">
        <w:rPr>
          <w:i/>
        </w:rPr>
        <w:t>Historic Shipwrecks Act 1976</w:t>
      </w:r>
      <w:r>
        <w:t xml:space="preserve"> to the Act, </w:t>
      </w:r>
      <w:r w:rsidR="00051217" w:rsidRPr="00AD39C8">
        <w:t xml:space="preserve">the Minister is making this </w:t>
      </w:r>
      <w:r w:rsidR="00E10136" w:rsidRPr="00121893">
        <w:rPr>
          <w:i/>
        </w:rPr>
        <w:t xml:space="preserve">Underwater Cultural </w:t>
      </w:r>
      <w:r w:rsidR="00E10136" w:rsidRPr="00575B12">
        <w:rPr>
          <w:i/>
        </w:rPr>
        <w:t>H</w:t>
      </w:r>
      <w:r w:rsidR="00E10136" w:rsidRPr="00121893">
        <w:rPr>
          <w:i/>
        </w:rPr>
        <w:t>eritage Act 2018</w:t>
      </w:r>
      <w:r w:rsidR="00E10136">
        <w:t xml:space="preserve"> (Protected Zones) Declaration Instrument 2019 (the I</w:t>
      </w:r>
      <w:r w:rsidR="00051217" w:rsidRPr="00AD39C8">
        <w:t>nstrument</w:t>
      </w:r>
      <w:r w:rsidR="00E10136">
        <w:t>)</w:t>
      </w:r>
      <w:r w:rsidR="00051217" w:rsidRPr="00AD39C8">
        <w:t xml:space="preserve"> prior to the commencement of the Act, pursuant to section 4 of the Acts Interpretation Act 1901</w:t>
      </w:r>
      <w:r w:rsidR="00E10136">
        <w:t>. T</w:t>
      </w:r>
      <w:r w:rsidR="00051217" w:rsidRPr="00AD39C8">
        <w:t xml:space="preserve">he </w:t>
      </w:r>
      <w:r w:rsidR="00E10136">
        <w:t xml:space="preserve">Instrument </w:t>
      </w:r>
      <w:r w:rsidR="00051217" w:rsidRPr="00AD39C8">
        <w:t xml:space="preserve">will not commence until the Act commences on 1 July 2019. </w:t>
      </w:r>
    </w:p>
    <w:p w14:paraId="6E434214" w14:textId="77777777" w:rsidR="000D0E22" w:rsidRDefault="000D0E22" w:rsidP="005F09F7">
      <w:pPr>
        <w:pStyle w:val="Heading1"/>
      </w:pPr>
      <w:r>
        <w:t>Background</w:t>
      </w:r>
    </w:p>
    <w:p w14:paraId="3434EEF4" w14:textId="77777777" w:rsidR="00992F01" w:rsidRDefault="00E91A45" w:rsidP="00992F01">
      <w:pPr>
        <w:spacing w:before="120" w:after="120"/>
        <w:rPr>
          <w:rFonts w:cs="Times New Roman"/>
          <w:szCs w:val="24"/>
        </w:rPr>
      </w:pPr>
      <w:r>
        <w:rPr>
          <w:rFonts w:cs="Times New Roman"/>
          <w:szCs w:val="24"/>
        </w:rPr>
        <w:t xml:space="preserve">The Act </w:t>
      </w:r>
      <w:r w:rsidR="00D170A8" w:rsidRPr="00A84C6C">
        <w:rPr>
          <w:rFonts w:cs="Times New Roman"/>
          <w:szCs w:val="24"/>
        </w:rPr>
        <w:t>provide</w:t>
      </w:r>
      <w:r>
        <w:rPr>
          <w:rFonts w:cs="Times New Roman"/>
          <w:szCs w:val="24"/>
        </w:rPr>
        <w:t>s</w:t>
      </w:r>
      <w:r w:rsidR="00D170A8" w:rsidRPr="00A84C6C">
        <w:rPr>
          <w:rFonts w:cs="Times New Roman"/>
          <w:szCs w:val="24"/>
        </w:rPr>
        <w:t xml:space="preserve"> protection for approximately 8000 shipwreck</w:t>
      </w:r>
      <w:r w:rsidR="001964D5">
        <w:rPr>
          <w:rFonts w:cs="Times New Roman"/>
          <w:szCs w:val="24"/>
        </w:rPr>
        <w:t>s</w:t>
      </w:r>
      <w:r w:rsidR="00D170A8" w:rsidRPr="00A84C6C">
        <w:rPr>
          <w:rFonts w:cs="Times New Roman"/>
          <w:szCs w:val="24"/>
        </w:rPr>
        <w:t>, sunken aircraft and other types of underwater cultural heritage sites</w:t>
      </w:r>
      <w:r w:rsidR="00D170A8">
        <w:rPr>
          <w:rFonts w:cs="Times New Roman"/>
          <w:szCs w:val="24"/>
        </w:rPr>
        <w:t>. This instrument provides for the establishment of 2</w:t>
      </w:r>
      <w:r w:rsidR="00992F01">
        <w:rPr>
          <w:rFonts w:cs="Times New Roman"/>
          <w:szCs w:val="24"/>
        </w:rPr>
        <w:t>7</w:t>
      </w:r>
      <w:r w:rsidR="00D170A8">
        <w:rPr>
          <w:rFonts w:cs="Times New Roman"/>
          <w:szCs w:val="24"/>
        </w:rPr>
        <w:t xml:space="preserve"> protected zones around 2</w:t>
      </w:r>
      <w:r w:rsidR="00992F01">
        <w:rPr>
          <w:rFonts w:cs="Times New Roman"/>
          <w:szCs w:val="24"/>
        </w:rPr>
        <w:t>8</w:t>
      </w:r>
      <w:r w:rsidR="00D170A8">
        <w:rPr>
          <w:rFonts w:cs="Times New Roman"/>
          <w:szCs w:val="24"/>
        </w:rPr>
        <w:t xml:space="preserve"> protected underwater cultural heritage sites.</w:t>
      </w:r>
    </w:p>
    <w:p w14:paraId="17A66C17" w14:textId="2C47E09D" w:rsidR="00992F01" w:rsidRDefault="00992F01" w:rsidP="00992F01">
      <w:pPr>
        <w:spacing w:before="120" w:after="120"/>
        <w:rPr>
          <w:rFonts w:cs="Times New Roman"/>
          <w:szCs w:val="24"/>
        </w:rPr>
      </w:pPr>
      <w:r>
        <w:rPr>
          <w:rFonts w:cs="Times New Roman"/>
          <w:szCs w:val="24"/>
        </w:rPr>
        <w:t>Subsection 20(7) of the Act specifies a range of conduct, either generally or specific circumstances, which may be prohibited, including:</w:t>
      </w:r>
    </w:p>
    <w:p w14:paraId="668D7C47"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the entry of persons or vessels into the area;</w:t>
      </w:r>
    </w:p>
    <w:p w14:paraId="5CE5AC66"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the movement of persons or vessels within the area;</w:t>
      </w:r>
    </w:p>
    <w:p w14:paraId="7213A183"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trawling or fishing in the area;</w:t>
      </w:r>
    </w:p>
    <w:p w14:paraId="76282455"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conducting underwater activity within the area;</w:t>
      </w:r>
    </w:p>
    <w:p w14:paraId="7D06D9EB"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the anchoring or mooring of vessels in the area;</w:t>
      </w:r>
    </w:p>
    <w:p w14:paraId="0AE3151E" w14:textId="77777777" w:rsidR="00992F01" w:rsidRPr="00992F01" w:rsidRDefault="00992F01" w:rsidP="00992F01">
      <w:pPr>
        <w:pStyle w:val="ListParagraph"/>
        <w:numPr>
          <w:ilvl w:val="0"/>
          <w:numId w:val="6"/>
        </w:numPr>
        <w:spacing w:before="120" w:after="120"/>
        <w:rPr>
          <w:rFonts w:cs="Times New Roman"/>
          <w:szCs w:val="24"/>
        </w:rPr>
      </w:pPr>
      <w:r w:rsidRPr="00992F01">
        <w:rPr>
          <w:rFonts w:cs="Times New Roman"/>
          <w:szCs w:val="24"/>
        </w:rPr>
        <w:t>the release or deposit of objects or materials in the area.</w:t>
      </w:r>
    </w:p>
    <w:p w14:paraId="1204FA38" w14:textId="696EC07B" w:rsidR="000D0E22" w:rsidRDefault="000D0E22" w:rsidP="005F09F7">
      <w:pPr>
        <w:pStyle w:val="Heading1"/>
      </w:pPr>
      <w:r>
        <w:lastRenderedPageBreak/>
        <w:t>Consultation</w:t>
      </w:r>
      <w:r w:rsidR="005C4A91">
        <w:t xml:space="preserve">      </w:t>
      </w:r>
    </w:p>
    <w:p w14:paraId="60C816C2" w14:textId="68B72589" w:rsidR="00AC1375" w:rsidRDefault="00C635D7" w:rsidP="00AD39C8">
      <w:pPr>
        <w:spacing w:before="120" w:after="120"/>
        <w:rPr>
          <w:rFonts w:cs="Times New Roman"/>
          <w:b/>
          <w:i/>
          <w:szCs w:val="24"/>
        </w:rPr>
      </w:pPr>
      <w:r w:rsidRPr="00C635D7">
        <w:rPr>
          <w:rFonts w:cs="Times New Roman"/>
          <w:szCs w:val="24"/>
        </w:rPr>
        <w:t xml:space="preserve">The </w:t>
      </w:r>
      <w:r>
        <w:rPr>
          <w:rFonts w:cs="Times New Roman"/>
          <w:szCs w:val="24"/>
        </w:rPr>
        <w:t>Minister</w:t>
      </w:r>
      <w:r w:rsidR="001964D5">
        <w:rPr>
          <w:rFonts w:cs="Times New Roman"/>
          <w:szCs w:val="24"/>
        </w:rPr>
        <w:t>’</w:t>
      </w:r>
      <w:r>
        <w:rPr>
          <w:rFonts w:cs="Times New Roman"/>
          <w:szCs w:val="24"/>
        </w:rPr>
        <w:t xml:space="preserve">s </w:t>
      </w:r>
      <w:r w:rsidRPr="00C635D7">
        <w:rPr>
          <w:rFonts w:cs="Times New Roman"/>
          <w:szCs w:val="24"/>
        </w:rPr>
        <w:t>State, Northern Territory and Norfolk Island Delegates appointed under the</w:t>
      </w:r>
      <w:r>
        <w:rPr>
          <w:rFonts w:cs="Times New Roman"/>
          <w:szCs w:val="24"/>
        </w:rPr>
        <w:t xml:space="preserve"> </w:t>
      </w:r>
      <w:r w:rsidR="00AD39C8" w:rsidRPr="00AD39C8">
        <w:rPr>
          <w:rFonts w:cs="Times New Roman"/>
          <w:i/>
          <w:szCs w:val="24"/>
        </w:rPr>
        <w:t xml:space="preserve">Historic Shipwrecks </w:t>
      </w:r>
      <w:r w:rsidRPr="00AD39C8">
        <w:rPr>
          <w:rFonts w:cs="Times New Roman"/>
          <w:i/>
          <w:szCs w:val="24"/>
        </w:rPr>
        <w:t>Act</w:t>
      </w:r>
      <w:r w:rsidR="00AD39C8" w:rsidRPr="00AD39C8">
        <w:rPr>
          <w:rFonts w:cs="Times New Roman"/>
          <w:i/>
          <w:szCs w:val="24"/>
        </w:rPr>
        <w:t xml:space="preserve"> 1976</w:t>
      </w:r>
      <w:r w:rsidRPr="00C635D7">
        <w:rPr>
          <w:rFonts w:cs="Times New Roman"/>
          <w:szCs w:val="24"/>
        </w:rPr>
        <w:t xml:space="preserve"> have been consulted </w:t>
      </w:r>
      <w:r w:rsidR="00AD39C8">
        <w:rPr>
          <w:rFonts w:cs="Times New Roman"/>
          <w:szCs w:val="24"/>
        </w:rPr>
        <w:t xml:space="preserve">since December 2018 via phone and email on </w:t>
      </w:r>
      <w:r w:rsidR="001B5A55">
        <w:rPr>
          <w:rFonts w:cs="Times New Roman"/>
          <w:szCs w:val="24"/>
        </w:rPr>
        <w:t xml:space="preserve">the </w:t>
      </w:r>
      <w:r w:rsidR="00AD39C8">
        <w:rPr>
          <w:rFonts w:cs="Times New Roman"/>
          <w:szCs w:val="24"/>
        </w:rPr>
        <w:t xml:space="preserve">sites </w:t>
      </w:r>
      <w:r w:rsidR="001B5A55">
        <w:rPr>
          <w:rFonts w:cs="Times New Roman"/>
          <w:szCs w:val="24"/>
        </w:rPr>
        <w:t xml:space="preserve">that </w:t>
      </w:r>
      <w:r w:rsidR="00AD39C8">
        <w:rPr>
          <w:rFonts w:cs="Times New Roman"/>
          <w:szCs w:val="24"/>
        </w:rPr>
        <w:t xml:space="preserve">would be </w:t>
      </w:r>
      <w:r w:rsidR="001B5A55">
        <w:rPr>
          <w:rFonts w:cs="Times New Roman"/>
          <w:szCs w:val="24"/>
        </w:rPr>
        <w:t xml:space="preserve">suitable for declaration within </w:t>
      </w:r>
      <w:r w:rsidR="00AD39C8">
        <w:rPr>
          <w:rFonts w:cs="Times New Roman"/>
          <w:szCs w:val="24"/>
        </w:rPr>
        <w:t xml:space="preserve">protected zones </w:t>
      </w:r>
      <w:r w:rsidR="001B5A55">
        <w:rPr>
          <w:rFonts w:cs="Times New Roman"/>
          <w:szCs w:val="24"/>
        </w:rPr>
        <w:t>under the Act</w:t>
      </w:r>
      <w:r w:rsidR="00AD39C8">
        <w:rPr>
          <w:rFonts w:cs="Times New Roman"/>
          <w:szCs w:val="24"/>
        </w:rPr>
        <w:t>. The Delegates are predominantly the senior heritage officials in each jurisdiction typically responsible for the State or Northern Territory legislation that protects underwater cultural heritage</w:t>
      </w:r>
      <w:r w:rsidR="009A0E4B">
        <w:rPr>
          <w:rFonts w:cs="Times New Roman"/>
          <w:szCs w:val="24"/>
        </w:rPr>
        <w:t xml:space="preserve">. The exception to this is </w:t>
      </w:r>
      <w:r w:rsidR="00AD39C8">
        <w:rPr>
          <w:rFonts w:cs="Times New Roman"/>
          <w:szCs w:val="24"/>
        </w:rPr>
        <w:t>Norfolk Island</w:t>
      </w:r>
      <w:r w:rsidR="009A0E4B">
        <w:rPr>
          <w:rFonts w:cs="Times New Roman"/>
          <w:szCs w:val="24"/>
        </w:rPr>
        <w:t xml:space="preserve">, where the </w:t>
      </w:r>
      <w:r w:rsidR="00AD39C8">
        <w:rPr>
          <w:rFonts w:cs="Times New Roman"/>
          <w:szCs w:val="24"/>
        </w:rPr>
        <w:t xml:space="preserve">Delegate is a position within the Norfolk Island Museum that overlooks the site of HMS </w:t>
      </w:r>
      <w:r w:rsidR="00AD39C8" w:rsidRPr="00AD39C8">
        <w:rPr>
          <w:rFonts w:cs="Times New Roman"/>
          <w:i/>
          <w:szCs w:val="24"/>
        </w:rPr>
        <w:t>Sirius</w:t>
      </w:r>
      <w:r w:rsidR="00AD39C8">
        <w:rPr>
          <w:rFonts w:cs="Times New Roman"/>
          <w:szCs w:val="24"/>
        </w:rPr>
        <w:t xml:space="preserve">.  Each Delegate was required to consider the criteria for the protection of a site, what conduct should be prohibited for each site </w:t>
      </w:r>
      <w:r w:rsidRPr="00C635D7">
        <w:rPr>
          <w:rFonts w:cs="Times New Roman"/>
          <w:szCs w:val="24"/>
        </w:rPr>
        <w:t xml:space="preserve">and </w:t>
      </w:r>
      <w:r w:rsidR="00AD39C8">
        <w:rPr>
          <w:rFonts w:cs="Times New Roman"/>
          <w:szCs w:val="24"/>
        </w:rPr>
        <w:t xml:space="preserve">to </w:t>
      </w:r>
      <w:r w:rsidRPr="00C635D7">
        <w:rPr>
          <w:rFonts w:cs="Times New Roman"/>
          <w:szCs w:val="24"/>
        </w:rPr>
        <w:t xml:space="preserve">agree </w:t>
      </w:r>
      <w:r w:rsidR="00E91A45">
        <w:rPr>
          <w:rFonts w:cs="Times New Roman"/>
          <w:szCs w:val="24"/>
        </w:rPr>
        <w:t xml:space="preserve">to </w:t>
      </w:r>
      <w:r w:rsidRPr="00C635D7">
        <w:rPr>
          <w:rFonts w:cs="Times New Roman"/>
          <w:szCs w:val="24"/>
        </w:rPr>
        <w:t>the establishment of the protected zones within their areas of jurisdiction.</w:t>
      </w:r>
      <w:r w:rsidR="001964D5" w:rsidRPr="00AD39C8">
        <w:rPr>
          <w:rFonts w:cs="Times New Roman"/>
          <w:b/>
          <w:i/>
          <w:szCs w:val="24"/>
        </w:rPr>
        <w:t xml:space="preserve"> </w:t>
      </w:r>
    </w:p>
    <w:p w14:paraId="6E2C92C4" w14:textId="04D96E4B" w:rsidR="000D0E22" w:rsidRPr="00C81041" w:rsidRDefault="00327D76" w:rsidP="005F09F7">
      <w:pPr>
        <w:pStyle w:val="Heading1"/>
      </w:pPr>
      <w:r w:rsidRPr="00C81041">
        <w:t>Regulatory i</w:t>
      </w:r>
      <w:r w:rsidR="000D0E22" w:rsidRPr="00C81041">
        <w:t>mpact</w:t>
      </w:r>
      <w:r w:rsidR="00003F2D" w:rsidRPr="00C81041">
        <w:t xml:space="preserve"> </w:t>
      </w:r>
      <w:r w:rsidR="009109F9" w:rsidRPr="00C81041">
        <w:t>analysis</w:t>
      </w:r>
    </w:p>
    <w:p w14:paraId="4B19308C" w14:textId="2925AC6D" w:rsidR="00583A56" w:rsidRDefault="00583A56" w:rsidP="0086430F">
      <w:pPr>
        <w:spacing w:before="120" w:after="120"/>
        <w:rPr>
          <w:rFonts w:cs="Times New Roman"/>
          <w:szCs w:val="24"/>
        </w:rPr>
      </w:pPr>
      <w:r w:rsidRPr="00C106B7">
        <w:rPr>
          <w:rFonts w:cs="Times New Roman"/>
          <w:szCs w:val="24"/>
        </w:rPr>
        <w:t xml:space="preserve">The Office of Best Practice Regulation (OBPR) </w:t>
      </w:r>
      <w:r w:rsidR="00C106B7" w:rsidRPr="00C106B7">
        <w:rPr>
          <w:rFonts w:cs="Times New Roman"/>
          <w:szCs w:val="24"/>
        </w:rPr>
        <w:t>was consulted about this instrument and advised the Department on 6 June 2019</w:t>
      </w:r>
      <w:r w:rsidR="00C106B7">
        <w:rPr>
          <w:rFonts w:cs="Times New Roman"/>
          <w:szCs w:val="24"/>
        </w:rPr>
        <w:t xml:space="preserve"> that </w:t>
      </w:r>
      <w:r w:rsidR="00C106B7" w:rsidRPr="00C106B7">
        <w:rPr>
          <w:rFonts w:cs="Times New Roman"/>
          <w:szCs w:val="24"/>
        </w:rPr>
        <w:t xml:space="preserve">the </w:t>
      </w:r>
      <w:r w:rsidR="00C106B7" w:rsidRPr="00C106B7">
        <w:t>instrument</w:t>
      </w:r>
      <w:r w:rsidR="00C106B7">
        <w:t xml:space="preserve"> </w:t>
      </w:r>
      <w:r w:rsidR="00C106B7" w:rsidRPr="00C106B7">
        <w:rPr>
          <w:rFonts w:cs="Times New Roman"/>
          <w:szCs w:val="24"/>
        </w:rPr>
        <w:t>is likely to have nil regulatory impacts on business, community organisations or individuals, and a Regulatory Impact Statement (RIS) is not required</w:t>
      </w:r>
      <w:r w:rsidR="00C106B7">
        <w:rPr>
          <w:rFonts w:cs="Times New Roman"/>
          <w:szCs w:val="24"/>
        </w:rPr>
        <w:t xml:space="preserve"> (</w:t>
      </w:r>
      <w:r w:rsidR="00C106B7" w:rsidRPr="00C106B7">
        <w:rPr>
          <w:rFonts w:cs="Times New Roman"/>
          <w:szCs w:val="24"/>
        </w:rPr>
        <w:t>OBPR ref ID 25225</w:t>
      </w:r>
      <w:r w:rsidR="00C106B7">
        <w:rPr>
          <w:rFonts w:cs="Times New Roman"/>
          <w:szCs w:val="24"/>
        </w:rPr>
        <w:t>)</w:t>
      </w:r>
      <w:r w:rsidR="00C106B7" w:rsidRPr="00C106B7">
        <w:rPr>
          <w:rFonts w:cs="Times New Roman"/>
          <w:szCs w:val="24"/>
        </w:rPr>
        <w:t xml:space="preserve">. </w:t>
      </w:r>
      <w:r w:rsidRPr="00583A56">
        <w:rPr>
          <w:rFonts w:cs="Times New Roman"/>
          <w:szCs w:val="24"/>
          <w:highlight w:val="yellow"/>
        </w:rPr>
        <w:t xml:space="preserve"> </w:t>
      </w:r>
    </w:p>
    <w:p w14:paraId="351507EA" w14:textId="349776D8" w:rsidR="000D0E22" w:rsidRDefault="000D0E22" w:rsidP="00724D1C">
      <w:pPr>
        <w:pStyle w:val="Heading1"/>
        <w:spacing w:after="240"/>
      </w:pPr>
      <w:r>
        <w:t xml:space="preserve">Details of the </w:t>
      </w:r>
      <w:r w:rsidR="00E91A45" w:rsidRPr="00606BD2">
        <w:t>Declaration of Protected Zones</w:t>
      </w:r>
    </w:p>
    <w:p w14:paraId="7EC9F454" w14:textId="6686D386" w:rsidR="006745C3" w:rsidRPr="006745C3" w:rsidRDefault="006745C3" w:rsidP="009109F9">
      <w:pPr>
        <w:pStyle w:val="Heading2"/>
      </w:pPr>
      <w:r w:rsidRPr="006745C3">
        <w:t xml:space="preserve">Name of </w:t>
      </w:r>
      <w:r>
        <w:t>Instrument</w:t>
      </w:r>
    </w:p>
    <w:p w14:paraId="51370CB9" w14:textId="3EA0D391" w:rsidR="007A0926" w:rsidRPr="004356C7" w:rsidRDefault="00724D1C" w:rsidP="006745C3">
      <w:pPr>
        <w:spacing w:before="240"/>
        <w:rPr>
          <w:rFonts w:cs="Times New Roman"/>
          <w:szCs w:val="24"/>
        </w:rPr>
      </w:pPr>
      <w:r>
        <w:rPr>
          <w:rFonts w:cs="Times New Roman"/>
          <w:szCs w:val="24"/>
        </w:rPr>
        <w:t>T</w:t>
      </w:r>
      <w:r w:rsidR="006745C3" w:rsidRPr="006745C3">
        <w:rPr>
          <w:rFonts w:cs="Times New Roman"/>
          <w:szCs w:val="24"/>
        </w:rPr>
        <w:t xml:space="preserve">he name of the </w:t>
      </w:r>
      <w:r>
        <w:rPr>
          <w:rFonts w:cs="Times New Roman"/>
          <w:szCs w:val="24"/>
        </w:rPr>
        <w:t xml:space="preserve">instrument </w:t>
      </w:r>
      <w:r w:rsidR="004356C7">
        <w:rPr>
          <w:rFonts w:cs="Times New Roman"/>
          <w:szCs w:val="24"/>
        </w:rPr>
        <w:t xml:space="preserve">is </w:t>
      </w:r>
      <w:r w:rsidR="006745C3" w:rsidRPr="006745C3">
        <w:rPr>
          <w:rFonts w:cs="Times New Roman"/>
          <w:szCs w:val="24"/>
        </w:rPr>
        <w:t xml:space="preserve">the </w:t>
      </w:r>
      <w:r w:rsidR="00575B12" w:rsidRPr="00121893">
        <w:rPr>
          <w:rFonts w:cs="Times New Roman"/>
          <w:i/>
          <w:szCs w:val="24"/>
        </w:rPr>
        <w:t xml:space="preserve">Underwater Cultural </w:t>
      </w:r>
      <w:r w:rsidR="00575B12" w:rsidRPr="00575B12">
        <w:rPr>
          <w:rFonts w:cs="Times New Roman"/>
          <w:i/>
          <w:szCs w:val="24"/>
        </w:rPr>
        <w:t>H</w:t>
      </w:r>
      <w:r w:rsidR="00575B12" w:rsidRPr="00121893">
        <w:rPr>
          <w:rFonts w:cs="Times New Roman"/>
          <w:i/>
          <w:szCs w:val="24"/>
        </w:rPr>
        <w:t>eritage Act 2018</w:t>
      </w:r>
      <w:r w:rsidR="00575B12">
        <w:rPr>
          <w:rFonts w:cs="Times New Roman"/>
          <w:szCs w:val="24"/>
        </w:rPr>
        <w:t xml:space="preserve"> (Protected Zones) Declaration Instrument 2019 </w:t>
      </w:r>
      <w:r w:rsidRPr="00724D1C">
        <w:rPr>
          <w:rFonts w:cs="Times New Roman"/>
          <w:b/>
          <w:szCs w:val="24"/>
        </w:rPr>
        <w:t>(the Declaration</w:t>
      </w:r>
      <w:r w:rsidR="00575B12">
        <w:rPr>
          <w:rFonts w:cs="Times New Roman"/>
          <w:b/>
          <w:szCs w:val="24"/>
        </w:rPr>
        <w:t>).</w:t>
      </w:r>
    </w:p>
    <w:p w14:paraId="6E781CAA" w14:textId="22F7CB79" w:rsidR="006745C3" w:rsidRPr="006745C3" w:rsidRDefault="006745C3" w:rsidP="009109F9">
      <w:pPr>
        <w:pStyle w:val="Heading2"/>
      </w:pPr>
      <w:r w:rsidRPr="006745C3">
        <w:t>Commencement</w:t>
      </w:r>
    </w:p>
    <w:p w14:paraId="10F094A8" w14:textId="614A7A9E" w:rsidR="006745C3" w:rsidRPr="006745C3" w:rsidRDefault="00724D1C" w:rsidP="006745C3">
      <w:pPr>
        <w:spacing w:before="240" w:after="100" w:afterAutospacing="1"/>
        <w:rPr>
          <w:rFonts w:cs="Times New Roman"/>
          <w:szCs w:val="24"/>
        </w:rPr>
      </w:pPr>
      <w:r>
        <w:rPr>
          <w:rFonts w:cs="Times New Roman"/>
          <w:szCs w:val="24"/>
        </w:rPr>
        <w:t>T</w:t>
      </w:r>
      <w:r w:rsidR="006745C3" w:rsidRPr="006745C3">
        <w:rPr>
          <w:rFonts w:cs="Times New Roman"/>
          <w:szCs w:val="24"/>
        </w:rPr>
        <w:t xml:space="preserve">he </w:t>
      </w:r>
      <w:r>
        <w:rPr>
          <w:rFonts w:cs="Times New Roman"/>
          <w:szCs w:val="24"/>
        </w:rPr>
        <w:t>Declaration</w:t>
      </w:r>
      <w:r w:rsidR="006745C3">
        <w:rPr>
          <w:rFonts w:cs="Times New Roman"/>
          <w:szCs w:val="24"/>
        </w:rPr>
        <w:t xml:space="preserve"> </w:t>
      </w:r>
      <w:r w:rsidR="006745C3" w:rsidRPr="006745C3">
        <w:rPr>
          <w:rFonts w:cs="Times New Roman"/>
          <w:szCs w:val="24"/>
        </w:rPr>
        <w:t>commence</w:t>
      </w:r>
      <w:r w:rsidR="00D95894">
        <w:rPr>
          <w:rFonts w:cs="Times New Roman"/>
          <w:szCs w:val="24"/>
        </w:rPr>
        <w:t>s</w:t>
      </w:r>
      <w:r w:rsidR="006745C3" w:rsidRPr="006745C3">
        <w:rPr>
          <w:rFonts w:cs="Times New Roman"/>
          <w:szCs w:val="24"/>
        </w:rPr>
        <w:t xml:space="preserve"> on </w:t>
      </w:r>
      <w:r>
        <w:rPr>
          <w:rFonts w:cs="Times New Roman"/>
          <w:color w:val="000000"/>
          <w:szCs w:val="24"/>
        </w:rPr>
        <w:t>1 July 2019</w:t>
      </w:r>
      <w:r w:rsidR="006745C3" w:rsidRPr="006745C3">
        <w:rPr>
          <w:rFonts w:cs="Times New Roman"/>
          <w:szCs w:val="24"/>
        </w:rPr>
        <w:t>.</w:t>
      </w:r>
    </w:p>
    <w:p w14:paraId="78839DE9" w14:textId="74439F3A" w:rsidR="006745C3" w:rsidRPr="006745C3" w:rsidRDefault="006745C3" w:rsidP="009109F9">
      <w:pPr>
        <w:pStyle w:val="Heading2"/>
      </w:pPr>
      <w:r w:rsidRPr="006745C3">
        <w:t>Authority</w:t>
      </w:r>
    </w:p>
    <w:p w14:paraId="6C4DEC47" w14:textId="32B1827E" w:rsidR="006745C3" w:rsidRDefault="00724D1C" w:rsidP="006745C3">
      <w:pPr>
        <w:spacing w:before="240"/>
        <w:rPr>
          <w:rFonts w:cs="Times New Roman"/>
          <w:szCs w:val="24"/>
        </w:rPr>
      </w:pPr>
      <w:r>
        <w:rPr>
          <w:rFonts w:cs="Times New Roman"/>
          <w:szCs w:val="24"/>
        </w:rPr>
        <w:t xml:space="preserve">The Declaration is made under the authority of section 20(1) of the </w:t>
      </w:r>
      <w:r w:rsidRPr="00724D1C">
        <w:rPr>
          <w:rFonts w:cs="Times New Roman"/>
          <w:i/>
          <w:szCs w:val="24"/>
        </w:rPr>
        <w:t>Underwater Cultural Heritage Act 2018</w:t>
      </w:r>
      <w:r w:rsidR="00C63EC1">
        <w:rPr>
          <w:rFonts w:cs="Times New Roman"/>
          <w:szCs w:val="24"/>
        </w:rPr>
        <w:t xml:space="preserve"> (the Act)</w:t>
      </w:r>
      <w:r>
        <w:rPr>
          <w:rFonts w:cs="Times New Roman"/>
          <w:szCs w:val="24"/>
        </w:rPr>
        <w:t>.</w:t>
      </w:r>
      <w:r w:rsidR="006745C3" w:rsidRPr="006745C3">
        <w:rPr>
          <w:rFonts w:cs="Times New Roman"/>
          <w:szCs w:val="24"/>
        </w:rPr>
        <w:t xml:space="preserve"> </w:t>
      </w:r>
      <w:r w:rsidR="00A87340">
        <w:rPr>
          <w:rFonts w:cs="Times New Roman"/>
          <w:szCs w:val="24"/>
        </w:rPr>
        <w:t xml:space="preserve">In </w:t>
      </w:r>
      <w:r w:rsidR="00407D9C">
        <w:rPr>
          <w:rFonts w:cs="Times New Roman"/>
          <w:szCs w:val="24"/>
        </w:rPr>
        <w:t>determining whether to declare the</w:t>
      </w:r>
      <w:r w:rsidR="00A87340">
        <w:rPr>
          <w:rFonts w:cs="Times New Roman"/>
          <w:szCs w:val="24"/>
        </w:rPr>
        <w:t xml:space="preserve"> protect</w:t>
      </w:r>
      <w:r w:rsidR="00407D9C">
        <w:rPr>
          <w:rFonts w:cs="Times New Roman"/>
          <w:szCs w:val="24"/>
        </w:rPr>
        <w:t>ed zones, the Minister has considered</w:t>
      </w:r>
      <w:r w:rsidR="00C63EC1">
        <w:rPr>
          <w:rFonts w:cs="Times New Roman"/>
          <w:szCs w:val="24"/>
        </w:rPr>
        <w:t xml:space="preserve"> the following matters</w:t>
      </w:r>
      <w:r w:rsidR="00000ADA">
        <w:rPr>
          <w:rFonts w:cs="Times New Roman"/>
          <w:szCs w:val="24"/>
        </w:rPr>
        <w:t xml:space="preserve"> specified in subsection 20(3)</w:t>
      </w:r>
      <w:r w:rsidR="00C63EC1">
        <w:rPr>
          <w:rFonts w:cs="Times New Roman"/>
          <w:szCs w:val="24"/>
        </w:rPr>
        <w:t xml:space="preserve"> </w:t>
      </w:r>
      <w:r w:rsidR="00000ADA">
        <w:rPr>
          <w:rFonts w:cs="Times New Roman"/>
          <w:szCs w:val="24"/>
        </w:rPr>
        <w:t>of</w:t>
      </w:r>
      <w:r w:rsidR="00C63EC1">
        <w:rPr>
          <w:rFonts w:cs="Times New Roman"/>
          <w:szCs w:val="24"/>
        </w:rPr>
        <w:t xml:space="preserve"> the Act</w:t>
      </w:r>
      <w:r w:rsidR="00000ADA">
        <w:rPr>
          <w:rFonts w:cs="Times New Roman"/>
          <w:szCs w:val="24"/>
        </w:rPr>
        <w:t>, being</w:t>
      </w:r>
      <w:r w:rsidR="00C63EC1">
        <w:rPr>
          <w:rFonts w:cs="Times New Roman"/>
          <w:szCs w:val="24"/>
        </w:rPr>
        <w:t>:</w:t>
      </w:r>
    </w:p>
    <w:p w14:paraId="64009D36"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the need to protect underwater cultural heritage that is of particular national or international significance, is rare or is subject to an international treaty or agreement (however described);</w:t>
      </w:r>
    </w:p>
    <w:p w14:paraId="72667022"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the need to limit access to environmentally, socially or archaeologically sensitive underwater cultural heritage;</w:t>
      </w:r>
    </w:p>
    <w:p w14:paraId="7A3C8C64"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the need to protect underwater cultural heritage that is under threat of interference, damage, destruction or removal;</w:t>
      </w:r>
    </w:p>
    <w:p w14:paraId="0AD69FAA"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any danger posed to the public by the underwater cultural heritage;</w:t>
      </w:r>
    </w:p>
    <w:p w14:paraId="4D3D9720"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the need to improve management of underwater cultural heritage and its surrounding environment which may be subject to impacts from visitation or development activity;</w:t>
      </w:r>
    </w:p>
    <w:p w14:paraId="11586510" w14:textId="77777777" w:rsid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the need to ensure effective monitoring of underwater cultural heritage in remote locations;</w:t>
      </w:r>
    </w:p>
    <w:p w14:paraId="61686DEC" w14:textId="0729E3C5" w:rsidR="00C63EC1" w:rsidRPr="00531D54" w:rsidRDefault="00531D54" w:rsidP="00531D54">
      <w:pPr>
        <w:pStyle w:val="ListParagraph"/>
        <w:numPr>
          <w:ilvl w:val="0"/>
          <w:numId w:val="3"/>
        </w:numPr>
        <w:spacing w:before="120" w:after="120"/>
        <w:ind w:left="714" w:hanging="357"/>
        <w:rPr>
          <w:rFonts w:cs="Times New Roman"/>
          <w:szCs w:val="24"/>
        </w:rPr>
      </w:pPr>
      <w:r w:rsidRPr="00531D54">
        <w:rPr>
          <w:rFonts w:cs="Times New Roman"/>
          <w:szCs w:val="24"/>
        </w:rPr>
        <w:t>any other matter the Minister considers relevant.</w:t>
      </w:r>
    </w:p>
    <w:p w14:paraId="001EC3E4" w14:textId="6A3D3278" w:rsidR="006745C3" w:rsidRPr="006745C3" w:rsidRDefault="00A87340" w:rsidP="009109F9">
      <w:pPr>
        <w:pStyle w:val="Heading2"/>
      </w:pPr>
      <w:r>
        <w:lastRenderedPageBreak/>
        <w:t>Schedule</w:t>
      </w:r>
    </w:p>
    <w:p w14:paraId="4BFACA1D" w14:textId="5BFE6BC4" w:rsidR="00000ADA" w:rsidRDefault="00A87340" w:rsidP="00992F01">
      <w:pPr>
        <w:spacing w:before="120" w:after="120"/>
        <w:rPr>
          <w:rFonts w:cs="Times New Roman"/>
          <w:szCs w:val="24"/>
        </w:rPr>
      </w:pPr>
      <w:r>
        <w:rPr>
          <w:rFonts w:cs="Times New Roman"/>
          <w:szCs w:val="24"/>
        </w:rPr>
        <w:t xml:space="preserve">The schedule to the Declaration </w:t>
      </w:r>
      <w:r w:rsidR="00051217">
        <w:rPr>
          <w:rFonts w:cs="Times New Roman"/>
          <w:szCs w:val="24"/>
        </w:rPr>
        <w:t xml:space="preserve">specifies </w:t>
      </w:r>
      <w:r>
        <w:rPr>
          <w:rFonts w:cs="Times New Roman"/>
          <w:szCs w:val="24"/>
        </w:rPr>
        <w:t xml:space="preserve">the locations and descriptions of the individual underwater cultural heritage sites to be provided with protected zones. The schedule also </w:t>
      </w:r>
      <w:r w:rsidR="00051217">
        <w:rPr>
          <w:rFonts w:cs="Times New Roman"/>
          <w:szCs w:val="24"/>
        </w:rPr>
        <w:t xml:space="preserve">specifies </w:t>
      </w:r>
      <w:r>
        <w:rPr>
          <w:rFonts w:cs="Times New Roman"/>
          <w:szCs w:val="24"/>
        </w:rPr>
        <w:t xml:space="preserve">the conduct that </w:t>
      </w:r>
      <w:r w:rsidR="000264E6">
        <w:rPr>
          <w:rFonts w:cs="Times New Roman"/>
          <w:szCs w:val="24"/>
        </w:rPr>
        <w:t>is to be</w:t>
      </w:r>
      <w:r>
        <w:rPr>
          <w:rFonts w:cs="Times New Roman"/>
          <w:szCs w:val="24"/>
        </w:rPr>
        <w:t xml:space="preserve"> prohibited in relation to each protected zone.</w:t>
      </w:r>
      <w:r w:rsidR="00D443EA">
        <w:rPr>
          <w:rFonts w:cs="Times New Roman"/>
          <w:szCs w:val="24"/>
        </w:rPr>
        <w:t xml:space="preserve"> </w:t>
      </w:r>
    </w:p>
    <w:p w14:paraId="2378A7EE" w14:textId="54249C37" w:rsidR="00525DB4" w:rsidRPr="00992F01" w:rsidRDefault="00167B38" w:rsidP="00992F01">
      <w:pPr>
        <w:spacing w:before="120" w:after="120"/>
        <w:rPr>
          <w:rFonts w:cs="Times New Roman"/>
          <w:szCs w:val="24"/>
        </w:rPr>
      </w:pPr>
      <w:r w:rsidRPr="00992F01">
        <w:rPr>
          <w:rFonts w:cs="Times New Roman"/>
          <w:b/>
          <w:sz w:val="28"/>
          <w:szCs w:val="28"/>
        </w:rPr>
        <w:br w:type="page"/>
      </w:r>
    </w:p>
    <w:p w14:paraId="236527B6" w14:textId="74BF32A6" w:rsidR="005C4A91" w:rsidRPr="005C4A91" w:rsidRDefault="00525DB4" w:rsidP="008E2D13">
      <w:pPr>
        <w:spacing w:before="120" w:after="120"/>
        <w:jc w:val="center"/>
        <w:rPr>
          <w:rFonts w:cs="Times New Roman"/>
          <w:szCs w:val="24"/>
        </w:rPr>
      </w:pPr>
      <w:r w:rsidRPr="005C4A91">
        <w:rPr>
          <w:rFonts w:cs="Times New Roman"/>
          <w:b/>
          <w:bCs/>
          <w:szCs w:val="24"/>
        </w:rPr>
        <w:lastRenderedPageBreak/>
        <w:t>STATEMENT OF COMPATIBILITY WITH HUMAN RIGHTS</w:t>
      </w:r>
    </w:p>
    <w:p w14:paraId="7AB133A6" w14:textId="77777777" w:rsidR="005C4A91" w:rsidRPr="005C4A91" w:rsidRDefault="005C4A91" w:rsidP="005C4A91">
      <w:pPr>
        <w:spacing w:before="120" w:after="120"/>
        <w:rPr>
          <w:rFonts w:cs="Times New Roman"/>
          <w:szCs w:val="24"/>
        </w:rPr>
      </w:pPr>
      <w:r w:rsidRPr="005C4A91">
        <w:rPr>
          <w:rFonts w:cs="Times New Roman"/>
          <w:i/>
          <w:iCs/>
          <w:szCs w:val="24"/>
        </w:rPr>
        <w:t xml:space="preserve">Prepared in accordance with Part 3 of the Human Rights (Parliamentary Scrutiny) Act 2011 </w:t>
      </w:r>
    </w:p>
    <w:p w14:paraId="7B1772E5" w14:textId="29E5F385" w:rsidR="005C4A91" w:rsidRPr="003D0B33" w:rsidRDefault="00804DC4" w:rsidP="008E2D13">
      <w:pPr>
        <w:spacing w:before="120" w:after="120"/>
        <w:jc w:val="center"/>
        <w:rPr>
          <w:rFonts w:cs="Times New Roman"/>
          <w:szCs w:val="24"/>
        </w:rPr>
      </w:pPr>
      <w:r w:rsidRPr="003D0B33">
        <w:rPr>
          <w:rFonts w:cs="Times New Roman"/>
          <w:b/>
          <w:bCs/>
          <w:iCs/>
          <w:szCs w:val="24"/>
        </w:rPr>
        <w:t>UNDERWATER CULTURAL HERITAGE ACT 2018</w:t>
      </w:r>
      <w:r w:rsidRPr="003D0B33">
        <w:rPr>
          <w:rFonts w:cs="Times New Roman"/>
          <w:bCs/>
          <w:iCs/>
          <w:szCs w:val="24"/>
        </w:rPr>
        <w:t xml:space="preserve"> </w:t>
      </w:r>
      <w:r w:rsidRPr="003D0B33">
        <w:rPr>
          <w:rFonts w:cs="Times New Roman"/>
          <w:b/>
          <w:bCs/>
          <w:iCs/>
          <w:szCs w:val="24"/>
        </w:rPr>
        <w:t>(PROTECTED ZONES)</w:t>
      </w:r>
      <w:r w:rsidRPr="003D0B33">
        <w:rPr>
          <w:rFonts w:cs="Times New Roman"/>
          <w:bCs/>
          <w:iCs/>
          <w:szCs w:val="24"/>
        </w:rPr>
        <w:t xml:space="preserve"> </w:t>
      </w:r>
      <w:r w:rsidR="00575B12" w:rsidRPr="003D0B33">
        <w:rPr>
          <w:rFonts w:cs="Times New Roman"/>
          <w:b/>
          <w:bCs/>
          <w:iCs/>
          <w:szCs w:val="24"/>
        </w:rPr>
        <w:t>DECLARATION INSTRUMENT 2019</w:t>
      </w:r>
    </w:p>
    <w:p w14:paraId="4D9FA451" w14:textId="5869982D" w:rsidR="005C4A91" w:rsidRPr="005C4A91" w:rsidRDefault="008E2D13" w:rsidP="003D0B33">
      <w:pPr>
        <w:spacing w:before="120" w:after="120"/>
        <w:jc w:val="center"/>
        <w:rPr>
          <w:rFonts w:cs="Times New Roman"/>
          <w:szCs w:val="24"/>
        </w:rPr>
      </w:pPr>
      <w:r>
        <w:rPr>
          <w:rFonts w:cs="Times New Roman"/>
          <w:szCs w:val="24"/>
        </w:rPr>
        <w:t>This</w:t>
      </w:r>
      <w:r w:rsidR="005C4A91" w:rsidRPr="005C4A91">
        <w:rPr>
          <w:rFonts w:cs="Times New Roman"/>
          <w:szCs w:val="24"/>
        </w:rPr>
        <w:t xml:space="preserve"> </w:t>
      </w:r>
      <w:r w:rsidR="00575B12" w:rsidRPr="00001B00">
        <w:rPr>
          <w:rFonts w:cs="Times New Roman"/>
          <w:i/>
          <w:szCs w:val="24"/>
        </w:rPr>
        <w:t xml:space="preserve">Underwater Cultural </w:t>
      </w:r>
      <w:r w:rsidR="00575B12" w:rsidRPr="00575B12">
        <w:rPr>
          <w:rFonts w:cs="Times New Roman"/>
          <w:i/>
          <w:szCs w:val="24"/>
        </w:rPr>
        <w:t>H</w:t>
      </w:r>
      <w:r w:rsidR="00575B12" w:rsidRPr="00001B00">
        <w:rPr>
          <w:rFonts w:cs="Times New Roman"/>
          <w:i/>
          <w:szCs w:val="24"/>
        </w:rPr>
        <w:t>eritage Act 2018</w:t>
      </w:r>
      <w:r w:rsidR="00575B12">
        <w:rPr>
          <w:rFonts w:cs="Times New Roman"/>
          <w:szCs w:val="24"/>
        </w:rPr>
        <w:t xml:space="preserve"> (Protected Zones) Declaration Instrument 2019 </w:t>
      </w:r>
      <w:r>
        <w:rPr>
          <w:rFonts w:cs="Times New Roman"/>
          <w:szCs w:val="24"/>
        </w:rPr>
        <w:t xml:space="preserve">is </w:t>
      </w:r>
      <w:r w:rsidR="005C4A91" w:rsidRPr="005C4A91">
        <w:rPr>
          <w:rFonts w:cs="Times New Roman"/>
          <w:szCs w:val="24"/>
        </w:rPr>
        <w:t xml:space="preserve">compatible with the human rights and freedoms recognised or declared in the international instruments listed in section 3 of the </w:t>
      </w:r>
      <w:r w:rsidR="005C4A91" w:rsidRPr="005C4A91">
        <w:rPr>
          <w:rFonts w:cs="Times New Roman"/>
          <w:i/>
          <w:iCs/>
          <w:szCs w:val="24"/>
        </w:rPr>
        <w:t>Human Rights (Parliamentary Scrutiny) Act 2011</w:t>
      </w:r>
      <w:r w:rsidR="005C4A91" w:rsidRPr="005C4A91">
        <w:rPr>
          <w:rFonts w:cs="Times New Roman"/>
          <w:szCs w:val="24"/>
        </w:rPr>
        <w:t>.</w:t>
      </w:r>
    </w:p>
    <w:p w14:paraId="006F8B46" w14:textId="77777777" w:rsidR="005C4A91" w:rsidRPr="005C4A91" w:rsidRDefault="005C4A91" w:rsidP="005C4A91">
      <w:pPr>
        <w:spacing w:before="120" w:after="120"/>
        <w:rPr>
          <w:rFonts w:cs="Times New Roman"/>
          <w:szCs w:val="24"/>
        </w:rPr>
      </w:pPr>
      <w:r w:rsidRPr="005C4A91">
        <w:rPr>
          <w:rFonts w:cs="Times New Roman"/>
          <w:b/>
          <w:bCs/>
          <w:szCs w:val="24"/>
        </w:rPr>
        <w:t xml:space="preserve">Overview of the Legislative Instrument </w:t>
      </w:r>
    </w:p>
    <w:p w14:paraId="07335AA2" w14:textId="52D1F098" w:rsidR="005C4A91" w:rsidRPr="005C4A91" w:rsidRDefault="008E2D13" w:rsidP="008E2D13">
      <w:pPr>
        <w:spacing w:before="120" w:after="120"/>
        <w:rPr>
          <w:rFonts w:cs="Times New Roman"/>
          <w:szCs w:val="24"/>
        </w:rPr>
      </w:pPr>
      <w:r>
        <w:rPr>
          <w:rFonts w:cs="Times New Roman"/>
          <w:szCs w:val="24"/>
        </w:rPr>
        <w:t>T</w:t>
      </w:r>
      <w:r w:rsidR="00A219E3">
        <w:rPr>
          <w:rFonts w:cs="Times New Roman"/>
          <w:szCs w:val="24"/>
        </w:rPr>
        <w:t>his</w:t>
      </w:r>
      <w:r>
        <w:rPr>
          <w:rFonts w:cs="Times New Roman"/>
          <w:szCs w:val="24"/>
        </w:rPr>
        <w:t xml:space="preserve"> </w:t>
      </w:r>
      <w:r w:rsidR="00575B12" w:rsidRPr="00121893">
        <w:rPr>
          <w:rFonts w:cs="Times New Roman"/>
          <w:i/>
          <w:szCs w:val="24"/>
        </w:rPr>
        <w:t xml:space="preserve">Underwater Cultural </w:t>
      </w:r>
      <w:r w:rsidR="00575B12" w:rsidRPr="00575B12">
        <w:rPr>
          <w:rFonts w:cs="Times New Roman"/>
          <w:i/>
          <w:szCs w:val="24"/>
        </w:rPr>
        <w:t>H</w:t>
      </w:r>
      <w:r w:rsidR="00575B12" w:rsidRPr="00121893">
        <w:rPr>
          <w:rFonts w:cs="Times New Roman"/>
          <w:i/>
          <w:szCs w:val="24"/>
        </w:rPr>
        <w:t>eritage Act 2018</w:t>
      </w:r>
      <w:r w:rsidR="00575B12">
        <w:rPr>
          <w:rFonts w:cs="Times New Roman"/>
          <w:szCs w:val="24"/>
        </w:rPr>
        <w:t xml:space="preserve"> (Protected Zones) Declaration Instrument 2019 </w:t>
      </w:r>
      <w:r w:rsidR="003D0B33">
        <w:rPr>
          <w:rFonts w:cs="Times New Roman"/>
          <w:szCs w:val="24"/>
        </w:rPr>
        <w:t xml:space="preserve">(the Instrument) </w:t>
      </w:r>
      <w:r w:rsidRPr="008E2D13">
        <w:rPr>
          <w:rFonts w:cs="Times New Roman"/>
          <w:szCs w:val="24"/>
        </w:rPr>
        <w:t>provide</w:t>
      </w:r>
      <w:r>
        <w:rPr>
          <w:rFonts w:cs="Times New Roman"/>
          <w:szCs w:val="24"/>
        </w:rPr>
        <w:t>s</w:t>
      </w:r>
      <w:r w:rsidRPr="008E2D13">
        <w:rPr>
          <w:rFonts w:cs="Times New Roman"/>
          <w:szCs w:val="24"/>
        </w:rPr>
        <w:t xml:space="preserve"> an additional layer of protection for </w:t>
      </w:r>
      <w:r>
        <w:rPr>
          <w:rFonts w:cs="Times New Roman"/>
          <w:szCs w:val="24"/>
        </w:rPr>
        <w:t xml:space="preserve">specified </w:t>
      </w:r>
      <w:r w:rsidRPr="008E2D13">
        <w:rPr>
          <w:rFonts w:cs="Times New Roman"/>
          <w:szCs w:val="24"/>
        </w:rPr>
        <w:t xml:space="preserve">underwater cultural heritage sites </w:t>
      </w:r>
      <w:r w:rsidR="00671094">
        <w:rPr>
          <w:rFonts w:cs="Times New Roman"/>
          <w:szCs w:val="24"/>
        </w:rPr>
        <w:t xml:space="preserve">protected under the </w:t>
      </w:r>
      <w:r w:rsidR="00671094" w:rsidRPr="00671094">
        <w:rPr>
          <w:rFonts w:cs="Times New Roman"/>
          <w:i/>
          <w:szCs w:val="24"/>
        </w:rPr>
        <w:t>Underwa</w:t>
      </w:r>
      <w:r w:rsidR="00671094">
        <w:rPr>
          <w:rFonts w:cs="Times New Roman"/>
          <w:i/>
          <w:szCs w:val="24"/>
        </w:rPr>
        <w:t>ter Cultural H</w:t>
      </w:r>
      <w:r w:rsidR="00671094" w:rsidRPr="00671094">
        <w:rPr>
          <w:rFonts w:cs="Times New Roman"/>
          <w:i/>
          <w:szCs w:val="24"/>
        </w:rPr>
        <w:t>eritage Act 2018</w:t>
      </w:r>
      <w:r w:rsidR="00671094">
        <w:rPr>
          <w:rFonts w:cs="Times New Roman"/>
          <w:szCs w:val="24"/>
        </w:rPr>
        <w:t xml:space="preserve"> (the Act) </w:t>
      </w:r>
      <w:r>
        <w:rPr>
          <w:rFonts w:cs="Times New Roman"/>
          <w:szCs w:val="24"/>
        </w:rPr>
        <w:t xml:space="preserve">for the purpose of </w:t>
      </w:r>
      <w:r w:rsidR="00CB0900">
        <w:rPr>
          <w:rFonts w:cs="Times New Roman"/>
          <w:szCs w:val="24"/>
        </w:rPr>
        <w:t xml:space="preserve">conservation and </w:t>
      </w:r>
      <w:r w:rsidR="00734B81">
        <w:rPr>
          <w:rFonts w:cs="Times New Roman"/>
          <w:szCs w:val="24"/>
        </w:rPr>
        <w:t xml:space="preserve">environmental </w:t>
      </w:r>
      <w:r w:rsidRPr="008E2D13">
        <w:rPr>
          <w:rFonts w:cs="Times New Roman"/>
          <w:szCs w:val="24"/>
        </w:rPr>
        <w:t xml:space="preserve">management </w:t>
      </w:r>
      <w:r>
        <w:rPr>
          <w:rFonts w:cs="Times New Roman"/>
          <w:szCs w:val="24"/>
        </w:rPr>
        <w:t xml:space="preserve">or </w:t>
      </w:r>
      <w:r w:rsidR="00BB384E">
        <w:rPr>
          <w:rFonts w:cs="Times New Roman"/>
          <w:szCs w:val="24"/>
        </w:rPr>
        <w:t xml:space="preserve">for </w:t>
      </w:r>
      <w:r>
        <w:rPr>
          <w:rFonts w:cs="Times New Roman"/>
          <w:szCs w:val="24"/>
        </w:rPr>
        <w:t>public safety considerations</w:t>
      </w:r>
      <w:r w:rsidR="00BB384E">
        <w:rPr>
          <w:rFonts w:cs="Times New Roman"/>
          <w:szCs w:val="24"/>
        </w:rPr>
        <w:t xml:space="preserve"> such as unstable</w:t>
      </w:r>
      <w:r w:rsidR="00A219E3">
        <w:rPr>
          <w:rFonts w:cs="Times New Roman"/>
          <w:szCs w:val="24"/>
        </w:rPr>
        <w:t xml:space="preserve"> structures or</w:t>
      </w:r>
      <w:r w:rsidR="00BB384E">
        <w:rPr>
          <w:rFonts w:cs="Times New Roman"/>
          <w:szCs w:val="24"/>
        </w:rPr>
        <w:t xml:space="preserve"> unexploded ordnance.</w:t>
      </w:r>
    </w:p>
    <w:p w14:paraId="5828A189" w14:textId="77777777" w:rsidR="005C4A91" w:rsidRPr="005C4A91" w:rsidRDefault="005C4A91" w:rsidP="005C4A91">
      <w:pPr>
        <w:spacing w:before="120" w:after="120"/>
        <w:rPr>
          <w:rFonts w:cs="Times New Roman"/>
          <w:szCs w:val="24"/>
        </w:rPr>
      </w:pPr>
      <w:r w:rsidRPr="005C4A91">
        <w:rPr>
          <w:rFonts w:cs="Times New Roman"/>
          <w:b/>
          <w:bCs/>
          <w:szCs w:val="24"/>
        </w:rPr>
        <w:t xml:space="preserve">Human rights implications </w:t>
      </w:r>
    </w:p>
    <w:p w14:paraId="0FBA15DD" w14:textId="5D8ED2C3" w:rsidR="00804DC4" w:rsidRDefault="00804DC4" w:rsidP="00804DC4">
      <w:pPr>
        <w:spacing w:after="120"/>
        <w:rPr>
          <w:szCs w:val="24"/>
        </w:rPr>
      </w:pPr>
      <w:r>
        <w:rPr>
          <w:szCs w:val="24"/>
        </w:rPr>
        <w:t xml:space="preserve">This </w:t>
      </w:r>
      <w:r w:rsidR="00575B12">
        <w:rPr>
          <w:rFonts w:cs="Times New Roman"/>
          <w:szCs w:val="24"/>
        </w:rPr>
        <w:t xml:space="preserve">Instrument </w:t>
      </w:r>
      <w:r>
        <w:rPr>
          <w:szCs w:val="24"/>
        </w:rPr>
        <w:t>engages the following rights:</w:t>
      </w:r>
    </w:p>
    <w:p w14:paraId="1940BC82" w14:textId="3A16B98D" w:rsidR="00904485" w:rsidRDefault="00804DC4" w:rsidP="00804DC4">
      <w:pPr>
        <w:pStyle w:val="ListParagraph"/>
        <w:numPr>
          <w:ilvl w:val="0"/>
          <w:numId w:val="4"/>
        </w:numPr>
        <w:spacing w:after="120"/>
        <w:ind w:left="426" w:hanging="426"/>
        <w:contextualSpacing w:val="0"/>
        <w:rPr>
          <w:szCs w:val="24"/>
        </w:rPr>
      </w:pPr>
      <w:r>
        <w:rPr>
          <w:szCs w:val="24"/>
        </w:rPr>
        <w:t>T</w:t>
      </w:r>
      <w:r w:rsidRPr="00C27FDD">
        <w:rPr>
          <w:szCs w:val="24"/>
        </w:rPr>
        <w:t xml:space="preserve">he right to </w:t>
      </w:r>
      <w:r>
        <w:rPr>
          <w:szCs w:val="24"/>
        </w:rPr>
        <w:t>freedom of movement within a country in Article 12 (1) of the ICCPR</w:t>
      </w:r>
      <w:r w:rsidR="001B5A55">
        <w:rPr>
          <w:szCs w:val="24"/>
        </w:rPr>
        <w:t>.</w:t>
      </w:r>
    </w:p>
    <w:p w14:paraId="0F6C3864" w14:textId="6EE4568F" w:rsidR="00804DC4" w:rsidRDefault="00804DC4" w:rsidP="005C4A91">
      <w:pPr>
        <w:spacing w:before="120" w:after="120"/>
        <w:rPr>
          <w:rFonts w:cs="Times New Roman"/>
          <w:b/>
          <w:szCs w:val="24"/>
        </w:rPr>
      </w:pPr>
      <w:r>
        <w:rPr>
          <w:rFonts w:cs="Times New Roman"/>
          <w:b/>
          <w:szCs w:val="24"/>
        </w:rPr>
        <w:t>Right to freedom of movement within a country</w:t>
      </w:r>
    </w:p>
    <w:p w14:paraId="265211CF" w14:textId="4B961AF7" w:rsidR="00804DC4" w:rsidRPr="00ED179E" w:rsidRDefault="00804DC4" w:rsidP="00804DC4">
      <w:pPr>
        <w:rPr>
          <w:szCs w:val="24"/>
        </w:rPr>
      </w:pPr>
      <w:r>
        <w:rPr>
          <w:szCs w:val="24"/>
        </w:rPr>
        <w:t>Article 12</w:t>
      </w:r>
      <w:r w:rsidRPr="00ED179E">
        <w:rPr>
          <w:szCs w:val="24"/>
        </w:rPr>
        <w:t xml:space="preserve">(1) ICCPR guarantees the right to </w:t>
      </w:r>
      <w:r>
        <w:rPr>
          <w:szCs w:val="24"/>
        </w:rPr>
        <w:t>freedom of movement within a country</w:t>
      </w:r>
      <w:r w:rsidRPr="00ED179E">
        <w:rPr>
          <w:szCs w:val="24"/>
        </w:rPr>
        <w:t xml:space="preserve">. </w:t>
      </w:r>
    </w:p>
    <w:p w14:paraId="5388AD31" w14:textId="16D24046" w:rsidR="00804DC4" w:rsidRDefault="00804DC4" w:rsidP="00804DC4">
      <w:pPr>
        <w:rPr>
          <w:szCs w:val="24"/>
        </w:rPr>
      </w:pPr>
      <w:r w:rsidRPr="00A81A38">
        <w:rPr>
          <w:szCs w:val="24"/>
        </w:rPr>
        <w:t xml:space="preserve">The </w:t>
      </w:r>
      <w:r>
        <w:rPr>
          <w:szCs w:val="24"/>
        </w:rPr>
        <w:t xml:space="preserve">Act protects in-situ Australia’s unique and historic shipwrecks, sunken aircraft and other underwater cultural heritage both in Australian waters and, by individual declaration, in waters outside Australian jurisdiction. </w:t>
      </w:r>
    </w:p>
    <w:p w14:paraId="63F5864A" w14:textId="1DF9B4D5" w:rsidR="001634B1" w:rsidRDefault="00904485" w:rsidP="00A34D21">
      <w:pPr>
        <w:rPr>
          <w:szCs w:val="24"/>
        </w:rPr>
      </w:pPr>
      <w:r>
        <w:rPr>
          <w:szCs w:val="24"/>
        </w:rPr>
        <w:t xml:space="preserve">The primary focus of the </w:t>
      </w:r>
      <w:r w:rsidR="001634B1">
        <w:rPr>
          <w:szCs w:val="24"/>
        </w:rPr>
        <w:t>Act</w:t>
      </w:r>
      <w:r>
        <w:rPr>
          <w:szCs w:val="24"/>
        </w:rPr>
        <w:t xml:space="preserve"> is to protect underwater cultural heritage in-situ and that the largest threat to such heritage occurs along the coastal margin where development and human activity is at its greatest. </w:t>
      </w:r>
      <w:r w:rsidRPr="00762366">
        <w:rPr>
          <w:szCs w:val="24"/>
        </w:rPr>
        <w:t xml:space="preserve">For example Australia has approximately </w:t>
      </w:r>
      <w:r>
        <w:rPr>
          <w:szCs w:val="24"/>
        </w:rPr>
        <w:t>75</w:t>
      </w:r>
      <w:r w:rsidRPr="00762366">
        <w:rPr>
          <w:szCs w:val="24"/>
        </w:rPr>
        <w:t>00 shipwrecks located around the coastline, with over 5000 of these having significant shared heritage values with other countries such as</w:t>
      </w:r>
      <w:r>
        <w:rPr>
          <w:szCs w:val="24"/>
        </w:rPr>
        <w:t>:</w:t>
      </w:r>
      <w:r w:rsidRPr="00762366">
        <w:rPr>
          <w:szCs w:val="24"/>
        </w:rPr>
        <w:t xml:space="preserve"> </w:t>
      </w:r>
      <w:r>
        <w:rPr>
          <w:szCs w:val="24"/>
        </w:rPr>
        <w:t>Japan (</w:t>
      </w:r>
      <w:r w:rsidRPr="00762366">
        <w:rPr>
          <w:szCs w:val="24"/>
        </w:rPr>
        <w:t xml:space="preserve">Japanese midget submarine </w:t>
      </w:r>
      <w:r w:rsidRPr="00762366">
        <w:rPr>
          <w:i/>
          <w:szCs w:val="24"/>
        </w:rPr>
        <w:t>M24</w:t>
      </w:r>
      <w:r>
        <w:rPr>
          <w:szCs w:val="24"/>
        </w:rPr>
        <w:t xml:space="preserve">, submarine </w:t>
      </w:r>
      <w:r w:rsidRPr="00762366">
        <w:rPr>
          <w:i/>
          <w:szCs w:val="24"/>
        </w:rPr>
        <w:t>I-124</w:t>
      </w:r>
      <w:r>
        <w:rPr>
          <w:szCs w:val="24"/>
        </w:rPr>
        <w:t xml:space="preserve"> and Sanyo Maru); the Netherlands (</w:t>
      </w:r>
      <w:r w:rsidRPr="00762366">
        <w:rPr>
          <w:szCs w:val="24"/>
        </w:rPr>
        <w:t xml:space="preserve">Old Dutch shipwrecks </w:t>
      </w:r>
      <w:r w:rsidRPr="00762366">
        <w:rPr>
          <w:i/>
          <w:szCs w:val="24"/>
        </w:rPr>
        <w:t>Batavia</w:t>
      </w:r>
      <w:r>
        <w:rPr>
          <w:szCs w:val="24"/>
        </w:rPr>
        <w:t xml:space="preserve">, </w:t>
      </w:r>
      <w:r w:rsidRPr="00762366">
        <w:rPr>
          <w:i/>
          <w:szCs w:val="24"/>
        </w:rPr>
        <w:t>Vergulde Draeck</w:t>
      </w:r>
      <w:r>
        <w:rPr>
          <w:szCs w:val="24"/>
        </w:rPr>
        <w:t xml:space="preserve">, </w:t>
      </w:r>
      <w:r w:rsidRPr="00762366">
        <w:rPr>
          <w:i/>
          <w:szCs w:val="24"/>
        </w:rPr>
        <w:t>Zuytdorp</w:t>
      </w:r>
      <w:r w:rsidRPr="00762366">
        <w:rPr>
          <w:szCs w:val="24"/>
        </w:rPr>
        <w:t xml:space="preserve"> or Zeewijk</w:t>
      </w:r>
      <w:r>
        <w:rPr>
          <w:szCs w:val="24"/>
        </w:rPr>
        <w:t>);</w:t>
      </w:r>
      <w:r w:rsidRPr="00F6223E">
        <w:rPr>
          <w:szCs w:val="24"/>
        </w:rPr>
        <w:t xml:space="preserve"> U</w:t>
      </w:r>
      <w:r>
        <w:rPr>
          <w:szCs w:val="24"/>
        </w:rPr>
        <w:t>nited States (</w:t>
      </w:r>
      <w:r w:rsidRPr="00F6223E">
        <w:rPr>
          <w:szCs w:val="24"/>
        </w:rPr>
        <w:t xml:space="preserve">SS </w:t>
      </w:r>
      <w:r w:rsidRPr="00762366">
        <w:rPr>
          <w:i/>
          <w:szCs w:val="24"/>
        </w:rPr>
        <w:t>Peary</w:t>
      </w:r>
      <w:r w:rsidRPr="00F6223E">
        <w:rPr>
          <w:szCs w:val="24"/>
        </w:rPr>
        <w:t xml:space="preserve">, </w:t>
      </w:r>
      <w:r>
        <w:rPr>
          <w:szCs w:val="24"/>
        </w:rPr>
        <w:t xml:space="preserve">USAT </w:t>
      </w:r>
      <w:r w:rsidRPr="00762366">
        <w:rPr>
          <w:i/>
          <w:szCs w:val="24"/>
        </w:rPr>
        <w:t>Don Isidro</w:t>
      </w:r>
      <w:r>
        <w:rPr>
          <w:szCs w:val="24"/>
        </w:rPr>
        <w:t xml:space="preserve">, SS </w:t>
      </w:r>
      <w:r w:rsidRPr="00762366">
        <w:rPr>
          <w:i/>
          <w:szCs w:val="24"/>
        </w:rPr>
        <w:t>Florence D</w:t>
      </w:r>
      <w:r>
        <w:rPr>
          <w:szCs w:val="24"/>
        </w:rPr>
        <w:t>); and the United Kingdom (</w:t>
      </w:r>
      <w:r w:rsidRPr="00F6223E">
        <w:rPr>
          <w:szCs w:val="24"/>
        </w:rPr>
        <w:t xml:space="preserve">HMS </w:t>
      </w:r>
      <w:r w:rsidRPr="00762366">
        <w:rPr>
          <w:i/>
          <w:szCs w:val="24"/>
        </w:rPr>
        <w:t>Porpoise</w:t>
      </w:r>
      <w:r>
        <w:rPr>
          <w:szCs w:val="24"/>
        </w:rPr>
        <w:t xml:space="preserve">, </w:t>
      </w:r>
      <w:r w:rsidRPr="00762366">
        <w:rPr>
          <w:i/>
          <w:szCs w:val="24"/>
        </w:rPr>
        <w:t>Cato</w:t>
      </w:r>
      <w:r>
        <w:rPr>
          <w:szCs w:val="24"/>
        </w:rPr>
        <w:t xml:space="preserve"> and HMS </w:t>
      </w:r>
      <w:r w:rsidRPr="00762366">
        <w:rPr>
          <w:i/>
          <w:szCs w:val="24"/>
        </w:rPr>
        <w:t>Pandora</w:t>
      </w:r>
      <w:r>
        <w:rPr>
          <w:szCs w:val="24"/>
        </w:rPr>
        <w:t xml:space="preserve">).  The shipwrecks listed </w:t>
      </w:r>
      <w:r w:rsidRPr="00762366">
        <w:rPr>
          <w:szCs w:val="24"/>
        </w:rPr>
        <w:t>typify both shared heritage values and the potential to be irredeemably damaged by actions in the marine environment.  The risk to Australia’s reput</w:t>
      </w:r>
      <w:r>
        <w:rPr>
          <w:szCs w:val="24"/>
        </w:rPr>
        <w:t xml:space="preserve">ation with the destruction of </w:t>
      </w:r>
      <w:r w:rsidRPr="00762366">
        <w:rPr>
          <w:szCs w:val="24"/>
        </w:rPr>
        <w:t>site</w:t>
      </w:r>
      <w:r>
        <w:rPr>
          <w:szCs w:val="24"/>
        </w:rPr>
        <w:t>s</w:t>
      </w:r>
      <w:r w:rsidRPr="00762366">
        <w:rPr>
          <w:szCs w:val="24"/>
        </w:rPr>
        <w:t xml:space="preserve"> of such</w:t>
      </w:r>
      <w:r>
        <w:rPr>
          <w:szCs w:val="24"/>
        </w:rPr>
        <w:t xml:space="preserve"> significant and</w:t>
      </w:r>
      <w:r w:rsidRPr="00762366">
        <w:rPr>
          <w:szCs w:val="24"/>
        </w:rPr>
        <w:t xml:space="preserve"> shared heritage value </w:t>
      </w:r>
      <w:r>
        <w:rPr>
          <w:szCs w:val="24"/>
        </w:rPr>
        <w:t>ar</w:t>
      </w:r>
      <w:r w:rsidR="001634B1">
        <w:rPr>
          <w:szCs w:val="24"/>
        </w:rPr>
        <w:t>e substantial and irreversible.</w:t>
      </w:r>
      <w:r w:rsidR="00A34D21" w:rsidRPr="00A34D21">
        <w:rPr>
          <w:szCs w:val="24"/>
        </w:rPr>
        <w:t xml:space="preserve"> </w:t>
      </w:r>
      <w:r w:rsidR="00A34D21">
        <w:rPr>
          <w:szCs w:val="24"/>
        </w:rPr>
        <w:t>To protect our unique and irreplaceable underwater cultural heritage some significant sites are further protected by being included with protected zones</w:t>
      </w:r>
    </w:p>
    <w:p w14:paraId="5A87B055" w14:textId="4FBD7247" w:rsidR="001634B1" w:rsidRPr="00587C7E" w:rsidRDefault="001634B1" w:rsidP="00904485">
      <w:pPr>
        <w:rPr>
          <w:szCs w:val="24"/>
        </w:rPr>
      </w:pPr>
      <w:r>
        <w:rPr>
          <w:szCs w:val="24"/>
        </w:rPr>
        <w:t xml:space="preserve">Australia currently protects 24 shipwrecks in 23 </w:t>
      </w:r>
      <w:r w:rsidR="00F2152E">
        <w:rPr>
          <w:szCs w:val="24"/>
        </w:rPr>
        <w:t>protected</w:t>
      </w:r>
      <w:r>
        <w:rPr>
          <w:szCs w:val="24"/>
        </w:rPr>
        <w:t xml:space="preserve"> zones. </w:t>
      </w:r>
      <w:r w:rsidR="00F2152E">
        <w:rPr>
          <w:szCs w:val="24"/>
        </w:rPr>
        <w:t xml:space="preserve">The </w:t>
      </w:r>
      <w:r w:rsidR="00F2152E" w:rsidRPr="00A34D21">
        <w:rPr>
          <w:i/>
          <w:szCs w:val="24"/>
        </w:rPr>
        <w:t>Cato</w:t>
      </w:r>
      <w:r w:rsidR="00F2152E">
        <w:rPr>
          <w:szCs w:val="24"/>
        </w:rPr>
        <w:t xml:space="preserve"> and HMS </w:t>
      </w:r>
      <w:r w:rsidR="00F2152E" w:rsidRPr="00A34D21">
        <w:rPr>
          <w:i/>
          <w:szCs w:val="24"/>
        </w:rPr>
        <w:t>Porpoise</w:t>
      </w:r>
      <w:r w:rsidR="00F2152E">
        <w:rPr>
          <w:szCs w:val="24"/>
        </w:rPr>
        <w:t xml:space="preserve"> sites are included within the same protected zone. </w:t>
      </w:r>
      <w:r>
        <w:rPr>
          <w:szCs w:val="24"/>
        </w:rPr>
        <w:t xml:space="preserve">With the Act being </w:t>
      </w:r>
      <w:r w:rsidR="00F2152E">
        <w:rPr>
          <w:szCs w:val="24"/>
        </w:rPr>
        <w:t>enlivened</w:t>
      </w:r>
      <w:r>
        <w:rPr>
          <w:szCs w:val="24"/>
        </w:rPr>
        <w:t xml:space="preserve"> </w:t>
      </w:r>
      <w:r w:rsidR="00A34D21">
        <w:rPr>
          <w:szCs w:val="24"/>
        </w:rPr>
        <w:t xml:space="preserve">on 1 July 2019 </w:t>
      </w:r>
      <w:r>
        <w:rPr>
          <w:szCs w:val="24"/>
        </w:rPr>
        <w:t>seve</w:t>
      </w:r>
      <w:r w:rsidR="00F2152E">
        <w:rPr>
          <w:szCs w:val="24"/>
        </w:rPr>
        <w:t>ra</w:t>
      </w:r>
      <w:r>
        <w:rPr>
          <w:szCs w:val="24"/>
        </w:rPr>
        <w:t>l of the current protected zones will be removed and six new protected zones added. A total of</w:t>
      </w:r>
      <w:r w:rsidR="00F2152E">
        <w:rPr>
          <w:szCs w:val="24"/>
        </w:rPr>
        <w:t xml:space="preserve"> 27 protected zones will be in place protecting 28 shipwrecks.</w:t>
      </w:r>
      <w:r>
        <w:rPr>
          <w:szCs w:val="24"/>
        </w:rPr>
        <w:t xml:space="preserve"> In the Act the Minister is provided with the ability to </w:t>
      </w:r>
      <w:r w:rsidR="00F2152E">
        <w:rPr>
          <w:szCs w:val="24"/>
        </w:rPr>
        <w:t>specify the prohibited conduct f</w:t>
      </w:r>
      <w:r>
        <w:rPr>
          <w:szCs w:val="24"/>
        </w:rPr>
        <w:t xml:space="preserve">or each protected zone under </w:t>
      </w:r>
      <w:r w:rsidR="009A0E4B">
        <w:rPr>
          <w:szCs w:val="24"/>
        </w:rPr>
        <w:t xml:space="preserve">subsection </w:t>
      </w:r>
      <w:r>
        <w:rPr>
          <w:szCs w:val="24"/>
        </w:rPr>
        <w:t xml:space="preserve">20(5)(d). </w:t>
      </w:r>
      <w:r w:rsidR="009A0E4B">
        <w:rPr>
          <w:szCs w:val="24"/>
        </w:rPr>
        <w:t xml:space="preserve">Subsection </w:t>
      </w:r>
      <w:r>
        <w:rPr>
          <w:szCs w:val="24"/>
        </w:rPr>
        <w:t xml:space="preserve">20(7) provides examples of actions that </w:t>
      </w:r>
      <w:r>
        <w:rPr>
          <w:szCs w:val="24"/>
        </w:rPr>
        <w:lastRenderedPageBreak/>
        <w:t>can be prohibited</w:t>
      </w:r>
      <w:r w:rsidR="00F2152E">
        <w:rPr>
          <w:szCs w:val="24"/>
        </w:rPr>
        <w:t xml:space="preserve">. Eleven of the 27 protected zones allow a vessel free transit without becoming stationary. The remaining </w:t>
      </w:r>
      <w:r w:rsidR="00A34D21">
        <w:rPr>
          <w:szCs w:val="24"/>
        </w:rPr>
        <w:t>1</w:t>
      </w:r>
      <w:r w:rsidR="00F2152E">
        <w:rPr>
          <w:szCs w:val="24"/>
        </w:rPr>
        <w:t xml:space="preserve">6 protected zones are no entry without permit. The prohibited conduct </w:t>
      </w:r>
      <w:r w:rsidR="00A34D21">
        <w:rPr>
          <w:szCs w:val="24"/>
        </w:rPr>
        <w:t xml:space="preserve">for each site </w:t>
      </w:r>
      <w:r w:rsidR="00F2152E">
        <w:rPr>
          <w:szCs w:val="24"/>
        </w:rPr>
        <w:t>is tailored to best protect the values of the heritage site within its specific location and to limit unnecessary restrictions on the movement of people within Australia.</w:t>
      </w:r>
    </w:p>
    <w:p w14:paraId="02FEBFA1" w14:textId="06E063C1" w:rsidR="00904485" w:rsidRDefault="00904485" w:rsidP="00904485">
      <w:pPr>
        <w:rPr>
          <w:szCs w:val="24"/>
          <w:u w:val="single"/>
        </w:rPr>
      </w:pPr>
      <w:r>
        <w:rPr>
          <w:szCs w:val="24"/>
        </w:rPr>
        <w:t xml:space="preserve">To prevent the deliberate destruction, looting or illegal salvage of protected underwater cultural heritage </w:t>
      </w:r>
      <w:r w:rsidR="00A34D21">
        <w:rPr>
          <w:szCs w:val="24"/>
        </w:rPr>
        <w:t xml:space="preserve">in protected zones </w:t>
      </w:r>
      <w:r>
        <w:rPr>
          <w:szCs w:val="24"/>
        </w:rPr>
        <w:t xml:space="preserve">that is a national, non-renewable and unique historical asset, penalties </w:t>
      </w:r>
      <w:r w:rsidR="00A34D21">
        <w:rPr>
          <w:szCs w:val="24"/>
        </w:rPr>
        <w:t xml:space="preserve">in </w:t>
      </w:r>
      <w:r w:rsidR="009A0E4B">
        <w:rPr>
          <w:szCs w:val="24"/>
        </w:rPr>
        <w:t>sub</w:t>
      </w:r>
      <w:r w:rsidR="00A34D21">
        <w:rPr>
          <w:szCs w:val="24"/>
        </w:rPr>
        <w:t>section</w:t>
      </w:r>
      <w:r w:rsidR="009A0E4B">
        <w:rPr>
          <w:szCs w:val="24"/>
        </w:rPr>
        <w:t>s</w:t>
      </w:r>
      <w:r w:rsidR="00A34D21">
        <w:rPr>
          <w:szCs w:val="24"/>
        </w:rPr>
        <w:t xml:space="preserve"> 29(4) and (5) associated with non-permitted actions in protected zones </w:t>
      </w:r>
      <w:r>
        <w:rPr>
          <w:szCs w:val="24"/>
        </w:rPr>
        <w:t xml:space="preserve">are </w:t>
      </w:r>
      <w:r w:rsidR="00A34D21">
        <w:rPr>
          <w:szCs w:val="24"/>
        </w:rPr>
        <w:t xml:space="preserve">set </w:t>
      </w:r>
      <w:r>
        <w:rPr>
          <w:szCs w:val="24"/>
        </w:rPr>
        <w:t>in line with the</w:t>
      </w:r>
      <w:r w:rsidRPr="00DE698A">
        <w:rPr>
          <w:szCs w:val="24"/>
        </w:rPr>
        <w:t xml:space="preserve"> principles of deterrence and</w:t>
      </w:r>
      <w:r>
        <w:rPr>
          <w:szCs w:val="24"/>
        </w:rPr>
        <w:t xml:space="preserve"> are a reasonable, necessary and proportionate response and reflects the seriousness of the conduct.</w:t>
      </w:r>
    </w:p>
    <w:p w14:paraId="743556E6" w14:textId="4D548CDC" w:rsidR="00A34D21" w:rsidRDefault="00F2152E" w:rsidP="00804DC4">
      <w:pPr>
        <w:rPr>
          <w:szCs w:val="24"/>
        </w:rPr>
      </w:pPr>
      <w:r>
        <w:rPr>
          <w:szCs w:val="24"/>
        </w:rPr>
        <w:t xml:space="preserve">Accordingly, the </w:t>
      </w:r>
      <w:r w:rsidR="00575B12">
        <w:rPr>
          <w:rFonts w:cs="Times New Roman"/>
          <w:szCs w:val="24"/>
        </w:rPr>
        <w:t xml:space="preserve">Instrument </w:t>
      </w:r>
      <w:r>
        <w:rPr>
          <w:szCs w:val="24"/>
        </w:rPr>
        <w:t xml:space="preserve">is consistent with the right to freedom of movement within a country in Article 12(3). </w:t>
      </w:r>
    </w:p>
    <w:p w14:paraId="440E4E92" w14:textId="46E589CD" w:rsidR="005C4A91" w:rsidRPr="005C4A91" w:rsidRDefault="005C4A91" w:rsidP="005C4A91">
      <w:pPr>
        <w:spacing w:before="120" w:after="120"/>
        <w:rPr>
          <w:rFonts w:cs="Times New Roman"/>
          <w:szCs w:val="24"/>
        </w:rPr>
      </w:pPr>
      <w:r w:rsidRPr="005C4A91">
        <w:rPr>
          <w:rFonts w:cs="Times New Roman"/>
          <w:b/>
          <w:bCs/>
          <w:szCs w:val="24"/>
        </w:rPr>
        <w:t xml:space="preserve">Conclusion </w:t>
      </w:r>
    </w:p>
    <w:p w14:paraId="73E91C0A" w14:textId="0A37CBC8" w:rsidR="005C4A91" w:rsidRPr="005C4A91" w:rsidRDefault="00671094" w:rsidP="005C4A91">
      <w:pPr>
        <w:spacing w:before="120" w:after="120"/>
        <w:rPr>
          <w:rFonts w:cs="Times New Roman"/>
          <w:szCs w:val="24"/>
        </w:rPr>
      </w:pPr>
      <w:r w:rsidRPr="00671094">
        <w:rPr>
          <w:rFonts w:cs="Times New Roman"/>
          <w:szCs w:val="24"/>
        </w:rPr>
        <w:t xml:space="preserve">This </w:t>
      </w:r>
      <w:r w:rsidR="00575B12">
        <w:rPr>
          <w:rFonts w:cs="Times New Roman"/>
          <w:szCs w:val="24"/>
        </w:rPr>
        <w:t xml:space="preserve">Instrument </w:t>
      </w:r>
      <w:r w:rsidRPr="00671094">
        <w:rPr>
          <w:rFonts w:cs="Times New Roman"/>
          <w:szCs w:val="24"/>
        </w:rPr>
        <w:t xml:space="preserve">is </w:t>
      </w:r>
      <w:r w:rsidR="003D0B33">
        <w:rPr>
          <w:szCs w:val="24"/>
        </w:rPr>
        <w:t xml:space="preserve">compatible with human rights because to the extent that it engages and limits other human rights, including Articles 12(1) of the ICCPR, those limitations are </w:t>
      </w:r>
      <w:r w:rsidR="003D0B33">
        <w:rPr>
          <w:szCs w:val="24"/>
          <w:lang w:val="en-GB"/>
        </w:rPr>
        <w:t xml:space="preserve">reasonable, necessary and </w:t>
      </w:r>
      <w:r w:rsidR="003D0B33">
        <w:rPr>
          <w:szCs w:val="24"/>
        </w:rPr>
        <w:t xml:space="preserve">proportionate to achieve the legitimate aims and the ongoing and effective administration of the </w:t>
      </w:r>
      <w:r w:rsidR="00006BBB" w:rsidRPr="00006BBB">
        <w:rPr>
          <w:szCs w:val="24"/>
        </w:rPr>
        <w:t>Act</w:t>
      </w:r>
      <w:r w:rsidR="003D0B33" w:rsidRPr="00006BBB">
        <w:rPr>
          <w:szCs w:val="24"/>
        </w:rPr>
        <w:t>.</w:t>
      </w:r>
      <w:r w:rsidR="003D0B33">
        <w:rPr>
          <w:szCs w:val="24"/>
        </w:rPr>
        <w:t xml:space="preserve"> </w:t>
      </w:r>
    </w:p>
    <w:p w14:paraId="696F257B" w14:textId="330F11F9" w:rsidR="005C4A91" w:rsidRPr="009109F9" w:rsidRDefault="005C4A91" w:rsidP="005C4A91">
      <w:pPr>
        <w:spacing w:before="120" w:after="120"/>
        <w:rPr>
          <w:rFonts w:cs="Times New Roman"/>
          <w:szCs w:val="24"/>
        </w:rPr>
      </w:pPr>
      <w:r w:rsidRPr="005C4A91">
        <w:rPr>
          <w:rFonts w:cs="Times New Roman"/>
          <w:b/>
          <w:bCs/>
          <w:szCs w:val="24"/>
        </w:rPr>
        <w:t xml:space="preserve">The Hon </w:t>
      </w:r>
      <w:r w:rsidR="00671094" w:rsidRPr="00671094">
        <w:rPr>
          <w:rFonts w:cs="Times New Roman"/>
          <w:b/>
          <w:bCs/>
          <w:szCs w:val="24"/>
        </w:rPr>
        <w:t>Sussan Ley</w:t>
      </w:r>
      <w:r w:rsidR="00671094">
        <w:rPr>
          <w:rFonts w:cs="Times New Roman"/>
          <w:b/>
          <w:bCs/>
          <w:szCs w:val="24"/>
        </w:rPr>
        <w:t xml:space="preserve"> </w:t>
      </w:r>
      <w:r w:rsidRPr="005C4A91">
        <w:rPr>
          <w:rFonts w:cs="Times New Roman"/>
          <w:b/>
          <w:bCs/>
          <w:szCs w:val="24"/>
        </w:rPr>
        <w:t>MP, Minister for the Environment</w:t>
      </w:r>
    </w:p>
    <w:sectPr w:rsidR="005C4A91" w:rsidRPr="009109F9" w:rsidSect="00531D54">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F2EB" w14:textId="77777777" w:rsidR="00E34600" w:rsidRDefault="00E34600" w:rsidP="00E34600">
      <w:pPr>
        <w:spacing w:after="0" w:line="240" w:lineRule="auto"/>
      </w:pPr>
      <w:r>
        <w:separator/>
      </w:r>
    </w:p>
  </w:endnote>
  <w:endnote w:type="continuationSeparator" w:id="0">
    <w:p w14:paraId="0F53B8D6" w14:textId="77777777" w:rsidR="00E34600" w:rsidRDefault="00E34600" w:rsidP="00E3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A4D3" w14:textId="77777777" w:rsidR="00D134E8" w:rsidRDefault="00D13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E34600" w:rsidRDefault="00E34600" w:rsidP="00E34600">
        <w:pPr>
          <w:pStyle w:val="Footer"/>
          <w:jc w:val="right"/>
        </w:pPr>
        <w:r>
          <w:fldChar w:fldCharType="begin"/>
        </w:r>
        <w:r>
          <w:instrText xml:space="preserve"> PAGE   \* MERGEFORMAT </w:instrText>
        </w:r>
        <w:r>
          <w:fldChar w:fldCharType="separate"/>
        </w:r>
        <w:r w:rsidR="00D134E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E0CF" w14:textId="77777777" w:rsidR="00D134E8" w:rsidRDefault="00D13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956B" w14:textId="77777777" w:rsidR="00E34600" w:rsidRDefault="00E34600" w:rsidP="00E34600">
      <w:pPr>
        <w:spacing w:after="0" w:line="240" w:lineRule="auto"/>
      </w:pPr>
      <w:r>
        <w:separator/>
      </w:r>
    </w:p>
  </w:footnote>
  <w:footnote w:type="continuationSeparator" w:id="0">
    <w:p w14:paraId="7580049A" w14:textId="77777777" w:rsidR="00E34600" w:rsidRDefault="00E34600" w:rsidP="00E3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F9E0" w14:textId="77777777" w:rsidR="00D134E8" w:rsidRDefault="00D13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D0E2C" w14:textId="77777777" w:rsidR="00D134E8" w:rsidRDefault="00D13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D3E01" w14:textId="77777777" w:rsidR="00D134E8" w:rsidRDefault="00D13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CAA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47A786E"/>
    <w:multiLevelType w:val="hybridMultilevel"/>
    <w:tmpl w:val="A7A61C0A"/>
    <w:lvl w:ilvl="0" w:tplc="16307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9089F"/>
    <w:multiLevelType w:val="hybridMultilevel"/>
    <w:tmpl w:val="F028D168"/>
    <w:lvl w:ilvl="0" w:tplc="16307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0519D3"/>
    <w:multiLevelType w:val="hybridMultilevel"/>
    <w:tmpl w:val="D674B106"/>
    <w:lvl w:ilvl="0" w:tplc="DD221F08">
      <w:start w:val="1"/>
      <w:numFmt w:val="decimal"/>
      <w:lvlText w:val="%1."/>
      <w:lvlJc w:val="left"/>
      <w:pPr>
        <w:ind w:left="360" w:hanging="360"/>
      </w:pPr>
      <w:rPr>
        <w:rFonts w:ascii="Times New Roman" w:hAnsi="Times New Roman" w:cs="Times New Roman" w:hint="default"/>
        <w:b w:val="0"/>
      </w:rPr>
    </w:lvl>
    <w:lvl w:ilvl="1" w:tplc="7982DEB2">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9EC1807"/>
    <w:multiLevelType w:val="hybridMultilevel"/>
    <w:tmpl w:val="FF5E75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ADA"/>
    <w:rsid w:val="00001B00"/>
    <w:rsid w:val="00003F2D"/>
    <w:rsid w:val="00006BBB"/>
    <w:rsid w:val="000103CE"/>
    <w:rsid w:val="000264E6"/>
    <w:rsid w:val="00051217"/>
    <w:rsid w:val="000558F3"/>
    <w:rsid w:val="00067DAC"/>
    <w:rsid w:val="000702C6"/>
    <w:rsid w:val="000B21FA"/>
    <w:rsid w:val="000D0E22"/>
    <w:rsid w:val="0013767C"/>
    <w:rsid w:val="0014547D"/>
    <w:rsid w:val="00150D50"/>
    <w:rsid w:val="001520D0"/>
    <w:rsid w:val="00162501"/>
    <w:rsid w:val="001634B1"/>
    <w:rsid w:val="00167B38"/>
    <w:rsid w:val="0017355B"/>
    <w:rsid w:val="00176597"/>
    <w:rsid w:val="001964D5"/>
    <w:rsid w:val="001B5A55"/>
    <w:rsid w:val="001B67BD"/>
    <w:rsid w:val="00217D57"/>
    <w:rsid w:val="002510F5"/>
    <w:rsid w:val="002E3895"/>
    <w:rsid w:val="00302912"/>
    <w:rsid w:val="0031021A"/>
    <w:rsid w:val="00327D76"/>
    <w:rsid w:val="003529BB"/>
    <w:rsid w:val="00366EF0"/>
    <w:rsid w:val="00367CCD"/>
    <w:rsid w:val="003947C7"/>
    <w:rsid w:val="003C1DC6"/>
    <w:rsid w:val="003D0B33"/>
    <w:rsid w:val="00401E13"/>
    <w:rsid w:val="00404307"/>
    <w:rsid w:val="00407D9C"/>
    <w:rsid w:val="004356C7"/>
    <w:rsid w:val="0046017F"/>
    <w:rsid w:val="004651BC"/>
    <w:rsid w:val="004B3E37"/>
    <w:rsid w:val="004E0E3B"/>
    <w:rsid w:val="004E67F8"/>
    <w:rsid w:val="004E68C7"/>
    <w:rsid w:val="004F1884"/>
    <w:rsid w:val="00503E08"/>
    <w:rsid w:val="00525DB4"/>
    <w:rsid w:val="00531D54"/>
    <w:rsid w:val="00547F8D"/>
    <w:rsid w:val="00575B12"/>
    <w:rsid w:val="005836CC"/>
    <w:rsid w:val="00583A56"/>
    <w:rsid w:val="00593F42"/>
    <w:rsid w:val="005C4A91"/>
    <w:rsid w:val="005F09F7"/>
    <w:rsid w:val="00601B29"/>
    <w:rsid w:val="00606BD2"/>
    <w:rsid w:val="00642391"/>
    <w:rsid w:val="006472E0"/>
    <w:rsid w:val="00655EE4"/>
    <w:rsid w:val="00671094"/>
    <w:rsid w:val="006745C3"/>
    <w:rsid w:val="00674FC1"/>
    <w:rsid w:val="0067773A"/>
    <w:rsid w:val="006A106E"/>
    <w:rsid w:val="006D1A81"/>
    <w:rsid w:val="00724D1C"/>
    <w:rsid w:val="0072540E"/>
    <w:rsid w:val="00727908"/>
    <w:rsid w:val="007314D2"/>
    <w:rsid w:val="00734B81"/>
    <w:rsid w:val="00777960"/>
    <w:rsid w:val="00785B7B"/>
    <w:rsid w:val="007A0926"/>
    <w:rsid w:val="00804DC4"/>
    <w:rsid w:val="00833FE3"/>
    <w:rsid w:val="00835BB9"/>
    <w:rsid w:val="0086430F"/>
    <w:rsid w:val="008728C6"/>
    <w:rsid w:val="0087628B"/>
    <w:rsid w:val="00882263"/>
    <w:rsid w:val="00895745"/>
    <w:rsid w:val="008A61E3"/>
    <w:rsid w:val="008E2D13"/>
    <w:rsid w:val="008E397E"/>
    <w:rsid w:val="008E70E9"/>
    <w:rsid w:val="008F6091"/>
    <w:rsid w:val="00903470"/>
    <w:rsid w:val="00904485"/>
    <w:rsid w:val="009109F9"/>
    <w:rsid w:val="00951676"/>
    <w:rsid w:val="009573E8"/>
    <w:rsid w:val="0097165F"/>
    <w:rsid w:val="00987091"/>
    <w:rsid w:val="00992F01"/>
    <w:rsid w:val="009A0E4B"/>
    <w:rsid w:val="009B53B1"/>
    <w:rsid w:val="009E482E"/>
    <w:rsid w:val="009E7BE3"/>
    <w:rsid w:val="00A219E3"/>
    <w:rsid w:val="00A34D21"/>
    <w:rsid w:val="00A42E9A"/>
    <w:rsid w:val="00A624AD"/>
    <w:rsid w:val="00A758AA"/>
    <w:rsid w:val="00A84C6C"/>
    <w:rsid w:val="00A85D22"/>
    <w:rsid w:val="00A87340"/>
    <w:rsid w:val="00AC1375"/>
    <w:rsid w:val="00AD39C8"/>
    <w:rsid w:val="00AE4939"/>
    <w:rsid w:val="00B44511"/>
    <w:rsid w:val="00B569AC"/>
    <w:rsid w:val="00B61AC8"/>
    <w:rsid w:val="00B67DE9"/>
    <w:rsid w:val="00B8644A"/>
    <w:rsid w:val="00BB384E"/>
    <w:rsid w:val="00BC061D"/>
    <w:rsid w:val="00C106B7"/>
    <w:rsid w:val="00C27C94"/>
    <w:rsid w:val="00C635D7"/>
    <w:rsid w:val="00C63EC1"/>
    <w:rsid w:val="00C65D8D"/>
    <w:rsid w:val="00C81041"/>
    <w:rsid w:val="00C87400"/>
    <w:rsid w:val="00CB0900"/>
    <w:rsid w:val="00CE0054"/>
    <w:rsid w:val="00D134E8"/>
    <w:rsid w:val="00D14AF6"/>
    <w:rsid w:val="00D170A8"/>
    <w:rsid w:val="00D2025A"/>
    <w:rsid w:val="00D443EA"/>
    <w:rsid w:val="00D45DFF"/>
    <w:rsid w:val="00D8528D"/>
    <w:rsid w:val="00D95894"/>
    <w:rsid w:val="00DC7A1B"/>
    <w:rsid w:val="00DF78AE"/>
    <w:rsid w:val="00E10136"/>
    <w:rsid w:val="00E14DF0"/>
    <w:rsid w:val="00E31874"/>
    <w:rsid w:val="00E34600"/>
    <w:rsid w:val="00E54310"/>
    <w:rsid w:val="00E55B44"/>
    <w:rsid w:val="00E70354"/>
    <w:rsid w:val="00E91A45"/>
    <w:rsid w:val="00EB3E9C"/>
    <w:rsid w:val="00F03915"/>
    <w:rsid w:val="00F05F4B"/>
    <w:rsid w:val="00F2152E"/>
    <w:rsid w:val="00F831A4"/>
    <w:rsid w:val="00FD5462"/>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numPr>
        <w:numId w:val="1"/>
      </w:num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paragraph" w:styleId="ListParagraph">
    <w:name w:val="List Paragraph"/>
    <w:basedOn w:val="Normal"/>
    <w:uiPriority w:val="34"/>
    <w:qFormat/>
    <w:rsid w:val="00F03915"/>
    <w:pPr>
      <w:ind w:left="720"/>
      <w:contextualSpacing/>
    </w:pPr>
  </w:style>
  <w:style w:type="paragraph" w:styleId="Revision">
    <w:name w:val="Revision"/>
    <w:hidden/>
    <w:uiPriority w:val="99"/>
    <w:semiHidden/>
    <w:rsid w:val="00804DC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5271ADAD.dotm</Template>
  <TotalTime>0</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2019-06-27T23:33:00Z</dcterms:created>
  <dcterms:modified xsi:type="dcterms:W3CDTF">2019-06-27T23:33:00Z</dcterms:modified>
</cp:coreProperties>
</file>