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19CDA" w14:textId="77777777" w:rsidR="005833BE" w:rsidRPr="00941C0D" w:rsidRDefault="00F109D4" w:rsidP="0089406B">
      <w:pPr>
        <w:pStyle w:val="Heading1"/>
        <w:spacing w:after="360"/>
      </w:pPr>
      <w:bookmarkStart w:id="0" w:name="OLE_LINK1"/>
      <w:bookmarkStart w:id="1" w:name="OLE_LINK2"/>
      <w:r w:rsidRPr="00503E44">
        <w:t>EXPLANATORY STATEMENT</w:t>
      </w:r>
    </w:p>
    <w:p w14:paraId="7FD19CDC" w14:textId="182553BA" w:rsidR="00941C0D" w:rsidRPr="0039795F" w:rsidRDefault="00941C0D" w:rsidP="0089406B">
      <w:pPr>
        <w:pStyle w:val="Heading2"/>
        <w:spacing w:before="360" w:after="360"/>
        <w:jc w:val="center"/>
        <w:rPr>
          <w:b w:val="0"/>
          <w:sz w:val="24"/>
          <w:szCs w:val="24"/>
        </w:rPr>
      </w:pPr>
      <w:bookmarkStart w:id="2" w:name="_GoBack"/>
      <w:bookmarkEnd w:id="2"/>
      <w:r w:rsidRPr="0039795F">
        <w:rPr>
          <w:b w:val="0"/>
          <w:sz w:val="24"/>
          <w:szCs w:val="24"/>
        </w:rPr>
        <w:t xml:space="preserve">Issued by authority of the </w:t>
      </w:r>
      <w:r w:rsidR="0039795F" w:rsidRPr="0039795F">
        <w:rPr>
          <w:b w:val="0"/>
          <w:sz w:val="24"/>
          <w:szCs w:val="24"/>
        </w:rPr>
        <w:t xml:space="preserve">Minister for </w:t>
      </w:r>
      <w:r w:rsidR="0040744E" w:rsidRPr="0040744E">
        <w:rPr>
          <w:b w:val="0"/>
          <w:sz w:val="24"/>
          <w:szCs w:val="24"/>
        </w:rPr>
        <w:t>Energy and Emissions Reduction</w:t>
      </w:r>
    </w:p>
    <w:p w14:paraId="7FD19CDD" w14:textId="77777777" w:rsidR="00B460E9" w:rsidRPr="00B460E9" w:rsidRDefault="004A4D33" w:rsidP="0089406B">
      <w:pPr>
        <w:spacing w:before="240" w:after="240"/>
        <w:jc w:val="center"/>
        <w:rPr>
          <w:i/>
        </w:rPr>
      </w:pPr>
      <w:r>
        <w:rPr>
          <w:i/>
          <w:iCs/>
        </w:rPr>
        <w:t>National Greenhouse and Energy Reporting Act 2007</w:t>
      </w:r>
    </w:p>
    <w:p w14:paraId="027E4630" w14:textId="376D2F75" w:rsidR="0023138A" w:rsidRDefault="0023138A" w:rsidP="0089406B">
      <w:pPr>
        <w:spacing w:before="240" w:after="360"/>
        <w:jc w:val="center"/>
        <w:rPr>
          <w:i/>
        </w:rPr>
      </w:pPr>
      <w:r w:rsidRPr="0023138A">
        <w:rPr>
          <w:i/>
        </w:rPr>
        <w:t xml:space="preserve">National Greenhouse and Energy Reporting </w:t>
      </w:r>
      <w:r w:rsidR="00E82202">
        <w:rPr>
          <w:i/>
        </w:rPr>
        <w:t xml:space="preserve">(Measurement) </w:t>
      </w:r>
      <w:r w:rsidRPr="0023138A">
        <w:rPr>
          <w:i/>
        </w:rPr>
        <w:t>Amendment</w:t>
      </w:r>
      <w:r w:rsidR="00E82202">
        <w:rPr>
          <w:i/>
        </w:rPr>
        <w:t xml:space="preserve"> (201</w:t>
      </w:r>
      <w:r w:rsidR="002520AA">
        <w:rPr>
          <w:i/>
        </w:rPr>
        <w:t>9</w:t>
      </w:r>
      <w:r w:rsidR="00E82202">
        <w:rPr>
          <w:i/>
        </w:rPr>
        <w:t xml:space="preserve"> Update) Determination </w:t>
      </w:r>
      <w:r w:rsidR="002520AA">
        <w:rPr>
          <w:i/>
        </w:rPr>
        <w:t>2019</w:t>
      </w:r>
    </w:p>
    <w:p w14:paraId="3D2409DE" w14:textId="77777777" w:rsidR="00D520DF" w:rsidRDefault="00D520DF" w:rsidP="00E82202">
      <w:pPr>
        <w:spacing w:before="0" w:after="240"/>
      </w:pPr>
      <w:r>
        <w:rPr>
          <w:iCs/>
        </w:rPr>
        <w:t xml:space="preserve">The </w:t>
      </w:r>
      <w:r w:rsidRPr="00E2720D">
        <w:rPr>
          <w:i/>
          <w:iCs/>
        </w:rPr>
        <w:t>National Greenhouse and Energy Reporting Act 2007</w:t>
      </w:r>
      <w:r w:rsidRPr="00863FF2">
        <w:rPr>
          <w:iCs/>
        </w:rPr>
        <w:t xml:space="preserve"> (the Act)</w:t>
      </w:r>
      <w:r>
        <w:rPr>
          <w:iCs/>
        </w:rPr>
        <w:t xml:space="preserve"> provides a framework for the reporting of emissions, energy production and consumption in Australia. It also provides for the Safeguard Mechanism to place limits on the net emissions of the largest facilities in Australia.</w:t>
      </w:r>
    </w:p>
    <w:p w14:paraId="623F4910" w14:textId="4D276AFC" w:rsidR="00E82202" w:rsidRDefault="00E82202" w:rsidP="00E82202">
      <w:pPr>
        <w:spacing w:before="0" w:after="240"/>
      </w:pPr>
      <w:r w:rsidRPr="006A3A08">
        <w:t xml:space="preserve">The </w:t>
      </w:r>
      <w:r w:rsidRPr="00A642FE">
        <w:rPr>
          <w:i/>
        </w:rPr>
        <w:t>National Greenhouse and Energy Reporting (Measurement) Determination 2008</w:t>
      </w:r>
      <w:r w:rsidRPr="006A3A08">
        <w:t xml:space="preserve"> </w:t>
      </w:r>
      <w:r w:rsidR="00F64C57">
        <w:t xml:space="preserve">(“the Determination”) </w:t>
      </w:r>
      <w:r w:rsidRPr="006A3A08">
        <w:t xml:space="preserve">was made under </w:t>
      </w:r>
      <w:r>
        <w:t xml:space="preserve">section </w:t>
      </w:r>
      <w:r w:rsidRPr="006A3A08">
        <w:t>10 of the Act, which provides for the Minister to determine methods, or criteria for methods, for the measurement of (a) greenhouse gas emissions; (b) the production of energy; an</w:t>
      </w:r>
      <w:r w:rsidR="003A5D5E">
        <w:t>d (c) the consumption of energy.</w:t>
      </w:r>
      <w:r w:rsidR="00024D8E">
        <w:t xml:space="preserve"> An overview of the</w:t>
      </w:r>
      <w:r w:rsidR="00F64C57">
        <w:t xml:space="preserve"> Determination </w:t>
      </w:r>
      <w:r w:rsidR="00024D8E">
        <w:t>is provided below.</w:t>
      </w:r>
    </w:p>
    <w:p w14:paraId="39F9AD7C" w14:textId="409924C3" w:rsidR="000C6869" w:rsidRDefault="00E82202" w:rsidP="004C0F54">
      <w:pPr>
        <w:spacing w:before="0" w:after="240"/>
      </w:pPr>
      <w:r>
        <w:t>The</w:t>
      </w:r>
      <w:r w:rsidR="00802E33">
        <w:t xml:space="preserve"> purpose of the</w:t>
      </w:r>
      <w:r>
        <w:t xml:space="preserve"> </w:t>
      </w:r>
      <w:r w:rsidRPr="0023138A">
        <w:rPr>
          <w:i/>
        </w:rPr>
        <w:t xml:space="preserve">National Greenhouse and Energy Reporting </w:t>
      </w:r>
      <w:r>
        <w:rPr>
          <w:i/>
        </w:rPr>
        <w:t xml:space="preserve">(Measurement) </w:t>
      </w:r>
      <w:r w:rsidRPr="0023138A">
        <w:rPr>
          <w:i/>
        </w:rPr>
        <w:t>Amendment</w:t>
      </w:r>
      <w:r w:rsidR="002520AA">
        <w:rPr>
          <w:i/>
        </w:rPr>
        <w:t xml:space="preserve"> (2019</w:t>
      </w:r>
      <w:r>
        <w:rPr>
          <w:i/>
        </w:rPr>
        <w:t xml:space="preserve"> Update) Determination </w:t>
      </w:r>
      <w:r w:rsidR="002520AA">
        <w:rPr>
          <w:i/>
        </w:rPr>
        <w:t>2019</w:t>
      </w:r>
      <w:r>
        <w:rPr>
          <w:i/>
        </w:rPr>
        <w:t xml:space="preserve"> </w:t>
      </w:r>
      <w:r>
        <w:t xml:space="preserve">(the Instrument) </w:t>
      </w:r>
      <w:r w:rsidR="00802E33">
        <w:t xml:space="preserve">is </w:t>
      </w:r>
      <w:r w:rsidR="000C6869">
        <w:t xml:space="preserve">to assist </w:t>
      </w:r>
      <w:r w:rsidR="00802E33">
        <w:t>National Greenhouse and Energy Reporting (</w:t>
      </w:r>
      <w:r w:rsidR="000C6869">
        <w:t>NGER</w:t>
      </w:r>
      <w:r w:rsidR="00802E33">
        <w:t>)</w:t>
      </w:r>
      <w:r w:rsidR="000C6869">
        <w:t xml:space="preserve"> scheme reporters by </w:t>
      </w:r>
      <w:r w:rsidR="00527FC7">
        <w:t>introducing routine updates. The amendments</w:t>
      </w:r>
      <w:r w:rsidR="000C6869">
        <w:t>:</w:t>
      </w:r>
    </w:p>
    <w:p w14:paraId="15271D29" w14:textId="69B23F33" w:rsidR="002520AA" w:rsidRDefault="002520AA" w:rsidP="000C6869">
      <w:pPr>
        <w:pStyle w:val="ListNumber2"/>
        <w:numPr>
          <w:ilvl w:val="0"/>
          <w:numId w:val="25"/>
        </w:numPr>
        <w:rPr>
          <w:rFonts w:ascii="Times New Roman" w:eastAsia="Times New Roman" w:hAnsi="Times New Roman"/>
          <w:sz w:val="24"/>
          <w:szCs w:val="24"/>
        </w:rPr>
      </w:pPr>
      <w:r>
        <w:rPr>
          <w:rFonts w:ascii="Times New Roman" w:eastAsia="Times New Roman" w:hAnsi="Times New Roman"/>
          <w:sz w:val="24"/>
          <w:szCs w:val="24"/>
        </w:rPr>
        <w:t>provide an additional method for estimating emissions from the distribution of natural gas</w:t>
      </w:r>
      <w:r w:rsidR="0036204F">
        <w:rPr>
          <w:rFonts w:ascii="Times New Roman" w:eastAsia="Times New Roman" w:hAnsi="Times New Roman"/>
          <w:sz w:val="24"/>
          <w:szCs w:val="24"/>
        </w:rPr>
        <w:t xml:space="preserve"> using facility-specific </w:t>
      </w:r>
      <w:r w:rsidR="008141F2">
        <w:rPr>
          <w:rFonts w:ascii="Times New Roman" w:eastAsia="Times New Roman" w:hAnsi="Times New Roman"/>
          <w:sz w:val="24"/>
          <w:szCs w:val="24"/>
        </w:rPr>
        <w:t xml:space="preserve">factors </w:t>
      </w:r>
      <w:r w:rsidR="0036204F">
        <w:rPr>
          <w:rFonts w:ascii="Times New Roman" w:eastAsia="Times New Roman" w:hAnsi="Times New Roman"/>
          <w:sz w:val="24"/>
          <w:szCs w:val="24"/>
        </w:rPr>
        <w:t>determined</w:t>
      </w:r>
      <w:r w:rsidR="0040744E">
        <w:rPr>
          <w:rFonts w:ascii="Times New Roman" w:eastAsia="Times New Roman" w:hAnsi="Times New Roman"/>
          <w:sz w:val="24"/>
          <w:szCs w:val="24"/>
        </w:rPr>
        <w:t xml:space="preserve"> or calculated</w:t>
      </w:r>
      <w:r w:rsidR="0036204F">
        <w:rPr>
          <w:rFonts w:ascii="Times New Roman" w:eastAsia="Times New Roman" w:hAnsi="Times New Roman"/>
          <w:sz w:val="24"/>
          <w:szCs w:val="24"/>
        </w:rPr>
        <w:t xml:space="preserve"> in accordance with rules or procedures made by the Australian Energy Market Operator (AEMO);</w:t>
      </w:r>
    </w:p>
    <w:p w14:paraId="768C9AF9" w14:textId="2B44EA1B" w:rsidR="000C6869" w:rsidRPr="000C6869" w:rsidRDefault="00527FC7" w:rsidP="000C6869">
      <w:pPr>
        <w:pStyle w:val="ListNumber2"/>
        <w:numPr>
          <w:ilvl w:val="0"/>
          <w:numId w:val="25"/>
        </w:numPr>
        <w:rPr>
          <w:rFonts w:ascii="Times New Roman" w:eastAsia="Times New Roman" w:hAnsi="Times New Roman"/>
          <w:sz w:val="24"/>
          <w:szCs w:val="24"/>
        </w:rPr>
      </w:pPr>
      <w:proofErr w:type="gramStart"/>
      <w:r>
        <w:rPr>
          <w:rFonts w:ascii="Times New Roman" w:eastAsia="Times New Roman" w:hAnsi="Times New Roman"/>
          <w:sz w:val="24"/>
          <w:szCs w:val="24"/>
        </w:rPr>
        <w:t>update</w:t>
      </w:r>
      <w:proofErr w:type="gramEnd"/>
      <w:r w:rsidR="000C6869" w:rsidRPr="000C6869">
        <w:rPr>
          <w:rFonts w:ascii="Times New Roman" w:eastAsia="Times New Roman" w:hAnsi="Times New Roman"/>
          <w:sz w:val="24"/>
          <w:szCs w:val="24"/>
        </w:rPr>
        <w:t xml:space="preserve"> emission factors used to </w:t>
      </w:r>
      <w:r>
        <w:rPr>
          <w:rFonts w:ascii="Times New Roman" w:eastAsia="Times New Roman" w:hAnsi="Times New Roman"/>
          <w:sz w:val="24"/>
          <w:szCs w:val="24"/>
        </w:rPr>
        <w:t>estimate emissions resulting from the consumption of electricity purchased or lost from the grid (these are known as ‘scope 2 emissions’</w:t>
      </w:r>
      <w:r w:rsidR="00F64C57">
        <w:rPr>
          <w:rFonts w:ascii="Times New Roman" w:eastAsia="Times New Roman" w:hAnsi="Times New Roman"/>
          <w:sz w:val="24"/>
          <w:szCs w:val="24"/>
        </w:rPr>
        <w:t>) –</w:t>
      </w:r>
      <w:r w:rsidR="000C6869">
        <w:rPr>
          <w:rFonts w:ascii="Times New Roman" w:eastAsia="Times New Roman" w:hAnsi="Times New Roman"/>
          <w:sz w:val="24"/>
          <w:szCs w:val="24"/>
        </w:rPr>
        <w:t>based</w:t>
      </w:r>
      <w:r w:rsidR="00F64C57">
        <w:rPr>
          <w:rFonts w:ascii="Times New Roman" w:eastAsia="Times New Roman" w:hAnsi="Times New Roman"/>
          <w:sz w:val="24"/>
          <w:szCs w:val="24"/>
        </w:rPr>
        <w:t xml:space="preserve"> </w:t>
      </w:r>
      <w:r w:rsidR="000C6869">
        <w:rPr>
          <w:rFonts w:ascii="Times New Roman" w:eastAsia="Times New Roman" w:hAnsi="Times New Roman"/>
          <w:sz w:val="24"/>
          <w:szCs w:val="24"/>
        </w:rPr>
        <w:t>on the</w:t>
      </w:r>
      <w:r w:rsidR="000C6869" w:rsidRPr="000C6869">
        <w:rPr>
          <w:rFonts w:ascii="Times New Roman" w:eastAsia="Times New Roman" w:hAnsi="Times New Roman"/>
          <w:sz w:val="24"/>
          <w:szCs w:val="24"/>
        </w:rPr>
        <w:t xml:space="preserve"> latest available data. </w:t>
      </w:r>
    </w:p>
    <w:p w14:paraId="424A3DF1" w14:textId="0B92D1B5" w:rsidR="00024D8E" w:rsidRDefault="00802E33" w:rsidP="003C3DBF">
      <w:pPr>
        <w:spacing w:before="200" w:after="200"/>
      </w:pPr>
      <w:r>
        <w:t>The I</w:t>
      </w:r>
      <w:r w:rsidRPr="006A3A08">
        <w:t>nstrument will commence on 1 July 201</w:t>
      </w:r>
      <w:r w:rsidR="002520AA">
        <w:t>9</w:t>
      </w:r>
      <w:r w:rsidRPr="006A3A08">
        <w:t xml:space="preserve"> and apply to the 201</w:t>
      </w:r>
      <w:r w:rsidR="002520AA">
        <w:t>9</w:t>
      </w:r>
      <w:r>
        <w:t>-</w:t>
      </w:r>
      <w:r w:rsidR="002520AA">
        <w:t xml:space="preserve">20 </w:t>
      </w:r>
      <w:r>
        <w:t>financial year. It</w:t>
      </w:r>
      <w:r w:rsidRPr="006A3A08">
        <w:t xml:space="preserve"> will affect NGER reports submitte</w:t>
      </w:r>
      <w:r w:rsidR="002520AA">
        <w:t>d by corporations in October 2020</w:t>
      </w:r>
      <w:r>
        <w:t>.</w:t>
      </w:r>
      <w:r w:rsidR="00024D8E">
        <w:t xml:space="preserve"> </w:t>
      </w:r>
      <w:r w:rsidR="006817CD">
        <w:t xml:space="preserve"> Details of the amendments contained in the </w:t>
      </w:r>
      <w:r w:rsidR="002520AA" w:rsidRPr="002520AA">
        <w:t>Instrument</w:t>
      </w:r>
      <w:r w:rsidR="002520AA">
        <w:rPr>
          <w:i/>
        </w:rPr>
        <w:t xml:space="preserve"> </w:t>
      </w:r>
      <w:r w:rsidR="006817CD">
        <w:t>are provided below.</w:t>
      </w:r>
    </w:p>
    <w:p w14:paraId="4E6CC260" w14:textId="77777777" w:rsidR="00C15EDB" w:rsidRPr="00E54017" w:rsidRDefault="00C15EDB" w:rsidP="0089406B">
      <w:pPr>
        <w:spacing w:before="240" w:after="240"/>
        <w:rPr>
          <w:b/>
        </w:rPr>
      </w:pPr>
      <w:r w:rsidRPr="00E54017">
        <w:rPr>
          <w:b/>
        </w:rPr>
        <w:t xml:space="preserve">Overview of the </w:t>
      </w:r>
      <w:r w:rsidRPr="00024D8E">
        <w:rPr>
          <w:b/>
          <w:i/>
        </w:rPr>
        <w:t>National Greenhouse and Energy Reporting (Measurement) Determination 2008</w:t>
      </w:r>
    </w:p>
    <w:p w14:paraId="3D69C194" w14:textId="0FC65687" w:rsidR="00C15EDB" w:rsidRPr="006A3A08" w:rsidRDefault="00C15EDB" w:rsidP="00C15EDB">
      <w:r w:rsidRPr="006A3A08">
        <w:t xml:space="preserve">The </w:t>
      </w:r>
      <w:r w:rsidRPr="006A3A08">
        <w:rPr>
          <w:i/>
        </w:rPr>
        <w:t xml:space="preserve">NGER </w:t>
      </w:r>
      <w:r>
        <w:rPr>
          <w:i/>
        </w:rPr>
        <w:t>(</w:t>
      </w:r>
      <w:r w:rsidRPr="006A3A08">
        <w:rPr>
          <w:i/>
        </w:rPr>
        <w:t>Measurement</w:t>
      </w:r>
      <w:r>
        <w:rPr>
          <w:i/>
        </w:rPr>
        <w:t>)</w:t>
      </w:r>
      <w:r w:rsidRPr="006A3A08">
        <w:rPr>
          <w:i/>
        </w:rPr>
        <w:t xml:space="preserve"> Determination 2008</w:t>
      </w:r>
      <w:r w:rsidRPr="006A3A08">
        <w:t xml:space="preserve"> </w:t>
      </w:r>
      <w:r w:rsidR="005228CB">
        <w:t xml:space="preserve">(“the Determination”) </w:t>
      </w:r>
      <w:r w:rsidRPr="006A3A08">
        <w:t>provides the methods for the estimation of g</w:t>
      </w:r>
      <w:r>
        <w:t xml:space="preserve">reenhouse gas emissions and </w:t>
      </w:r>
      <w:r w:rsidRPr="006A3A08">
        <w:t>the production and consumption of energy.</w:t>
      </w:r>
      <w:r>
        <w:t xml:space="preserve"> </w:t>
      </w:r>
      <w:r w:rsidRPr="006A3A08">
        <w:t xml:space="preserve">The scope of the Determination follows international classification systems </w:t>
      </w:r>
      <w:r>
        <w:t>and includes emissions from</w:t>
      </w:r>
      <w:r w:rsidRPr="006A3A08">
        <w:t xml:space="preserve">: </w:t>
      </w:r>
    </w:p>
    <w:p w14:paraId="1D342967" w14:textId="77777777" w:rsidR="00C15EDB" w:rsidRDefault="00C15EDB" w:rsidP="00C15EDB">
      <w:pPr>
        <w:numPr>
          <w:ilvl w:val="0"/>
          <w:numId w:val="28"/>
        </w:numPr>
        <w:spacing w:before="0" w:after="200" w:line="276" w:lineRule="auto"/>
      </w:pPr>
      <w:r>
        <w:t xml:space="preserve">the combustion of fuel for energy; </w:t>
      </w:r>
    </w:p>
    <w:p w14:paraId="752517B3" w14:textId="77777777" w:rsidR="00C15EDB" w:rsidRDefault="00C15EDB" w:rsidP="00C15EDB">
      <w:pPr>
        <w:numPr>
          <w:ilvl w:val="0"/>
          <w:numId w:val="28"/>
        </w:numPr>
        <w:spacing w:before="0" w:after="200" w:line="276" w:lineRule="auto"/>
      </w:pPr>
      <w:r>
        <w:t xml:space="preserve">the extraction, production, flaring, processing and distribution of fossil fuels and carbon capture and storage; </w:t>
      </w:r>
    </w:p>
    <w:p w14:paraId="2B0B3294" w14:textId="77777777" w:rsidR="00C15EDB" w:rsidRDefault="00C15EDB" w:rsidP="00C15EDB">
      <w:pPr>
        <w:numPr>
          <w:ilvl w:val="0"/>
          <w:numId w:val="28"/>
        </w:numPr>
        <w:spacing w:before="0" w:after="200" w:line="276" w:lineRule="auto"/>
      </w:pPr>
      <w:r>
        <w:lastRenderedPageBreak/>
        <w:t xml:space="preserve">industrial processes where a mineral, chemical or metal product is formed using a chemical reaction that generates greenhouse gases as a by-product as well as emissions of hydrofluorocarbons and sulphur hexafluoride resulting from their use by certain industries; and </w:t>
      </w:r>
    </w:p>
    <w:p w14:paraId="67A017AD" w14:textId="0092B1DD" w:rsidR="00C15EDB" w:rsidRDefault="00C15EDB" w:rsidP="00C15EDB">
      <w:pPr>
        <w:numPr>
          <w:ilvl w:val="0"/>
          <w:numId w:val="28"/>
        </w:numPr>
        <w:spacing w:before="0" w:after="200" w:line="276" w:lineRule="auto"/>
      </w:pPr>
      <w:proofErr w:type="gramStart"/>
      <w:r>
        <w:t>waste</w:t>
      </w:r>
      <w:proofErr w:type="gramEnd"/>
      <w:r>
        <w:t xml:space="preserve"> disposal – either in landfill, as management of wastewater or from waste incinera</w:t>
      </w:r>
      <w:r w:rsidR="00A85B64">
        <w:t>tion</w:t>
      </w:r>
      <w:r>
        <w:t xml:space="preserve">. </w:t>
      </w:r>
    </w:p>
    <w:p w14:paraId="03B945BB" w14:textId="77777777" w:rsidR="00C15EDB" w:rsidRPr="006A3A08" w:rsidRDefault="00C15EDB" w:rsidP="00024D8E">
      <w:pPr>
        <w:spacing w:after="240"/>
      </w:pPr>
      <w:r w:rsidRPr="006A3A08">
        <w:t xml:space="preserve">The most significant source of emissions in Australia is from fuel combustion, which accounts for </w:t>
      </w:r>
      <w:r w:rsidRPr="005E4C76">
        <w:t>over 70 per cent</w:t>
      </w:r>
      <w:r w:rsidRPr="006A3A08">
        <w:t xml:space="preserve"> of the emissions reported in the national greenhouse gas inventory.</w:t>
      </w:r>
    </w:p>
    <w:p w14:paraId="75B4D067" w14:textId="4AD5D3A5" w:rsidR="00C15EDB" w:rsidRPr="006A3A08" w:rsidRDefault="00C15EDB" w:rsidP="00024D8E">
      <w:pPr>
        <w:spacing w:after="240"/>
      </w:pPr>
      <w:r w:rsidRPr="006A3A08">
        <w:t>The scope of the Determination does not include land based emissions covered by the I</w:t>
      </w:r>
      <w:r>
        <w:t xml:space="preserve">ntergovernmental </w:t>
      </w:r>
      <w:r w:rsidRPr="006A3A08">
        <w:t>P</w:t>
      </w:r>
      <w:r>
        <w:t xml:space="preserve">anel on </w:t>
      </w:r>
      <w:r w:rsidRPr="006A3A08">
        <w:t>C</w:t>
      </w:r>
      <w:r>
        <w:t xml:space="preserve">limate </w:t>
      </w:r>
      <w:r w:rsidRPr="006A3A08">
        <w:t>C</w:t>
      </w:r>
      <w:r>
        <w:t>hange (IPCC)</w:t>
      </w:r>
      <w:r w:rsidRPr="006A3A08">
        <w:t xml:space="preserve"> categories ‘Agriculture’ and ‘Land Use,</w:t>
      </w:r>
      <w:r w:rsidR="00821E29">
        <w:t xml:space="preserve"> Land Use Change and Forestry’.</w:t>
      </w:r>
      <w:r w:rsidRPr="006A3A08">
        <w:t xml:space="preserve"> Emissions from fuel combustion by land based industries a</w:t>
      </w:r>
      <w:r w:rsidR="00821E29">
        <w:t>re, nonetheless, covered by the</w:t>
      </w:r>
      <w:r w:rsidRPr="006A3A08">
        <w:t xml:space="preserve"> Determination.</w:t>
      </w:r>
    </w:p>
    <w:p w14:paraId="34ABE579" w14:textId="77777777" w:rsidR="00C15EDB" w:rsidRPr="006A3A08" w:rsidRDefault="00C15EDB" w:rsidP="0089406B">
      <w:pPr>
        <w:keepNext/>
        <w:spacing w:before="360"/>
        <w:outlineLvl w:val="5"/>
        <w:rPr>
          <w:u w:val="single"/>
        </w:rPr>
      </w:pPr>
      <w:r w:rsidRPr="006A3A08">
        <w:rPr>
          <w:u w:val="single"/>
        </w:rPr>
        <w:t>Methods of measurement</w:t>
      </w:r>
    </w:p>
    <w:p w14:paraId="418F15B8" w14:textId="77777777" w:rsidR="00C15EDB" w:rsidRPr="006A3A08" w:rsidRDefault="00C15EDB" w:rsidP="00024D8E">
      <w:pPr>
        <w:spacing w:after="240"/>
      </w:pPr>
      <w:r w:rsidRPr="006A3A08">
        <w:t xml:space="preserve">The framework supporting the emissions estimation methods specified in the Determination reflects </w:t>
      </w:r>
      <w:r w:rsidRPr="0022610D">
        <w:t>the approaches of the IPCC guidelines governing the estimation of national greenhouse gas inventories</w:t>
      </w:r>
      <w:r>
        <w:t xml:space="preserve">, as adopted by the </w:t>
      </w:r>
      <w:r w:rsidRPr="004B2643">
        <w:t>Parties to the UN Framework Convention on Clima</w:t>
      </w:r>
      <w:r>
        <w:t>te Change and its Kyoto Protocol.</w:t>
      </w:r>
    </w:p>
    <w:p w14:paraId="2941079E" w14:textId="77777777" w:rsidR="00C15EDB" w:rsidRPr="006A3A08" w:rsidRDefault="00C15EDB" w:rsidP="00024D8E">
      <w:pPr>
        <w:spacing w:after="240"/>
      </w:pPr>
      <w:r w:rsidRPr="006A3A08">
        <w:t xml:space="preserve">The Determination provides four different classes of methods for the estimation of emissions for most emissions sources.  </w:t>
      </w:r>
    </w:p>
    <w:p w14:paraId="3ECDEEB9" w14:textId="2A15CE44" w:rsidR="00C15EDB" w:rsidRPr="006A3A08" w:rsidRDefault="00C15EDB" w:rsidP="00024D8E">
      <w:pPr>
        <w:spacing w:after="240"/>
      </w:pPr>
      <w:bookmarkStart w:id="3" w:name="_Toc381887671"/>
      <w:r w:rsidRPr="006A3A08">
        <w:rPr>
          <w:b/>
        </w:rPr>
        <w:t>NGER Method 1</w:t>
      </w:r>
      <w:r w:rsidRPr="006A3A08">
        <w:t xml:space="preserve">: is the </w:t>
      </w:r>
      <w:r w:rsidRPr="006A3A08">
        <w:rPr>
          <w:i/>
        </w:rPr>
        <w:t>National Greenhouse Accounts</w:t>
      </w:r>
      <w:r w:rsidRPr="006A3A08">
        <w:t xml:space="preserve"> default method and specifies the use of default emission factors i</w:t>
      </w:r>
      <w:r w:rsidR="00AC16D6">
        <w:t xml:space="preserve">n the estimation of emissions. </w:t>
      </w:r>
      <w:r w:rsidRPr="006A3A08">
        <w:t>This is the simplest method available and, in general, emissions may be estimated by reference to activity data such as fossil fuel consumption, evidenced by invoices, and the use of specified emission factors provided in the Determination.</w:t>
      </w:r>
    </w:p>
    <w:p w14:paraId="7D4BFD21" w14:textId="77777777" w:rsidR="00C15EDB" w:rsidRPr="006A3A08" w:rsidRDefault="00C15EDB" w:rsidP="00024D8E">
      <w:pPr>
        <w:spacing w:after="240"/>
      </w:pPr>
      <w:r w:rsidRPr="006A3A08">
        <w:rPr>
          <w:b/>
          <w:bCs/>
        </w:rPr>
        <w:t>NGER Method 2</w:t>
      </w:r>
      <w:r w:rsidRPr="006A3A08">
        <w:rPr>
          <w:bCs/>
        </w:rPr>
        <w:t xml:space="preserve">: </w:t>
      </w:r>
      <w:r w:rsidRPr="006A3A08">
        <w:t xml:space="preserve">is </w:t>
      </w:r>
      <w:r w:rsidRPr="006A3A08">
        <w:rPr>
          <w:bCs/>
        </w:rPr>
        <w:t xml:space="preserve">a facility-specific method using industry sampling and Australian or international standards </w:t>
      </w:r>
      <w:r w:rsidRPr="006A3A08">
        <w:t xml:space="preserve">to provide more accurate estimates of emissions at facility level.  Method 2 enables corporations to undertake additional measurements – for example, the qualities of fuels consumed at a particular facility – in order to gain more accurate estimates for emissions for that particular facility. </w:t>
      </w:r>
    </w:p>
    <w:p w14:paraId="673AD798" w14:textId="77777777" w:rsidR="00C15EDB" w:rsidRPr="006A3A08" w:rsidRDefault="00C15EDB" w:rsidP="00024D8E">
      <w:pPr>
        <w:spacing w:after="240"/>
      </w:pPr>
      <w:r w:rsidRPr="006A3A08">
        <w:rPr>
          <w:b/>
        </w:rPr>
        <w:t>NGER Method 3</w:t>
      </w:r>
      <w:r w:rsidRPr="006A3A08">
        <w:t>: is a facility-specific method using Australian or international standards for both sampling and analysis of fuels and raw materials. Method 3 is very similar to Method 2, except that reporters must use Australian or equivalent documentary standards for sampling (of fuels or raw materials) as well as for the analysis of fuels.</w:t>
      </w:r>
    </w:p>
    <w:p w14:paraId="576DBEC1" w14:textId="30718333" w:rsidR="00C15EDB" w:rsidRPr="006A3A08" w:rsidRDefault="00C15EDB" w:rsidP="00024D8E">
      <w:pPr>
        <w:spacing w:after="240"/>
      </w:pPr>
      <w:r w:rsidRPr="006A3A08">
        <w:rPr>
          <w:b/>
        </w:rPr>
        <w:t>NGER Method 4</w:t>
      </w:r>
      <w:r w:rsidRPr="006A3A08">
        <w:t>: direct monitoring of emission systems, either on a</w:t>
      </w:r>
      <w:r w:rsidR="00AC16D6">
        <w:t xml:space="preserve"> continuous or periodic basis. </w:t>
      </w:r>
      <w:r w:rsidRPr="006A3A08">
        <w:t>Rather than providing for the analysis of the chemical properties of inputs (or in some case, products), Method 4 aims to directly monitor greenhouse emissions arising from an activity. This approach can provide a higher level of accuracy in certain circumstances, depending on the type of emissions process; however, it is more likely to be more data intensive than other approaches.</w:t>
      </w:r>
    </w:p>
    <w:p w14:paraId="283BD878" w14:textId="77777777" w:rsidR="00C15EDB" w:rsidRPr="006A3A08" w:rsidRDefault="00C15EDB" w:rsidP="00024D8E">
      <w:pPr>
        <w:spacing w:after="240"/>
      </w:pPr>
      <w:r w:rsidRPr="000003FB">
        <w:lastRenderedPageBreak/>
        <w:t>As for Methods 2 and 3</w:t>
      </w:r>
      <w:r w:rsidRPr="006A3A08">
        <w:t>, there is a substantial body of documented procedures on monitoring practices and state and territory government regulatory experience that provide the principal sources of guidance for the establishment of such systems.</w:t>
      </w:r>
    </w:p>
    <w:p w14:paraId="417467E0" w14:textId="16A7E6EC" w:rsidR="00C15EDB" w:rsidRDefault="00C15EDB" w:rsidP="00024D8E">
      <w:pPr>
        <w:spacing w:after="240"/>
      </w:pPr>
      <w:r w:rsidRPr="006A3A08">
        <w:t>More generally, the</w:t>
      </w:r>
      <w:r w:rsidR="0089406B">
        <w:t xml:space="preserve"> Determination</w:t>
      </w:r>
      <w:r>
        <w:rPr>
          <w:i/>
        </w:rPr>
        <w:t xml:space="preserve"> </w:t>
      </w:r>
      <w:r w:rsidRPr="006A3A08">
        <w:t>draws on existing estimation practices wherever possible, including the use of data collected for commercial, taxation or other regulatory purposes, with the aim of maximising the use of readily validated data and minimising administrative burdens on reporters</w:t>
      </w:r>
      <w:bookmarkEnd w:id="3"/>
      <w:r>
        <w:t>.</w:t>
      </w:r>
    </w:p>
    <w:p w14:paraId="3520D3F3" w14:textId="48D3D669" w:rsidR="00024D8E" w:rsidRPr="00024D8E" w:rsidRDefault="00024D8E" w:rsidP="0089406B">
      <w:pPr>
        <w:spacing w:before="360"/>
        <w:rPr>
          <w:b/>
          <w:i/>
        </w:rPr>
      </w:pPr>
      <w:r w:rsidRPr="00024D8E">
        <w:rPr>
          <w:b/>
        </w:rPr>
        <w:t xml:space="preserve">Overview of the </w:t>
      </w:r>
      <w:r w:rsidRPr="00024D8E">
        <w:rPr>
          <w:b/>
          <w:i/>
        </w:rPr>
        <w:t>National Greenhouse and Energy Reporti</w:t>
      </w:r>
      <w:r w:rsidR="00732AC4">
        <w:rPr>
          <w:b/>
          <w:i/>
        </w:rPr>
        <w:t>ng (Measurement) Amendment (2019 Update) Determination 2019</w:t>
      </w:r>
      <w:r w:rsidRPr="00024D8E">
        <w:rPr>
          <w:b/>
          <w:i/>
        </w:rPr>
        <w:t xml:space="preserve"> </w:t>
      </w:r>
    </w:p>
    <w:p w14:paraId="4FD6BF86" w14:textId="77777777" w:rsidR="00155854" w:rsidRDefault="00155854" w:rsidP="00C15EDB">
      <w:pPr>
        <w:rPr>
          <w:u w:val="single"/>
        </w:rPr>
      </w:pPr>
    </w:p>
    <w:p w14:paraId="7C7E5EDA" w14:textId="3E5AB7D2" w:rsidR="00155854" w:rsidRDefault="00155854" w:rsidP="00C15EDB">
      <w:pPr>
        <w:rPr>
          <w:u w:val="single"/>
        </w:rPr>
      </w:pPr>
      <w:r>
        <w:rPr>
          <w:u w:val="single"/>
        </w:rPr>
        <w:t>Unaccounted for gas</w:t>
      </w:r>
    </w:p>
    <w:p w14:paraId="4D598EE5" w14:textId="6EB7C984" w:rsidR="00155854" w:rsidRDefault="005E4C76" w:rsidP="002F4AC4">
      <w:pPr>
        <w:spacing w:after="240"/>
      </w:pPr>
      <w:r w:rsidRPr="005E4C76">
        <w:t>Divi</w:t>
      </w:r>
      <w:r>
        <w:t>sion 3.3.8 of the Determination provides methods for estimating fugitive emissions from facilities in which natural gas is distributed through a system of pipelines.</w:t>
      </w:r>
    </w:p>
    <w:p w14:paraId="2FEB3E0A" w14:textId="59131FCA" w:rsidR="005E4C76" w:rsidRPr="005E4C76" w:rsidRDefault="005E4C76" w:rsidP="00C15EDB">
      <w:r>
        <w:t xml:space="preserve">In addition to the existing Method 1 (section 3.80), in which State- or Territory-wide emissions factors are applied to estimate </w:t>
      </w:r>
      <w:r w:rsidR="002F4AC4">
        <w:t xml:space="preserve">the percentage of </w:t>
      </w:r>
      <w:r w:rsidR="00936040">
        <w:t xml:space="preserve">unaccounted </w:t>
      </w:r>
      <w:r>
        <w:t>for gas</w:t>
      </w:r>
      <w:r w:rsidR="002F4AC4">
        <w:t xml:space="preserve"> in a facility</w:t>
      </w:r>
      <w:r>
        <w:t xml:space="preserve">, and Method 2 (3.81), </w:t>
      </w:r>
      <w:r w:rsidR="002F4AC4">
        <w:t xml:space="preserve">under </w:t>
      </w:r>
      <w:r>
        <w:t xml:space="preserve">which </w:t>
      </w:r>
      <w:r w:rsidR="002F4AC4">
        <w:t xml:space="preserve">reporters may estimate emissions on a facility-specific basis using factors provided for different types of equipment in the </w:t>
      </w:r>
      <w:r w:rsidR="002F4AC4">
        <w:rPr>
          <w:i/>
          <w:iCs/>
          <w:sz w:val="22"/>
          <w:szCs w:val="22"/>
        </w:rPr>
        <w:t>Compendium of Greenhouse Gas Emissions Methodologies for the Oil and Natural Gas Industry (</w:t>
      </w:r>
      <w:r w:rsidR="002F4AC4" w:rsidRPr="002F4AC4">
        <w:rPr>
          <w:iCs/>
          <w:sz w:val="22"/>
          <w:szCs w:val="22"/>
        </w:rPr>
        <w:t>API Compendium)</w:t>
      </w:r>
      <w:r w:rsidR="002F4AC4">
        <w:rPr>
          <w:iCs/>
          <w:sz w:val="22"/>
          <w:szCs w:val="22"/>
        </w:rPr>
        <w:t>,</w:t>
      </w:r>
      <w:r w:rsidR="002F4AC4" w:rsidRPr="002F4AC4">
        <w:rPr>
          <w:iCs/>
          <w:sz w:val="22"/>
          <w:szCs w:val="22"/>
        </w:rPr>
        <w:t xml:space="preserve"> </w:t>
      </w:r>
      <w:r w:rsidRPr="002F4AC4">
        <w:t>the</w:t>
      </w:r>
      <w:r>
        <w:t xml:space="preserve"> Instrument introduces a new Method 3</w:t>
      </w:r>
      <w:r w:rsidR="002F4AC4">
        <w:t xml:space="preserve">, providing for the </w:t>
      </w:r>
      <w:r w:rsidR="008141F2">
        <w:t>use</w:t>
      </w:r>
      <w:r w:rsidR="002F4AC4">
        <w:t xml:space="preserve"> of </w:t>
      </w:r>
      <w:r w:rsidR="008141F2">
        <w:t xml:space="preserve">facility-specific </w:t>
      </w:r>
      <w:r w:rsidR="00936040">
        <w:t xml:space="preserve">unaccounted </w:t>
      </w:r>
      <w:r w:rsidR="002F4AC4">
        <w:t>for gas</w:t>
      </w:r>
      <w:r w:rsidR="008141F2">
        <w:t xml:space="preserve"> </w:t>
      </w:r>
      <w:r w:rsidR="002F4AC4">
        <w:t xml:space="preserve">factors </w:t>
      </w:r>
      <w:r w:rsidR="008141F2">
        <w:t xml:space="preserve">which are consistent with those </w:t>
      </w:r>
      <w:r w:rsidR="009D2E5E">
        <w:t>calculated and used in relevant gas markets</w:t>
      </w:r>
      <w:r w:rsidR="005F7AE5">
        <w:t>.</w:t>
      </w:r>
      <w:r w:rsidR="00FF429C">
        <w:t xml:space="preserve"> This allows for greater accuracy in estimation of emissions from the facility.</w:t>
      </w:r>
    </w:p>
    <w:p w14:paraId="6CB54ED5" w14:textId="77777777" w:rsidR="005E4C76" w:rsidRDefault="005E4C76" w:rsidP="00C15EDB">
      <w:pPr>
        <w:rPr>
          <w:u w:val="single"/>
        </w:rPr>
      </w:pPr>
    </w:p>
    <w:p w14:paraId="394ACD0E" w14:textId="05A95CCB" w:rsidR="00155854" w:rsidRDefault="00155854" w:rsidP="00C15EDB">
      <w:pPr>
        <w:rPr>
          <w:u w:val="single"/>
        </w:rPr>
      </w:pPr>
      <w:r>
        <w:rPr>
          <w:u w:val="single"/>
        </w:rPr>
        <w:t>Scope 2 emissions factors</w:t>
      </w:r>
    </w:p>
    <w:p w14:paraId="420CD98F" w14:textId="0CE0B9CD" w:rsidR="00FF429C" w:rsidRPr="004737CC" w:rsidRDefault="00BA5366" w:rsidP="00FF429C">
      <w:pPr>
        <w:rPr>
          <w:rFonts w:cs="Arial"/>
        </w:rPr>
      </w:pPr>
      <w:r>
        <w:rPr>
          <w:rFonts w:cs="Arial"/>
        </w:rPr>
        <w:t xml:space="preserve">The Instrument makes an annual </w:t>
      </w:r>
      <w:r w:rsidR="00FF429C" w:rsidRPr="003A66E9">
        <w:rPr>
          <w:rFonts w:cs="Arial"/>
        </w:rPr>
        <w:t xml:space="preserve">update </w:t>
      </w:r>
      <w:r>
        <w:rPr>
          <w:rFonts w:cs="Arial"/>
        </w:rPr>
        <w:t xml:space="preserve">to </w:t>
      </w:r>
      <w:r w:rsidR="00FF429C" w:rsidRPr="003A66E9">
        <w:rPr>
          <w:rFonts w:cs="Arial"/>
        </w:rPr>
        <w:t>scope 2 emission factors</w:t>
      </w:r>
      <w:r w:rsidR="00FF429C">
        <w:rPr>
          <w:rFonts w:cs="Arial"/>
        </w:rPr>
        <w:t xml:space="preserve"> </w:t>
      </w:r>
      <w:r>
        <w:rPr>
          <w:rFonts w:cs="Arial"/>
        </w:rPr>
        <w:t xml:space="preserve">to </w:t>
      </w:r>
      <w:r w:rsidR="00FF429C" w:rsidRPr="003A66E9">
        <w:rPr>
          <w:rFonts w:cs="Arial"/>
        </w:rPr>
        <w:t>reflect changes within the National Electricity Market</w:t>
      </w:r>
      <w:r w:rsidR="009D2E5E">
        <w:rPr>
          <w:rFonts w:cs="Arial"/>
        </w:rPr>
        <w:t>, Northern Territory and South West Interconnected System</w:t>
      </w:r>
      <w:r w:rsidR="00FF429C" w:rsidRPr="003A66E9">
        <w:rPr>
          <w:rFonts w:cs="Arial"/>
        </w:rPr>
        <w:t xml:space="preserve"> in the last financial year.</w:t>
      </w:r>
    </w:p>
    <w:p w14:paraId="6F625FD6" w14:textId="77777777" w:rsidR="00155854" w:rsidRDefault="00155854" w:rsidP="00C15EDB">
      <w:pPr>
        <w:rPr>
          <w:u w:val="single"/>
        </w:rPr>
      </w:pPr>
    </w:p>
    <w:p w14:paraId="66E6312F" w14:textId="77777777" w:rsidR="00C15EDB" w:rsidRDefault="003A5D5E" w:rsidP="006817CD">
      <w:pPr>
        <w:spacing w:after="240"/>
      </w:pPr>
      <w:r>
        <w:t xml:space="preserve">Further details of the Instrument are outlined in </w:t>
      </w:r>
      <w:r>
        <w:rPr>
          <w:u w:val="single"/>
        </w:rPr>
        <w:t>Attachment A</w:t>
      </w:r>
      <w:r>
        <w:t xml:space="preserve">. </w:t>
      </w:r>
    </w:p>
    <w:p w14:paraId="2CEB074B" w14:textId="7CA74FFD" w:rsidR="003C3DBF" w:rsidRPr="00366499" w:rsidRDefault="003C3DBF" w:rsidP="006817CD">
      <w:pPr>
        <w:spacing w:after="240"/>
        <w:rPr>
          <w:color w:val="000000" w:themeColor="text1"/>
        </w:rPr>
      </w:pPr>
      <w:r w:rsidRPr="006A3A08">
        <w:t>Th</w:t>
      </w:r>
      <w:r>
        <w:t>e</w:t>
      </w:r>
      <w:r w:rsidRPr="006A3A08">
        <w:t xml:space="preserve"> Instrument</w:t>
      </w:r>
      <w:r>
        <w:t xml:space="preserve"> is a</w:t>
      </w:r>
      <w:r w:rsidRPr="006A3A08">
        <w:t xml:space="preserve"> legislative instrument for the purposes </w:t>
      </w:r>
      <w:r w:rsidRPr="00366499">
        <w:rPr>
          <w:color w:val="000000" w:themeColor="text1"/>
        </w:rPr>
        <w:t xml:space="preserve">of the </w:t>
      </w:r>
      <w:r w:rsidR="00FD6C51">
        <w:rPr>
          <w:i/>
          <w:color w:val="000000" w:themeColor="text1"/>
        </w:rPr>
        <w:t>Legislation</w:t>
      </w:r>
      <w:r w:rsidR="00FD6C51" w:rsidRPr="00366499">
        <w:rPr>
          <w:i/>
          <w:color w:val="000000" w:themeColor="text1"/>
        </w:rPr>
        <w:t xml:space="preserve"> </w:t>
      </w:r>
      <w:r w:rsidRPr="00366499">
        <w:rPr>
          <w:i/>
          <w:color w:val="000000" w:themeColor="text1"/>
        </w:rPr>
        <w:t>Act 2003</w:t>
      </w:r>
      <w:r w:rsidRPr="00366499">
        <w:rPr>
          <w:color w:val="000000" w:themeColor="text1"/>
        </w:rPr>
        <w:t>.</w:t>
      </w:r>
    </w:p>
    <w:p w14:paraId="48C953DC" w14:textId="04B623E9" w:rsidR="0016437F" w:rsidRPr="00366499" w:rsidRDefault="0016437F" w:rsidP="006817CD">
      <w:pPr>
        <w:spacing w:after="240"/>
        <w:rPr>
          <w:color w:val="000000" w:themeColor="text1"/>
        </w:rPr>
      </w:pPr>
      <w:r w:rsidRPr="00366499">
        <w:rPr>
          <w:color w:val="000000" w:themeColor="text1"/>
        </w:rPr>
        <w:t>A Regulation Impact Statement was not required, based on advice from the Office of Best Practice Regulation (</w:t>
      </w:r>
      <w:r w:rsidR="005F7AE5">
        <w:t>25174</w:t>
      </w:r>
      <w:r w:rsidRPr="00366499">
        <w:rPr>
          <w:color w:val="000000" w:themeColor="text1"/>
        </w:rPr>
        <w:t>).</w:t>
      </w:r>
    </w:p>
    <w:p w14:paraId="435BA8D6" w14:textId="54ED100E" w:rsidR="003A5D5E" w:rsidRDefault="003A5D5E" w:rsidP="006817CD">
      <w:pPr>
        <w:spacing w:after="240"/>
      </w:pPr>
      <w:r w:rsidRPr="0038144C">
        <w:t xml:space="preserve">A statement of the Regulation’s compatibility with human </w:t>
      </w:r>
      <w:r>
        <w:t xml:space="preserve">rights is set out in </w:t>
      </w:r>
      <w:r w:rsidRPr="0047361F">
        <w:rPr>
          <w:u w:val="single"/>
        </w:rPr>
        <w:t>Attachment</w:t>
      </w:r>
      <w:r w:rsidR="00C15EDB">
        <w:rPr>
          <w:u w:val="single"/>
        </w:rPr>
        <w:t xml:space="preserve"> B</w:t>
      </w:r>
      <w:r w:rsidRPr="0038144C">
        <w:t>.</w:t>
      </w:r>
    </w:p>
    <w:p w14:paraId="63AF6F2A" w14:textId="77777777" w:rsidR="00C15EDB" w:rsidRDefault="00C15EDB" w:rsidP="003A5D5E">
      <w:pPr>
        <w:spacing w:before="200" w:after="200"/>
      </w:pPr>
    </w:p>
    <w:p w14:paraId="63FD5FB3" w14:textId="77777777" w:rsidR="00C15EDB" w:rsidRDefault="00C15EDB">
      <w:pPr>
        <w:spacing w:before="0" w:after="0"/>
      </w:pPr>
      <w:r>
        <w:br w:type="page"/>
      </w:r>
    </w:p>
    <w:bookmarkEnd w:id="0"/>
    <w:bookmarkEnd w:id="1"/>
    <w:p w14:paraId="7FD19CE6" w14:textId="77777777"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14:paraId="66ECED51" w14:textId="64E1C650" w:rsidR="00024882" w:rsidRPr="00024882" w:rsidRDefault="00024882" w:rsidP="004E5651">
      <w:pPr>
        <w:spacing w:before="360" w:after="360"/>
        <w:jc w:val="center"/>
        <w:rPr>
          <w:b/>
          <w:i/>
        </w:rPr>
      </w:pPr>
      <w:r w:rsidRPr="00024882">
        <w:rPr>
          <w:b/>
          <w:i/>
        </w:rPr>
        <w:t xml:space="preserve">National Greenhouse and Energy Reporting (Measurement) Amendment </w:t>
      </w:r>
      <w:r w:rsidR="00691490">
        <w:rPr>
          <w:b/>
          <w:i/>
        </w:rPr>
        <w:t>(2019 Update) Determination 2019</w:t>
      </w:r>
    </w:p>
    <w:p w14:paraId="7FD19CE8" w14:textId="686EA027" w:rsidR="001F5A3D" w:rsidRPr="00B9380B" w:rsidRDefault="0019209B" w:rsidP="004E5651">
      <w:pPr>
        <w:spacing w:before="240" w:after="240"/>
        <w:ind w:right="91"/>
        <w:rPr>
          <w:szCs w:val="24"/>
        </w:rPr>
      </w:pPr>
      <w:r>
        <w:rPr>
          <w:szCs w:val="24"/>
          <w:u w:val="single"/>
        </w:rPr>
        <w:t xml:space="preserve">Section </w:t>
      </w:r>
      <w:r w:rsidR="008019CF">
        <w:rPr>
          <w:szCs w:val="24"/>
          <w:u w:val="single"/>
        </w:rPr>
        <w:t xml:space="preserve">1 – Name of </w:t>
      </w:r>
      <w:r w:rsidR="00663792">
        <w:rPr>
          <w:szCs w:val="24"/>
          <w:u w:val="single"/>
        </w:rPr>
        <w:t>Determination</w:t>
      </w:r>
    </w:p>
    <w:p w14:paraId="7FD19CE9" w14:textId="169D632F" w:rsidR="001F5A3D" w:rsidRPr="00F90D84" w:rsidRDefault="00663792" w:rsidP="004E5651">
      <w:pPr>
        <w:spacing w:before="0" w:after="360"/>
        <w:ind w:right="91"/>
        <w:rPr>
          <w:szCs w:val="24"/>
        </w:rPr>
      </w:pPr>
      <w:r>
        <w:rPr>
          <w:szCs w:val="24"/>
        </w:rPr>
        <w:t xml:space="preserve">This </w:t>
      </w:r>
      <w:r w:rsidR="0019209B">
        <w:rPr>
          <w:szCs w:val="24"/>
        </w:rPr>
        <w:t>section</w:t>
      </w:r>
      <w:r w:rsidR="0019209B" w:rsidRPr="00F90D84">
        <w:rPr>
          <w:szCs w:val="24"/>
        </w:rPr>
        <w:t xml:space="preserve"> </w:t>
      </w:r>
      <w:r w:rsidR="001F5A3D" w:rsidRPr="00F90D84">
        <w:rPr>
          <w:szCs w:val="24"/>
        </w:rPr>
        <w:t>provide</w:t>
      </w:r>
      <w:r w:rsidR="003A2330" w:rsidRPr="00F90D84">
        <w:rPr>
          <w:szCs w:val="24"/>
        </w:rPr>
        <w:t>s</w:t>
      </w:r>
      <w:r w:rsidR="001F5A3D" w:rsidRPr="00F90D84">
        <w:rPr>
          <w:szCs w:val="24"/>
        </w:rPr>
        <w:t xml:space="preserve"> that the title of the </w:t>
      </w:r>
      <w:r>
        <w:rPr>
          <w:szCs w:val="24"/>
        </w:rPr>
        <w:t>Instrument</w:t>
      </w:r>
      <w:r w:rsidR="001F5A3D" w:rsidRPr="00F90D84">
        <w:rPr>
          <w:szCs w:val="24"/>
        </w:rPr>
        <w:t xml:space="preserve"> is the </w:t>
      </w:r>
      <w:r w:rsidRPr="0040744E">
        <w:rPr>
          <w:i/>
          <w:szCs w:val="24"/>
        </w:rPr>
        <w:t>National</w:t>
      </w:r>
      <w:r w:rsidRPr="00663792">
        <w:rPr>
          <w:szCs w:val="24"/>
        </w:rPr>
        <w:t xml:space="preserve"> </w:t>
      </w:r>
      <w:r w:rsidRPr="00663792">
        <w:rPr>
          <w:i/>
        </w:rPr>
        <w:t>Energy Reporting (Measurement) Amendment (201</w:t>
      </w:r>
      <w:r w:rsidR="00FF429C">
        <w:rPr>
          <w:i/>
        </w:rPr>
        <w:t>9 Update) Determination 2019</w:t>
      </w:r>
      <w:r w:rsidR="001F5A3D" w:rsidRPr="00663792">
        <w:rPr>
          <w:szCs w:val="24"/>
        </w:rPr>
        <w:t>.</w:t>
      </w:r>
    </w:p>
    <w:p w14:paraId="7FD19CEA" w14:textId="7702F512" w:rsidR="001F5A3D" w:rsidRPr="00FC52C4" w:rsidRDefault="0019209B" w:rsidP="004E5651">
      <w:pPr>
        <w:spacing w:before="240" w:after="240"/>
        <w:ind w:right="91"/>
        <w:rPr>
          <w:szCs w:val="24"/>
          <w:u w:val="single"/>
        </w:rPr>
      </w:pPr>
      <w:r>
        <w:rPr>
          <w:szCs w:val="24"/>
          <w:u w:val="single"/>
        </w:rPr>
        <w:t xml:space="preserve">Section </w:t>
      </w:r>
      <w:r w:rsidR="00663792">
        <w:rPr>
          <w:szCs w:val="24"/>
          <w:u w:val="single"/>
        </w:rPr>
        <w:t>2</w:t>
      </w:r>
      <w:r w:rsidR="001F5A3D" w:rsidRPr="00FC52C4">
        <w:rPr>
          <w:szCs w:val="24"/>
          <w:u w:val="single"/>
        </w:rPr>
        <w:t xml:space="preserve"> – Commencement</w:t>
      </w:r>
    </w:p>
    <w:p w14:paraId="7FD19CEB" w14:textId="32FA5390" w:rsidR="001F5A3D" w:rsidRPr="003A612B" w:rsidRDefault="00663792" w:rsidP="004E5651">
      <w:pPr>
        <w:spacing w:before="0" w:after="360"/>
        <w:ind w:right="91"/>
        <w:rPr>
          <w:szCs w:val="24"/>
        </w:rPr>
      </w:pPr>
      <w:r>
        <w:rPr>
          <w:szCs w:val="24"/>
        </w:rPr>
        <w:t xml:space="preserve">This </w:t>
      </w:r>
      <w:r w:rsidR="0019209B">
        <w:rPr>
          <w:szCs w:val="24"/>
        </w:rPr>
        <w:t xml:space="preserve">section </w:t>
      </w:r>
      <w:r w:rsidR="001F5A3D">
        <w:rPr>
          <w:szCs w:val="24"/>
        </w:rPr>
        <w:t>provide</w:t>
      </w:r>
      <w:r w:rsidR="004E7915">
        <w:rPr>
          <w:szCs w:val="24"/>
        </w:rPr>
        <w:t>s</w:t>
      </w:r>
      <w:r>
        <w:rPr>
          <w:szCs w:val="24"/>
        </w:rPr>
        <w:t xml:space="preserve"> for the amendments to commence </w:t>
      </w:r>
      <w:r w:rsidR="00FF429C">
        <w:rPr>
          <w:szCs w:val="24"/>
        </w:rPr>
        <w:t>on 1 July 2019</w:t>
      </w:r>
      <w:r w:rsidR="00B719D4">
        <w:rPr>
          <w:szCs w:val="24"/>
        </w:rPr>
        <w:t>.</w:t>
      </w:r>
    </w:p>
    <w:p w14:paraId="7FD19CEC" w14:textId="2E4E7F6D" w:rsidR="001F5A3D" w:rsidRPr="001C68D5" w:rsidRDefault="0019209B" w:rsidP="001F5A3D">
      <w:pPr>
        <w:spacing w:before="0" w:after="240"/>
        <w:ind w:right="91"/>
        <w:rPr>
          <w:szCs w:val="24"/>
        </w:rPr>
      </w:pPr>
      <w:r>
        <w:rPr>
          <w:szCs w:val="24"/>
          <w:u w:val="single"/>
        </w:rPr>
        <w:t>Section</w:t>
      </w:r>
      <w:r w:rsidRPr="00286CC0">
        <w:rPr>
          <w:szCs w:val="24"/>
          <w:u w:val="single"/>
        </w:rPr>
        <w:t xml:space="preserve"> </w:t>
      </w:r>
      <w:r w:rsidR="001F5A3D" w:rsidRPr="00286CC0">
        <w:rPr>
          <w:szCs w:val="24"/>
          <w:u w:val="single"/>
        </w:rPr>
        <w:t>3 – Authority</w:t>
      </w:r>
    </w:p>
    <w:p w14:paraId="6C2B350A" w14:textId="4302EFA2" w:rsidR="00663792" w:rsidRPr="00663792" w:rsidRDefault="00663792" w:rsidP="00663792">
      <w:pPr>
        <w:pStyle w:val="Normal1"/>
        <w:spacing w:after="240"/>
        <w:rPr>
          <w:i/>
        </w:rPr>
      </w:pPr>
      <w:r w:rsidRPr="00663792">
        <w:t xml:space="preserve">This </w:t>
      </w:r>
      <w:r w:rsidR="0019209B">
        <w:t>section</w:t>
      </w:r>
      <w:r w:rsidR="0019209B" w:rsidRPr="00663792">
        <w:t xml:space="preserve"> </w:t>
      </w:r>
      <w:r w:rsidRPr="00663792">
        <w:t xml:space="preserve">outlines that the Determination falls under subsection 10(3) of the </w:t>
      </w:r>
      <w:r w:rsidRPr="00663792">
        <w:rPr>
          <w:i/>
        </w:rPr>
        <w:t>National Greenhouse and Energy Reporting Act 2007.</w:t>
      </w:r>
    </w:p>
    <w:p w14:paraId="7FD19CEE" w14:textId="57F71CCD" w:rsidR="001F5A3D" w:rsidRPr="00FC52C4" w:rsidRDefault="0019209B" w:rsidP="008019CF">
      <w:pPr>
        <w:spacing w:before="0" w:after="240"/>
        <w:ind w:right="91"/>
        <w:rPr>
          <w:szCs w:val="24"/>
          <w:u w:val="single"/>
        </w:rPr>
      </w:pPr>
      <w:r>
        <w:rPr>
          <w:szCs w:val="24"/>
          <w:u w:val="single"/>
        </w:rPr>
        <w:t>Section</w:t>
      </w:r>
      <w:r w:rsidRPr="00D33F05">
        <w:rPr>
          <w:szCs w:val="24"/>
          <w:u w:val="single"/>
        </w:rPr>
        <w:t xml:space="preserve"> </w:t>
      </w:r>
      <w:r w:rsidR="001F5A3D" w:rsidRPr="00D33F05">
        <w:rPr>
          <w:szCs w:val="24"/>
          <w:u w:val="single"/>
        </w:rPr>
        <w:t>4 – Schedules</w:t>
      </w:r>
    </w:p>
    <w:p w14:paraId="7FD19CEF" w14:textId="322E85B6" w:rsidR="001F5A3D" w:rsidRPr="005A0267" w:rsidRDefault="005A0267" w:rsidP="004E5651">
      <w:pPr>
        <w:spacing w:before="0" w:after="480"/>
        <w:rPr>
          <w:szCs w:val="24"/>
        </w:rPr>
      </w:pPr>
      <w:r w:rsidRPr="005A0267">
        <w:t>The amendments to the Determination are outlined at Schedule 1</w:t>
      </w:r>
      <w:r w:rsidR="001F5A3D" w:rsidRPr="005A0267">
        <w:rPr>
          <w:szCs w:val="24"/>
        </w:rPr>
        <w:t>.</w:t>
      </w:r>
    </w:p>
    <w:p w14:paraId="7FD19CF1" w14:textId="77777777" w:rsidR="001F5A3D" w:rsidRPr="00024882" w:rsidRDefault="001F5A3D" w:rsidP="00024882">
      <w:pPr>
        <w:pStyle w:val="Bullet"/>
        <w:numPr>
          <w:ilvl w:val="0"/>
          <w:numId w:val="0"/>
        </w:numPr>
        <w:spacing w:after="360"/>
        <w:jc w:val="center"/>
        <w:rPr>
          <w:u w:val="single"/>
        </w:rPr>
      </w:pPr>
      <w:r w:rsidRPr="00024882">
        <w:rPr>
          <w:u w:val="single"/>
        </w:rPr>
        <w:t xml:space="preserve">Schedule 1 – </w:t>
      </w:r>
      <w:r w:rsidR="00343673" w:rsidRPr="00024882">
        <w:rPr>
          <w:u w:val="single"/>
        </w:rPr>
        <w:t>Amendments</w:t>
      </w:r>
    </w:p>
    <w:p w14:paraId="3DBD17F0" w14:textId="47AEE237" w:rsidR="0088560C" w:rsidRPr="00936040" w:rsidRDefault="0088560C" w:rsidP="00936040">
      <w:pPr>
        <w:spacing w:after="240"/>
      </w:pPr>
      <w:r w:rsidRPr="006A3A08">
        <w:t xml:space="preserve">The explanations of amendments provided below are grouped </w:t>
      </w:r>
      <w:r>
        <w:t>by chapter</w:t>
      </w:r>
      <w:r w:rsidRPr="006A3A08">
        <w:t xml:space="preserve"> within the </w:t>
      </w:r>
      <w:r w:rsidR="00FF429C">
        <w:t>Determination</w:t>
      </w:r>
      <w:r w:rsidRPr="006A3A08">
        <w:t>. Individual amendment items are referenced to the amendment number as stated in the Instrument</w:t>
      </w:r>
      <w:r w:rsidR="00D520DF">
        <w:t>.</w:t>
      </w:r>
      <w:bookmarkStart w:id="4" w:name="_Toc381887674"/>
      <w:bookmarkStart w:id="5" w:name="_Toc386813505"/>
    </w:p>
    <w:p w14:paraId="1A4C2D87" w14:textId="010BD9FE" w:rsidR="0088560C" w:rsidRDefault="00936040" w:rsidP="0088560C">
      <w:pPr>
        <w:keepNext/>
        <w:outlineLvl w:val="1"/>
        <w:rPr>
          <w:b/>
        </w:rPr>
      </w:pPr>
      <w:bookmarkStart w:id="6" w:name="_Toc514683615"/>
      <w:r>
        <w:rPr>
          <w:b/>
        </w:rPr>
        <w:t xml:space="preserve">Determination </w:t>
      </w:r>
      <w:r w:rsidR="0088560C" w:rsidRPr="00353DAE">
        <w:rPr>
          <w:b/>
        </w:rPr>
        <w:t xml:space="preserve">Chapter </w:t>
      </w:r>
      <w:r w:rsidR="0088560C">
        <w:rPr>
          <w:b/>
        </w:rPr>
        <w:t>3: Fugitive Emissions</w:t>
      </w:r>
      <w:bookmarkEnd w:id="6"/>
    </w:p>
    <w:p w14:paraId="51DD8F2F" w14:textId="287F1B7A" w:rsidR="0088560C" w:rsidRPr="00353DAE" w:rsidRDefault="00986B60" w:rsidP="0088560C">
      <w:pPr>
        <w:keepNext/>
        <w:outlineLvl w:val="1"/>
        <w:rPr>
          <w:b/>
        </w:rPr>
      </w:pPr>
      <w:bookmarkStart w:id="7" w:name="_Toc514683616"/>
      <w:r>
        <w:rPr>
          <w:b/>
        </w:rPr>
        <w:t>Part 3.3</w:t>
      </w:r>
      <w:r w:rsidR="0088560C" w:rsidRPr="006A6FEE">
        <w:rPr>
          <w:b/>
        </w:rPr>
        <w:t>—</w:t>
      </w:r>
      <w:r>
        <w:rPr>
          <w:b/>
        </w:rPr>
        <w:t>Oil and natural gas</w:t>
      </w:r>
      <w:r w:rsidR="0088560C" w:rsidRPr="006A6FEE">
        <w:rPr>
          <w:b/>
        </w:rPr>
        <w:t>—fugitive emissions</w:t>
      </w:r>
      <w:bookmarkEnd w:id="7"/>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3597584C" w14:textId="77777777" w:rsidTr="00024882">
        <w:trPr>
          <w:tblHeader/>
        </w:trPr>
        <w:tc>
          <w:tcPr>
            <w:tcW w:w="846" w:type="dxa"/>
          </w:tcPr>
          <w:p w14:paraId="3BCAD3DE" w14:textId="77777777" w:rsidR="0088560C" w:rsidRPr="006A3A08" w:rsidRDefault="0088560C" w:rsidP="00E40D3C">
            <w:pPr>
              <w:rPr>
                <w:b/>
              </w:rPr>
            </w:pPr>
            <w:r>
              <w:rPr>
                <w:b/>
              </w:rPr>
              <w:t>Item</w:t>
            </w:r>
          </w:p>
        </w:tc>
        <w:tc>
          <w:tcPr>
            <w:tcW w:w="2551" w:type="dxa"/>
          </w:tcPr>
          <w:p w14:paraId="6F2EC4A9" w14:textId="77777777" w:rsidR="0088560C" w:rsidRPr="006A3A08" w:rsidRDefault="0088560C" w:rsidP="00E40D3C">
            <w:pPr>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5954" w:type="dxa"/>
            <w:shd w:val="clear" w:color="auto" w:fill="auto"/>
          </w:tcPr>
          <w:p w14:paraId="703B7F81" w14:textId="77777777" w:rsidR="0088560C" w:rsidRPr="006A3A08" w:rsidRDefault="0088560C" w:rsidP="00E40D3C">
            <w:pPr>
              <w:rPr>
                <w:b/>
              </w:rPr>
            </w:pPr>
            <w:r w:rsidRPr="006A3A08">
              <w:rPr>
                <w:b/>
              </w:rPr>
              <w:t>Commentary</w:t>
            </w:r>
          </w:p>
        </w:tc>
      </w:tr>
      <w:tr w:rsidR="0088560C" w:rsidRPr="006A3A08" w14:paraId="7DD3C753" w14:textId="77777777" w:rsidTr="00024882">
        <w:trPr>
          <w:trHeight w:val="698"/>
        </w:trPr>
        <w:tc>
          <w:tcPr>
            <w:tcW w:w="846" w:type="dxa"/>
          </w:tcPr>
          <w:p w14:paraId="0A232CC3" w14:textId="6B2C78C7" w:rsidR="0088560C" w:rsidRDefault="0088560C" w:rsidP="00CE256D">
            <w:pPr>
              <w:pStyle w:val="ListParagraph"/>
              <w:numPr>
                <w:ilvl w:val="0"/>
                <w:numId w:val="32"/>
              </w:numPr>
            </w:pPr>
          </w:p>
        </w:tc>
        <w:tc>
          <w:tcPr>
            <w:tcW w:w="2551" w:type="dxa"/>
            <w:vAlign w:val="center"/>
          </w:tcPr>
          <w:p w14:paraId="0278DD74" w14:textId="6F43CA08" w:rsidR="0088560C" w:rsidRPr="00933885" w:rsidRDefault="00CE256D" w:rsidP="00E40D3C">
            <w:r>
              <w:t>Section 3.79- Available methods</w:t>
            </w:r>
          </w:p>
        </w:tc>
        <w:tc>
          <w:tcPr>
            <w:tcW w:w="5954" w:type="dxa"/>
            <w:vAlign w:val="center"/>
          </w:tcPr>
          <w:p w14:paraId="0610DCF9" w14:textId="77777777" w:rsidR="00936040" w:rsidRDefault="00936040" w:rsidP="00936040">
            <w:r>
              <w:t>Updates Section 3.79 to:</w:t>
            </w:r>
          </w:p>
          <w:p w14:paraId="21A90EF1" w14:textId="77777777" w:rsidR="00936040" w:rsidRDefault="00936040" w:rsidP="00936040">
            <w:pPr>
              <w:pStyle w:val="ListParagraph"/>
              <w:numPr>
                <w:ilvl w:val="0"/>
                <w:numId w:val="33"/>
              </w:numPr>
            </w:pPr>
            <w:r>
              <w:t xml:space="preserve">reflect the addition of a new Method 3 for estimating fugitive emissions from natural gas distribution facilities, </w:t>
            </w:r>
          </w:p>
          <w:p w14:paraId="71D46FD9" w14:textId="1A64DB3B" w:rsidR="00936040" w:rsidRPr="00933885" w:rsidRDefault="00936040" w:rsidP="00D0743B">
            <w:pPr>
              <w:pStyle w:val="ListParagraph"/>
              <w:numPr>
                <w:ilvl w:val="0"/>
                <w:numId w:val="33"/>
              </w:numPr>
            </w:pPr>
            <w:proofErr w:type="gramStart"/>
            <w:r>
              <w:t>provide</w:t>
            </w:r>
            <w:proofErr w:type="gramEnd"/>
            <w:r>
              <w:t xml:space="preserve"> that Method 3 may only be used where an unaccounted for gas percentage has</w:t>
            </w:r>
            <w:r w:rsidR="00D0743B">
              <w:t xml:space="preserve"> already</w:t>
            </w:r>
            <w:r>
              <w:t xml:space="preserve"> been </w:t>
            </w:r>
            <w:r w:rsidR="00D0743B">
              <w:t>calculated</w:t>
            </w:r>
            <w:r w:rsidR="0040744E">
              <w:t xml:space="preserve"> during the reporting year</w:t>
            </w:r>
            <w:r w:rsidR="00D0743B">
              <w:t xml:space="preserve"> based on</w:t>
            </w:r>
            <w:r>
              <w:t xml:space="preserve"> gas market rules or procedures applicable to the facility</w:t>
            </w:r>
            <w:r w:rsidR="009D2E5E">
              <w:t>.</w:t>
            </w:r>
          </w:p>
        </w:tc>
      </w:tr>
      <w:tr w:rsidR="00CE256D" w:rsidRPr="006A3A08" w14:paraId="2603A0C5" w14:textId="77777777" w:rsidTr="00024882">
        <w:trPr>
          <w:trHeight w:val="698"/>
        </w:trPr>
        <w:tc>
          <w:tcPr>
            <w:tcW w:w="846" w:type="dxa"/>
          </w:tcPr>
          <w:p w14:paraId="3E9895F3" w14:textId="4FF9F926" w:rsidR="00CE256D" w:rsidRDefault="00CE256D" w:rsidP="00CE256D">
            <w:pPr>
              <w:pStyle w:val="ListParagraph"/>
              <w:numPr>
                <w:ilvl w:val="0"/>
                <w:numId w:val="32"/>
              </w:numPr>
            </w:pPr>
          </w:p>
        </w:tc>
        <w:tc>
          <w:tcPr>
            <w:tcW w:w="2551" w:type="dxa"/>
            <w:vAlign w:val="center"/>
          </w:tcPr>
          <w:p w14:paraId="7EBD5BF9" w14:textId="1A745A35" w:rsidR="00CE256D" w:rsidRDefault="00FF429C" w:rsidP="00E40D3C">
            <w:r>
              <w:t xml:space="preserve">New </w:t>
            </w:r>
            <w:r w:rsidR="00936040">
              <w:t xml:space="preserve">Section </w:t>
            </w:r>
            <w:r>
              <w:t>3.81A- Method 3- natural gas distribution (other than emissions that are flared)</w:t>
            </w:r>
          </w:p>
        </w:tc>
        <w:tc>
          <w:tcPr>
            <w:tcW w:w="5954" w:type="dxa"/>
            <w:vAlign w:val="center"/>
          </w:tcPr>
          <w:p w14:paraId="0B941E18" w14:textId="5A7D6BB4" w:rsidR="00CE256D" w:rsidRDefault="00936040" w:rsidP="00936040">
            <w:r>
              <w:t xml:space="preserve">Inserts a new Section 3.81A, providing a new Method 3 under which reporters may estimate fugitive emissions from natural gas distribution facilities using an unaccounted for gas percentage </w:t>
            </w:r>
            <w:r w:rsidR="009D2E5E">
              <w:t>applied under</w:t>
            </w:r>
            <w:r>
              <w:t xml:space="preserve"> relevant gas market rules or procedures applicable to the facility.</w:t>
            </w:r>
          </w:p>
          <w:p w14:paraId="2A3B2FCA" w14:textId="481B50F4" w:rsidR="0040744E" w:rsidRDefault="0040744E" w:rsidP="00936040">
            <w:r>
              <w:t>Reporters will use the unaccounted for gas percentage for the relevant reporting year where it is available. If the percentage is not calculated for that financial year at the time of reporting, the percentage for the most recent 12 month period must be used.</w:t>
            </w:r>
            <w:r w:rsidR="002C10A3">
              <w:t xml:space="preserve"> If the latter option applies, the reporter will be expected to explain which 12 month period has been used.</w:t>
            </w:r>
          </w:p>
          <w:p w14:paraId="417E5159" w14:textId="5F901C43" w:rsidR="009D2E5E" w:rsidRPr="00933885" w:rsidRDefault="009D2E5E" w:rsidP="009D2E5E">
            <w:r>
              <w:t>The method is designed to allow networks to apply the number they use in the relevant gas market, but it is not intended that the relevant gas rules or procedures would be incorporated into the determination. Those</w:t>
            </w:r>
            <w:r w:rsidRPr="009D2E5E">
              <w:t xml:space="preserve"> </w:t>
            </w:r>
            <w:r w:rsidR="00D0743B">
              <w:t xml:space="preserve">detailed </w:t>
            </w:r>
            <w:r w:rsidRPr="009D2E5E">
              <w:t>gas market rules and procedures are generally made by the Australian Energy Market Operator (AEMO) and are available o</w:t>
            </w:r>
            <w:r w:rsidR="00D0743B">
              <w:t>n their website www.aemo.com.au</w:t>
            </w:r>
            <w:r w:rsidRPr="009D2E5E">
              <w:t>.</w:t>
            </w:r>
          </w:p>
        </w:tc>
      </w:tr>
    </w:tbl>
    <w:p w14:paraId="2B3A1A87" w14:textId="77777777" w:rsidR="004E5651" w:rsidRDefault="004E5651" w:rsidP="0088560C">
      <w:pPr>
        <w:spacing w:after="0"/>
        <w:rPr>
          <w:b/>
          <w:lang w:val="en-US"/>
        </w:rPr>
      </w:pPr>
      <w:bookmarkStart w:id="8" w:name="_Toc387924511"/>
      <w:bookmarkStart w:id="9" w:name="_Toc386813507"/>
      <w:bookmarkEnd w:id="4"/>
      <w:bookmarkEnd w:id="5"/>
    </w:p>
    <w:p w14:paraId="4708A2FB" w14:textId="21FF0666" w:rsidR="0060644A" w:rsidRDefault="0060644A" w:rsidP="0060644A">
      <w:pPr>
        <w:keepNext/>
        <w:outlineLvl w:val="1"/>
        <w:rPr>
          <w:b/>
        </w:rPr>
      </w:pPr>
      <w:r>
        <w:rPr>
          <w:b/>
        </w:rPr>
        <w:t xml:space="preserve">Determination </w:t>
      </w:r>
      <w:r w:rsidRPr="00353DAE">
        <w:rPr>
          <w:b/>
        </w:rPr>
        <w:t xml:space="preserve">Chapter </w:t>
      </w:r>
      <w:r>
        <w:rPr>
          <w:b/>
        </w:rPr>
        <w:t>9: Application and transitional provisions</w:t>
      </w:r>
    </w:p>
    <w:tbl>
      <w:tblPr>
        <w:tblStyle w:val="TableGrid"/>
        <w:tblW w:w="9356" w:type="dxa"/>
        <w:tblInd w:w="-5" w:type="dxa"/>
        <w:tblLook w:val="04A0" w:firstRow="1" w:lastRow="0" w:firstColumn="1" w:lastColumn="0" w:noHBand="0" w:noVBand="1"/>
      </w:tblPr>
      <w:tblGrid>
        <w:gridCol w:w="851"/>
        <w:gridCol w:w="2551"/>
        <w:gridCol w:w="5954"/>
      </w:tblGrid>
      <w:tr w:rsidR="0060644A" w:rsidRPr="006A3A08" w14:paraId="21E87F85" w14:textId="77777777" w:rsidTr="00C64BD3">
        <w:tc>
          <w:tcPr>
            <w:tcW w:w="851" w:type="dxa"/>
          </w:tcPr>
          <w:p w14:paraId="7D891DA5" w14:textId="77777777" w:rsidR="0060644A" w:rsidRPr="006A3A08" w:rsidRDefault="0060644A" w:rsidP="00C64BD3">
            <w:pPr>
              <w:rPr>
                <w:b/>
              </w:rPr>
            </w:pPr>
            <w:r>
              <w:rPr>
                <w:b/>
              </w:rPr>
              <w:t>Item</w:t>
            </w:r>
          </w:p>
        </w:tc>
        <w:tc>
          <w:tcPr>
            <w:tcW w:w="2551" w:type="dxa"/>
          </w:tcPr>
          <w:p w14:paraId="10434BC4" w14:textId="77777777" w:rsidR="0060644A" w:rsidRPr="006A3A08" w:rsidRDefault="0060644A" w:rsidP="00C64BD3">
            <w:pPr>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5954" w:type="dxa"/>
          </w:tcPr>
          <w:p w14:paraId="00BE5C53" w14:textId="77777777" w:rsidR="0060644A" w:rsidRPr="006A3A08" w:rsidRDefault="0060644A" w:rsidP="00C64BD3">
            <w:pPr>
              <w:rPr>
                <w:b/>
              </w:rPr>
            </w:pPr>
            <w:r w:rsidRPr="006A3A08">
              <w:rPr>
                <w:b/>
              </w:rPr>
              <w:t>Commentary</w:t>
            </w:r>
          </w:p>
        </w:tc>
      </w:tr>
      <w:tr w:rsidR="0060644A" w:rsidRPr="003A66E9" w14:paraId="4BC065F5" w14:textId="77777777" w:rsidTr="009108F5">
        <w:tc>
          <w:tcPr>
            <w:tcW w:w="851" w:type="dxa"/>
          </w:tcPr>
          <w:p w14:paraId="6F70E0F7" w14:textId="77777777" w:rsidR="0060644A" w:rsidRPr="00FF429C" w:rsidRDefault="0060644A" w:rsidP="0060644A">
            <w:pPr>
              <w:pStyle w:val="ListParagraph"/>
              <w:numPr>
                <w:ilvl w:val="0"/>
                <w:numId w:val="32"/>
              </w:numPr>
              <w:rPr>
                <w:rFonts w:cs="Arial"/>
              </w:rPr>
            </w:pPr>
          </w:p>
        </w:tc>
        <w:tc>
          <w:tcPr>
            <w:tcW w:w="2551" w:type="dxa"/>
            <w:vAlign w:val="center"/>
          </w:tcPr>
          <w:p w14:paraId="58734C4B" w14:textId="3F688C6F" w:rsidR="0060644A" w:rsidRPr="003A66E9" w:rsidRDefault="0060644A" w:rsidP="0060644A">
            <w:pPr>
              <w:rPr>
                <w:rFonts w:cs="Arial"/>
              </w:rPr>
            </w:pPr>
            <w:r>
              <w:t>Section 9.12- Amendments made by the National Greenhouse and Energy Reporting (Measurement) Amendment (2019 Update) Determination 2019</w:t>
            </w:r>
          </w:p>
        </w:tc>
        <w:tc>
          <w:tcPr>
            <w:tcW w:w="5954" w:type="dxa"/>
            <w:vAlign w:val="center"/>
          </w:tcPr>
          <w:p w14:paraId="5A42B256" w14:textId="1B390C45" w:rsidR="0060644A" w:rsidRPr="004737CC" w:rsidRDefault="0060644A" w:rsidP="0060644A">
            <w:pPr>
              <w:rPr>
                <w:rFonts w:cs="Arial"/>
              </w:rPr>
            </w:pPr>
            <w:r>
              <w:t>Inserts a new Section 9.12 in Chapter 9 (Application and transitional provisions) providing that amendments made by the Instrument apply in relation to the financial year starting on 1 July 2019, and to later financial years.</w:t>
            </w:r>
          </w:p>
        </w:tc>
      </w:tr>
    </w:tbl>
    <w:p w14:paraId="096A527C" w14:textId="77777777" w:rsidR="0060644A" w:rsidRDefault="0060644A" w:rsidP="0088560C">
      <w:pPr>
        <w:spacing w:after="0"/>
        <w:rPr>
          <w:b/>
          <w:lang w:val="en-US"/>
        </w:rPr>
      </w:pPr>
    </w:p>
    <w:p w14:paraId="4EEB1C6A" w14:textId="77777777" w:rsidR="0060644A" w:rsidRDefault="0060644A" w:rsidP="0088560C">
      <w:pPr>
        <w:spacing w:after="0"/>
        <w:rPr>
          <w:b/>
          <w:lang w:val="en-US"/>
        </w:rPr>
      </w:pPr>
    </w:p>
    <w:p w14:paraId="58035AD5" w14:textId="7C87E102" w:rsidR="0088560C" w:rsidRPr="00024882" w:rsidRDefault="00936040" w:rsidP="0088560C">
      <w:pPr>
        <w:spacing w:after="0"/>
        <w:rPr>
          <w:b/>
          <w:lang w:val="en-US"/>
        </w:rPr>
      </w:pPr>
      <w:r>
        <w:rPr>
          <w:b/>
        </w:rPr>
        <w:t xml:space="preserve">Determination </w:t>
      </w:r>
      <w:r>
        <w:rPr>
          <w:b/>
          <w:lang w:val="en-US"/>
        </w:rPr>
        <w:t xml:space="preserve">Schedule 1, </w:t>
      </w:r>
      <w:r w:rsidR="0088560C" w:rsidRPr="00024882">
        <w:rPr>
          <w:b/>
          <w:lang w:val="en-US"/>
        </w:rPr>
        <w:t xml:space="preserve">Part 6 </w:t>
      </w:r>
      <w:r w:rsidR="00024882" w:rsidRPr="00F1642E">
        <w:rPr>
          <w:b/>
          <w:lang w:val="en-US"/>
        </w:rPr>
        <w:t>—</w:t>
      </w:r>
      <w:r w:rsidR="00024882">
        <w:rPr>
          <w:b/>
          <w:lang w:val="en-US"/>
        </w:rPr>
        <w:t xml:space="preserve"> </w:t>
      </w:r>
      <w:r w:rsidR="0088560C" w:rsidRPr="00024882">
        <w:rPr>
          <w:b/>
          <w:lang w:val="en-US"/>
        </w:rPr>
        <w:t>Indirect (scope 2) emission factors from consumption of purchased electricity from grid</w:t>
      </w:r>
      <w:bookmarkEnd w:id="8"/>
    </w:p>
    <w:tbl>
      <w:tblPr>
        <w:tblStyle w:val="TableGrid"/>
        <w:tblW w:w="9356" w:type="dxa"/>
        <w:tblInd w:w="-5" w:type="dxa"/>
        <w:tblLook w:val="04A0" w:firstRow="1" w:lastRow="0" w:firstColumn="1" w:lastColumn="0" w:noHBand="0" w:noVBand="1"/>
      </w:tblPr>
      <w:tblGrid>
        <w:gridCol w:w="851"/>
        <w:gridCol w:w="2551"/>
        <w:gridCol w:w="5954"/>
      </w:tblGrid>
      <w:tr w:rsidR="0088560C" w:rsidRPr="006A3A08" w14:paraId="710BCE25" w14:textId="77777777" w:rsidTr="00024882">
        <w:tc>
          <w:tcPr>
            <w:tcW w:w="851" w:type="dxa"/>
          </w:tcPr>
          <w:p w14:paraId="13C08E4D" w14:textId="77777777" w:rsidR="0088560C" w:rsidRPr="006A3A08" w:rsidRDefault="0088560C" w:rsidP="00E40D3C">
            <w:pPr>
              <w:rPr>
                <w:b/>
              </w:rPr>
            </w:pPr>
            <w:r>
              <w:rPr>
                <w:b/>
              </w:rPr>
              <w:lastRenderedPageBreak/>
              <w:t>Item</w:t>
            </w:r>
          </w:p>
        </w:tc>
        <w:tc>
          <w:tcPr>
            <w:tcW w:w="2551" w:type="dxa"/>
          </w:tcPr>
          <w:p w14:paraId="5D1FC92F" w14:textId="77777777" w:rsidR="0088560C" w:rsidRPr="006A3A08" w:rsidRDefault="0088560C" w:rsidP="00E40D3C">
            <w:pPr>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5954" w:type="dxa"/>
          </w:tcPr>
          <w:p w14:paraId="2775E62B" w14:textId="77777777" w:rsidR="0088560C" w:rsidRPr="006A3A08" w:rsidRDefault="0088560C" w:rsidP="00E40D3C">
            <w:pPr>
              <w:rPr>
                <w:b/>
              </w:rPr>
            </w:pPr>
            <w:r w:rsidRPr="006A3A08">
              <w:rPr>
                <w:b/>
              </w:rPr>
              <w:t>Commentary</w:t>
            </w:r>
          </w:p>
        </w:tc>
      </w:tr>
      <w:tr w:rsidR="0088560C" w:rsidRPr="003A66E9" w14:paraId="3A7C3278" w14:textId="77777777" w:rsidTr="00024882">
        <w:tc>
          <w:tcPr>
            <w:tcW w:w="851" w:type="dxa"/>
          </w:tcPr>
          <w:p w14:paraId="6CF04911" w14:textId="181DCDFA" w:rsidR="0088560C" w:rsidRPr="00FF429C" w:rsidRDefault="0088560C" w:rsidP="0060644A">
            <w:pPr>
              <w:pStyle w:val="ListParagraph"/>
              <w:numPr>
                <w:ilvl w:val="0"/>
                <w:numId w:val="32"/>
              </w:numPr>
              <w:rPr>
                <w:rFonts w:cs="Arial"/>
              </w:rPr>
            </w:pPr>
          </w:p>
        </w:tc>
        <w:tc>
          <w:tcPr>
            <w:tcW w:w="2551" w:type="dxa"/>
          </w:tcPr>
          <w:p w14:paraId="592FF31B" w14:textId="77777777" w:rsidR="0088560C" w:rsidRPr="003A66E9" w:rsidRDefault="0088560C" w:rsidP="00E40D3C">
            <w:pPr>
              <w:rPr>
                <w:rFonts w:cs="Arial"/>
              </w:rPr>
            </w:pPr>
            <w:r>
              <w:rPr>
                <w:rFonts w:cs="Arial"/>
              </w:rPr>
              <w:t>Part 6 of Schedule 1.</w:t>
            </w:r>
          </w:p>
        </w:tc>
        <w:tc>
          <w:tcPr>
            <w:tcW w:w="5954" w:type="dxa"/>
          </w:tcPr>
          <w:p w14:paraId="2EA99314" w14:textId="4AECD68F" w:rsidR="0088560C" w:rsidRPr="004737CC" w:rsidRDefault="0036204F" w:rsidP="0036204F">
            <w:pPr>
              <w:rPr>
                <w:rFonts w:cs="Arial"/>
              </w:rPr>
            </w:pPr>
            <w:r>
              <w:rPr>
                <w:rFonts w:cs="Arial"/>
              </w:rPr>
              <w:t>Updates indirect (“</w:t>
            </w:r>
            <w:r w:rsidR="0088560C" w:rsidRPr="003A66E9">
              <w:rPr>
                <w:rFonts w:cs="Arial"/>
              </w:rPr>
              <w:t>scope 2</w:t>
            </w:r>
            <w:r>
              <w:rPr>
                <w:rFonts w:cs="Arial"/>
              </w:rPr>
              <w:t>”)</w:t>
            </w:r>
            <w:r w:rsidR="0088560C" w:rsidRPr="003A66E9">
              <w:rPr>
                <w:rFonts w:cs="Arial"/>
              </w:rPr>
              <w:t xml:space="preserve"> emission factors</w:t>
            </w:r>
            <w:r w:rsidR="0088560C">
              <w:rPr>
                <w:rFonts w:cs="Arial"/>
              </w:rPr>
              <w:t xml:space="preserve"> </w:t>
            </w:r>
            <w:r>
              <w:rPr>
                <w:rFonts w:cs="Arial"/>
              </w:rPr>
              <w:t xml:space="preserve">(used to estimate emissions from consumption of electricity) to </w:t>
            </w:r>
            <w:r w:rsidR="0088560C" w:rsidRPr="003A66E9">
              <w:rPr>
                <w:rFonts w:cs="Arial"/>
              </w:rPr>
              <w:t>reflect changes within the National Electricity Market</w:t>
            </w:r>
            <w:r w:rsidR="009D2E5E">
              <w:rPr>
                <w:rFonts w:cs="Arial"/>
              </w:rPr>
              <w:t>, Northern Territory and South West Interconnected System</w:t>
            </w:r>
            <w:r w:rsidR="0088560C" w:rsidRPr="003A66E9">
              <w:rPr>
                <w:rFonts w:cs="Arial"/>
              </w:rPr>
              <w:t xml:space="preserve"> in the last financial year.</w:t>
            </w:r>
          </w:p>
        </w:tc>
      </w:tr>
      <w:bookmarkEnd w:id="9"/>
    </w:tbl>
    <w:p w14:paraId="49A8F504" w14:textId="77777777" w:rsidR="0088560C" w:rsidRDefault="0088560C" w:rsidP="0088560C">
      <w:pPr>
        <w:pStyle w:val="Normal1"/>
        <w:rPr>
          <w:rFonts w:ascii="Arial" w:hAnsi="Arial" w:cs="Arial"/>
        </w:rPr>
        <w:sectPr w:rsidR="0088560C" w:rsidSect="0088560C">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0" w:gutter="0"/>
          <w:pgNumType w:start="1"/>
          <w:cols w:space="708"/>
          <w:titlePg/>
          <w:docGrid w:linePitch="360"/>
        </w:sectPr>
      </w:pPr>
    </w:p>
    <w:p w14:paraId="7FD19CF6" w14:textId="16D2DD94" w:rsidR="005B17D1" w:rsidRDefault="00C15EDB" w:rsidP="003A5D5E">
      <w:pPr>
        <w:tabs>
          <w:tab w:val="right" w:pos="9072"/>
        </w:tabs>
        <w:spacing w:after="240"/>
        <w:ind w:right="91"/>
        <w:jc w:val="right"/>
        <w:rPr>
          <w:b/>
          <w:szCs w:val="24"/>
          <w:u w:val="single"/>
        </w:rPr>
      </w:pPr>
      <w:r>
        <w:rPr>
          <w:b/>
          <w:szCs w:val="24"/>
          <w:u w:val="single"/>
        </w:rPr>
        <w:lastRenderedPageBreak/>
        <w:t>ATTACHMENT B</w:t>
      </w:r>
    </w:p>
    <w:p w14:paraId="3E58A369" w14:textId="77777777" w:rsidR="003A5D5E" w:rsidRDefault="003A5D5E" w:rsidP="005B17D1">
      <w:pPr>
        <w:pStyle w:val="Heading3"/>
        <w:spacing w:before="0" w:after="240"/>
        <w:jc w:val="center"/>
        <w:rPr>
          <w:szCs w:val="24"/>
        </w:rPr>
      </w:pPr>
    </w:p>
    <w:p w14:paraId="7FD19CF7" w14:textId="77777777" w:rsidR="005B17D1" w:rsidRDefault="005B17D1" w:rsidP="005B17D1">
      <w:pPr>
        <w:pStyle w:val="Heading3"/>
        <w:spacing w:before="0" w:after="240"/>
        <w:jc w:val="center"/>
        <w:rPr>
          <w:szCs w:val="24"/>
        </w:rPr>
      </w:pPr>
      <w:r>
        <w:rPr>
          <w:szCs w:val="24"/>
        </w:rPr>
        <w:t>Statement of Compatibility with Human Rights</w:t>
      </w:r>
    </w:p>
    <w:p w14:paraId="7FD19CF8" w14:textId="77777777" w:rsidR="005B17D1" w:rsidRDefault="005B17D1" w:rsidP="005B17D1">
      <w:pPr>
        <w:spacing w:after="240"/>
        <w:jc w:val="center"/>
        <w:rPr>
          <w:i/>
          <w:szCs w:val="24"/>
        </w:rPr>
      </w:pPr>
      <w:r>
        <w:rPr>
          <w:i/>
          <w:szCs w:val="24"/>
        </w:rPr>
        <w:t>Prepared in accordance with Part 3 of the Human Rights (Parliamentary Scrutiny) Act 2011</w:t>
      </w:r>
    </w:p>
    <w:p w14:paraId="7FD19CF9" w14:textId="77777777" w:rsidR="00723C9D" w:rsidRPr="00723C9D" w:rsidRDefault="00723C9D" w:rsidP="00723C9D">
      <w:pPr>
        <w:spacing w:after="240"/>
        <w:rPr>
          <w:szCs w:val="24"/>
        </w:rPr>
      </w:pPr>
    </w:p>
    <w:p w14:paraId="7A48698C" w14:textId="2BF6494C" w:rsidR="0023138A" w:rsidRDefault="0023138A" w:rsidP="0023138A">
      <w:pPr>
        <w:spacing w:after="240"/>
        <w:jc w:val="center"/>
        <w:rPr>
          <w:b/>
          <w:i/>
        </w:rPr>
      </w:pPr>
      <w:r w:rsidRPr="0023138A">
        <w:rPr>
          <w:b/>
          <w:i/>
        </w:rPr>
        <w:t xml:space="preserve">National Greenhouse and Energy Reporting </w:t>
      </w:r>
      <w:r w:rsidR="0016437F">
        <w:rPr>
          <w:b/>
          <w:i/>
        </w:rPr>
        <w:t xml:space="preserve">(Measurement) </w:t>
      </w:r>
      <w:r w:rsidRPr="0023138A">
        <w:rPr>
          <w:b/>
          <w:i/>
        </w:rPr>
        <w:t>Amendment (</w:t>
      </w:r>
      <w:r w:rsidR="00BA5366">
        <w:rPr>
          <w:b/>
          <w:i/>
        </w:rPr>
        <w:t>2019</w:t>
      </w:r>
      <w:r w:rsidR="0016437F">
        <w:rPr>
          <w:b/>
          <w:i/>
        </w:rPr>
        <w:t xml:space="preserve"> Update</w:t>
      </w:r>
      <w:r w:rsidRPr="0023138A">
        <w:rPr>
          <w:b/>
          <w:i/>
        </w:rPr>
        <w:t xml:space="preserve">) </w:t>
      </w:r>
      <w:r w:rsidR="0016437F">
        <w:rPr>
          <w:b/>
          <w:i/>
        </w:rPr>
        <w:t>Determination</w:t>
      </w:r>
      <w:r w:rsidR="00BA5366">
        <w:rPr>
          <w:b/>
          <w:i/>
        </w:rPr>
        <w:t xml:space="preserve"> 2019</w:t>
      </w:r>
    </w:p>
    <w:p w14:paraId="7FD19CFB" w14:textId="470623BC" w:rsidR="005B17D1" w:rsidRDefault="005B17D1"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r w:rsidR="00221281">
        <w:rPr>
          <w:szCs w:val="24"/>
        </w:rPr>
        <w:t xml:space="preserve"> </w:t>
      </w:r>
    </w:p>
    <w:p w14:paraId="7FD19CFC" w14:textId="77777777" w:rsidR="005B17D1" w:rsidRDefault="005B17D1" w:rsidP="005B17D1">
      <w:pPr>
        <w:pStyle w:val="Heading4"/>
        <w:spacing w:after="240"/>
        <w:rPr>
          <w:szCs w:val="24"/>
        </w:rPr>
      </w:pPr>
      <w:r>
        <w:rPr>
          <w:szCs w:val="24"/>
        </w:rPr>
        <w:t>Overview of the Legislative Instrument</w:t>
      </w:r>
    </w:p>
    <w:p w14:paraId="7FD19CFD" w14:textId="206E0AC8" w:rsidR="005B17D1" w:rsidRDefault="000F0BED" w:rsidP="0082028E">
      <w:pPr>
        <w:spacing w:after="240"/>
      </w:pPr>
      <w:r>
        <w:rPr>
          <w:szCs w:val="24"/>
        </w:rPr>
        <w:t>T</w:t>
      </w:r>
      <w:r w:rsidR="005B17D1" w:rsidRPr="00FE795E">
        <w:rPr>
          <w:szCs w:val="24"/>
        </w:rPr>
        <w:t xml:space="preserve">he </w:t>
      </w:r>
      <w:r w:rsidR="0023138A" w:rsidRPr="0023138A">
        <w:rPr>
          <w:i/>
        </w:rPr>
        <w:t xml:space="preserve">National Greenhouse and Energy Reporting </w:t>
      </w:r>
      <w:r w:rsidR="0016437F">
        <w:rPr>
          <w:i/>
        </w:rPr>
        <w:t xml:space="preserve">(Measurement) </w:t>
      </w:r>
      <w:r w:rsidR="0023138A" w:rsidRPr="0023138A">
        <w:rPr>
          <w:i/>
        </w:rPr>
        <w:t xml:space="preserve">Amendment </w:t>
      </w:r>
      <w:r w:rsidR="0016437F">
        <w:rPr>
          <w:i/>
        </w:rPr>
        <w:t>(201</w:t>
      </w:r>
      <w:r w:rsidR="00BA5366">
        <w:rPr>
          <w:i/>
        </w:rPr>
        <w:t>9</w:t>
      </w:r>
      <w:r w:rsidR="0016437F">
        <w:rPr>
          <w:i/>
        </w:rPr>
        <w:t xml:space="preserve"> Update) Determination </w:t>
      </w:r>
      <w:r w:rsidR="00BA5366">
        <w:rPr>
          <w:i/>
        </w:rPr>
        <w:t>2019</w:t>
      </w:r>
      <w:r w:rsidR="0023138A">
        <w:rPr>
          <w:i/>
        </w:rPr>
        <w:t xml:space="preserve"> </w:t>
      </w:r>
      <w:r w:rsidR="00265B58">
        <w:t>makes minor amendments to</w:t>
      </w:r>
      <w:r w:rsidR="003515C5" w:rsidRPr="005E2DA6">
        <w:t xml:space="preserve"> the </w:t>
      </w:r>
      <w:r w:rsidR="0016437F" w:rsidRPr="0023138A">
        <w:rPr>
          <w:i/>
        </w:rPr>
        <w:t xml:space="preserve">National Greenhouse and Energy Reporting </w:t>
      </w:r>
      <w:r w:rsidR="0016437F">
        <w:rPr>
          <w:i/>
        </w:rPr>
        <w:t>(Measurement) Determination 200</w:t>
      </w:r>
      <w:r w:rsidR="0016437F" w:rsidRPr="0023138A">
        <w:rPr>
          <w:i/>
        </w:rPr>
        <w:t>8</w:t>
      </w:r>
      <w:r w:rsidR="0016437F">
        <w:rPr>
          <w:i/>
        </w:rPr>
        <w:t xml:space="preserve"> </w:t>
      </w:r>
      <w:r w:rsidR="0016437F">
        <w:t>(the Determination). The Determination is made under subsection 10</w:t>
      </w:r>
      <w:r w:rsidR="004E5651">
        <w:t>(3)</w:t>
      </w:r>
      <w:r w:rsidR="0016437F">
        <w:t xml:space="preserve"> of the </w:t>
      </w:r>
      <w:r w:rsidR="0016437F" w:rsidRPr="00D345AB">
        <w:rPr>
          <w:i/>
        </w:rPr>
        <w:t>National Greenhouse and Energy Reporting Act 2007</w:t>
      </w:r>
      <w:r w:rsidR="0016437F">
        <w:t>, which provides for the Minister to determine methods, or criteria for methods, for the measurement of (a) greenhouse gas emissions, (b) the production of energy, (c) the consumption of energy</w:t>
      </w:r>
    </w:p>
    <w:p w14:paraId="7FD19CFE" w14:textId="77777777" w:rsidR="005B17D1" w:rsidRDefault="005B17D1" w:rsidP="005B17D1">
      <w:pPr>
        <w:pStyle w:val="Heading4"/>
        <w:spacing w:after="240"/>
        <w:rPr>
          <w:szCs w:val="24"/>
        </w:rPr>
      </w:pPr>
      <w:r>
        <w:rPr>
          <w:szCs w:val="24"/>
        </w:rPr>
        <w:t>Human rights implications</w:t>
      </w:r>
    </w:p>
    <w:p w14:paraId="7FD19CFF" w14:textId="77777777" w:rsidR="00C507FD" w:rsidRDefault="005B17D1" w:rsidP="00742F0C">
      <w:pPr>
        <w:spacing w:after="240"/>
        <w:rPr>
          <w:szCs w:val="24"/>
        </w:rPr>
      </w:pPr>
      <w:r>
        <w:rPr>
          <w:szCs w:val="24"/>
        </w:rPr>
        <w:t>This Legislative Instrument does not engage any of the applicable human rights or free</w:t>
      </w:r>
      <w:r w:rsidR="00221281">
        <w:rPr>
          <w:szCs w:val="24"/>
        </w:rPr>
        <w:t xml:space="preserve">doms. </w:t>
      </w:r>
    </w:p>
    <w:p w14:paraId="7FD19D00" w14:textId="77777777" w:rsidR="005B17D1" w:rsidRDefault="005B17D1" w:rsidP="005B17D1">
      <w:pPr>
        <w:pStyle w:val="Heading4"/>
        <w:spacing w:after="240"/>
        <w:rPr>
          <w:szCs w:val="24"/>
        </w:rPr>
      </w:pPr>
      <w:r>
        <w:rPr>
          <w:szCs w:val="24"/>
        </w:rPr>
        <w:t>Conclusion</w:t>
      </w:r>
    </w:p>
    <w:p w14:paraId="7FD19D01" w14:textId="77777777" w:rsidR="00CC032A" w:rsidRDefault="005B17D1">
      <w:pPr>
        <w:rPr>
          <w:szCs w:val="24"/>
        </w:rPr>
      </w:pPr>
      <w:r>
        <w:rPr>
          <w:szCs w:val="24"/>
        </w:rPr>
        <w:t>This Legislative Instrument is compatible with human rights as it does not</w:t>
      </w:r>
      <w:r w:rsidR="00D00C39">
        <w:rPr>
          <w:szCs w:val="24"/>
        </w:rPr>
        <w:t xml:space="preserve"> raise any human rights issues. </w:t>
      </w:r>
    </w:p>
    <w:p w14:paraId="7FD19D02" w14:textId="77777777" w:rsidR="00FE795E" w:rsidRDefault="00FE795E">
      <w:pPr>
        <w:rPr>
          <w:szCs w:val="24"/>
        </w:rPr>
      </w:pPr>
    </w:p>
    <w:p w14:paraId="7FD19D03" w14:textId="77777777" w:rsidR="003515C5" w:rsidRDefault="003515C5">
      <w:pPr>
        <w:rPr>
          <w:szCs w:val="24"/>
        </w:rPr>
      </w:pPr>
    </w:p>
    <w:p w14:paraId="7FD19D04" w14:textId="39C027C6" w:rsidR="00723C9D" w:rsidRPr="00FE795E" w:rsidRDefault="00723C9D" w:rsidP="00FE795E">
      <w:pPr>
        <w:jc w:val="center"/>
        <w:rPr>
          <w:b/>
          <w:szCs w:val="24"/>
        </w:rPr>
      </w:pPr>
      <w:r w:rsidRPr="00FE795E">
        <w:rPr>
          <w:b/>
          <w:szCs w:val="24"/>
        </w:rPr>
        <w:t xml:space="preserve">The Hon </w:t>
      </w:r>
      <w:r w:rsidR="004E7602">
        <w:rPr>
          <w:b/>
          <w:szCs w:val="24"/>
        </w:rPr>
        <w:t>Angus Taylor</w:t>
      </w:r>
    </w:p>
    <w:p w14:paraId="7FD19D05" w14:textId="10C2B4ED" w:rsidR="00723C9D" w:rsidRDefault="00723C9D" w:rsidP="00FE795E">
      <w:pPr>
        <w:jc w:val="center"/>
        <w:rPr>
          <w:b/>
          <w:szCs w:val="24"/>
        </w:rPr>
      </w:pPr>
      <w:r w:rsidRPr="00FE795E">
        <w:rPr>
          <w:b/>
          <w:szCs w:val="24"/>
        </w:rPr>
        <w:t xml:space="preserve">Minister for </w:t>
      </w:r>
      <w:r w:rsidR="004E7602">
        <w:rPr>
          <w:b/>
          <w:szCs w:val="24"/>
        </w:rPr>
        <w:t>Energy and Emissions Reduction</w:t>
      </w:r>
    </w:p>
    <w:p w14:paraId="7FD19D06" w14:textId="77777777" w:rsidR="00AC5531" w:rsidRDefault="00AC5531">
      <w:pPr>
        <w:spacing w:before="0" w:after="0"/>
        <w:rPr>
          <w:szCs w:val="24"/>
        </w:rPr>
      </w:pPr>
    </w:p>
    <w:sectPr w:rsidR="00AC5531"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19B7A" w14:textId="77777777" w:rsidR="00991834" w:rsidRDefault="00991834" w:rsidP="00CF785C">
      <w:pPr>
        <w:spacing w:before="0" w:after="0"/>
      </w:pPr>
      <w:r>
        <w:separator/>
      </w:r>
    </w:p>
  </w:endnote>
  <w:endnote w:type="continuationSeparator" w:id="0">
    <w:p w14:paraId="3AE3556A" w14:textId="77777777" w:rsidR="00991834" w:rsidRDefault="00991834"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9687" w14:textId="77777777" w:rsidR="009D04E1" w:rsidRDefault="009D0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664BC" w14:textId="77777777" w:rsidR="0088560C" w:rsidRPr="00E33C1C" w:rsidRDefault="0088560C" w:rsidP="005519AE">
    <w:pPr>
      <w:pBdr>
        <w:top w:val="single" w:sz="6" w:space="1" w:color="auto"/>
      </w:pBdr>
      <w:spacing w:line="0" w:lineRule="atLeast"/>
      <w:rPr>
        <w:sz w:val="16"/>
        <w:szCs w:val="16"/>
      </w:rPr>
    </w:pPr>
    <w:r>
      <w:rPr>
        <w:noProof/>
      </w:rPr>
      <mc:AlternateContent>
        <mc:Choice Requires="wps">
          <w:drawing>
            <wp:anchor distT="0" distB="0" distL="114300" distR="114300" simplePos="0" relativeHeight="251659264" behindDoc="1" locked="0" layoutInCell="1" allowOverlap="1" wp14:anchorId="0C08DDCC" wp14:editId="4B3191A8">
              <wp:simplePos x="0" y="0"/>
              <wp:positionH relativeFrom="column">
                <wp:align>center</wp:align>
              </wp:positionH>
              <wp:positionV relativeFrom="page">
                <wp:posOffset>10079990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1CC88F8" w14:textId="77777777" w:rsidR="0088560C" w:rsidRPr="00581211" w:rsidRDefault="0088560C" w:rsidP="005519AE">
                          <w:pPr>
                            <w:jc w:val="center"/>
                            <w:rPr>
                              <w:rFonts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8DDCC" id="_x0000_t202" coordsize="21600,21600" o:spt="202" path="m,l,21600r21600,l21600,xe">
              <v:stroke joinstyle="miter"/>
              <v:path gradientshapeok="t" o:connecttype="rect"/>
            </v:shapetype>
            <v:shape id="Text Box 1" o:spid="_x0000_s1026"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" stroked="f">
              <v:stroke joinstyle="round"/>
              <v:path arrowok="t"/>
              <v:textbox>
                <w:txbxContent>
                  <w:p w14:paraId="71CC88F8" w14:textId="77777777" w:rsidR="0088560C" w:rsidRPr="00581211" w:rsidRDefault="0088560C" w:rsidP="005519AE">
                    <w:pPr>
                      <w:jc w:val="center"/>
                      <w:rPr>
                        <w:rFonts w:cs="Arial"/>
                        <w:b/>
                        <w:sz w:val="40"/>
                      </w:rPr>
                    </w:pPr>
                  </w:p>
                </w:txbxContent>
              </v:textbox>
              <w10:wrap anchory="page"/>
            </v:shape>
          </w:pict>
        </mc:Fallback>
      </mc:AlternateContent>
    </w:r>
  </w:p>
  <w:p w14:paraId="362350C5" w14:textId="77777777" w:rsidR="0088560C" w:rsidRDefault="0088560C">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09"/>
    </w:tblGrid>
    <w:tr w:rsidR="0088560C" w14:paraId="55DF2CF0" w14:textId="77777777" w:rsidTr="005519AE">
      <w:tc>
        <w:tcPr>
          <w:tcW w:w="6379" w:type="dxa"/>
          <w:tcBorders>
            <w:top w:val="nil"/>
            <w:left w:val="nil"/>
            <w:bottom w:val="nil"/>
            <w:right w:val="nil"/>
          </w:tcBorders>
        </w:tcPr>
        <w:p w14:paraId="03DE728E" w14:textId="77777777" w:rsidR="0088560C" w:rsidRDefault="0088560C">
          <w:pPr>
            <w:spacing w:line="0" w:lineRule="atLeast"/>
            <w:jc w:val="center"/>
            <w:rPr>
              <w:sz w:val="18"/>
            </w:rPr>
          </w:pPr>
        </w:p>
      </w:tc>
      <w:tc>
        <w:tcPr>
          <w:tcW w:w="709" w:type="dxa"/>
          <w:tcBorders>
            <w:top w:val="nil"/>
            <w:left w:val="nil"/>
            <w:bottom w:val="nil"/>
            <w:right w:val="nil"/>
          </w:tcBorders>
          <w:hideMark/>
        </w:tcPr>
        <w:p w14:paraId="07DD7506" w14:textId="77777777" w:rsidR="0088560C" w:rsidRDefault="0088560C">
          <w:pPr>
            <w:spacing w:line="0" w:lineRule="atLeast"/>
            <w:jc w:val="right"/>
            <w:rPr>
              <w:sz w:val="18"/>
            </w:rPr>
          </w:pPr>
          <w:r>
            <w:rPr>
              <w:i/>
              <w:sz w:val="18"/>
            </w:rPr>
            <w:fldChar w:fldCharType="begin"/>
          </w:r>
          <w:r>
            <w:rPr>
              <w:i/>
              <w:sz w:val="18"/>
            </w:rPr>
            <w:instrText xml:space="preserve"> PAGE </w:instrText>
          </w:r>
          <w:r>
            <w:rPr>
              <w:i/>
              <w:sz w:val="18"/>
            </w:rPr>
            <w:fldChar w:fldCharType="separate"/>
          </w:r>
          <w:r w:rsidR="009D04E1">
            <w:rPr>
              <w:i/>
              <w:noProof/>
              <w:sz w:val="18"/>
            </w:rPr>
            <w:t>2</w:t>
          </w:r>
          <w:r>
            <w:rPr>
              <w:i/>
              <w:sz w:val="18"/>
            </w:rPr>
            <w:fldChar w:fldCharType="end"/>
          </w:r>
        </w:p>
      </w:tc>
    </w:tr>
  </w:tbl>
  <w:p w14:paraId="6DCBD125" w14:textId="77777777" w:rsidR="0088560C" w:rsidRDefault="00885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895719"/>
      <w:docPartObj>
        <w:docPartGallery w:val="Page Numbers (Bottom of Page)"/>
        <w:docPartUnique/>
      </w:docPartObj>
    </w:sdtPr>
    <w:sdtEndPr/>
    <w:sdtContent>
      <w:p w14:paraId="4D90726E" w14:textId="77777777" w:rsidR="0088560C" w:rsidRDefault="0088560C">
        <w:pPr>
          <w:pStyle w:val="Footer"/>
          <w:jc w:val="right"/>
        </w:pPr>
      </w:p>
      <w:p w14:paraId="3982CFC3" w14:textId="77777777" w:rsidR="0088560C" w:rsidRDefault="009D04E1">
        <w:pPr>
          <w:pStyle w:val="Footer"/>
          <w:jc w:val="right"/>
        </w:pPr>
      </w:p>
    </w:sdtContent>
  </w:sdt>
  <w:p w14:paraId="6A693199" w14:textId="77777777" w:rsidR="0088560C" w:rsidRDefault="00885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770B" w14:textId="77777777" w:rsidR="00991834" w:rsidRDefault="00991834" w:rsidP="00CF785C">
      <w:pPr>
        <w:spacing w:before="0" w:after="0"/>
      </w:pPr>
      <w:r>
        <w:separator/>
      </w:r>
    </w:p>
  </w:footnote>
  <w:footnote w:type="continuationSeparator" w:id="0">
    <w:p w14:paraId="5A5243A3" w14:textId="77777777" w:rsidR="00991834" w:rsidRDefault="00991834" w:rsidP="00CF78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4CD3B" w14:textId="77777777" w:rsidR="009D04E1" w:rsidRDefault="009D0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3D688" w14:textId="77777777" w:rsidR="009D04E1" w:rsidRDefault="009D0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EFA1" w14:textId="77777777" w:rsidR="009D04E1" w:rsidRDefault="009D0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80E7B"/>
    <w:multiLevelType w:val="hybridMultilevel"/>
    <w:tmpl w:val="7C8434A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06E7C"/>
    <w:multiLevelType w:val="hybridMultilevel"/>
    <w:tmpl w:val="97EC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22541F"/>
    <w:multiLevelType w:val="hybridMultilevel"/>
    <w:tmpl w:val="800E1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DA66B4"/>
    <w:multiLevelType w:val="hybridMultilevel"/>
    <w:tmpl w:val="9642E8D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0" w15:restartNumberingAfterBreak="0">
    <w:nsid w:val="43D7515A"/>
    <w:multiLevelType w:val="hybridMultilevel"/>
    <w:tmpl w:val="6A500F2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5CF03CA2"/>
    <w:multiLevelType w:val="hybridMultilevel"/>
    <w:tmpl w:val="9EF8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4D6394"/>
    <w:multiLevelType w:val="hybridMultilevel"/>
    <w:tmpl w:val="94E6A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456429"/>
    <w:multiLevelType w:val="multilevel"/>
    <w:tmpl w:val="E898CC7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5"/>
  </w:num>
  <w:num w:numId="2">
    <w:abstractNumId w:val="14"/>
  </w:num>
  <w:num w:numId="3">
    <w:abstractNumId w:val="16"/>
  </w:num>
  <w:num w:numId="4">
    <w:abstractNumId w:val="17"/>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0"/>
  </w:num>
  <w:num w:numId="11">
    <w:abstractNumId w:val="0"/>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0"/>
  </w:num>
  <w:num w:numId="20">
    <w:abstractNumId w:val="14"/>
  </w:num>
  <w:num w:numId="21">
    <w:abstractNumId w:val="14"/>
  </w:num>
  <w:num w:numId="22">
    <w:abstractNumId w:val="14"/>
  </w:num>
  <w:num w:numId="23">
    <w:abstractNumId w:val="14"/>
  </w:num>
  <w:num w:numId="24">
    <w:abstractNumId w:val="14"/>
  </w:num>
  <w:num w:numId="25">
    <w:abstractNumId w:val="2"/>
  </w:num>
  <w:num w:numId="26">
    <w:abstractNumId w:val="13"/>
  </w:num>
  <w:num w:numId="27">
    <w:abstractNumId w:val="11"/>
  </w:num>
  <w:num w:numId="28">
    <w:abstractNumId w:val="15"/>
  </w:num>
  <w:num w:numId="29">
    <w:abstractNumId w:val="7"/>
  </w:num>
  <w:num w:numId="30">
    <w:abstractNumId w:val="8"/>
  </w:num>
  <w:num w:numId="31">
    <w:abstractNumId w:val="1"/>
  </w:num>
  <w:num w:numId="32">
    <w:abstractNumId w:val="4"/>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4882"/>
    <w:rsid w:val="00024D8E"/>
    <w:rsid w:val="000250CB"/>
    <w:rsid w:val="000263D6"/>
    <w:rsid w:val="00026576"/>
    <w:rsid w:val="00026BD0"/>
    <w:rsid w:val="00027420"/>
    <w:rsid w:val="00027846"/>
    <w:rsid w:val="00030CCB"/>
    <w:rsid w:val="0003196C"/>
    <w:rsid w:val="00035B94"/>
    <w:rsid w:val="000372F4"/>
    <w:rsid w:val="00040CEC"/>
    <w:rsid w:val="0004434C"/>
    <w:rsid w:val="00046C9F"/>
    <w:rsid w:val="00055A6B"/>
    <w:rsid w:val="000562DA"/>
    <w:rsid w:val="00056C8F"/>
    <w:rsid w:val="00057627"/>
    <w:rsid w:val="00062FFE"/>
    <w:rsid w:val="000665DB"/>
    <w:rsid w:val="000667CB"/>
    <w:rsid w:val="00070C06"/>
    <w:rsid w:val="00070C3D"/>
    <w:rsid w:val="00074927"/>
    <w:rsid w:val="00082011"/>
    <w:rsid w:val="000832D0"/>
    <w:rsid w:val="000858FA"/>
    <w:rsid w:val="00086ADC"/>
    <w:rsid w:val="000879AF"/>
    <w:rsid w:val="00087A55"/>
    <w:rsid w:val="00095211"/>
    <w:rsid w:val="00096DF9"/>
    <w:rsid w:val="00097F6B"/>
    <w:rsid w:val="000A2491"/>
    <w:rsid w:val="000A2BAF"/>
    <w:rsid w:val="000A2C46"/>
    <w:rsid w:val="000A5077"/>
    <w:rsid w:val="000A5473"/>
    <w:rsid w:val="000B0950"/>
    <w:rsid w:val="000B0B40"/>
    <w:rsid w:val="000B0E9E"/>
    <w:rsid w:val="000B1F03"/>
    <w:rsid w:val="000B2694"/>
    <w:rsid w:val="000B6310"/>
    <w:rsid w:val="000B6571"/>
    <w:rsid w:val="000B696B"/>
    <w:rsid w:val="000B791F"/>
    <w:rsid w:val="000C10DF"/>
    <w:rsid w:val="000C349C"/>
    <w:rsid w:val="000C6869"/>
    <w:rsid w:val="000D27C0"/>
    <w:rsid w:val="000D45D5"/>
    <w:rsid w:val="000D640B"/>
    <w:rsid w:val="000F0BED"/>
    <w:rsid w:val="000F0ECC"/>
    <w:rsid w:val="000F26C9"/>
    <w:rsid w:val="000F2873"/>
    <w:rsid w:val="000F2D8C"/>
    <w:rsid w:val="000F47F6"/>
    <w:rsid w:val="000F618F"/>
    <w:rsid w:val="000F636A"/>
    <w:rsid w:val="0010030C"/>
    <w:rsid w:val="001037D5"/>
    <w:rsid w:val="00104230"/>
    <w:rsid w:val="0010738D"/>
    <w:rsid w:val="00111F32"/>
    <w:rsid w:val="00112387"/>
    <w:rsid w:val="00112888"/>
    <w:rsid w:val="00113B45"/>
    <w:rsid w:val="00114F70"/>
    <w:rsid w:val="001154C7"/>
    <w:rsid w:val="00117066"/>
    <w:rsid w:val="00117213"/>
    <w:rsid w:val="00117DBA"/>
    <w:rsid w:val="00120B5C"/>
    <w:rsid w:val="001218DE"/>
    <w:rsid w:val="001268C6"/>
    <w:rsid w:val="00130C93"/>
    <w:rsid w:val="00131714"/>
    <w:rsid w:val="001318AC"/>
    <w:rsid w:val="0013786F"/>
    <w:rsid w:val="00140A21"/>
    <w:rsid w:val="0014344B"/>
    <w:rsid w:val="0014688B"/>
    <w:rsid w:val="00147F5F"/>
    <w:rsid w:val="001500D9"/>
    <w:rsid w:val="00154215"/>
    <w:rsid w:val="00155854"/>
    <w:rsid w:val="00160725"/>
    <w:rsid w:val="001623AD"/>
    <w:rsid w:val="0016437F"/>
    <w:rsid w:val="001716D8"/>
    <w:rsid w:val="00175EF5"/>
    <w:rsid w:val="00176A1C"/>
    <w:rsid w:val="001807C7"/>
    <w:rsid w:val="001807E5"/>
    <w:rsid w:val="001826FD"/>
    <w:rsid w:val="00184B1C"/>
    <w:rsid w:val="00185207"/>
    <w:rsid w:val="001855A0"/>
    <w:rsid w:val="00185DAB"/>
    <w:rsid w:val="001866AE"/>
    <w:rsid w:val="00187130"/>
    <w:rsid w:val="00190B26"/>
    <w:rsid w:val="00191E55"/>
    <w:rsid w:val="0019209B"/>
    <w:rsid w:val="00193F22"/>
    <w:rsid w:val="001955F8"/>
    <w:rsid w:val="00196ABF"/>
    <w:rsid w:val="001A0106"/>
    <w:rsid w:val="001A0EF2"/>
    <w:rsid w:val="001A1C60"/>
    <w:rsid w:val="001A31C5"/>
    <w:rsid w:val="001A6C0C"/>
    <w:rsid w:val="001B0EC8"/>
    <w:rsid w:val="001B1332"/>
    <w:rsid w:val="001B64F7"/>
    <w:rsid w:val="001C2159"/>
    <w:rsid w:val="001C32DA"/>
    <w:rsid w:val="001C399E"/>
    <w:rsid w:val="001C54F0"/>
    <w:rsid w:val="001D2A02"/>
    <w:rsid w:val="001D4BFE"/>
    <w:rsid w:val="001D6ED0"/>
    <w:rsid w:val="001E510E"/>
    <w:rsid w:val="001E5B50"/>
    <w:rsid w:val="001E6A74"/>
    <w:rsid w:val="001E765C"/>
    <w:rsid w:val="001E772E"/>
    <w:rsid w:val="001F0026"/>
    <w:rsid w:val="001F1215"/>
    <w:rsid w:val="001F1C48"/>
    <w:rsid w:val="001F41D0"/>
    <w:rsid w:val="001F5A3D"/>
    <w:rsid w:val="001F6752"/>
    <w:rsid w:val="00201FFF"/>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138A"/>
    <w:rsid w:val="00232591"/>
    <w:rsid w:val="0023283C"/>
    <w:rsid w:val="00236E66"/>
    <w:rsid w:val="00236F04"/>
    <w:rsid w:val="00237DBC"/>
    <w:rsid w:val="00241264"/>
    <w:rsid w:val="002415FC"/>
    <w:rsid w:val="0024774F"/>
    <w:rsid w:val="0025112C"/>
    <w:rsid w:val="002520AA"/>
    <w:rsid w:val="00254C5B"/>
    <w:rsid w:val="00257FE6"/>
    <w:rsid w:val="00260C11"/>
    <w:rsid w:val="00262EB1"/>
    <w:rsid w:val="00265B58"/>
    <w:rsid w:val="0026628B"/>
    <w:rsid w:val="002668FC"/>
    <w:rsid w:val="00271380"/>
    <w:rsid w:val="00273465"/>
    <w:rsid w:val="00273892"/>
    <w:rsid w:val="002805A4"/>
    <w:rsid w:val="00281840"/>
    <w:rsid w:val="002868CE"/>
    <w:rsid w:val="00286D32"/>
    <w:rsid w:val="00291ECB"/>
    <w:rsid w:val="00292712"/>
    <w:rsid w:val="002950B6"/>
    <w:rsid w:val="00295270"/>
    <w:rsid w:val="00295B17"/>
    <w:rsid w:val="002967CB"/>
    <w:rsid w:val="002A309E"/>
    <w:rsid w:val="002A3988"/>
    <w:rsid w:val="002B1A4C"/>
    <w:rsid w:val="002B2DD7"/>
    <w:rsid w:val="002B42DD"/>
    <w:rsid w:val="002B6A65"/>
    <w:rsid w:val="002B764F"/>
    <w:rsid w:val="002C10A3"/>
    <w:rsid w:val="002C12DE"/>
    <w:rsid w:val="002C3183"/>
    <w:rsid w:val="002D0C0C"/>
    <w:rsid w:val="002D2E26"/>
    <w:rsid w:val="002E0BB9"/>
    <w:rsid w:val="002E18B4"/>
    <w:rsid w:val="002E335E"/>
    <w:rsid w:val="002E53A7"/>
    <w:rsid w:val="002E63F8"/>
    <w:rsid w:val="002F24FC"/>
    <w:rsid w:val="002F25C9"/>
    <w:rsid w:val="002F2816"/>
    <w:rsid w:val="002F4AC4"/>
    <w:rsid w:val="002F58BF"/>
    <w:rsid w:val="002F7DEB"/>
    <w:rsid w:val="00300396"/>
    <w:rsid w:val="00301E34"/>
    <w:rsid w:val="0031132E"/>
    <w:rsid w:val="00312D98"/>
    <w:rsid w:val="00325864"/>
    <w:rsid w:val="00326FD4"/>
    <w:rsid w:val="00331DB4"/>
    <w:rsid w:val="003342CD"/>
    <w:rsid w:val="00335042"/>
    <w:rsid w:val="0034011A"/>
    <w:rsid w:val="00342492"/>
    <w:rsid w:val="00343673"/>
    <w:rsid w:val="00343B96"/>
    <w:rsid w:val="003440EB"/>
    <w:rsid w:val="00346F24"/>
    <w:rsid w:val="003515C5"/>
    <w:rsid w:val="00352DFD"/>
    <w:rsid w:val="00353530"/>
    <w:rsid w:val="0035409D"/>
    <w:rsid w:val="0035469B"/>
    <w:rsid w:val="0035681A"/>
    <w:rsid w:val="00356B48"/>
    <w:rsid w:val="00356E31"/>
    <w:rsid w:val="003579FD"/>
    <w:rsid w:val="0036170D"/>
    <w:rsid w:val="00361912"/>
    <w:rsid w:val="0036204F"/>
    <w:rsid w:val="0036570A"/>
    <w:rsid w:val="00365790"/>
    <w:rsid w:val="00366499"/>
    <w:rsid w:val="003670B8"/>
    <w:rsid w:val="003676D5"/>
    <w:rsid w:val="003678A8"/>
    <w:rsid w:val="0036799A"/>
    <w:rsid w:val="00370929"/>
    <w:rsid w:val="00372800"/>
    <w:rsid w:val="00375618"/>
    <w:rsid w:val="00377BEE"/>
    <w:rsid w:val="003833E9"/>
    <w:rsid w:val="00385170"/>
    <w:rsid w:val="003855E0"/>
    <w:rsid w:val="00386E5D"/>
    <w:rsid w:val="00386F76"/>
    <w:rsid w:val="003919A0"/>
    <w:rsid w:val="00392BBA"/>
    <w:rsid w:val="00393EEB"/>
    <w:rsid w:val="00394700"/>
    <w:rsid w:val="00397036"/>
    <w:rsid w:val="0039795F"/>
    <w:rsid w:val="003A2330"/>
    <w:rsid w:val="003A5D5E"/>
    <w:rsid w:val="003A5DE0"/>
    <w:rsid w:val="003A612B"/>
    <w:rsid w:val="003B5B37"/>
    <w:rsid w:val="003B6048"/>
    <w:rsid w:val="003B7A0A"/>
    <w:rsid w:val="003C3846"/>
    <w:rsid w:val="003C3D01"/>
    <w:rsid w:val="003C3DBF"/>
    <w:rsid w:val="003C456B"/>
    <w:rsid w:val="003C70C7"/>
    <w:rsid w:val="003D039F"/>
    <w:rsid w:val="003D0A33"/>
    <w:rsid w:val="003E090D"/>
    <w:rsid w:val="003E1CCD"/>
    <w:rsid w:val="003E26B2"/>
    <w:rsid w:val="003E285E"/>
    <w:rsid w:val="003E460C"/>
    <w:rsid w:val="003E527B"/>
    <w:rsid w:val="003E5E25"/>
    <w:rsid w:val="003E6A52"/>
    <w:rsid w:val="003E7563"/>
    <w:rsid w:val="003F6649"/>
    <w:rsid w:val="004001DD"/>
    <w:rsid w:val="00401D67"/>
    <w:rsid w:val="004026D9"/>
    <w:rsid w:val="004028A4"/>
    <w:rsid w:val="00406042"/>
    <w:rsid w:val="0040744E"/>
    <w:rsid w:val="0041437A"/>
    <w:rsid w:val="0041495E"/>
    <w:rsid w:val="004153C7"/>
    <w:rsid w:val="00415A00"/>
    <w:rsid w:val="00416A0F"/>
    <w:rsid w:val="00420244"/>
    <w:rsid w:val="00420346"/>
    <w:rsid w:val="00431010"/>
    <w:rsid w:val="00434CF8"/>
    <w:rsid w:val="0043650C"/>
    <w:rsid w:val="004369A8"/>
    <w:rsid w:val="00443C1E"/>
    <w:rsid w:val="004466CE"/>
    <w:rsid w:val="00447D0B"/>
    <w:rsid w:val="00450549"/>
    <w:rsid w:val="004554E9"/>
    <w:rsid w:val="004562A6"/>
    <w:rsid w:val="00460A9B"/>
    <w:rsid w:val="00460D26"/>
    <w:rsid w:val="004629E6"/>
    <w:rsid w:val="00471D19"/>
    <w:rsid w:val="00471DAF"/>
    <w:rsid w:val="004727FF"/>
    <w:rsid w:val="00472EAB"/>
    <w:rsid w:val="004747AC"/>
    <w:rsid w:val="00475B2B"/>
    <w:rsid w:val="00476549"/>
    <w:rsid w:val="00476DF8"/>
    <w:rsid w:val="004845BF"/>
    <w:rsid w:val="00484D65"/>
    <w:rsid w:val="004876B0"/>
    <w:rsid w:val="00487B5B"/>
    <w:rsid w:val="00491AEA"/>
    <w:rsid w:val="0049209C"/>
    <w:rsid w:val="004926E5"/>
    <w:rsid w:val="00493374"/>
    <w:rsid w:val="00493B9D"/>
    <w:rsid w:val="00496334"/>
    <w:rsid w:val="004A0370"/>
    <w:rsid w:val="004A051E"/>
    <w:rsid w:val="004A4D33"/>
    <w:rsid w:val="004B2249"/>
    <w:rsid w:val="004B3171"/>
    <w:rsid w:val="004B3FF5"/>
    <w:rsid w:val="004B5194"/>
    <w:rsid w:val="004B7388"/>
    <w:rsid w:val="004C0F54"/>
    <w:rsid w:val="004C3F85"/>
    <w:rsid w:val="004C469A"/>
    <w:rsid w:val="004C6BED"/>
    <w:rsid w:val="004D41FC"/>
    <w:rsid w:val="004D4467"/>
    <w:rsid w:val="004D5858"/>
    <w:rsid w:val="004D5CA8"/>
    <w:rsid w:val="004D7AFE"/>
    <w:rsid w:val="004E0423"/>
    <w:rsid w:val="004E09E7"/>
    <w:rsid w:val="004E2255"/>
    <w:rsid w:val="004E36B7"/>
    <w:rsid w:val="004E39E1"/>
    <w:rsid w:val="004E4FD3"/>
    <w:rsid w:val="004E5651"/>
    <w:rsid w:val="004E65A0"/>
    <w:rsid w:val="004E6A9C"/>
    <w:rsid w:val="004E7602"/>
    <w:rsid w:val="004E7915"/>
    <w:rsid w:val="004E7EDA"/>
    <w:rsid w:val="004F0195"/>
    <w:rsid w:val="00503E44"/>
    <w:rsid w:val="0050647C"/>
    <w:rsid w:val="00515283"/>
    <w:rsid w:val="005221AB"/>
    <w:rsid w:val="005228CB"/>
    <w:rsid w:val="005234D1"/>
    <w:rsid w:val="00523768"/>
    <w:rsid w:val="00524916"/>
    <w:rsid w:val="00525756"/>
    <w:rsid w:val="00527FC7"/>
    <w:rsid w:val="005326EC"/>
    <w:rsid w:val="00534C53"/>
    <w:rsid w:val="005372EE"/>
    <w:rsid w:val="00540ACA"/>
    <w:rsid w:val="00543697"/>
    <w:rsid w:val="005443FB"/>
    <w:rsid w:val="00544811"/>
    <w:rsid w:val="005500D0"/>
    <w:rsid w:val="00554100"/>
    <w:rsid w:val="0055675D"/>
    <w:rsid w:val="00562D29"/>
    <w:rsid w:val="00565C6D"/>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7552"/>
    <w:rsid w:val="00597CDB"/>
    <w:rsid w:val="005A0267"/>
    <w:rsid w:val="005A05A8"/>
    <w:rsid w:val="005A09FB"/>
    <w:rsid w:val="005A349F"/>
    <w:rsid w:val="005B17D1"/>
    <w:rsid w:val="005B3CA2"/>
    <w:rsid w:val="005B4365"/>
    <w:rsid w:val="005B5BF3"/>
    <w:rsid w:val="005C0D0D"/>
    <w:rsid w:val="005C10B9"/>
    <w:rsid w:val="005C407C"/>
    <w:rsid w:val="005C62E5"/>
    <w:rsid w:val="005C7417"/>
    <w:rsid w:val="005C7779"/>
    <w:rsid w:val="005C7C06"/>
    <w:rsid w:val="005D2703"/>
    <w:rsid w:val="005D3032"/>
    <w:rsid w:val="005D3B39"/>
    <w:rsid w:val="005D7D5A"/>
    <w:rsid w:val="005E4C76"/>
    <w:rsid w:val="005E5EC7"/>
    <w:rsid w:val="005F2439"/>
    <w:rsid w:val="005F34B6"/>
    <w:rsid w:val="005F6666"/>
    <w:rsid w:val="005F76E3"/>
    <w:rsid w:val="005F7AE5"/>
    <w:rsid w:val="0060130D"/>
    <w:rsid w:val="00601B43"/>
    <w:rsid w:val="0060644A"/>
    <w:rsid w:val="00606ED8"/>
    <w:rsid w:val="00607362"/>
    <w:rsid w:val="00607FC8"/>
    <w:rsid w:val="006102B4"/>
    <w:rsid w:val="00610426"/>
    <w:rsid w:val="00611E56"/>
    <w:rsid w:val="00613A28"/>
    <w:rsid w:val="006148E4"/>
    <w:rsid w:val="006154E7"/>
    <w:rsid w:val="006157CC"/>
    <w:rsid w:val="00620DA1"/>
    <w:rsid w:val="00622EF5"/>
    <w:rsid w:val="00625CFC"/>
    <w:rsid w:val="00627B34"/>
    <w:rsid w:val="00634B56"/>
    <w:rsid w:val="00634F7B"/>
    <w:rsid w:val="006351EA"/>
    <w:rsid w:val="006354FA"/>
    <w:rsid w:val="00635FE0"/>
    <w:rsid w:val="0064100E"/>
    <w:rsid w:val="0064129F"/>
    <w:rsid w:val="006438B5"/>
    <w:rsid w:val="006454EC"/>
    <w:rsid w:val="00650FE5"/>
    <w:rsid w:val="00662B8C"/>
    <w:rsid w:val="00663792"/>
    <w:rsid w:val="00666424"/>
    <w:rsid w:val="00667045"/>
    <w:rsid w:val="0067378E"/>
    <w:rsid w:val="0067514C"/>
    <w:rsid w:val="0067615F"/>
    <w:rsid w:val="00676F4F"/>
    <w:rsid w:val="00677877"/>
    <w:rsid w:val="006817CD"/>
    <w:rsid w:val="00681E5A"/>
    <w:rsid w:val="00691490"/>
    <w:rsid w:val="006A2753"/>
    <w:rsid w:val="006A39D2"/>
    <w:rsid w:val="006A50D2"/>
    <w:rsid w:val="006A5160"/>
    <w:rsid w:val="006A51A2"/>
    <w:rsid w:val="006A5B46"/>
    <w:rsid w:val="006A6A8A"/>
    <w:rsid w:val="006A7670"/>
    <w:rsid w:val="006A7C7F"/>
    <w:rsid w:val="006B3AB0"/>
    <w:rsid w:val="006B3CDA"/>
    <w:rsid w:val="006C01BF"/>
    <w:rsid w:val="006C332F"/>
    <w:rsid w:val="006C368B"/>
    <w:rsid w:val="006C4FD1"/>
    <w:rsid w:val="006C636C"/>
    <w:rsid w:val="006C679D"/>
    <w:rsid w:val="006C7CC5"/>
    <w:rsid w:val="006D2BF5"/>
    <w:rsid w:val="006D3653"/>
    <w:rsid w:val="006D4DEB"/>
    <w:rsid w:val="006D5F6C"/>
    <w:rsid w:val="006D7303"/>
    <w:rsid w:val="006E1335"/>
    <w:rsid w:val="006E3589"/>
    <w:rsid w:val="006F1005"/>
    <w:rsid w:val="006F2591"/>
    <w:rsid w:val="006F317D"/>
    <w:rsid w:val="007025D4"/>
    <w:rsid w:val="00705D34"/>
    <w:rsid w:val="00710233"/>
    <w:rsid w:val="00714B37"/>
    <w:rsid w:val="00714C8F"/>
    <w:rsid w:val="00715C57"/>
    <w:rsid w:val="007165EF"/>
    <w:rsid w:val="00717609"/>
    <w:rsid w:val="007200E3"/>
    <w:rsid w:val="00722A48"/>
    <w:rsid w:val="00723C9D"/>
    <w:rsid w:val="00724DB6"/>
    <w:rsid w:val="00727596"/>
    <w:rsid w:val="0073175F"/>
    <w:rsid w:val="00732AC4"/>
    <w:rsid w:val="00735A47"/>
    <w:rsid w:val="007429BD"/>
    <w:rsid w:val="00742F0C"/>
    <w:rsid w:val="00744C1D"/>
    <w:rsid w:val="0074614E"/>
    <w:rsid w:val="0074648C"/>
    <w:rsid w:val="00750FA6"/>
    <w:rsid w:val="00751ED7"/>
    <w:rsid w:val="00755C46"/>
    <w:rsid w:val="00757797"/>
    <w:rsid w:val="00760A76"/>
    <w:rsid w:val="007621EE"/>
    <w:rsid w:val="00765E69"/>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2AC8"/>
    <w:rsid w:val="007A4336"/>
    <w:rsid w:val="007A4725"/>
    <w:rsid w:val="007B161D"/>
    <w:rsid w:val="007B2E69"/>
    <w:rsid w:val="007C23BF"/>
    <w:rsid w:val="007C2839"/>
    <w:rsid w:val="007C4F4B"/>
    <w:rsid w:val="007D0977"/>
    <w:rsid w:val="007D0AD0"/>
    <w:rsid w:val="007D0CC1"/>
    <w:rsid w:val="007D233B"/>
    <w:rsid w:val="007D32D9"/>
    <w:rsid w:val="007D4F2C"/>
    <w:rsid w:val="007D776C"/>
    <w:rsid w:val="007E018D"/>
    <w:rsid w:val="007E15D6"/>
    <w:rsid w:val="007E1D41"/>
    <w:rsid w:val="007E1E38"/>
    <w:rsid w:val="007E3B31"/>
    <w:rsid w:val="007E4966"/>
    <w:rsid w:val="007E75E1"/>
    <w:rsid w:val="007F239B"/>
    <w:rsid w:val="007F3852"/>
    <w:rsid w:val="007F3DF7"/>
    <w:rsid w:val="007F541E"/>
    <w:rsid w:val="008019CF"/>
    <w:rsid w:val="00802575"/>
    <w:rsid w:val="00802E33"/>
    <w:rsid w:val="0080321D"/>
    <w:rsid w:val="0080714C"/>
    <w:rsid w:val="00807DB4"/>
    <w:rsid w:val="00807E7D"/>
    <w:rsid w:val="00812B83"/>
    <w:rsid w:val="00813CEA"/>
    <w:rsid w:val="008141F2"/>
    <w:rsid w:val="00814D0E"/>
    <w:rsid w:val="00815F14"/>
    <w:rsid w:val="00817C9B"/>
    <w:rsid w:val="0082028E"/>
    <w:rsid w:val="00821E29"/>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448E"/>
    <w:rsid w:val="00854645"/>
    <w:rsid w:val="00856C94"/>
    <w:rsid w:val="00857FFE"/>
    <w:rsid w:val="00860977"/>
    <w:rsid w:val="00861DC8"/>
    <w:rsid w:val="00862122"/>
    <w:rsid w:val="00865F8E"/>
    <w:rsid w:val="008700B0"/>
    <w:rsid w:val="00872AE6"/>
    <w:rsid w:val="00872B1B"/>
    <w:rsid w:val="00874D48"/>
    <w:rsid w:val="008837E0"/>
    <w:rsid w:val="0088467C"/>
    <w:rsid w:val="0088560C"/>
    <w:rsid w:val="00885BF8"/>
    <w:rsid w:val="0088615C"/>
    <w:rsid w:val="008867FC"/>
    <w:rsid w:val="0089406B"/>
    <w:rsid w:val="0089776D"/>
    <w:rsid w:val="008A0BE8"/>
    <w:rsid w:val="008A1684"/>
    <w:rsid w:val="008A251E"/>
    <w:rsid w:val="008A4C4F"/>
    <w:rsid w:val="008A566C"/>
    <w:rsid w:val="008B3A82"/>
    <w:rsid w:val="008B43B3"/>
    <w:rsid w:val="008B549A"/>
    <w:rsid w:val="008C00ED"/>
    <w:rsid w:val="008C3260"/>
    <w:rsid w:val="008C6508"/>
    <w:rsid w:val="008C65D6"/>
    <w:rsid w:val="008C6DFB"/>
    <w:rsid w:val="008C79C6"/>
    <w:rsid w:val="008D03F8"/>
    <w:rsid w:val="008D10F6"/>
    <w:rsid w:val="008D1336"/>
    <w:rsid w:val="008D16F7"/>
    <w:rsid w:val="008D66F3"/>
    <w:rsid w:val="008D67AB"/>
    <w:rsid w:val="008D6A23"/>
    <w:rsid w:val="008D6E72"/>
    <w:rsid w:val="008D7AFF"/>
    <w:rsid w:val="008E240D"/>
    <w:rsid w:val="008E5397"/>
    <w:rsid w:val="008F3969"/>
    <w:rsid w:val="008F4188"/>
    <w:rsid w:val="008F4574"/>
    <w:rsid w:val="008F652D"/>
    <w:rsid w:val="0090036B"/>
    <w:rsid w:val="009004B3"/>
    <w:rsid w:val="00903325"/>
    <w:rsid w:val="0090726C"/>
    <w:rsid w:val="009113FD"/>
    <w:rsid w:val="00911DA8"/>
    <w:rsid w:val="00914647"/>
    <w:rsid w:val="0091528F"/>
    <w:rsid w:val="009225B3"/>
    <w:rsid w:val="00922F8D"/>
    <w:rsid w:val="009231C7"/>
    <w:rsid w:val="00924ABE"/>
    <w:rsid w:val="00926F2E"/>
    <w:rsid w:val="009309A8"/>
    <w:rsid w:val="00933748"/>
    <w:rsid w:val="00936040"/>
    <w:rsid w:val="00937D90"/>
    <w:rsid w:val="00941218"/>
    <w:rsid w:val="00941C0D"/>
    <w:rsid w:val="00943A67"/>
    <w:rsid w:val="009461AD"/>
    <w:rsid w:val="00951EE3"/>
    <w:rsid w:val="00955D92"/>
    <w:rsid w:val="00956C03"/>
    <w:rsid w:val="009579A5"/>
    <w:rsid w:val="00963006"/>
    <w:rsid w:val="00970A74"/>
    <w:rsid w:val="00971062"/>
    <w:rsid w:val="00977146"/>
    <w:rsid w:val="00980D13"/>
    <w:rsid w:val="00985056"/>
    <w:rsid w:val="00985FB9"/>
    <w:rsid w:val="00986B60"/>
    <w:rsid w:val="00987D29"/>
    <w:rsid w:val="009914C8"/>
    <w:rsid w:val="00991834"/>
    <w:rsid w:val="00991D3F"/>
    <w:rsid w:val="00992DE0"/>
    <w:rsid w:val="009938ED"/>
    <w:rsid w:val="009970D7"/>
    <w:rsid w:val="00997A53"/>
    <w:rsid w:val="009A5B6C"/>
    <w:rsid w:val="009A5F2E"/>
    <w:rsid w:val="009B198F"/>
    <w:rsid w:val="009B2647"/>
    <w:rsid w:val="009B4157"/>
    <w:rsid w:val="009B6788"/>
    <w:rsid w:val="009B7A83"/>
    <w:rsid w:val="009C355B"/>
    <w:rsid w:val="009C3801"/>
    <w:rsid w:val="009C3F66"/>
    <w:rsid w:val="009C52A6"/>
    <w:rsid w:val="009C5A5B"/>
    <w:rsid w:val="009C5EF7"/>
    <w:rsid w:val="009C664C"/>
    <w:rsid w:val="009D04E1"/>
    <w:rsid w:val="009D1951"/>
    <w:rsid w:val="009D20AB"/>
    <w:rsid w:val="009D2E5E"/>
    <w:rsid w:val="009D74C8"/>
    <w:rsid w:val="009E1599"/>
    <w:rsid w:val="009E1677"/>
    <w:rsid w:val="009E1D9C"/>
    <w:rsid w:val="009E2F86"/>
    <w:rsid w:val="009F3B7D"/>
    <w:rsid w:val="009F60A3"/>
    <w:rsid w:val="009F6F76"/>
    <w:rsid w:val="00A02A3E"/>
    <w:rsid w:val="00A03285"/>
    <w:rsid w:val="00A03936"/>
    <w:rsid w:val="00A06664"/>
    <w:rsid w:val="00A10F57"/>
    <w:rsid w:val="00A1147B"/>
    <w:rsid w:val="00A12209"/>
    <w:rsid w:val="00A129EC"/>
    <w:rsid w:val="00A133E9"/>
    <w:rsid w:val="00A14E73"/>
    <w:rsid w:val="00A154FE"/>
    <w:rsid w:val="00A1685B"/>
    <w:rsid w:val="00A176B0"/>
    <w:rsid w:val="00A22994"/>
    <w:rsid w:val="00A22BE0"/>
    <w:rsid w:val="00A24A78"/>
    <w:rsid w:val="00A27115"/>
    <w:rsid w:val="00A271B4"/>
    <w:rsid w:val="00A27CEA"/>
    <w:rsid w:val="00A34805"/>
    <w:rsid w:val="00A368B1"/>
    <w:rsid w:val="00A36DF3"/>
    <w:rsid w:val="00A41742"/>
    <w:rsid w:val="00A43C5C"/>
    <w:rsid w:val="00A43C76"/>
    <w:rsid w:val="00A507AA"/>
    <w:rsid w:val="00A532DD"/>
    <w:rsid w:val="00A545C4"/>
    <w:rsid w:val="00A571C6"/>
    <w:rsid w:val="00A6237B"/>
    <w:rsid w:val="00A707AF"/>
    <w:rsid w:val="00A71C6E"/>
    <w:rsid w:val="00A72A8A"/>
    <w:rsid w:val="00A80AF5"/>
    <w:rsid w:val="00A80BCF"/>
    <w:rsid w:val="00A81DEF"/>
    <w:rsid w:val="00A8304D"/>
    <w:rsid w:val="00A83762"/>
    <w:rsid w:val="00A84BA3"/>
    <w:rsid w:val="00A856E6"/>
    <w:rsid w:val="00A85B64"/>
    <w:rsid w:val="00A86EAB"/>
    <w:rsid w:val="00A86F60"/>
    <w:rsid w:val="00A90292"/>
    <w:rsid w:val="00A91D55"/>
    <w:rsid w:val="00AA43D6"/>
    <w:rsid w:val="00AA4492"/>
    <w:rsid w:val="00AA494B"/>
    <w:rsid w:val="00AB3BAF"/>
    <w:rsid w:val="00AB64FF"/>
    <w:rsid w:val="00AB6B64"/>
    <w:rsid w:val="00AC0B74"/>
    <w:rsid w:val="00AC16D6"/>
    <w:rsid w:val="00AC214A"/>
    <w:rsid w:val="00AC5531"/>
    <w:rsid w:val="00AD0392"/>
    <w:rsid w:val="00AD044E"/>
    <w:rsid w:val="00AD30C3"/>
    <w:rsid w:val="00AD3352"/>
    <w:rsid w:val="00AD46F0"/>
    <w:rsid w:val="00AE2FD3"/>
    <w:rsid w:val="00AE3D7F"/>
    <w:rsid w:val="00AE65E9"/>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53EC"/>
    <w:rsid w:val="00B36237"/>
    <w:rsid w:val="00B36843"/>
    <w:rsid w:val="00B372D1"/>
    <w:rsid w:val="00B37D0F"/>
    <w:rsid w:val="00B42EE4"/>
    <w:rsid w:val="00B4337C"/>
    <w:rsid w:val="00B459A6"/>
    <w:rsid w:val="00B460E9"/>
    <w:rsid w:val="00B50D14"/>
    <w:rsid w:val="00B553D6"/>
    <w:rsid w:val="00B55843"/>
    <w:rsid w:val="00B576A5"/>
    <w:rsid w:val="00B649FC"/>
    <w:rsid w:val="00B672D8"/>
    <w:rsid w:val="00B719D4"/>
    <w:rsid w:val="00B83D07"/>
    <w:rsid w:val="00B86A4D"/>
    <w:rsid w:val="00B9106D"/>
    <w:rsid w:val="00B9129B"/>
    <w:rsid w:val="00B934FD"/>
    <w:rsid w:val="00B949F2"/>
    <w:rsid w:val="00BA4001"/>
    <w:rsid w:val="00BA5366"/>
    <w:rsid w:val="00BA5B86"/>
    <w:rsid w:val="00BA65CB"/>
    <w:rsid w:val="00BB43C8"/>
    <w:rsid w:val="00BC43CD"/>
    <w:rsid w:val="00BC54E9"/>
    <w:rsid w:val="00BD53F3"/>
    <w:rsid w:val="00BD5578"/>
    <w:rsid w:val="00BD5625"/>
    <w:rsid w:val="00BD61A2"/>
    <w:rsid w:val="00BD6806"/>
    <w:rsid w:val="00BD6E26"/>
    <w:rsid w:val="00BD6FFD"/>
    <w:rsid w:val="00BE06F5"/>
    <w:rsid w:val="00BE484D"/>
    <w:rsid w:val="00BE4996"/>
    <w:rsid w:val="00BE4AC2"/>
    <w:rsid w:val="00BE5EFB"/>
    <w:rsid w:val="00BF1150"/>
    <w:rsid w:val="00BF3F51"/>
    <w:rsid w:val="00BF4201"/>
    <w:rsid w:val="00C01CF7"/>
    <w:rsid w:val="00C05C4D"/>
    <w:rsid w:val="00C108C5"/>
    <w:rsid w:val="00C129C1"/>
    <w:rsid w:val="00C12AF7"/>
    <w:rsid w:val="00C15441"/>
    <w:rsid w:val="00C15EDB"/>
    <w:rsid w:val="00C2489F"/>
    <w:rsid w:val="00C36C94"/>
    <w:rsid w:val="00C37E05"/>
    <w:rsid w:val="00C47CBA"/>
    <w:rsid w:val="00C507FD"/>
    <w:rsid w:val="00C51008"/>
    <w:rsid w:val="00C51152"/>
    <w:rsid w:val="00C51DC3"/>
    <w:rsid w:val="00C55D29"/>
    <w:rsid w:val="00C563FB"/>
    <w:rsid w:val="00C56A03"/>
    <w:rsid w:val="00C56D78"/>
    <w:rsid w:val="00C6365A"/>
    <w:rsid w:val="00C639C9"/>
    <w:rsid w:val="00C640CA"/>
    <w:rsid w:val="00C7171B"/>
    <w:rsid w:val="00C7432A"/>
    <w:rsid w:val="00C75DEC"/>
    <w:rsid w:val="00C7709E"/>
    <w:rsid w:val="00C875AC"/>
    <w:rsid w:val="00C96958"/>
    <w:rsid w:val="00CA0A94"/>
    <w:rsid w:val="00CA659A"/>
    <w:rsid w:val="00CA788B"/>
    <w:rsid w:val="00CB17B5"/>
    <w:rsid w:val="00CB31F3"/>
    <w:rsid w:val="00CC032A"/>
    <w:rsid w:val="00CC336A"/>
    <w:rsid w:val="00CC5E0C"/>
    <w:rsid w:val="00CC6AE7"/>
    <w:rsid w:val="00CC70A3"/>
    <w:rsid w:val="00CD496A"/>
    <w:rsid w:val="00CD6FE4"/>
    <w:rsid w:val="00CD79DE"/>
    <w:rsid w:val="00CD7B95"/>
    <w:rsid w:val="00CE0B53"/>
    <w:rsid w:val="00CE256D"/>
    <w:rsid w:val="00CE48BC"/>
    <w:rsid w:val="00CF0D0E"/>
    <w:rsid w:val="00CF1B9D"/>
    <w:rsid w:val="00CF5548"/>
    <w:rsid w:val="00CF5BAC"/>
    <w:rsid w:val="00CF785C"/>
    <w:rsid w:val="00D00C39"/>
    <w:rsid w:val="00D01464"/>
    <w:rsid w:val="00D01D31"/>
    <w:rsid w:val="00D036C0"/>
    <w:rsid w:val="00D05F80"/>
    <w:rsid w:val="00D0743B"/>
    <w:rsid w:val="00D12321"/>
    <w:rsid w:val="00D1332D"/>
    <w:rsid w:val="00D14CC0"/>
    <w:rsid w:val="00D205B8"/>
    <w:rsid w:val="00D20AAB"/>
    <w:rsid w:val="00D2364C"/>
    <w:rsid w:val="00D25A55"/>
    <w:rsid w:val="00D27609"/>
    <w:rsid w:val="00D31B88"/>
    <w:rsid w:val="00D34626"/>
    <w:rsid w:val="00D40B87"/>
    <w:rsid w:val="00D4257A"/>
    <w:rsid w:val="00D43ABB"/>
    <w:rsid w:val="00D45C94"/>
    <w:rsid w:val="00D520DF"/>
    <w:rsid w:val="00D53B6A"/>
    <w:rsid w:val="00D5553F"/>
    <w:rsid w:val="00D55CBC"/>
    <w:rsid w:val="00D633FF"/>
    <w:rsid w:val="00D64080"/>
    <w:rsid w:val="00D67A41"/>
    <w:rsid w:val="00D727C4"/>
    <w:rsid w:val="00D7606D"/>
    <w:rsid w:val="00D760C5"/>
    <w:rsid w:val="00D763EB"/>
    <w:rsid w:val="00D77861"/>
    <w:rsid w:val="00D81868"/>
    <w:rsid w:val="00D81C8B"/>
    <w:rsid w:val="00D84BBC"/>
    <w:rsid w:val="00D8745F"/>
    <w:rsid w:val="00D91573"/>
    <w:rsid w:val="00D94E98"/>
    <w:rsid w:val="00D968AB"/>
    <w:rsid w:val="00D96919"/>
    <w:rsid w:val="00D9789E"/>
    <w:rsid w:val="00DA0573"/>
    <w:rsid w:val="00DA142F"/>
    <w:rsid w:val="00DA4605"/>
    <w:rsid w:val="00DB59CB"/>
    <w:rsid w:val="00DC0CDE"/>
    <w:rsid w:val="00DC0EF8"/>
    <w:rsid w:val="00DC1400"/>
    <w:rsid w:val="00DC55C9"/>
    <w:rsid w:val="00DD01C7"/>
    <w:rsid w:val="00DD1D7F"/>
    <w:rsid w:val="00DD2A03"/>
    <w:rsid w:val="00DD2BBF"/>
    <w:rsid w:val="00DD322D"/>
    <w:rsid w:val="00DD4ED3"/>
    <w:rsid w:val="00DD5CFD"/>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3AE"/>
    <w:rsid w:val="00E0624D"/>
    <w:rsid w:val="00E136C1"/>
    <w:rsid w:val="00E13E23"/>
    <w:rsid w:val="00E17010"/>
    <w:rsid w:val="00E2649A"/>
    <w:rsid w:val="00E302E6"/>
    <w:rsid w:val="00E31F90"/>
    <w:rsid w:val="00E335FF"/>
    <w:rsid w:val="00E436F5"/>
    <w:rsid w:val="00E4438C"/>
    <w:rsid w:val="00E448E0"/>
    <w:rsid w:val="00E457F3"/>
    <w:rsid w:val="00E46855"/>
    <w:rsid w:val="00E47533"/>
    <w:rsid w:val="00E52180"/>
    <w:rsid w:val="00E528AA"/>
    <w:rsid w:val="00E55886"/>
    <w:rsid w:val="00E60CB6"/>
    <w:rsid w:val="00E63F53"/>
    <w:rsid w:val="00E70245"/>
    <w:rsid w:val="00E74F1F"/>
    <w:rsid w:val="00E779E1"/>
    <w:rsid w:val="00E77C58"/>
    <w:rsid w:val="00E81140"/>
    <w:rsid w:val="00E82202"/>
    <w:rsid w:val="00E849ED"/>
    <w:rsid w:val="00E860F1"/>
    <w:rsid w:val="00E86D21"/>
    <w:rsid w:val="00E9059F"/>
    <w:rsid w:val="00E9352E"/>
    <w:rsid w:val="00E9430A"/>
    <w:rsid w:val="00E943F8"/>
    <w:rsid w:val="00E95609"/>
    <w:rsid w:val="00EA287B"/>
    <w:rsid w:val="00EA3AA1"/>
    <w:rsid w:val="00EA5660"/>
    <w:rsid w:val="00EA5EF0"/>
    <w:rsid w:val="00EA767C"/>
    <w:rsid w:val="00EB07F9"/>
    <w:rsid w:val="00EB2D4F"/>
    <w:rsid w:val="00EB372A"/>
    <w:rsid w:val="00EB3F46"/>
    <w:rsid w:val="00EB62ED"/>
    <w:rsid w:val="00EB791E"/>
    <w:rsid w:val="00EB7E71"/>
    <w:rsid w:val="00EC037D"/>
    <w:rsid w:val="00EC14FA"/>
    <w:rsid w:val="00EC6045"/>
    <w:rsid w:val="00ED26A6"/>
    <w:rsid w:val="00ED33A1"/>
    <w:rsid w:val="00ED72AF"/>
    <w:rsid w:val="00ED7FC7"/>
    <w:rsid w:val="00EE0965"/>
    <w:rsid w:val="00EE0ABE"/>
    <w:rsid w:val="00EE1D2C"/>
    <w:rsid w:val="00EE2BCD"/>
    <w:rsid w:val="00EE2F0A"/>
    <w:rsid w:val="00EE2FAF"/>
    <w:rsid w:val="00EE45C6"/>
    <w:rsid w:val="00EE7032"/>
    <w:rsid w:val="00EE76B8"/>
    <w:rsid w:val="00EE78A6"/>
    <w:rsid w:val="00EE7F5B"/>
    <w:rsid w:val="00EF3347"/>
    <w:rsid w:val="00EF3C79"/>
    <w:rsid w:val="00EF40AC"/>
    <w:rsid w:val="00EF476A"/>
    <w:rsid w:val="00EF77E3"/>
    <w:rsid w:val="00F00AA3"/>
    <w:rsid w:val="00F07AAA"/>
    <w:rsid w:val="00F109D4"/>
    <w:rsid w:val="00F120FC"/>
    <w:rsid w:val="00F146A6"/>
    <w:rsid w:val="00F15975"/>
    <w:rsid w:val="00F2134D"/>
    <w:rsid w:val="00F21CB0"/>
    <w:rsid w:val="00F23459"/>
    <w:rsid w:val="00F23CC0"/>
    <w:rsid w:val="00F24791"/>
    <w:rsid w:val="00F251D1"/>
    <w:rsid w:val="00F2572B"/>
    <w:rsid w:val="00F272AB"/>
    <w:rsid w:val="00F30E57"/>
    <w:rsid w:val="00F30E9A"/>
    <w:rsid w:val="00F35972"/>
    <w:rsid w:val="00F35F02"/>
    <w:rsid w:val="00F36655"/>
    <w:rsid w:val="00F417B5"/>
    <w:rsid w:val="00F41E25"/>
    <w:rsid w:val="00F42688"/>
    <w:rsid w:val="00F42803"/>
    <w:rsid w:val="00F44835"/>
    <w:rsid w:val="00F471B9"/>
    <w:rsid w:val="00F47564"/>
    <w:rsid w:val="00F55A7A"/>
    <w:rsid w:val="00F64C57"/>
    <w:rsid w:val="00F6625F"/>
    <w:rsid w:val="00F66832"/>
    <w:rsid w:val="00F706B7"/>
    <w:rsid w:val="00F70DB1"/>
    <w:rsid w:val="00F71364"/>
    <w:rsid w:val="00F71F27"/>
    <w:rsid w:val="00F7300E"/>
    <w:rsid w:val="00F7681C"/>
    <w:rsid w:val="00F77C79"/>
    <w:rsid w:val="00F83332"/>
    <w:rsid w:val="00F84803"/>
    <w:rsid w:val="00F85F1F"/>
    <w:rsid w:val="00F85FD2"/>
    <w:rsid w:val="00F86FC4"/>
    <w:rsid w:val="00F87C1E"/>
    <w:rsid w:val="00F90469"/>
    <w:rsid w:val="00F90D84"/>
    <w:rsid w:val="00F9136F"/>
    <w:rsid w:val="00F921B4"/>
    <w:rsid w:val="00F92DE2"/>
    <w:rsid w:val="00F93706"/>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C51"/>
    <w:rsid w:val="00FD6FDF"/>
    <w:rsid w:val="00FE46C1"/>
    <w:rsid w:val="00FE6F03"/>
    <w:rsid w:val="00FE795E"/>
    <w:rsid w:val="00FF1057"/>
    <w:rsid w:val="00FF133C"/>
    <w:rsid w:val="00FF1B6F"/>
    <w:rsid w:val="00FF3705"/>
    <w:rsid w:val="00FF429C"/>
    <w:rsid w:val="00FF47A0"/>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6">
    <w:name w:val="heading 6"/>
    <w:basedOn w:val="Normal"/>
    <w:next w:val="Normal"/>
    <w:link w:val="Heading6Char"/>
    <w:uiPriority w:val="9"/>
    <w:semiHidden/>
    <w:unhideWhenUsed/>
    <w:qFormat/>
    <w:rsid w:val="001643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0C6869"/>
    <w:pPr>
      <w:numPr>
        <w:numId w:val="26"/>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0C6869"/>
    <w:pPr>
      <w:numPr>
        <w:ilvl w:val="1"/>
        <w:numId w:val="26"/>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0C6869"/>
    <w:pPr>
      <w:numPr>
        <w:ilvl w:val="2"/>
        <w:numId w:val="26"/>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0C6869"/>
    <w:pPr>
      <w:numPr>
        <w:ilvl w:val="3"/>
        <w:numId w:val="26"/>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0C6869"/>
    <w:pPr>
      <w:numPr>
        <w:ilvl w:val="4"/>
        <w:numId w:val="26"/>
      </w:numPr>
      <w:spacing w:before="0" w:after="200" w:line="276" w:lineRule="auto"/>
    </w:pPr>
    <w:rPr>
      <w:rFonts w:ascii="Arial" w:eastAsia="Calibri" w:hAnsi="Arial"/>
      <w:sz w:val="22"/>
      <w:szCs w:val="22"/>
      <w:lang w:eastAsia="en-US"/>
    </w:rPr>
  </w:style>
  <w:style w:type="character" w:customStyle="1" w:styleId="Heading6Char">
    <w:name w:val="Heading 6 Char"/>
    <w:basedOn w:val="DefaultParagraphFont"/>
    <w:link w:val="Heading6"/>
    <w:uiPriority w:val="9"/>
    <w:semiHidden/>
    <w:rsid w:val="0016437F"/>
    <w:rPr>
      <w:rFonts w:asciiTheme="majorHAnsi" w:eastAsiaTheme="majorEastAsia" w:hAnsiTheme="majorHAnsi" w:cstheme="majorBidi"/>
      <w:color w:val="243F60" w:themeColor="accent1" w:themeShade="7F"/>
      <w:sz w:val="24"/>
    </w:rPr>
  </w:style>
  <w:style w:type="paragraph" w:customStyle="1" w:styleId="Normal1">
    <w:name w:val="Normal1"/>
    <w:basedOn w:val="Normal"/>
    <w:link w:val="NormalChar"/>
    <w:qFormat/>
    <w:rsid w:val="00663792"/>
    <w:pPr>
      <w:spacing w:before="240" w:after="0" w:line="312" w:lineRule="auto"/>
    </w:pPr>
    <w:rPr>
      <w:sz w:val="22"/>
      <w:lang w:eastAsia="en-US"/>
    </w:rPr>
  </w:style>
  <w:style w:type="character" w:customStyle="1" w:styleId="NormalChar">
    <w:name w:val="Normal Char"/>
    <w:link w:val="Normal1"/>
    <w:rsid w:val="00663792"/>
    <w:rPr>
      <w:sz w:val="22"/>
      <w:lang w:eastAsia="en-US"/>
    </w:rPr>
  </w:style>
  <w:style w:type="paragraph" w:styleId="Footer">
    <w:name w:val="footer"/>
    <w:basedOn w:val="Normal"/>
    <w:link w:val="FooterChar"/>
    <w:uiPriority w:val="99"/>
    <w:unhideWhenUsed/>
    <w:rsid w:val="0088560C"/>
    <w:pPr>
      <w:tabs>
        <w:tab w:val="center" w:pos="4513"/>
        <w:tab w:val="right" w:pos="9026"/>
      </w:tabs>
      <w:spacing w:before="0" w:after="0"/>
    </w:pPr>
    <w:rPr>
      <w:rFonts w:ascii="Arial" w:eastAsia="Calibri" w:hAnsi="Arial"/>
      <w:sz w:val="22"/>
      <w:szCs w:val="22"/>
      <w:lang w:eastAsia="en-US"/>
    </w:rPr>
  </w:style>
  <w:style w:type="character" w:customStyle="1" w:styleId="FooterChar">
    <w:name w:val="Footer Char"/>
    <w:basedOn w:val="DefaultParagraphFont"/>
    <w:link w:val="Footer"/>
    <w:uiPriority w:val="99"/>
    <w:rsid w:val="0088560C"/>
    <w:rPr>
      <w:rFonts w:ascii="Arial" w:eastAsia="Calibri" w:hAnsi="Arial"/>
      <w:sz w:val="22"/>
      <w:szCs w:val="22"/>
      <w:lang w:eastAsia="en-US"/>
    </w:rPr>
  </w:style>
  <w:style w:type="character" w:customStyle="1" w:styleId="CharSectno">
    <w:name w:val="CharSectno"/>
    <w:basedOn w:val="DefaultParagraphFont"/>
    <w:qFormat/>
    <w:rsid w:val="0088560C"/>
  </w:style>
  <w:style w:type="character" w:customStyle="1" w:styleId="CharDivNo">
    <w:name w:val="CharDivNo"/>
    <w:basedOn w:val="DefaultParagraphFont"/>
    <w:qFormat/>
    <w:rsid w:val="00C15EDB"/>
  </w:style>
  <w:style w:type="paragraph" w:styleId="Header">
    <w:name w:val="header"/>
    <w:basedOn w:val="Normal"/>
    <w:link w:val="HeaderChar"/>
    <w:uiPriority w:val="99"/>
    <w:unhideWhenUsed/>
    <w:rsid w:val="009D04E1"/>
    <w:pPr>
      <w:tabs>
        <w:tab w:val="center" w:pos="4680"/>
        <w:tab w:val="right" w:pos="9360"/>
      </w:tabs>
      <w:spacing w:before="0" w:after="0"/>
    </w:pPr>
  </w:style>
  <w:style w:type="character" w:customStyle="1" w:styleId="HeaderChar">
    <w:name w:val="Header Char"/>
    <w:basedOn w:val="DefaultParagraphFont"/>
    <w:link w:val="Header"/>
    <w:uiPriority w:val="99"/>
    <w:rsid w:val="009D04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5EF5-006E-4262-A5CF-406DC596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5271ADAD.dotm</Template>
  <TotalTime>0</TotalTime>
  <Pages>7</Pages>
  <Words>1784</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2019-06-28T06:10:00Z</dcterms:created>
  <dcterms:modified xsi:type="dcterms:W3CDTF">2019-06-28T06:10:00Z</dcterms:modified>
</cp:coreProperties>
</file>