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B8733" w14:textId="77777777" w:rsidR="006D3045" w:rsidRPr="00F41353" w:rsidRDefault="006D3045" w:rsidP="006D3045">
      <w:pPr>
        <w:keepLines w:val="0"/>
        <w:spacing w:after="360"/>
        <w:jc w:val="center"/>
        <w:rPr>
          <w:b/>
          <w:sz w:val="24"/>
          <w:u w:val="single"/>
        </w:rPr>
      </w:pPr>
      <w:r w:rsidRPr="00F41353">
        <w:rPr>
          <w:b/>
          <w:sz w:val="24"/>
          <w:u w:val="single"/>
        </w:rPr>
        <w:t>EXPLANATORY STATEMENT</w:t>
      </w:r>
    </w:p>
    <w:p w14:paraId="342E7344" w14:textId="77777777" w:rsidR="006D3045" w:rsidRPr="00DE2499" w:rsidRDefault="006D3045" w:rsidP="006D3045">
      <w:pPr>
        <w:keepLines w:val="0"/>
        <w:spacing w:after="240"/>
        <w:jc w:val="center"/>
        <w:rPr>
          <w:i/>
          <w:sz w:val="24"/>
        </w:rPr>
      </w:pPr>
      <w:r w:rsidRPr="00DE2499">
        <w:rPr>
          <w:i/>
          <w:sz w:val="24"/>
        </w:rPr>
        <w:t>National Health Act 1953</w:t>
      </w:r>
    </w:p>
    <w:p w14:paraId="7508BE78" w14:textId="77777777" w:rsidR="006D3045" w:rsidRPr="00CB3115" w:rsidRDefault="00CB3115" w:rsidP="00CB3115">
      <w:pPr>
        <w:pStyle w:val="Heading4"/>
        <w:keepNext w:val="0"/>
        <w:keepLines w:val="0"/>
        <w:widowControl w:val="0"/>
        <w:spacing w:after="360"/>
        <w:rPr>
          <w:sz w:val="24"/>
          <w:szCs w:val="24"/>
        </w:rPr>
      </w:pPr>
      <w:r w:rsidRPr="00CB3115">
        <w:rPr>
          <w:sz w:val="24"/>
          <w:szCs w:val="24"/>
        </w:rPr>
        <w:t xml:space="preserve">National Health (Pharmaceutical Benefits Supplied By Private Hospitals) Amendment (Budget Measure) Determination 2019 </w:t>
      </w:r>
      <w:r w:rsidR="006D3045" w:rsidRPr="00CB3115">
        <w:rPr>
          <w:sz w:val="24"/>
          <w:szCs w:val="24"/>
        </w:rPr>
        <w:t xml:space="preserve">PB </w:t>
      </w:r>
      <w:r w:rsidRPr="00CB3115">
        <w:rPr>
          <w:sz w:val="24"/>
          <w:szCs w:val="24"/>
        </w:rPr>
        <w:t>56</w:t>
      </w:r>
      <w:r w:rsidR="006D3045" w:rsidRPr="00CB3115">
        <w:rPr>
          <w:sz w:val="24"/>
          <w:szCs w:val="24"/>
        </w:rPr>
        <w:t xml:space="preserve"> of 2019</w:t>
      </w:r>
    </w:p>
    <w:p w14:paraId="6B800414" w14:textId="7FAE2090" w:rsidR="00B66097" w:rsidRPr="00CB3115" w:rsidRDefault="00B66097" w:rsidP="00B66097">
      <w:pPr>
        <w:spacing w:line="276" w:lineRule="auto"/>
        <w:rPr>
          <w:sz w:val="24"/>
          <w:szCs w:val="24"/>
        </w:rPr>
      </w:pPr>
      <w:proofErr w:type="gramStart"/>
      <w:r w:rsidRPr="00CB3115">
        <w:rPr>
          <w:sz w:val="24"/>
          <w:szCs w:val="24"/>
        </w:rPr>
        <w:t xml:space="preserve">The purpose of the </w:t>
      </w:r>
      <w:r w:rsidR="00CB3115" w:rsidRPr="00CB3115">
        <w:rPr>
          <w:sz w:val="24"/>
          <w:szCs w:val="24"/>
        </w:rPr>
        <w:t xml:space="preserve">National Health (Pharmaceutical Benefits Supplied By Private Hospitals) Amendment (Budget Measure) Determination 2019 </w:t>
      </w:r>
      <w:r w:rsidRPr="00CB3115">
        <w:rPr>
          <w:sz w:val="24"/>
          <w:szCs w:val="24"/>
        </w:rPr>
        <w:t>(the Determination) is to align the Pharmaceutical Benefits Schem</w:t>
      </w:r>
      <w:r w:rsidR="00CB3115">
        <w:rPr>
          <w:sz w:val="24"/>
          <w:szCs w:val="24"/>
        </w:rPr>
        <w:t xml:space="preserve">e (PBS) </w:t>
      </w:r>
      <w:r w:rsidR="006D462A" w:rsidRPr="006D462A">
        <w:rPr>
          <w:sz w:val="24"/>
          <w:szCs w:val="24"/>
        </w:rPr>
        <w:t>storage and handling mark-up</w:t>
      </w:r>
      <w:r w:rsidR="006D462A">
        <w:rPr>
          <w:sz w:val="24"/>
          <w:szCs w:val="24"/>
        </w:rPr>
        <w:t>, known as the</w:t>
      </w:r>
      <w:r w:rsidR="006D462A" w:rsidRPr="006D462A">
        <w:rPr>
          <w:sz w:val="24"/>
          <w:szCs w:val="24"/>
        </w:rPr>
        <w:t xml:space="preserve"> </w:t>
      </w:r>
      <w:r w:rsidR="00CB3115">
        <w:rPr>
          <w:sz w:val="24"/>
          <w:szCs w:val="24"/>
        </w:rPr>
        <w:t>wholesale mark-up</w:t>
      </w:r>
      <w:r w:rsidR="006D462A">
        <w:rPr>
          <w:sz w:val="24"/>
          <w:szCs w:val="24"/>
        </w:rPr>
        <w:t>,</w:t>
      </w:r>
      <w:r w:rsidR="00CB3115">
        <w:rPr>
          <w:sz w:val="24"/>
          <w:szCs w:val="24"/>
        </w:rPr>
        <w:t xml:space="preserve"> for private</w:t>
      </w:r>
      <w:r w:rsidRPr="00CB3115">
        <w:rPr>
          <w:sz w:val="24"/>
          <w:szCs w:val="24"/>
        </w:rPr>
        <w:t xml:space="preserve"> hospitals, as applied to ready-prepared pharmaceutical benefits (as per section 85 of the </w:t>
      </w:r>
      <w:r w:rsidRPr="00CB3115">
        <w:rPr>
          <w:i/>
          <w:sz w:val="24"/>
          <w:szCs w:val="24"/>
        </w:rPr>
        <w:t xml:space="preserve">National Health Act 1953 </w:t>
      </w:r>
      <w:r w:rsidRPr="00CB3115">
        <w:rPr>
          <w:sz w:val="24"/>
          <w:szCs w:val="24"/>
        </w:rPr>
        <w:t>(the Act)), with the wholesale mark-up arrangements in the community pharmacy setting.</w:t>
      </w:r>
      <w:proofErr w:type="gramEnd"/>
      <w:r w:rsidRPr="00CB3115">
        <w:rPr>
          <w:sz w:val="24"/>
          <w:szCs w:val="24"/>
        </w:rPr>
        <w:t xml:space="preserve"> This will ensure parity of wholesale mark</w:t>
      </w:r>
      <w:r w:rsidR="006D462A">
        <w:rPr>
          <w:sz w:val="24"/>
          <w:szCs w:val="24"/>
        </w:rPr>
        <w:noBreakHyphen/>
      </w:r>
      <w:r w:rsidRPr="00CB3115">
        <w:rPr>
          <w:sz w:val="24"/>
          <w:szCs w:val="24"/>
        </w:rPr>
        <w:t>up</w:t>
      </w:r>
      <w:r w:rsidR="006D462A">
        <w:rPr>
          <w:sz w:val="24"/>
          <w:szCs w:val="24"/>
        </w:rPr>
        <w:t xml:space="preserve"> rate</w:t>
      </w:r>
      <w:r w:rsidRPr="00CB3115">
        <w:rPr>
          <w:sz w:val="24"/>
          <w:szCs w:val="24"/>
        </w:rPr>
        <w:t>s across the range of PBS dispensing environments.</w:t>
      </w:r>
    </w:p>
    <w:p w14:paraId="29296CE0" w14:textId="77777777" w:rsidR="00CB3115" w:rsidRPr="00CB3115" w:rsidRDefault="00CB3115" w:rsidP="00CB3115">
      <w:pPr>
        <w:spacing w:line="276" w:lineRule="auto"/>
        <w:rPr>
          <w:sz w:val="24"/>
          <w:szCs w:val="24"/>
        </w:rPr>
      </w:pPr>
      <w:r w:rsidRPr="00CB3115">
        <w:rPr>
          <w:sz w:val="24"/>
          <w:szCs w:val="24"/>
        </w:rPr>
        <w:t xml:space="preserve">Section 99 of the </w:t>
      </w:r>
      <w:r w:rsidRPr="00CB3115">
        <w:rPr>
          <w:i/>
          <w:sz w:val="24"/>
          <w:szCs w:val="24"/>
        </w:rPr>
        <w:t>National Health Act 1953</w:t>
      </w:r>
      <w:r w:rsidRPr="00CB3115">
        <w:rPr>
          <w:sz w:val="24"/>
          <w:szCs w:val="24"/>
        </w:rPr>
        <w:t xml:space="preserve"> (the Act) prescribe matters for payment for supply of pharmaceutical benefits by the Commonwealth. </w:t>
      </w:r>
      <w:proofErr w:type="gramStart"/>
      <w:r w:rsidRPr="00CB3115">
        <w:rPr>
          <w:sz w:val="24"/>
          <w:szCs w:val="24"/>
        </w:rPr>
        <w:t>Under subsection 99(4) of the Act, an approved hospital authority is entitled to payment from the Commonwealth at such rates and subject to such conditions as the Minister determines, in respect of the supply of particular quantities or number of units of pharmaceutical benefits to patients receiving treatment in or at a hospital in respect of which the approved hospital authority is approved.</w:t>
      </w:r>
      <w:proofErr w:type="gramEnd"/>
    </w:p>
    <w:p w14:paraId="35429FB9" w14:textId="7119430A" w:rsidR="00CB3115" w:rsidRPr="00CB3115" w:rsidRDefault="00CB3115" w:rsidP="00CB3115">
      <w:pPr>
        <w:spacing w:line="276" w:lineRule="auto"/>
        <w:rPr>
          <w:sz w:val="24"/>
          <w:szCs w:val="24"/>
        </w:rPr>
      </w:pPr>
      <w:r w:rsidRPr="00CB3115">
        <w:rPr>
          <w:sz w:val="24"/>
          <w:szCs w:val="24"/>
        </w:rPr>
        <w:t xml:space="preserve">The National Health (Commonwealth Price- Pharmaceutical Benefits Supplied </w:t>
      </w:r>
      <w:proofErr w:type="gramStart"/>
      <w:r w:rsidRPr="00CB3115">
        <w:rPr>
          <w:sz w:val="24"/>
          <w:szCs w:val="24"/>
        </w:rPr>
        <w:t>By</w:t>
      </w:r>
      <w:proofErr w:type="gramEnd"/>
      <w:r w:rsidRPr="00CB3115">
        <w:rPr>
          <w:sz w:val="24"/>
          <w:szCs w:val="24"/>
        </w:rPr>
        <w:t xml:space="preserve"> Private Hospitals) Determination 2010 sets out the details in relation to the amount of the Commonwealth payment for pharmaceutical benefits supplied by an approved hospital authority to a patient receiving treatment in or at a private hospital for which the authority is approved. </w:t>
      </w:r>
    </w:p>
    <w:p w14:paraId="57F64795" w14:textId="77777777" w:rsidR="00CB3115" w:rsidRPr="00CB3115" w:rsidRDefault="00CB3115" w:rsidP="00CB3115">
      <w:pPr>
        <w:spacing w:line="276" w:lineRule="auto"/>
        <w:rPr>
          <w:sz w:val="24"/>
          <w:szCs w:val="24"/>
        </w:rPr>
      </w:pPr>
      <w:r w:rsidRPr="00CB3115">
        <w:rPr>
          <w:sz w:val="24"/>
          <w:szCs w:val="24"/>
        </w:rPr>
        <w:t>The Determination</w:t>
      </w:r>
      <w:r w:rsidRPr="00CB3115">
        <w:rPr>
          <w:i/>
          <w:sz w:val="24"/>
          <w:szCs w:val="24"/>
        </w:rPr>
        <w:t xml:space="preserve"> </w:t>
      </w:r>
      <w:r w:rsidRPr="00CB3115">
        <w:rPr>
          <w:sz w:val="24"/>
          <w:szCs w:val="24"/>
        </w:rPr>
        <w:t xml:space="preserve">amends the dispensed price for supply of ready-prepared pharmaceutical benefits provisions </w:t>
      </w:r>
      <w:r w:rsidR="00E641DD">
        <w:rPr>
          <w:sz w:val="24"/>
          <w:szCs w:val="24"/>
        </w:rPr>
        <w:t xml:space="preserve">set out in the </w:t>
      </w:r>
      <w:r w:rsidR="00E641DD" w:rsidRPr="00E641DD">
        <w:rPr>
          <w:sz w:val="24"/>
          <w:szCs w:val="24"/>
        </w:rPr>
        <w:t>National Health (Commonwealth Price- Pharmaceutical Benefits Supplied By Private Hospitals) Determination 2010</w:t>
      </w:r>
      <w:r w:rsidR="00E641DD">
        <w:rPr>
          <w:sz w:val="24"/>
          <w:szCs w:val="24"/>
        </w:rPr>
        <w:t xml:space="preserve"> </w:t>
      </w:r>
      <w:r w:rsidRPr="00CB3115">
        <w:rPr>
          <w:sz w:val="24"/>
          <w:szCs w:val="24"/>
        </w:rPr>
        <w:t xml:space="preserve">by changing the mark-up value on the approved ex-manufacturer price or proportional ex-manufacturer price applied for the relevant pack quantity of the benefit supplied. </w:t>
      </w:r>
    </w:p>
    <w:p w14:paraId="1E2514FE" w14:textId="53AD3D4B" w:rsidR="00CB3115" w:rsidRPr="00CB3115" w:rsidRDefault="00CB3115" w:rsidP="00CB3115">
      <w:pPr>
        <w:spacing w:line="276" w:lineRule="auto"/>
        <w:rPr>
          <w:sz w:val="24"/>
          <w:szCs w:val="24"/>
        </w:rPr>
      </w:pPr>
      <w:r w:rsidRPr="00CB3115">
        <w:rPr>
          <w:sz w:val="24"/>
          <w:szCs w:val="24"/>
        </w:rPr>
        <w:t>The Determination sets out a method to calculate the relevant quantity for the pack quantity and the ex-manufacturer price for that relevant quantity. It also sets out a method to calculate the remainder of a quantity supplied if applicable for a broken quantity</w:t>
      </w:r>
      <w:r w:rsidR="004C2764">
        <w:rPr>
          <w:sz w:val="24"/>
          <w:szCs w:val="24"/>
        </w:rPr>
        <w:t>, which is consistent with the current method in the existing determination</w:t>
      </w:r>
      <w:r w:rsidRPr="00CB3115">
        <w:rPr>
          <w:sz w:val="24"/>
          <w:szCs w:val="24"/>
        </w:rPr>
        <w:t>.</w:t>
      </w:r>
    </w:p>
    <w:p w14:paraId="0FA32367" w14:textId="75B96216" w:rsidR="00CB3115" w:rsidRPr="00CB3115" w:rsidRDefault="00CB3115" w:rsidP="00CB3115">
      <w:pPr>
        <w:spacing w:line="276" w:lineRule="auto"/>
        <w:rPr>
          <w:sz w:val="24"/>
          <w:szCs w:val="24"/>
        </w:rPr>
      </w:pPr>
      <w:r w:rsidRPr="00CB3115">
        <w:rPr>
          <w:sz w:val="24"/>
          <w:szCs w:val="24"/>
        </w:rPr>
        <w:t>Under the new provisions, where the ex-manufacturer price for the relevant quantity is $930.06 or less, the mark-up for the pack quantity is 7.52 per</w:t>
      </w:r>
      <w:r w:rsidR="00642124">
        <w:rPr>
          <w:sz w:val="24"/>
          <w:szCs w:val="24"/>
        </w:rPr>
        <w:t xml:space="preserve"> </w:t>
      </w:r>
      <w:r w:rsidRPr="00CB3115">
        <w:rPr>
          <w:sz w:val="24"/>
          <w:szCs w:val="24"/>
        </w:rPr>
        <w:t>cent of the approved ex-manufacturer price or the proportional ex-manufacturer price, as applicable for the pack quantity.</w:t>
      </w:r>
    </w:p>
    <w:p w14:paraId="0091D2B4" w14:textId="77777777" w:rsidR="00CB3115" w:rsidRPr="00CB3115" w:rsidRDefault="00CB3115" w:rsidP="00CB3115">
      <w:pPr>
        <w:spacing w:line="276" w:lineRule="auto"/>
        <w:rPr>
          <w:sz w:val="24"/>
          <w:szCs w:val="24"/>
        </w:rPr>
      </w:pPr>
      <w:r w:rsidRPr="00CB3115">
        <w:rPr>
          <w:sz w:val="24"/>
          <w:szCs w:val="24"/>
        </w:rPr>
        <w:t>Where the ex-manufacturer price for the relevant quantity is more than $930.06:</w:t>
      </w:r>
    </w:p>
    <w:p w14:paraId="754D0447" w14:textId="77777777" w:rsidR="00CB3115" w:rsidRPr="00CB3115" w:rsidRDefault="00CB3115" w:rsidP="00CB3115">
      <w:pPr>
        <w:pStyle w:val="ListParagraph"/>
        <w:keepLines w:val="0"/>
        <w:numPr>
          <w:ilvl w:val="0"/>
          <w:numId w:val="3"/>
        </w:numPr>
        <w:spacing w:after="160" w:line="276" w:lineRule="auto"/>
        <w:rPr>
          <w:sz w:val="24"/>
          <w:szCs w:val="24"/>
        </w:rPr>
      </w:pPr>
      <w:r w:rsidRPr="00CB3115">
        <w:rPr>
          <w:sz w:val="24"/>
          <w:szCs w:val="24"/>
        </w:rPr>
        <w:t>if the relevant quantity and the pack quantity are the same, the mark-up for the pack quantity of the brand of the pharmaceutical item is $69.94,</w:t>
      </w:r>
    </w:p>
    <w:p w14:paraId="26A9FD2D" w14:textId="77777777" w:rsidR="00CB3115" w:rsidRPr="00CB3115" w:rsidRDefault="00CB3115" w:rsidP="00CB3115">
      <w:pPr>
        <w:pStyle w:val="ListParagraph"/>
        <w:keepLines w:val="0"/>
        <w:numPr>
          <w:ilvl w:val="0"/>
          <w:numId w:val="3"/>
        </w:numPr>
        <w:spacing w:after="160" w:line="276" w:lineRule="auto"/>
        <w:rPr>
          <w:sz w:val="24"/>
          <w:szCs w:val="24"/>
        </w:rPr>
      </w:pPr>
      <w:proofErr w:type="gramStart"/>
      <w:r w:rsidRPr="00CB3115">
        <w:rPr>
          <w:sz w:val="24"/>
          <w:szCs w:val="24"/>
        </w:rPr>
        <w:t>if</w:t>
      </w:r>
      <w:proofErr w:type="gramEnd"/>
      <w:r w:rsidRPr="00CB3115">
        <w:rPr>
          <w:sz w:val="24"/>
          <w:szCs w:val="24"/>
        </w:rPr>
        <w:t xml:space="preserve"> the relevant quantity and the pack quantity are not the same, the mark-up is worked out by multiplying $69.94 by the quotient of the pack quantity and the relevant quantity.</w:t>
      </w:r>
    </w:p>
    <w:p w14:paraId="62625D38" w14:textId="1A59FE99" w:rsidR="00CB3115" w:rsidRDefault="00CB3115" w:rsidP="00CB3115">
      <w:pPr>
        <w:spacing w:line="276" w:lineRule="auto"/>
        <w:rPr>
          <w:sz w:val="24"/>
          <w:szCs w:val="24"/>
        </w:rPr>
      </w:pPr>
      <w:r w:rsidRPr="00CB3115">
        <w:rPr>
          <w:sz w:val="24"/>
          <w:szCs w:val="24"/>
        </w:rPr>
        <w:lastRenderedPageBreak/>
        <w:t xml:space="preserve">The </w:t>
      </w:r>
      <w:r w:rsidR="00E641DD">
        <w:rPr>
          <w:sz w:val="24"/>
          <w:szCs w:val="24"/>
        </w:rPr>
        <w:t xml:space="preserve">Determination </w:t>
      </w:r>
      <w:r w:rsidRPr="00CB3115">
        <w:rPr>
          <w:sz w:val="24"/>
          <w:szCs w:val="24"/>
        </w:rPr>
        <w:t>insert</w:t>
      </w:r>
      <w:r w:rsidR="00E641DD">
        <w:rPr>
          <w:sz w:val="24"/>
          <w:szCs w:val="24"/>
        </w:rPr>
        <w:t>s</w:t>
      </w:r>
      <w:r w:rsidR="00642124">
        <w:rPr>
          <w:sz w:val="24"/>
          <w:szCs w:val="24"/>
        </w:rPr>
        <w:t xml:space="preserve"> definitions for a number of</w:t>
      </w:r>
      <w:r>
        <w:rPr>
          <w:sz w:val="24"/>
          <w:szCs w:val="24"/>
        </w:rPr>
        <w:t xml:space="preserve"> </w:t>
      </w:r>
      <w:proofErr w:type="gramStart"/>
      <w:r>
        <w:rPr>
          <w:sz w:val="24"/>
          <w:szCs w:val="24"/>
        </w:rPr>
        <w:t>terms</w:t>
      </w:r>
      <w:r w:rsidR="00642124">
        <w:rPr>
          <w:sz w:val="24"/>
          <w:szCs w:val="24"/>
        </w:rPr>
        <w:t xml:space="preserve"> which</w:t>
      </w:r>
      <w:proofErr w:type="gramEnd"/>
      <w:r w:rsidR="00642124">
        <w:rPr>
          <w:sz w:val="24"/>
          <w:szCs w:val="24"/>
        </w:rPr>
        <w:t xml:space="preserve"> are consistent with existing definitions in the Act and align with those used for dispensing in community pharmacies. This includes</w:t>
      </w:r>
      <w:r>
        <w:rPr>
          <w:sz w:val="24"/>
          <w:szCs w:val="24"/>
        </w:rPr>
        <w:t xml:space="preserve"> </w:t>
      </w:r>
      <w:r w:rsidRPr="00CB3115">
        <w:rPr>
          <w:i/>
          <w:sz w:val="24"/>
          <w:szCs w:val="24"/>
        </w:rPr>
        <w:t xml:space="preserve">determined quantity </w:t>
      </w:r>
      <w:r w:rsidRPr="00CB3115">
        <w:rPr>
          <w:sz w:val="24"/>
          <w:szCs w:val="24"/>
        </w:rPr>
        <w:t>of a listed brand of a pharmaceutical item</w:t>
      </w:r>
      <w:r>
        <w:rPr>
          <w:sz w:val="24"/>
          <w:szCs w:val="24"/>
        </w:rPr>
        <w:t xml:space="preserve"> and </w:t>
      </w:r>
      <w:r>
        <w:rPr>
          <w:i/>
          <w:sz w:val="24"/>
          <w:szCs w:val="24"/>
        </w:rPr>
        <w:t xml:space="preserve">maximum quantity </w:t>
      </w:r>
      <w:r w:rsidRPr="00CB3115">
        <w:rPr>
          <w:sz w:val="24"/>
          <w:szCs w:val="24"/>
        </w:rPr>
        <w:t xml:space="preserve">of a brand of a pharmaceutical item. These terms have the same meaning as in Part VII and paragraph </w:t>
      </w:r>
      <w:proofErr w:type="gramStart"/>
      <w:r w:rsidRPr="00CB3115">
        <w:rPr>
          <w:sz w:val="24"/>
          <w:szCs w:val="24"/>
        </w:rPr>
        <w:t>85A(</w:t>
      </w:r>
      <w:proofErr w:type="gramEnd"/>
      <w:r w:rsidRPr="00CB3115">
        <w:rPr>
          <w:sz w:val="24"/>
          <w:szCs w:val="24"/>
        </w:rPr>
        <w:t>2)(a) of the Act respectively and are used in the method sta</w:t>
      </w:r>
      <w:r w:rsidR="00642124">
        <w:rPr>
          <w:sz w:val="24"/>
          <w:szCs w:val="24"/>
        </w:rPr>
        <w:t>tement</w:t>
      </w:r>
      <w:r w:rsidRPr="00CB3115">
        <w:rPr>
          <w:sz w:val="24"/>
          <w:szCs w:val="24"/>
        </w:rPr>
        <w:t xml:space="preserve"> to work out the relevant quantity for the pack quantity and the ex</w:t>
      </w:r>
      <w:r w:rsidR="006D462A">
        <w:rPr>
          <w:sz w:val="24"/>
          <w:szCs w:val="24"/>
        </w:rPr>
        <w:noBreakHyphen/>
      </w:r>
      <w:r w:rsidRPr="00CB3115">
        <w:rPr>
          <w:sz w:val="24"/>
          <w:szCs w:val="24"/>
        </w:rPr>
        <w:t>manufacturer price for that relevant quantity.</w:t>
      </w:r>
    </w:p>
    <w:p w14:paraId="0B2BBB75" w14:textId="486A8D62" w:rsidR="00642124" w:rsidRPr="00642124" w:rsidRDefault="00642124" w:rsidP="00CB3115">
      <w:pPr>
        <w:spacing w:line="276" w:lineRule="auto"/>
        <w:rPr>
          <w:sz w:val="24"/>
          <w:szCs w:val="24"/>
        </w:rPr>
      </w:pPr>
      <w:r>
        <w:rPr>
          <w:sz w:val="24"/>
          <w:szCs w:val="24"/>
        </w:rPr>
        <w:t xml:space="preserve">The Determination also includes a number of administrative amendments to ensure currency of existing clauses. Existing references to the </w:t>
      </w:r>
      <w:r>
        <w:rPr>
          <w:i/>
          <w:sz w:val="24"/>
          <w:szCs w:val="24"/>
        </w:rPr>
        <w:t xml:space="preserve">National Health (Pharmaceutical Benefits) Regulations 1960 </w:t>
      </w:r>
      <w:proofErr w:type="gramStart"/>
      <w:r>
        <w:rPr>
          <w:sz w:val="24"/>
          <w:szCs w:val="24"/>
        </w:rPr>
        <w:t>have been amended</w:t>
      </w:r>
      <w:proofErr w:type="gramEnd"/>
      <w:r>
        <w:rPr>
          <w:sz w:val="24"/>
          <w:szCs w:val="24"/>
        </w:rPr>
        <w:t xml:space="preserve"> to refer to the replacement regulations, the </w:t>
      </w:r>
      <w:r>
        <w:rPr>
          <w:i/>
          <w:sz w:val="24"/>
          <w:szCs w:val="24"/>
        </w:rPr>
        <w:t xml:space="preserve">National Health (Pharmaceutical Benefits) Regulations 2017. </w:t>
      </w:r>
      <w:r>
        <w:rPr>
          <w:sz w:val="24"/>
          <w:szCs w:val="24"/>
        </w:rPr>
        <w:t xml:space="preserve">This includes amending the previous reference to ‘regulation 24’ to refer to ‘section 49’, which reflects renumbering of the provision in the replacement regulations. In addition, an erroneous reference to the dangerous drug fee </w:t>
      </w:r>
      <w:proofErr w:type="gramStart"/>
      <w:r>
        <w:rPr>
          <w:sz w:val="24"/>
          <w:szCs w:val="24"/>
        </w:rPr>
        <w:t>has been removed</w:t>
      </w:r>
      <w:proofErr w:type="gramEnd"/>
      <w:r>
        <w:rPr>
          <w:sz w:val="24"/>
          <w:szCs w:val="24"/>
        </w:rPr>
        <w:t xml:space="preserve"> in order to rectify a previous drafting error.</w:t>
      </w:r>
    </w:p>
    <w:p w14:paraId="729F1E2F" w14:textId="77777777" w:rsidR="00CB3115" w:rsidRPr="00CB3115" w:rsidRDefault="00CB3115" w:rsidP="00CB3115">
      <w:pPr>
        <w:spacing w:line="276" w:lineRule="auto"/>
        <w:rPr>
          <w:b/>
          <w:sz w:val="24"/>
          <w:szCs w:val="24"/>
        </w:rPr>
      </w:pPr>
      <w:r w:rsidRPr="00CB3115">
        <w:rPr>
          <w:b/>
          <w:sz w:val="24"/>
          <w:szCs w:val="24"/>
        </w:rPr>
        <w:t>Consultation</w:t>
      </w:r>
    </w:p>
    <w:p w14:paraId="5D55E00B" w14:textId="2CE4CB26" w:rsidR="00CB3115" w:rsidRPr="00CB3115" w:rsidRDefault="00E641DD" w:rsidP="00CB3115">
      <w:pPr>
        <w:spacing w:line="276" w:lineRule="auto"/>
        <w:rPr>
          <w:sz w:val="24"/>
          <w:szCs w:val="24"/>
        </w:rPr>
      </w:pPr>
      <w:r>
        <w:rPr>
          <w:sz w:val="24"/>
          <w:szCs w:val="24"/>
        </w:rPr>
        <w:t>T</w:t>
      </w:r>
      <w:r w:rsidR="00CB3115" w:rsidRPr="00CB3115">
        <w:rPr>
          <w:sz w:val="24"/>
          <w:szCs w:val="24"/>
        </w:rPr>
        <w:t xml:space="preserve">he measure that underpins this legislative amendment </w:t>
      </w:r>
      <w:proofErr w:type="gramStart"/>
      <w:r>
        <w:rPr>
          <w:sz w:val="24"/>
          <w:szCs w:val="24"/>
        </w:rPr>
        <w:t>was announced</w:t>
      </w:r>
      <w:proofErr w:type="gramEnd"/>
      <w:r>
        <w:rPr>
          <w:sz w:val="24"/>
          <w:szCs w:val="24"/>
        </w:rPr>
        <w:t xml:space="preserve"> on 2 April 2019 as part of Budget 2019</w:t>
      </w:r>
      <w:r>
        <w:rPr>
          <w:sz w:val="24"/>
          <w:szCs w:val="24"/>
        </w:rPr>
        <w:noBreakHyphen/>
        <w:t>20</w:t>
      </w:r>
      <w:r w:rsidR="00CB3115" w:rsidRPr="00CB3115">
        <w:rPr>
          <w:sz w:val="24"/>
          <w:szCs w:val="24"/>
        </w:rPr>
        <w:t>.</w:t>
      </w:r>
    </w:p>
    <w:p w14:paraId="4280E049" w14:textId="1BE69459" w:rsidR="00CB3115" w:rsidRPr="00CB3115" w:rsidRDefault="00CB3115" w:rsidP="00CB3115">
      <w:pPr>
        <w:spacing w:line="276" w:lineRule="auto"/>
        <w:rPr>
          <w:sz w:val="24"/>
          <w:szCs w:val="24"/>
        </w:rPr>
      </w:pPr>
      <w:r w:rsidRPr="00CB3115">
        <w:rPr>
          <w:sz w:val="24"/>
          <w:szCs w:val="24"/>
        </w:rPr>
        <w:t xml:space="preserve">The Department of Health </w:t>
      </w:r>
      <w:r w:rsidR="00E641DD">
        <w:rPr>
          <w:sz w:val="24"/>
          <w:szCs w:val="24"/>
        </w:rPr>
        <w:t xml:space="preserve">has </w:t>
      </w:r>
      <w:r w:rsidRPr="00CB3115">
        <w:rPr>
          <w:sz w:val="24"/>
          <w:szCs w:val="24"/>
        </w:rPr>
        <w:t xml:space="preserve">consulted with affected stakeholders, including </w:t>
      </w:r>
      <w:r w:rsidR="00E641DD">
        <w:rPr>
          <w:sz w:val="24"/>
          <w:szCs w:val="24"/>
        </w:rPr>
        <w:t xml:space="preserve">the Medical Software Industry Association and </w:t>
      </w:r>
      <w:r w:rsidRPr="00CB3115">
        <w:rPr>
          <w:sz w:val="24"/>
          <w:szCs w:val="24"/>
        </w:rPr>
        <w:t>dispensing software vendors</w:t>
      </w:r>
      <w:r w:rsidR="00E641DD">
        <w:rPr>
          <w:sz w:val="24"/>
          <w:szCs w:val="24"/>
        </w:rPr>
        <w:t xml:space="preserve"> with products operating in hospitals</w:t>
      </w:r>
      <w:r w:rsidRPr="00CB3115">
        <w:rPr>
          <w:sz w:val="24"/>
          <w:szCs w:val="24"/>
        </w:rPr>
        <w:t xml:space="preserve">, pharmaceutical wholesalers, </w:t>
      </w:r>
      <w:proofErr w:type="gramStart"/>
      <w:r w:rsidR="00E641DD">
        <w:rPr>
          <w:sz w:val="24"/>
          <w:szCs w:val="24"/>
        </w:rPr>
        <w:t>the</w:t>
      </w:r>
      <w:proofErr w:type="gramEnd"/>
      <w:r w:rsidR="004C2764">
        <w:rPr>
          <w:sz w:val="24"/>
          <w:szCs w:val="24"/>
        </w:rPr>
        <w:t xml:space="preserve"> </w:t>
      </w:r>
      <w:r w:rsidR="00E641DD">
        <w:rPr>
          <w:sz w:val="24"/>
          <w:szCs w:val="24"/>
        </w:rPr>
        <w:t>Australian P</w:t>
      </w:r>
      <w:r w:rsidRPr="00CB3115">
        <w:rPr>
          <w:sz w:val="24"/>
          <w:szCs w:val="24"/>
        </w:rPr>
        <w:t xml:space="preserve">rivate </w:t>
      </w:r>
      <w:r w:rsidR="00E641DD">
        <w:rPr>
          <w:sz w:val="24"/>
          <w:szCs w:val="24"/>
        </w:rPr>
        <w:t>H</w:t>
      </w:r>
      <w:r w:rsidRPr="00CB3115">
        <w:rPr>
          <w:sz w:val="24"/>
          <w:szCs w:val="24"/>
        </w:rPr>
        <w:t>ospital</w:t>
      </w:r>
      <w:r w:rsidR="00E641DD">
        <w:rPr>
          <w:sz w:val="24"/>
          <w:szCs w:val="24"/>
        </w:rPr>
        <w:t>s</w:t>
      </w:r>
      <w:r w:rsidRPr="00CB3115">
        <w:rPr>
          <w:sz w:val="24"/>
          <w:szCs w:val="24"/>
        </w:rPr>
        <w:t xml:space="preserve"> </w:t>
      </w:r>
      <w:r w:rsidR="00E641DD">
        <w:rPr>
          <w:sz w:val="24"/>
          <w:szCs w:val="24"/>
        </w:rPr>
        <w:t>A</w:t>
      </w:r>
      <w:r w:rsidRPr="00CB3115">
        <w:rPr>
          <w:sz w:val="24"/>
          <w:szCs w:val="24"/>
        </w:rPr>
        <w:t>ssociation</w:t>
      </w:r>
      <w:r w:rsidR="00E641DD">
        <w:rPr>
          <w:sz w:val="24"/>
          <w:szCs w:val="24"/>
        </w:rPr>
        <w:t xml:space="preserve"> and member hospital</w:t>
      </w:r>
      <w:r w:rsidRPr="00CB3115">
        <w:rPr>
          <w:sz w:val="24"/>
          <w:szCs w:val="24"/>
        </w:rPr>
        <w:t xml:space="preserve">s, </w:t>
      </w:r>
      <w:r w:rsidR="00E641DD">
        <w:rPr>
          <w:sz w:val="24"/>
          <w:szCs w:val="24"/>
        </w:rPr>
        <w:t xml:space="preserve">the Pharmaceutical Society of Australia, the </w:t>
      </w:r>
      <w:r w:rsidR="00E641DD" w:rsidRPr="0008350C">
        <w:rPr>
          <w:sz w:val="24"/>
          <w:szCs w:val="24"/>
        </w:rPr>
        <w:t>Society of Hospital Pharmacists of Australia</w:t>
      </w:r>
      <w:r w:rsidRPr="00CB3115">
        <w:rPr>
          <w:sz w:val="24"/>
          <w:szCs w:val="24"/>
        </w:rPr>
        <w:t xml:space="preserve"> and the Pharmacy Guild of Australia.</w:t>
      </w:r>
    </w:p>
    <w:p w14:paraId="652925A3" w14:textId="2E8765C4" w:rsidR="00CB3115" w:rsidRPr="00CB3115" w:rsidRDefault="00CB3115" w:rsidP="00CB3115">
      <w:pPr>
        <w:spacing w:line="276" w:lineRule="auto"/>
        <w:rPr>
          <w:sz w:val="24"/>
          <w:szCs w:val="24"/>
        </w:rPr>
      </w:pPr>
      <w:r w:rsidRPr="00CB3115">
        <w:rPr>
          <w:sz w:val="24"/>
          <w:szCs w:val="24"/>
        </w:rPr>
        <w:t xml:space="preserve">Following consultation, the </w:t>
      </w:r>
      <w:r w:rsidR="00E641DD">
        <w:rPr>
          <w:sz w:val="24"/>
          <w:szCs w:val="24"/>
        </w:rPr>
        <w:t>Government</w:t>
      </w:r>
      <w:r w:rsidRPr="00CB3115">
        <w:rPr>
          <w:sz w:val="24"/>
          <w:szCs w:val="24"/>
        </w:rPr>
        <w:t xml:space="preserve"> delay</w:t>
      </w:r>
      <w:r w:rsidR="00E641DD">
        <w:rPr>
          <w:sz w:val="24"/>
          <w:szCs w:val="24"/>
        </w:rPr>
        <w:t>ed</w:t>
      </w:r>
      <w:r w:rsidRPr="00CB3115">
        <w:rPr>
          <w:sz w:val="24"/>
          <w:szCs w:val="24"/>
        </w:rPr>
        <w:t xml:space="preserve"> implementation of the measure </w:t>
      </w:r>
      <w:r w:rsidR="00E641DD">
        <w:rPr>
          <w:sz w:val="24"/>
          <w:szCs w:val="24"/>
        </w:rPr>
        <w:t xml:space="preserve">from 1 July 2019 </w:t>
      </w:r>
      <w:r w:rsidRPr="00CB3115">
        <w:rPr>
          <w:sz w:val="24"/>
          <w:szCs w:val="24"/>
        </w:rPr>
        <w:t xml:space="preserve">to 1 October 2019 to </w:t>
      </w:r>
      <w:r w:rsidR="00E641DD">
        <w:rPr>
          <w:sz w:val="24"/>
          <w:szCs w:val="24"/>
        </w:rPr>
        <w:t xml:space="preserve">provide additional </w:t>
      </w:r>
      <w:r w:rsidRPr="00CB3115">
        <w:rPr>
          <w:sz w:val="24"/>
          <w:szCs w:val="24"/>
        </w:rPr>
        <w:t>time for software vendors to effect relevant software changes</w:t>
      </w:r>
      <w:r w:rsidR="00E641DD">
        <w:rPr>
          <w:sz w:val="24"/>
          <w:szCs w:val="24"/>
        </w:rPr>
        <w:t xml:space="preserve"> an</w:t>
      </w:r>
      <w:r w:rsidR="00D962D5">
        <w:rPr>
          <w:sz w:val="24"/>
          <w:szCs w:val="24"/>
        </w:rPr>
        <w:t>d provide a smooth transition f</w:t>
      </w:r>
      <w:r w:rsidR="00E641DD">
        <w:rPr>
          <w:sz w:val="24"/>
          <w:szCs w:val="24"/>
        </w:rPr>
        <w:t>o</w:t>
      </w:r>
      <w:r w:rsidR="00D962D5">
        <w:rPr>
          <w:sz w:val="24"/>
          <w:szCs w:val="24"/>
        </w:rPr>
        <w:t>r</w:t>
      </w:r>
      <w:r w:rsidR="00E641DD">
        <w:rPr>
          <w:sz w:val="24"/>
          <w:szCs w:val="24"/>
        </w:rPr>
        <w:t xml:space="preserve"> the sector</w:t>
      </w:r>
      <w:r w:rsidRPr="00CB3115">
        <w:rPr>
          <w:sz w:val="24"/>
          <w:szCs w:val="24"/>
        </w:rPr>
        <w:t>.</w:t>
      </w:r>
    </w:p>
    <w:p w14:paraId="7695C53D" w14:textId="77777777" w:rsidR="00CB3115" w:rsidRPr="00CB3115" w:rsidRDefault="00CB3115" w:rsidP="00CB3115">
      <w:pPr>
        <w:spacing w:line="276" w:lineRule="auto"/>
        <w:rPr>
          <w:sz w:val="24"/>
          <w:szCs w:val="24"/>
        </w:rPr>
      </w:pPr>
      <w:r w:rsidRPr="00CB3115">
        <w:rPr>
          <w:sz w:val="24"/>
          <w:szCs w:val="24"/>
        </w:rPr>
        <w:t>This instrument commences on 1 October 2019.</w:t>
      </w:r>
    </w:p>
    <w:p w14:paraId="6ABCABFF" w14:textId="77777777" w:rsidR="00CB3115" w:rsidRPr="00CB3115" w:rsidRDefault="00CB3115" w:rsidP="00CB3115">
      <w:pPr>
        <w:spacing w:line="276" w:lineRule="auto"/>
        <w:rPr>
          <w:sz w:val="24"/>
          <w:szCs w:val="24"/>
        </w:rPr>
      </w:pPr>
      <w:r w:rsidRPr="00CB3115">
        <w:rPr>
          <w:sz w:val="24"/>
          <w:szCs w:val="24"/>
        </w:rPr>
        <w:t xml:space="preserve">This instrument is a legislative instrument for the purposes of the </w:t>
      </w:r>
      <w:r w:rsidRPr="00CB3115">
        <w:rPr>
          <w:i/>
          <w:sz w:val="24"/>
          <w:szCs w:val="24"/>
        </w:rPr>
        <w:t>Legislation Act 2003</w:t>
      </w:r>
      <w:r w:rsidRPr="00CB3115">
        <w:rPr>
          <w:sz w:val="24"/>
          <w:szCs w:val="24"/>
        </w:rPr>
        <w:t>.</w:t>
      </w:r>
    </w:p>
    <w:p w14:paraId="631F32C5" w14:textId="77777777" w:rsidR="00CB3115" w:rsidRPr="00CB3115" w:rsidRDefault="00CB3115" w:rsidP="00CB3115">
      <w:pPr>
        <w:keepLines w:val="0"/>
        <w:widowControl w:val="0"/>
        <w:spacing w:after="240"/>
        <w:jc w:val="left"/>
        <w:rPr>
          <w:sz w:val="24"/>
          <w:szCs w:val="24"/>
        </w:rPr>
      </w:pPr>
      <w:r w:rsidRPr="00CB3115">
        <w:rPr>
          <w:sz w:val="24"/>
          <w:szCs w:val="24"/>
        </w:rPr>
        <w:t xml:space="preserve">A </w:t>
      </w:r>
      <w:proofErr w:type="gramStart"/>
      <w:r w:rsidRPr="00CB3115">
        <w:rPr>
          <w:sz w:val="24"/>
          <w:szCs w:val="24"/>
        </w:rPr>
        <w:t>provision by provision</w:t>
      </w:r>
      <w:proofErr w:type="gramEnd"/>
      <w:r w:rsidRPr="00CB3115">
        <w:rPr>
          <w:sz w:val="24"/>
          <w:szCs w:val="24"/>
        </w:rPr>
        <w:t xml:space="preserve"> description of the Determination is contained in Attachment 1. </w:t>
      </w:r>
    </w:p>
    <w:p w14:paraId="3EEBA74D" w14:textId="77777777" w:rsidR="006D3045" w:rsidRPr="00A02E1C" w:rsidRDefault="006D3045" w:rsidP="006D3045">
      <w:pPr>
        <w:keepLines w:val="0"/>
        <w:widowControl w:val="0"/>
        <w:jc w:val="left"/>
        <w:rPr>
          <w:i/>
          <w:sz w:val="24"/>
          <w:szCs w:val="24"/>
        </w:rPr>
      </w:pPr>
    </w:p>
    <w:p w14:paraId="717E18D9" w14:textId="77777777" w:rsidR="006D3045" w:rsidRPr="00A02E1C" w:rsidRDefault="006D3045" w:rsidP="006D3045">
      <w:pPr>
        <w:keepLines w:val="0"/>
        <w:widowControl w:val="0"/>
        <w:jc w:val="left"/>
        <w:rPr>
          <w:sz w:val="24"/>
          <w:szCs w:val="24"/>
        </w:rPr>
        <w:sectPr w:rsidR="006D3045" w:rsidRPr="00A02E1C" w:rsidSect="006D3045">
          <w:footerReference w:type="default" r:id="rId7"/>
          <w:footerReference w:type="first" r:id="rId8"/>
          <w:pgSz w:w="11906" w:h="16838" w:code="9"/>
          <w:pgMar w:top="1276" w:right="1440" w:bottom="1276" w:left="1440" w:header="720" w:footer="325" w:gutter="0"/>
          <w:cols w:space="720"/>
        </w:sectPr>
      </w:pPr>
    </w:p>
    <w:p w14:paraId="0D8C41E8" w14:textId="77777777" w:rsidR="006D3045" w:rsidRPr="00A02E1C" w:rsidRDefault="006D3045" w:rsidP="006D3045">
      <w:pPr>
        <w:pStyle w:val="Heading6"/>
        <w:jc w:val="right"/>
        <w:rPr>
          <w:sz w:val="24"/>
          <w:szCs w:val="24"/>
        </w:rPr>
      </w:pPr>
      <w:r w:rsidRPr="00A02E1C">
        <w:rPr>
          <w:sz w:val="24"/>
          <w:szCs w:val="24"/>
        </w:rPr>
        <w:lastRenderedPageBreak/>
        <w:t>ATTACHMENT</w:t>
      </w:r>
      <w:r w:rsidR="002E40A1">
        <w:rPr>
          <w:sz w:val="24"/>
          <w:szCs w:val="24"/>
        </w:rPr>
        <w:t xml:space="preserve"> 1</w:t>
      </w:r>
    </w:p>
    <w:p w14:paraId="58C92B89" w14:textId="77777777" w:rsidR="006D3045" w:rsidRPr="00A02E1C" w:rsidRDefault="006D3045" w:rsidP="006D3045">
      <w:pPr>
        <w:pStyle w:val="Heading6"/>
        <w:jc w:val="left"/>
        <w:rPr>
          <w:sz w:val="24"/>
          <w:szCs w:val="24"/>
        </w:rPr>
      </w:pPr>
    </w:p>
    <w:p w14:paraId="389800D6" w14:textId="77777777" w:rsidR="006D3045" w:rsidRPr="00A71B19" w:rsidRDefault="006D3045" w:rsidP="002C3FF8">
      <w:pPr>
        <w:pStyle w:val="Heading6"/>
        <w:keepNext w:val="0"/>
        <w:keepLines w:val="0"/>
        <w:widowControl w:val="0"/>
        <w:ind w:right="-188"/>
        <w:jc w:val="left"/>
        <w:rPr>
          <w:bCs/>
          <w:caps/>
          <w:sz w:val="24"/>
          <w:szCs w:val="24"/>
        </w:rPr>
      </w:pPr>
      <w:r w:rsidRPr="00A71B19">
        <w:rPr>
          <w:sz w:val="24"/>
          <w:szCs w:val="24"/>
        </w:rPr>
        <w:t xml:space="preserve">Provision by </w:t>
      </w:r>
      <w:r w:rsidRPr="001E01CA">
        <w:rPr>
          <w:sz w:val="24"/>
          <w:szCs w:val="24"/>
        </w:rPr>
        <w:t xml:space="preserve">provision description of the </w:t>
      </w:r>
      <w:r w:rsidR="002C3FF8" w:rsidRPr="00CB3115">
        <w:rPr>
          <w:sz w:val="24"/>
          <w:szCs w:val="24"/>
        </w:rPr>
        <w:t xml:space="preserve">National Health (Pharmaceutical Benefits Supplied </w:t>
      </w:r>
      <w:proofErr w:type="gramStart"/>
      <w:r w:rsidR="002C3FF8" w:rsidRPr="00CB3115">
        <w:rPr>
          <w:sz w:val="24"/>
          <w:szCs w:val="24"/>
        </w:rPr>
        <w:t>By</w:t>
      </w:r>
      <w:proofErr w:type="gramEnd"/>
      <w:r w:rsidR="002C3FF8" w:rsidRPr="00CB3115">
        <w:rPr>
          <w:sz w:val="24"/>
          <w:szCs w:val="24"/>
        </w:rPr>
        <w:t xml:space="preserve"> Private Hospitals) Amendment (Budget Measure) Determination 2019</w:t>
      </w:r>
    </w:p>
    <w:p w14:paraId="3A64D1F5" w14:textId="77777777" w:rsidR="006D3045" w:rsidRPr="00A71B19" w:rsidRDefault="006D3045" w:rsidP="006D3045">
      <w:pPr>
        <w:keepLines w:val="0"/>
        <w:widowControl w:val="0"/>
        <w:jc w:val="left"/>
        <w:rPr>
          <w:b/>
          <w:bCs/>
          <w:sz w:val="24"/>
          <w:szCs w:val="24"/>
        </w:rPr>
      </w:pPr>
    </w:p>
    <w:p w14:paraId="48D77108" w14:textId="77777777" w:rsidR="006D3045" w:rsidRPr="00A71B19" w:rsidRDefault="006D3045" w:rsidP="006D3045">
      <w:pPr>
        <w:keepLines w:val="0"/>
        <w:widowControl w:val="0"/>
        <w:jc w:val="left"/>
        <w:rPr>
          <w:b/>
          <w:sz w:val="24"/>
          <w:szCs w:val="24"/>
        </w:rPr>
      </w:pPr>
      <w:r w:rsidRPr="00A71B19">
        <w:rPr>
          <w:b/>
          <w:bCs/>
          <w:sz w:val="24"/>
          <w:szCs w:val="24"/>
        </w:rPr>
        <w:t>Section 1</w:t>
      </w:r>
      <w:r w:rsidRPr="00A71B19">
        <w:rPr>
          <w:b/>
          <w:sz w:val="24"/>
          <w:szCs w:val="24"/>
        </w:rPr>
        <w:tab/>
        <w:t>Name</w:t>
      </w:r>
    </w:p>
    <w:p w14:paraId="0C180F42" w14:textId="77777777" w:rsidR="006D3045" w:rsidRPr="00A71B19" w:rsidRDefault="006D3045" w:rsidP="006D3045">
      <w:pPr>
        <w:keepLines w:val="0"/>
        <w:widowControl w:val="0"/>
        <w:jc w:val="left"/>
        <w:rPr>
          <w:sz w:val="24"/>
          <w:szCs w:val="24"/>
        </w:rPr>
      </w:pPr>
      <w:r w:rsidRPr="00A71B19">
        <w:rPr>
          <w:sz w:val="24"/>
          <w:szCs w:val="24"/>
        </w:rPr>
        <w:t xml:space="preserve">This section provides that the </w:t>
      </w:r>
      <w:r w:rsidR="008716CE">
        <w:rPr>
          <w:sz w:val="24"/>
          <w:szCs w:val="24"/>
        </w:rPr>
        <w:t>D</w:t>
      </w:r>
      <w:r>
        <w:rPr>
          <w:sz w:val="24"/>
          <w:szCs w:val="24"/>
        </w:rPr>
        <w:t xml:space="preserve">etermination </w:t>
      </w:r>
      <w:r w:rsidRPr="00A71B19">
        <w:rPr>
          <w:sz w:val="24"/>
          <w:szCs w:val="24"/>
        </w:rPr>
        <w:t>is th</w:t>
      </w:r>
      <w:r w:rsidRPr="0052788C">
        <w:rPr>
          <w:sz w:val="24"/>
          <w:szCs w:val="24"/>
        </w:rPr>
        <w:t xml:space="preserve">e </w:t>
      </w:r>
      <w:r w:rsidR="002C3FF8" w:rsidRPr="00CB3115">
        <w:rPr>
          <w:sz w:val="24"/>
          <w:szCs w:val="24"/>
        </w:rPr>
        <w:t xml:space="preserve">National Health (Pharmaceutical Benefits Supplied </w:t>
      </w:r>
      <w:proofErr w:type="gramStart"/>
      <w:r w:rsidR="002C3FF8" w:rsidRPr="00CB3115">
        <w:rPr>
          <w:sz w:val="24"/>
          <w:szCs w:val="24"/>
        </w:rPr>
        <w:t>By</w:t>
      </w:r>
      <w:proofErr w:type="gramEnd"/>
      <w:r w:rsidR="002C3FF8" w:rsidRPr="00CB3115">
        <w:rPr>
          <w:sz w:val="24"/>
          <w:szCs w:val="24"/>
        </w:rPr>
        <w:t xml:space="preserve"> Private Hospitals) Amendment (Budget Measure) Determination 2019 </w:t>
      </w:r>
      <w:r w:rsidRPr="00347EC5">
        <w:rPr>
          <w:sz w:val="24"/>
        </w:rPr>
        <w:t>(th</w:t>
      </w:r>
      <w:r w:rsidR="008716CE" w:rsidRPr="00347EC5">
        <w:rPr>
          <w:sz w:val="24"/>
        </w:rPr>
        <w:t>e D</w:t>
      </w:r>
      <w:r w:rsidRPr="00347EC5">
        <w:rPr>
          <w:sz w:val="24"/>
        </w:rPr>
        <w:t xml:space="preserve">etermination) </w:t>
      </w:r>
      <w:r w:rsidRPr="00347EC5">
        <w:rPr>
          <w:sz w:val="24"/>
          <w:szCs w:val="24"/>
        </w:rPr>
        <w:t>and</w:t>
      </w:r>
      <w:r w:rsidRPr="00A71B19">
        <w:rPr>
          <w:sz w:val="24"/>
          <w:szCs w:val="24"/>
        </w:rPr>
        <w:t xml:space="preserve"> may also be </w:t>
      </w:r>
      <w:r w:rsidRPr="00E837B4">
        <w:rPr>
          <w:sz w:val="24"/>
          <w:szCs w:val="24"/>
        </w:rPr>
        <w:t xml:space="preserve">cited </w:t>
      </w:r>
      <w:r w:rsidRPr="00773619">
        <w:rPr>
          <w:sz w:val="24"/>
          <w:szCs w:val="24"/>
        </w:rPr>
        <w:t xml:space="preserve">as </w:t>
      </w:r>
      <w:r w:rsidR="002C3FF8">
        <w:rPr>
          <w:sz w:val="24"/>
          <w:szCs w:val="24"/>
        </w:rPr>
        <w:t>PB 56</w:t>
      </w:r>
      <w:r w:rsidRPr="00773619">
        <w:rPr>
          <w:sz w:val="24"/>
          <w:szCs w:val="24"/>
        </w:rPr>
        <w:t xml:space="preserve"> of 2019.</w:t>
      </w:r>
    </w:p>
    <w:p w14:paraId="120E182B" w14:textId="77777777" w:rsidR="006D3045" w:rsidRPr="00A71B19" w:rsidRDefault="006D3045" w:rsidP="006D3045">
      <w:pPr>
        <w:keepLines w:val="0"/>
        <w:widowControl w:val="0"/>
        <w:jc w:val="left"/>
        <w:rPr>
          <w:b/>
          <w:sz w:val="24"/>
          <w:szCs w:val="24"/>
        </w:rPr>
      </w:pPr>
      <w:r w:rsidRPr="00A71B19">
        <w:rPr>
          <w:b/>
          <w:bCs/>
          <w:sz w:val="24"/>
          <w:szCs w:val="24"/>
        </w:rPr>
        <w:t>Section 2</w:t>
      </w:r>
      <w:r w:rsidRPr="00A71B19">
        <w:rPr>
          <w:b/>
          <w:sz w:val="24"/>
          <w:szCs w:val="24"/>
        </w:rPr>
        <w:tab/>
        <w:t>Commencement</w:t>
      </w:r>
    </w:p>
    <w:p w14:paraId="41C1DE25" w14:textId="77777777" w:rsidR="006D3045" w:rsidRPr="00A71B19" w:rsidRDefault="006D3045" w:rsidP="006D3045">
      <w:pPr>
        <w:keepLines w:val="0"/>
        <w:widowControl w:val="0"/>
        <w:jc w:val="left"/>
        <w:rPr>
          <w:sz w:val="24"/>
          <w:szCs w:val="24"/>
        </w:rPr>
      </w:pPr>
      <w:r w:rsidRPr="00A71B19">
        <w:rPr>
          <w:sz w:val="24"/>
          <w:szCs w:val="24"/>
        </w:rPr>
        <w:t xml:space="preserve">This section provides that the </w:t>
      </w:r>
      <w:r w:rsidR="003B799A">
        <w:rPr>
          <w:sz w:val="24"/>
          <w:szCs w:val="24"/>
        </w:rPr>
        <w:t>Determination</w:t>
      </w:r>
      <w:r>
        <w:rPr>
          <w:sz w:val="24"/>
          <w:szCs w:val="24"/>
        </w:rPr>
        <w:t xml:space="preserve"> </w:t>
      </w:r>
      <w:proofErr w:type="gramStart"/>
      <w:r w:rsidRPr="00A71B19">
        <w:rPr>
          <w:sz w:val="24"/>
          <w:szCs w:val="24"/>
        </w:rPr>
        <w:t>commences</w:t>
      </w:r>
      <w:proofErr w:type="gramEnd"/>
      <w:r w:rsidRPr="00A71B19">
        <w:rPr>
          <w:sz w:val="24"/>
          <w:szCs w:val="24"/>
        </w:rPr>
        <w:t xml:space="preserve"> </w:t>
      </w:r>
      <w:r>
        <w:rPr>
          <w:sz w:val="24"/>
          <w:szCs w:val="24"/>
        </w:rPr>
        <w:t>on 1 October 2019.</w:t>
      </w:r>
    </w:p>
    <w:p w14:paraId="457417F1" w14:textId="77777777" w:rsidR="006D3045" w:rsidRPr="00A71B19" w:rsidRDefault="006D3045" w:rsidP="006D3045">
      <w:pPr>
        <w:keepLines w:val="0"/>
        <w:widowControl w:val="0"/>
        <w:jc w:val="left"/>
        <w:rPr>
          <w:b/>
          <w:sz w:val="24"/>
          <w:szCs w:val="24"/>
        </w:rPr>
      </w:pPr>
      <w:r w:rsidRPr="00A71B19">
        <w:rPr>
          <w:b/>
          <w:bCs/>
          <w:sz w:val="24"/>
          <w:szCs w:val="24"/>
        </w:rPr>
        <w:t xml:space="preserve">Section </w:t>
      </w:r>
      <w:r>
        <w:rPr>
          <w:b/>
          <w:bCs/>
          <w:sz w:val="24"/>
          <w:szCs w:val="24"/>
        </w:rPr>
        <w:t>3</w:t>
      </w:r>
      <w:r w:rsidRPr="00A71B19">
        <w:rPr>
          <w:b/>
          <w:sz w:val="24"/>
          <w:szCs w:val="24"/>
        </w:rPr>
        <w:tab/>
      </w:r>
      <w:r>
        <w:rPr>
          <w:b/>
          <w:sz w:val="24"/>
          <w:szCs w:val="24"/>
        </w:rPr>
        <w:t>Authority</w:t>
      </w:r>
    </w:p>
    <w:p w14:paraId="11C764FA" w14:textId="77777777" w:rsidR="006D3045" w:rsidRPr="003B0654" w:rsidRDefault="006D3045" w:rsidP="006D3045">
      <w:pPr>
        <w:keepLines w:val="0"/>
        <w:widowControl w:val="0"/>
        <w:jc w:val="left"/>
        <w:rPr>
          <w:bCs/>
          <w:i/>
          <w:sz w:val="24"/>
          <w:szCs w:val="24"/>
        </w:rPr>
      </w:pPr>
      <w:r>
        <w:rPr>
          <w:bCs/>
          <w:sz w:val="24"/>
          <w:szCs w:val="24"/>
        </w:rPr>
        <w:t xml:space="preserve">This section provides that the </w:t>
      </w:r>
      <w:r w:rsidR="003B799A">
        <w:rPr>
          <w:bCs/>
          <w:sz w:val="24"/>
          <w:szCs w:val="24"/>
        </w:rPr>
        <w:t>Determination</w:t>
      </w:r>
      <w:r w:rsidRPr="003B0654">
        <w:rPr>
          <w:bCs/>
          <w:sz w:val="24"/>
          <w:szCs w:val="24"/>
        </w:rPr>
        <w:t xml:space="preserve"> </w:t>
      </w:r>
      <w:proofErr w:type="gramStart"/>
      <w:r w:rsidRPr="003B0654">
        <w:rPr>
          <w:bCs/>
          <w:sz w:val="24"/>
          <w:szCs w:val="24"/>
        </w:rPr>
        <w:t>is</w:t>
      </w:r>
      <w:proofErr w:type="gramEnd"/>
      <w:r w:rsidRPr="003B0654">
        <w:rPr>
          <w:bCs/>
          <w:sz w:val="24"/>
          <w:szCs w:val="24"/>
        </w:rPr>
        <w:t xml:space="preserve"> made under subsection</w:t>
      </w:r>
      <w:r>
        <w:rPr>
          <w:bCs/>
          <w:sz w:val="24"/>
          <w:szCs w:val="24"/>
        </w:rPr>
        <w:t> 99(4</w:t>
      </w:r>
      <w:r w:rsidRPr="003B0654">
        <w:rPr>
          <w:bCs/>
          <w:sz w:val="24"/>
          <w:szCs w:val="24"/>
        </w:rPr>
        <w:t xml:space="preserve">) of the </w:t>
      </w:r>
      <w:r w:rsidRPr="003B0654">
        <w:rPr>
          <w:bCs/>
          <w:i/>
          <w:sz w:val="24"/>
          <w:szCs w:val="24"/>
        </w:rPr>
        <w:t>National Health Act 1953</w:t>
      </w:r>
      <w:r w:rsidR="00E641DD">
        <w:rPr>
          <w:bCs/>
          <w:sz w:val="24"/>
          <w:szCs w:val="24"/>
        </w:rPr>
        <w:t xml:space="preserve"> (the Act)</w:t>
      </w:r>
      <w:r w:rsidRPr="00E641DD">
        <w:rPr>
          <w:bCs/>
          <w:sz w:val="24"/>
          <w:szCs w:val="24"/>
        </w:rPr>
        <w:t>.</w:t>
      </w:r>
    </w:p>
    <w:p w14:paraId="297977EE" w14:textId="77777777" w:rsidR="006D3045" w:rsidRPr="00A71B19" w:rsidRDefault="006D3045" w:rsidP="006D3045">
      <w:pPr>
        <w:keepLines w:val="0"/>
        <w:widowControl w:val="0"/>
        <w:jc w:val="left"/>
        <w:rPr>
          <w:b/>
          <w:bCs/>
          <w:sz w:val="24"/>
          <w:szCs w:val="24"/>
        </w:rPr>
      </w:pPr>
      <w:r w:rsidRPr="00A71B19">
        <w:rPr>
          <w:b/>
          <w:bCs/>
          <w:sz w:val="24"/>
          <w:szCs w:val="24"/>
        </w:rPr>
        <w:t xml:space="preserve">Section </w:t>
      </w:r>
      <w:r>
        <w:rPr>
          <w:b/>
          <w:bCs/>
          <w:sz w:val="24"/>
          <w:szCs w:val="24"/>
        </w:rPr>
        <w:t>4</w:t>
      </w:r>
      <w:r w:rsidRPr="00A71B19">
        <w:rPr>
          <w:b/>
          <w:bCs/>
          <w:sz w:val="24"/>
          <w:szCs w:val="24"/>
        </w:rPr>
        <w:tab/>
      </w:r>
      <w:r>
        <w:rPr>
          <w:b/>
          <w:bCs/>
          <w:sz w:val="24"/>
          <w:szCs w:val="24"/>
        </w:rPr>
        <w:t>Schedules</w:t>
      </w:r>
      <w:r w:rsidRPr="00A71B19">
        <w:rPr>
          <w:b/>
          <w:bCs/>
          <w:sz w:val="24"/>
          <w:szCs w:val="24"/>
        </w:rPr>
        <w:t xml:space="preserve"> </w:t>
      </w:r>
    </w:p>
    <w:p w14:paraId="33FAA646" w14:textId="77777777" w:rsidR="006D3045" w:rsidRPr="00A71B19" w:rsidRDefault="00CE41E0" w:rsidP="006D3045">
      <w:pPr>
        <w:keepLines w:val="0"/>
        <w:widowControl w:val="0"/>
        <w:spacing w:after="360"/>
        <w:jc w:val="left"/>
        <w:rPr>
          <w:sz w:val="24"/>
          <w:szCs w:val="24"/>
        </w:rPr>
      </w:pPr>
      <w:r>
        <w:rPr>
          <w:bCs/>
          <w:sz w:val="24"/>
          <w:szCs w:val="24"/>
        </w:rPr>
        <w:t>This section</w:t>
      </w:r>
      <w:r w:rsidR="006D3045" w:rsidRPr="007E67B6">
        <w:rPr>
          <w:bCs/>
          <w:sz w:val="24"/>
          <w:szCs w:val="24"/>
        </w:rPr>
        <w:t xml:space="preserve"> provides that each schedule in the instrument </w:t>
      </w:r>
      <w:proofErr w:type="gramStart"/>
      <w:r w:rsidR="006D3045" w:rsidRPr="007E67B6">
        <w:rPr>
          <w:bCs/>
          <w:sz w:val="24"/>
          <w:szCs w:val="24"/>
        </w:rPr>
        <w:t>is amended or repealed as set out in the applicable items in that Schedule</w:t>
      </w:r>
      <w:proofErr w:type="gramEnd"/>
      <w:r w:rsidR="006D3045" w:rsidRPr="007E67B6">
        <w:rPr>
          <w:bCs/>
          <w:sz w:val="24"/>
          <w:szCs w:val="24"/>
        </w:rPr>
        <w:t xml:space="preserve">. </w:t>
      </w:r>
    </w:p>
    <w:p w14:paraId="31C9A9D7" w14:textId="77777777" w:rsidR="006D3045" w:rsidRPr="00A71B19" w:rsidRDefault="006D3045" w:rsidP="006D3045">
      <w:pPr>
        <w:keepLines w:val="0"/>
        <w:widowControl w:val="0"/>
        <w:tabs>
          <w:tab w:val="left" w:pos="1276"/>
        </w:tabs>
        <w:jc w:val="left"/>
        <w:rPr>
          <w:b/>
          <w:bCs/>
          <w:sz w:val="24"/>
          <w:szCs w:val="24"/>
        </w:rPr>
      </w:pPr>
      <w:r w:rsidRPr="00A71B19">
        <w:rPr>
          <w:b/>
          <w:bCs/>
          <w:sz w:val="24"/>
          <w:szCs w:val="24"/>
        </w:rPr>
        <w:t>Schedule 1</w:t>
      </w:r>
      <w:r>
        <w:rPr>
          <w:b/>
          <w:bCs/>
          <w:sz w:val="24"/>
          <w:szCs w:val="24"/>
        </w:rPr>
        <w:tab/>
      </w:r>
      <w:r w:rsidRPr="00A71B19">
        <w:rPr>
          <w:b/>
          <w:bCs/>
          <w:sz w:val="24"/>
          <w:szCs w:val="24"/>
        </w:rPr>
        <w:t xml:space="preserve">Amendments </w:t>
      </w:r>
    </w:p>
    <w:p w14:paraId="208571DA" w14:textId="77777777" w:rsidR="006D3045" w:rsidRDefault="002C3FF8" w:rsidP="006D3045">
      <w:pPr>
        <w:keepLines w:val="0"/>
        <w:widowControl w:val="0"/>
        <w:jc w:val="left"/>
        <w:rPr>
          <w:b/>
          <w:bCs/>
          <w:sz w:val="24"/>
          <w:szCs w:val="24"/>
        </w:rPr>
      </w:pPr>
      <w:r>
        <w:rPr>
          <w:b/>
          <w:bCs/>
          <w:sz w:val="24"/>
          <w:szCs w:val="24"/>
        </w:rPr>
        <w:t>Item 1</w:t>
      </w:r>
      <w:r>
        <w:rPr>
          <w:b/>
          <w:bCs/>
          <w:sz w:val="24"/>
          <w:szCs w:val="24"/>
        </w:rPr>
        <w:tab/>
      </w:r>
      <w:proofErr w:type="gramStart"/>
      <w:r>
        <w:rPr>
          <w:b/>
          <w:bCs/>
          <w:sz w:val="24"/>
          <w:szCs w:val="24"/>
        </w:rPr>
        <w:t>After</w:t>
      </w:r>
      <w:proofErr w:type="gramEnd"/>
      <w:r>
        <w:rPr>
          <w:b/>
          <w:bCs/>
          <w:sz w:val="24"/>
          <w:szCs w:val="24"/>
        </w:rPr>
        <w:t xml:space="preserve"> Section 4</w:t>
      </w:r>
    </w:p>
    <w:p w14:paraId="3A6D7C61" w14:textId="77777777" w:rsidR="006D3045" w:rsidRPr="00E75BED" w:rsidRDefault="0059552E" w:rsidP="006D3045">
      <w:pPr>
        <w:keepLines w:val="0"/>
        <w:widowControl w:val="0"/>
        <w:jc w:val="left"/>
        <w:rPr>
          <w:bCs/>
          <w:sz w:val="24"/>
          <w:szCs w:val="24"/>
        </w:rPr>
      </w:pPr>
      <w:r>
        <w:rPr>
          <w:bCs/>
          <w:sz w:val="24"/>
          <w:szCs w:val="24"/>
        </w:rPr>
        <w:t>This item</w:t>
      </w:r>
      <w:r w:rsidR="006D3045">
        <w:rPr>
          <w:bCs/>
          <w:sz w:val="24"/>
          <w:szCs w:val="24"/>
        </w:rPr>
        <w:t xml:space="preserve"> inse</w:t>
      </w:r>
      <w:r w:rsidR="002C3FF8">
        <w:rPr>
          <w:bCs/>
          <w:sz w:val="24"/>
          <w:szCs w:val="24"/>
        </w:rPr>
        <w:t>rts a new section 4A</w:t>
      </w:r>
      <w:r w:rsidR="006D3045">
        <w:rPr>
          <w:bCs/>
          <w:sz w:val="24"/>
          <w:szCs w:val="24"/>
        </w:rPr>
        <w:t xml:space="preserve"> </w:t>
      </w:r>
      <w:r w:rsidR="002C3FF8">
        <w:rPr>
          <w:bCs/>
          <w:sz w:val="24"/>
          <w:szCs w:val="24"/>
        </w:rPr>
        <w:t>that outlines that Schedule 1</w:t>
      </w:r>
      <w:r w:rsidR="006D3045" w:rsidRPr="0052788C">
        <w:rPr>
          <w:bCs/>
          <w:sz w:val="24"/>
          <w:szCs w:val="24"/>
        </w:rPr>
        <w:t xml:space="preserve"> of the </w:t>
      </w:r>
      <w:r w:rsidR="002C3FF8" w:rsidRPr="00CB3115">
        <w:rPr>
          <w:sz w:val="24"/>
          <w:szCs w:val="24"/>
        </w:rPr>
        <w:t xml:space="preserve">National Health (Commonwealth Price- Pharmaceutical Benefits Supplied </w:t>
      </w:r>
      <w:proofErr w:type="gramStart"/>
      <w:r w:rsidR="002C3FF8" w:rsidRPr="00CB3115">
        <w:rPr>
          <w:sz w:val="24"/>
          <w:szCs w:val="24"/>
        </w:rPr>
        <w:t>By</w:t>
      </w:r>
      <w:proofErr w:type="gramEnd"/>
      <w:r w:rsidR="002C3FF8" w:rsidRPr="00CB3115">
        <w:rPr>
          <w:sz w:val="24"/>
          <w:szCs w:val="24"/>
        </w:rPr>
        <w:t xml:space="preserve"> Private Hospitals) Determination 2010</w:t>
      </w:r>
      <w:r w:rsidR="006D3045" w:rsidRPr="0052788C">
        <w:rPr>
          <w:bCs/>
          <w:sz w:val="24"/>
          <w:szCs w:val="24"/>
        </w:rPr>
        <w:t xml:space="preserve"> sets</w:t>
      </w:r>
      <w:r w:rsidR="006D3045">
        <w:rPr>
          <w:bCs/>
          <w:sz w:val="24"/>
          <w:szCs w:val="24"/>
        </w:rPr>
        <w:t xml:space="preserve"> out the application and transitional arrangements that apply to the amendments made by the </w:t>
      </w:r>
      <w:r w:rsidR="003B799A">
        <w:rPr>
          <w:bCs/>
          <w:sz w:val="24"/>
          <w:szCs w:val="24"/>
        </w:rPr>
        <w:t>Determination</w:t>
      </w:r>
      <w:r w:rsidR="006D3045">
        <w:rPr>
          <w:bCs/>
          <w:sz w:val="24"/>
          <w:szCs w:val="24"/>
        </w:rPr>
        <w:t>.</w:t>
      </w:r>
    </w:p>
    <w:p w14:paraId="15497A52" w14:textId="77777777" w:rsidR="006D3045" w:rsidRDefault="002C3FF8" w:rsidP="006D3045">
      <w:pPr>
        <w:keepLines w:val="0"/>
        <w:widowControl w:val="0"/>
        <w:jc w:val="left"/>
        <w:rPr>
          <w:b/>
          <w:bCs/>
          <w:sz w:val="24"/>
          <w:szCs w:val="24"/>
        </w:rPr>
      </w:pPr>
      <w:r>
        <w:rPr>
          <w:b/>
          <w:bCs/>
          <w:sz w:val="24"/>
          <w:szCs w:val="24"/>
        </w:rPr>
        <w:t xml:space="preserve">Item 2 </w:t>
      </w:r>
      <w:r>
        <w:rPr>
          <w:b/>
          <w:bCs/>
          <w:sz w:val="24"/>
          <w:szCs w:val="24"/>
        </w:rPr>
        <w:tab/>
        <w:t>Section 5</w:t>
      </w:r>
    </w:p>
    <w:p w14:paraId="3EE6508A" w14:textId="77777777" w:rsidR="006D3045" w:rsidRPr="00C4604A" w:rsidRDefault="006D3045" w:rsidP="006D3045">
      <w:pPr>
        <w:keepLines w:val="0"/>
        <w:widowControl w:val="0"/>
        <w:jc w:val="left"/>
        <w:rPr>
          <w:bCs/>
          <w:sz w:val="24"/>
          <w:szCs w:val="24"/>
        </w:rPr>
      </w:pPr>
      <w:r w:rsidRPr="00E75BED">
        <w:rPr>
          <w:bCs/>
          <w:sz w:val="24"/>
          <w:szCs w:val="24"/>
        </w:rPr>
        <w:t>This</w:t>
      </w:r>
      <w:r w:rsidR="002C3FF8">
        <w:rPr>
          <w:bCs/>
          <w:sz w:val="24"/>
          <w:szCs w:val="24"/>
        </w:rPr>
        <w:t xml:space="preserve"> item inserts</w:t>
      </w:r>
      <w:r w:rsidR="00B956B9">
        <w:rPr>
          <w:bCs/>
          <w:sz w:val="24"/>
          <w:szCs w:val="24"/>
        </w:rPr>
        <w:t xml:space="preserve"> five</w:t>
      </w:r>
      <w:r>
        <w:rPr>
          <w:bCs/>
          <w:sz w:val="24"/>
          <w:szCs w:val="24"/>
        </w:rPr>
        <w:t xml:space="preserve"> new definitions into the </w:t>
      </w:r>
      <w:r w:rsidR="003B799A">
        <w:rPr>
          <w:bCs/>
          <w:sz w:val="24"/>
          <w:szCs w:val="24"/>
        </w:rPr>
        <w:t>Determination</w:t>
      </w:r>
      <w:r>
        <w:rPr>
          <w:bCs/>
          <w:sz w:val="24"/>
          <w:szCs w:val="24"/>
        </w:rPr>
        <w:t>, for</w:t>
      </w:r>
      <w:r w:rsidR="002C3FF8">
        <w:rPr>
          <w:bCs/>
          <w:sz w:val="24"/>
          <w:szCs w:val="24"/>
        </w:rPr>
        <w:t xml:space="preserve"> </w:t>
      </w:r>
      <w:r w:rsidR="002C3FF8">
        <w:rPr>
          <w:bCs/>
          <w:i/>
          <w:sz w:val="24"/>
          <w:szCs w:val="24"/>
        </w:rPr>
        <w:t>brand</w:t>
      </w:r>
      <w:r w:rsidR="002C3FF8">
        <w:rPr>
          <w:bCs/>
          <w:sz w:val="24"/>
          <w:szCs w:val="24"/>
        </w:rPr>
        <w:t>,</w:t>
      </w:r>
      <w:r>
        <w:rPr>
          <w:bCs/>
          <w:sz w:val="24"/>
          <w:szCs w:val="24"/>
        </w:rPr>
        <w:t xml:space="preserve"> </w:t>
      </w:r>
      <w:r>
        <w:rPr>
          <w:bCs/>
          <w:i/>
          <w:sz w:val="24"/>
          <w:szCs w:val="24"/>
        </w:rPr>
        <w:t>determined quantity</w:t>
      </w:r>
      <w:r w:rsidR="002C3FF8">
        <w:rPr>
          <w:bCs/>
          <w:i/>
          <w:sz w:val="24"/>
          <w:szCs w:val="24"/>
        </w:rPr>
        <w:t>, listed brand</w:t>
      </w:r>
      <w:r w:rsidR="00B956B9">
        <w:rPr>
          <w:bCs/>
          <w:i/>
          <w:sz w:val="24"/>
          <w:szCs w:val="24"/>
        </w:rPr>
        <w:t xml:space="preserve">, </w:t>
      </w:r>
      <w:r>
        <w:rPr>
          <w:bCs/>
          <w:i/>
          <w:sz w:val="24"/>
          <w:szCs w:val="24"/>
        </w:rPr>
        <w:t>maximum quantity</w:t>
      </w:r>
      <w:r w:rsidR="00B956B9">
        <w:rPr>
          <w:bCs/>
          <w:i/>
          <w:sz w:val="24"/>
          <w:szCs w:val="24"/>
        </w:rPr>
        <w:t xml:space="preserve"> </w:t>
      </w:r>
      <w:r w:rsidR="00B956B9">
        <w:rPr>
          <w:bCs/>
          <w:sz w:val="24"/>
          <w:szCs w:val="24"/>
        </w:rPr>
        <w:t xml:space="preserve">and </w:t>
      </w:r>
      <w:r w:rsidR="00B956B9">
        <w:rPr>
          <w:bCs/>
          <w:i/>
          <w:sz w:val="24"/>
          <w:szCs w:val="24"/>
        </w:rPr>
        <w:t>pharmaceutical item</w:t>
      </w:r>
      <w:r w:rsidR="00C4604A">
        <w:rPr>
          <w:bCs/>
          <w:sz w:val="24"/>
          <w:szCs w:val="24"/>
        </w:rPr>
        <w:t>.</w:t>
      </w:r>
    </w:p>
    <w:p w14:paraId="24AC932E" w14:textId="1A0857E5" w:rsidR="002C3FF8" w:rsidRPr="002C3FF8" w:rsidRDefault="002C3FF8" w:rsidP="006D3045">
      <w:pPr>
        <w:keepLines w:val="0"/>
        <w:widowControl w:val="0"/>
        <w:jc w:val="left"/>
        <w:rPr>
          <w:bCs/>
          <w:sz w:val="24"/>
          <w:szCs w:val="24"/>
        </w:rPr>
      </w:pPr>
      <w:r>
        <w:rPr>
          <w:bCs/>
          <w:sz w:val="24"/>
          <w:szCs w:val="24"/>
        </w:rPr>
        <w:t xml:space="preserve">The definition of </w:t>
      </w:r>
      <w:r>
        <w:rPr>
          <w:bCs/>
          <w:i/>
          <w:sz w:val="24"/>
          <w:szCs w:val="24"/>
        </w:rPr>
        <w:t>brand</w:t>
      </w:r>
      <w:r>
        <w:rPr>
          <w:bCs/>
          <w:sz w:val="24"/>
          <w:szCs w:val="24"/>
        </w:rPr>
        <w:t xml:space="preserve"> has the sam</w:t>
      </w:r>
      <w:r w:rsidR="004C2764">
        <w:rPr>
          <w:bCs/>
          <w:sz w:val="24"/>
          <w:szCs w:val="24"/>
        </w:rPr>
        <w:t>e meaning as in Part VII of the</w:t>
      </w:r>
      <w:r>
        <w:rPr>
          <w:bCs/>
          <w:sz w:val="24"/>
          <w:szCs w:val="24"/>
        </w:rPr>
        <w:t xml:space="preserve"> Act. That is, a brand of pharmaceutical item means a trade name under which the person who is or will be the responsible person supplies the pharmaceutical </w:t>
      </w:r>
      <w:proofErr w:type="gramStart"/>
      <w:r>
        <w:rPr>
          <w:bCs/>
          <w:sz w:val="24"/>
          <w:szCs w:val="24"/>
        </w:rPr>
        <w:t>item,</w:t>
      </w:r>
      <w:proofErr w:type="gramEnd"/>
      <w:r>
        <w:rPr>
          <w:bCs/>
          <w:sz w:val="24"/>
          <w:szCs w:val="24"/>
        </w:rPr>
        <w:t xml:space="preserve"> or where there is no trade name, the name of the person who is or will be the responsible person.</w:t>
      </w:r>
    </w:p>
    <w:p w14:paraId="0B970569" w14:textId="77777777" w:rsidR="00AB3E79" w:rsidRDefault="006D3045" w:rsidP="006D3045">
      <w:pPr>
        <w:keepLines w:val="0"/>
        <w:widowControl w:val="0"/>
        <w:jc w:val="left"/>
        <w:rPr>
          <w:bCs/>
          <w:sz w:val="24"/>
          <w:szCs w:val="24"/>
        </w:rPr>
      </w:pPr>
      <w:r>
        <w:rPr>
          <w:bCs/>
          <w:sz w:val="24"/>
          <w:szCs w:val="24"/>
        </w:rPr>
        <w:t>The definition</w:t>
      </w:r>
      <w:r w:rsidR="00AB3E79">
        <w:rPr>
          <w:bCs/>
          <w:sz w:val="24"/>
          <w:szCs w:val="24"/>
        </w:rPr>
        <w:t xml:space="preserve"> of </w:t>
      </w:r>
      <w:r w:rsidR="00AB3E79">
        <w:rPr>
          <w:bCs/>
          <w:i/>
          <w:sz w:val="24"/>
          <w:szCs w:val="24"/>
        </w:rPr>
        <w:t xml:space="preserve">determined quantity </w:t>
      </w:r>
      <w:r w:rsidR="00AB3E79">
        <w:rPr>
          <w:bCs/>
          <w:sz w:val="24"/>
          <w:szCs w:val="24"/>
        </w:rPr>
        <w:t xml:space="preserve">of a listed brand of pharmaceutical item has the same meaning as in Part VII of </w:t>
      </w:r>
      <w:r w:rsidR="002C3FF8">
        <w:rPr>
          <w:bCs/>
          <w:sz w:val="24"/>
          <w:szCs w:val="24"/>
        </w:rPr>
        <w:t>the Act</w:t>
      </w:r>
      <w:r w:rsidR="00AB3E79">
        <w:rPr>
          <w:bCs/>
          <w:sz w:val="24"/>
          <w:szCs w:val="24"/>
        </w:rPr>
        <w:t>. That is, a listed brand of pha</w:t>
      </w:r>
      <w:r w:rsidR="00FE0E32">
        <w:rPr>
          <w:bCs/>
          <w:sz w:val="24"/>
          <w:szCs w:val="24"/>
        </w:rPr>
        <w:t>rmaceutical item may have one or</w:t>
      </w:r>
      <w:r w:rsidR="00AB3E79">
        <w:rPr>
          <w:bCs/>
          <w:sz w:val="24"/>
          <w:szCs w:val="24"/>
        </w:rPr>
        <w:t xml:space="preserve"> more quantities or numbers of units of the pharmaceutical item identified as a </w:t>
      </w:r>
      <w:r w:rsidR="00AB3E79">
        <w:rPr>
          <w:bCs/>
          <w:i/>
          <w:sz w:val="24"/>
          <w:szCs w:val="24"/>
        </w:rPr>
        <w:t xml:space="preserve">determined quantity </w:t>
      </w:r>
      <w:r w:rsidR="00AB3E79">
        <w:rPr>
          <w:bCs/>
          <w:sz w:val="24"/>
          <w:szCs w:val="24"/>
        </w:rPr>
        <w:t>under a legislative instrument made under section 84AK(3) of the Act.</w:t>
      </w:r>
    </w:p>
    <w:p w14:paraId="3BB73B60" w14:textId="77777777" w:rsidR="002C3FF8" w:rsidRPr="002C3FF8" w:rsidRDefault="002C3FF8" w:rsidP="006D3045">
      <w:pPr>
        <w:keepLines w:val="0"/>
        <w:widowControl w:val="0"/>
        <w:jc w:val="left"/>
      </w:pPr>
      <w:r>
        <w:rPr>
          <w:bCs/>
          <w:sz w:val="24"/>
          <w:szCs w:val="24"/>
        </w:rPr>
        <w:t xml:space="preserve">The definition of </w:t>
      </w:r>
      <w:r>
        <w:rPr>
          <w:bCs/>
          <w:i/>
          <w:sz w:val="24"/>
          <w:szCs w:val="24"/>
        </w:rPr>
        <w:t xml:space="preserve">listed brand </w:t>
      </w:r>
      <w:r>
        <w:rPr>
          <w:bCs/>
          <w:sz w:val="24"/>
          <w:szCs w:val="24"/>
        </w:rPr>
        <w:t xml:space="preserve">has the same meaning as in Part VII of the Act. That is, a listed brand of a pharmaceutical item means a brand of the pharmaceutical in relation to which a determination under subsection 85(6) of the Act is in force. Subsection 85(6) provides that the Minister </w:t>
      </w:r>
      <w:proofErr w:type="gramStart"/>
      <w:r>
        <w:rPr>
          <w:bCs/>
          <w:sz w:val="24"/>
          <w:szCs w:val="24"/>
        </w:rPr>
        <w:t>may, by legislative instrument, determine</w:t>
      </w:r>
      <w:proofErr w:type="gramEnd"/>
      <w:r>
        <w:rPr>
          <w:bCs/>
          <w:sz w:val="24"/>
          <w:szCs w:val="24"/>
        </w:rPr>
        <w:t xml:space="preserve"> a brand of pharmaceutical item.</w:t>
      </w:r>
    </w:p>
    <w:p w14:paraId="7F6DAE7C" w14:textId="77777777" w:rsidR="00AB3E79" w:rsidRDefault="00AB3E79" w:rsidP="006D3045">
      <w:pPr>
        <w:keepLines w:val="0"/>
        <w:widowControl w:val="0"/>
        <w:jc w:val="left"/>
        <w:rPr>
          <w:bCs/>
          <w:sz w:val="24"/>
          <w:szCs w:val="24"/>
        </w:rPr>
      </w:pPr>
      <w:r>
        <w:rPr>
          <w:bCs/>
          <w:sz w:val="24"/>
          <w:szCs w:val="24"/>
        </w:rPr>
        <w:t xml:space="preserve">The definition of </w:t>
      </w:r>
      <w:r>
        <w:rPr>
          <w:bCs/>
          <w:i/>
          <w:sz w:val="24"/>
          <w:szCs w:val="24"/>
        </w:rPr>
        <w:t xml:space="preserve">maximum quantity </w:t>
      </w:r>
      <w:r w:rsidR="007D248C">
        <w:rPr>
          <w:bCs/>
          <w:sz w:val="24"/>
          <w:szCs w:val="24"/>
        </w:rPr>
        <w:t xml:space="preserve">of a brand of pharmaceutical item means a quantity or number of units of the pharmaceutical item determined under </w:t>
      </w:r>
      <w:r w:rsidR="001E7315">
        <w:rPr>
          <w:bCs/>
          <w:sz w:val="24"/>
          <w:szCs w:val="24"/>
        </w:rPr>
        <w:t xml:space="preserve">subsection </w:t>
      </w:r>
      <w:r w:rsidR="007D248C">
        <w:rPr>
          <w:bCs/>
          <w:sz w:val="24"/>
          <w:szCs w:val="24"/>
        </w:rPr>
        <w:t xml:space="preserve">85A(2)(a) of the Act in relation to that brand. The </w:t>
      </w:r>
      <w:r w:rsidR="007D248C">
        <w:rPr>
          <w:bCs/>
          <w:i/>
          <w:sz w:val="24"/>
          <w:szCs w:val="24"/>
        </w:rPr>
        <w:t xml:space="preserve">maximum quantity </w:t>
      </w:r>
      <w:r w:rsidR="007D248C">
        <w:rPr>
          <w:bCs/>
          <w:sz w:val="24"/>
          <w:szCs w:val="24"/>
        </w:rPr>
        <w:t xml:space="preserve">is the maximum quantity or number of units that </w:t>
      </w:r>
      <w:proofErr w:type="gramStart"/>
      <w:r w:rsidR="007D248C">
        <w:rPr>
          <w:bCs/>
          <w:sz w:val="24"/>
          <w:szCs w:val="24"/>
        </w:rPr>
        <w:t>may, in one prescription, be directed to be supplied</w:t>
      </w:r>
      <w:proofErr w:type="gramEnd"/>
      <w:r w:rsidR="007D248C">
        <w:rPr>
          <w:bCs/>
          <w:sz w:val="24"/>
          <w:szCs w:val="24"/>
        </w:rPr>
        <w:t xml:space="preserve"> on any one occasion.</w:t>
      </w:r>
    </w:p>
    <w:p w14:paraId="2DCBB85E" w14:textId="77777777" w:rsidR="00A33A9E" w:rsidRDefault="00A33A9E" w:rsidP="00A33A9E">
      <w:pPr>
        <w:keepLines w:val="0"/>
        <w:widowControl w:val="0"/>
        <w:jc w:val="left"/>
        <w:rPr>
          <w:bCs/>
          <w:sz w:val="24"/>
          <w:szCs w:val="24"/>
        </w:rPr>
      </w:pPr>
      <w:r>
        <w:rPr>
          <w:bCs/>
          <w:sz w:val="24"/>
          <w:szCs w:val="24"/>
        </w:rPr>
        <w:lastRenderedPageBreak/>
        <w:t xml:space="preserve">The definition of </w:t>
      </w:r>
      <w:r>
        <w:rPr>
          <w:bCs/>
          <w:i/>
          <w:sz w:val="24"/>
          <w:szCs w:val="24"/>
        </w:rPr>
        <w:t xml:space="preserve">pharmaceutical item </w:t>
      </w:r>
      <w:r>
        <w:rPr>
          <w:bCs/>
          <w:sz w:val="24"/>
          <w:szCs w:val="24"/>
        </w:rPr>
        <w:t>has the same meaning as in Part VII of the Act. That is, a pharmaceutical item has the meaning given in section 84AB of the Act. Section 84AB of the Act defines a pharmaceutical item as a drug in a form with a manner of administration, if:</w:t>
      </w:r>
    </w:p>
    <w:p w14:paraId="7B6CC895" w14:textId="77777777" w:rsidR="00A33A9E" w:rsidRDefault="00A33A9E" w:rsidP="00A33A9E">
      <w:pPr>
        <w:pStyle w:val="ListParagraph"/>
        <w:keepLines w:val="0"/>
        <w:widowControl w:val="0"/>
        <w:numPr>
          <w:ilvl w:val="0"/>
          <w:numId w:val="6"/>
        </w:numPr>
        <w:jc w:val="left"/>
        <w:rPr>
          <w:sz w:val="24"/>
          <w:szCs w:val="24"/>
        </w:rPr>
      </w:pPr>
      <w:r w:rsidRPr="00B956B9">
        <w:rPr>
          <w:sz w:val="24"/>
          <w:szCs w:val="24"/>
        </w:rPr>
        <w:t>a declaration under subsect</w:t>
      </w:r>
      <w:r>
        <w:rPr>
          <w:sz w:val="24"/>
          <w:szCs w:val="24"/>
        </w:rPr>
        <w:t xml:space="preserve">ion 85(2) of the Act is in force in relation to a drug or medicinal preparation (the </w:t>
      </w:r>
      <w:r>
        <w:rPr>
          <w:i/>
          <w:sz w:val="24"/>
          <w:szCs w:val="24"/>
        </w:rPr>
        <w:t>drug</w:t>
      </w:r>
      <w:r>
        <w:rPr>
          <w:sz w:val="24"/>
          <w:szCs w:val="24"/>
        </w:rPr>
        <w:t>); and</w:t>
      </w:r>
    </w:p>
    <w:p w14:paraId="1758058D" w14:textId="77777777" w:rsidR="00A33A9E" w:rsidRDefault="00A33A9E" w:rsidP="00A33A9E">
      <w:pPr>
        <w:pStyle w:val="ListParagraph"/>
        <w:keepLines w:val="0"/>
        <w:widowControl w:val="0"/>
        <w:numPr>
          <w:ilvl w:val="0"/>
          <w:numId w:val="6"/>
        </w:numPr>
        <w:jc w:val="left"/>
        <w:rPr>
          <w:sz w:val="24"/>
          <w:szCs w:val="24"/>
        </w:rPr>
      </w:pPr>
      <w:r>
        <w:rPr>
          <w:sz w:val="24"/>
          <w:szCs w:val="24"/>
        </w:rPr>
        <w:t>a determination under subsection 85(3) of the Act is in force in relation to the form of the drug; and</w:t>
      </w:r>
    </w:p>
    <w:p w14:paraId="26D9AACC" w14:textId="77777777" w:rsidR="00A33A9E" w:rsidRPr="00A33A9E" w:rsidRDefault="00A33A9E" w:rsidP="00A33A9E">
      <w:pPr>
        <w:pStyle w:val="ListParagraph"/>
        <w:keepLines w:val="0"/>
        <w:widowControl w:val="0"/>
        <w:numPr>
          <w:ilvl w:val="0"/>
          <w:numId w:val="6"/>
        </w:numPr>
        <w:jc w:val="left"/>
        <w:rPr>
          <w:sz w:val="24"/>
          <w:szCs w:val="24"/>
        </w:rPr>
      </w:pPr>
      <w:proofErr w:type="gramStart"/>
      <w:r w:rsidRPr="00A33A9E">
        <w:rPr>
          <w:sz w:val="24"/>
          <w:szCs w:val="24"/>
        </w:rPr>
        <w:t>a</w:t>
      </w:r>
      <w:proofErr w:type="gramEnd"/>
      <w:r w:rsidRPr="00A33A9E">
        <w:rPr>
          <w:sz w:val="24"/>
          <w:szCs w:val="24"/>
        </w:rPr>
        <w:t xml:space="preserve"> determination under subsection 85(5) is in force in relation to a manner of administration of that form of the</w:t>
      </w:r>
      <w:r>
        <w:rPr>
          <w:sz w:val="24"/>
          <w:szCs w:val="24"/>
        </w:rPr>
        <w:t xml:space="preserve"> drug.</w:t>
      </w:r>
    </w:p>
    <w:p w14:paraId="077A0CE9" w14:textId="77777777" w:rsidR="00A33A9E" w:rsidRDefault="00081633" w:rsidP="00A33A9E">
      <w:pPr>
        <w:keepLines w:val="0"/>
        <w:widowControl w:val="0"/>
        <w:jc w:val="left"/>
        <w:rPr>
          <w:b/>
          <w:bCs/>
          <w:sz w:val="24"/>
          <w:szCs w:val="24"/>
        </w:rPr>
      </w:pPr>
      <w:r>
        <w:rPr>
          <w:b/>
          <w:bCs/>
          <w:sz w:val="24"/>
          <w:szCs w:val="24"/>
        </w:rPr>
        <w:t xml:space="preserve">Item 3 Section 5 (definition of </w:t>
      </w:r>
      <w:r>
        <w:rPr>
          <w:b/>
          <w:bCs/>
          <w:i/>
          <w:sz w:val="24"/>
          <w:szCs w:val="24"/>
        </w:rPr>
        <w:t>Regulations</w:t>
      </w:r>
      <w:r>
        <w:rPr>
          <w:b/>
          <w:bCs/>
          <w:sz w:val="24"/>
          <w:szCs w:val="24"/>
        </w:rPr>
        <w:t>)</w:t>
      </w:r>
    </w:p>
    <w:p w14:paraId="704DEDFB" w14:textId="77777777" w:rsidR="00A33A9E" w:rsidRDefault="00081633" w:rsidP="00A33A9E">
      <w:pPr>
        <w:keepLines w:val="0"/>
        <w:widowControl w:val="0"/>
        <w:jc w:val="left"/>
        <w:rPr>
          <w:bCs/>
          <w:sz w:val="24"/>
          <w:szCs w:val="24"/>
        </w:rPr>
      </w:pPr>
      <w:r>
        <w:rPr>
          <w:bCs/>
          <w:sz w:val="24"/>
          <w:szCs w:val="24"/>
        </w:rPr>
        <w:t xml:space="preserve">Item 3 amends the previous reference to the </w:t>
      </w:r>
      <w:r>
        <w:rPr>
          <w:bCs/>
          <w:i/>
          <w:sz w:val="24"/>
          <w:szCs w:val="24"/>
        </w:rPr>
        <w:t xml:space="preserve">National Health (Pharmaceutical Benefits) Regulations 1960 </w:t>
      </w:r>
      <w:r w:rsidR="00444A98">
        <w:rPr>
          <w:bCs/>
          <w:sz w:val="24"/>
          <w:szCs w:val="24"/>
        </w:rPr>
        <w:t>to refer to the replacement</w:t>
      </w:r>
      <w:r>
        <w:rPr>
          <w:bCs/>
          <w:sz w:val="24"/>
          <w:szCs w:val="24"/>
        </w:rPr>
        <w:t xml:space="preserve"> </w:t>
      </w:r>
      <w:r>
        <w:rPr>
          <w:bCs/>
          <w:i/>
          <w:sz w:val="24"/>
          <w:szCs w:val="24"/>
        </w:rPr>
        <w:t>National Health (Pharmaceutical Benefits) Regulations 2017</w:t>
      </w:r>
      <w:r>
        <w:rPr>
          <w:bCs/>
          <w:sz w:val="24"/>
          <w:szCs w:val="24"/>
        </w:rPr>
        <w:t>.</w:t>
      </w:r>
    </w:p>
    <w:p w14:paraId="78AF9DE2" w14:textId="77777777" w:rsidR="00A33A9E" w:rsidRDefault="00081633" w:rsidP="00A33A9E">
      <w:pPr>
        <w:keepLines w:val="0"/>
        <w:widowControl w:val="0"/>
        <w:jc w:val="left"/>
        <w:rPr>
          <w:b/>
          <w:bCs/>
          <w:i/>
          <w:sz w:val="24"/>
          <w:szCs w:val="24"/>
        </w:rPr>
      </w:pPr>
      <w:r>
        <w:rPr>
          <w:b/>
          <w:bCs/>
          <w:sz w:val="24"/>
          <w:szCs w:val="24"/>
        </w:rPr>
        <w:t>Item 4</w:t>
      </w:r>
      <w:r w:rsidR="007A5AEA" w:rsidRPr="007A5AEA">
        <w:rPr>
          <w:b/>
          <w:bCs/>
          <w:sz w:val="24"/>
          <w:szCs w:val="24"/>
        </w:rPr>
        <w:t xml:space="preserve"> </w:t>
      </w:r>
      <w:r w:rsidR="002C3FF8">
        <w:rPr>
          <w:b/>
          <w:bCs/>
          <w:sz w:val="24"/>
          <w:szCs w:val="24"/>
        </w:rPr>
        <w:t xml:space="preserve">Section 5 (definition of </w:t>
      </w:r>
      <w:r w:rsidR="002C3FF8">
        <w:rPr>
          <w:b/>
          <w:bCs/>
          <w:i/>
          <w:sz w:val="24"/>
          <w:szCs w:val="24"/>
        </w:rPr>
        <w:t>storage and handling mark-up)</w:t>
      </w:r>
    </w:p>
    <w:p w14:paraId="0448CFEE" w14:textId="77777777" w:rsidR="00A33A9E" w:rsidRDefault="00081633" w:rsidP="00A33A9E">
      <w:pPr>
        <w:keepLines w:val="0"/>
        <w:widowControl w:val="0"/>
        <w:jc w:val="left"/>
        <w:rPr>
          <w:bCs/>
          <w:i/>
          <w:sz w:val="24"/>
          <w:szCs w:val="24"/>
        </w:rPr>
      </w:pPr>
      <w:r>
        <w:rPr>
          <w:bCs/>
          <w:sz w:val="24"/>
          <w:szCs w:val="24"/>
        </w:rPr>
        <w:t>Item 4</w:t>
      </w:r>
      <w:r w:rsidR="002C3FF8" w:rsidRPr="002C3FF8">
        <w:rPr>
          <w:bCs/>
          <w:sz w:val="24"/>
          <w:szCs w:val="24"/>
        </w:rPr>
        <w:t xml:space="preserve"> repeals the previous definition of </w:t>
      </w:r>
      <w:r w:rsidR="002C3FF8" w:rsidRPr="002C3FF8">
        <w:rPr>
          <w:bCs/>
          <w:i/>
          <w:sz w:val="24"/>
          <w:szCs w:val="24"/>
        </w:rPr>
        <w:t>storage and handling mark-up.</w:t>
      </w:r>
    </w:p>
    <w:p w14:paraId="785D956E" w14:textId="77777777" w:rsidR="00A33A9E" w:rsidRDefault="00081633" w:rsidP="00A33A9E">
      <w:pPr>
        <w:keepLines w:val="0"/>
        <w:widowControl w:val="0"/>
        <w:jc w:val="left"/>
        <w:rPr>
          <w:b/>
          <w:bCs/>
          <w:sz w:val="24"/>
          <w:szCs w:val="24"/>
        </w:rPr>
      </w:pPr>
      <w:r>
        <w:rPr>
          <w:b/>
          <w:bCs/>
          <w:sz w:val="24"/>
          <w:szCs w:val="24"/>
        </w:rPr>
        <w:t xml:space="preserve">Item </w:t>
      </w:r>
      <w:proofErr w:type="gramStart"/>
      <w:r>
        <w:rPr>
          <w:b/>
          <w:bCs/>
          <w:sz w:val="24"/>
          <w:szCs w:val="24"/>
        </w:rPr>
        <w:t>5</w:t>
      </w:r>
      <w:proofErr w:type="gramEnd"/>
      <w:r>
        <w:rPr>
          <w:b/>
          <w:bCs/>
          <w:sz w:val="24"/>
          <w:szCs w:val="24"/>
        </w:rPr>
        <w:t xml:space="preserve"> Subsection 8(1)</w:t>
      </w:r>
    </w:p>
    <w:p w14:paraId="393A911A" w14:textId="77777777" w:rsidR="00A33A9E" w:rsidRDefault="00081633" w:rsidP="00A33A9E">
      <w:pPr>
        <w:keepLines w:val="0"/>
        <w:widowControl w:val="0"/>
        <w:jc w:val="left"/>
        <w:rPr>
          <w:bCs/>
          <w:sz w:val="24"/>
          <w:szCs w:val="24"/>
        </w:rPr>
      </w:pPr>
      <w:r>
        <w:rPr>
          <w:bCs/>
          <w:sz w:val="24"/>
          <w:szCs w:val="24"/>
        </w:rPr>
        <w:t xml:space="preserve">Item 5 omits the previous reference to ‘regulation 24’ in subsection 8(1) and replaces it with a </w:t>
      </w:r>
      <w:r w:rsidR="006D4335">
        <w:rPr>
          <w:bCs/>
          <w:sz w:val="24"/>
          <w:szCs w:val="24"/>
        </w:rPr>
        <w:t>re</w:t>
      </w:r>
      <w:r>
        <w:rPr>
          <w:bCs/>
          <w:sz w:val="24"/>
          <w:szCs w:val="24"/>
        </w:rPr>
        <w:t xml:space="preserve">ference to ‘section 49’. This reflects the renumbering of the provision that occurred when the </w:t>
      </w:r>
      <w:r>
        <w:rPr>
          <w:bCs/>
          <w:i/>
          <w:sz w:val="24"/>
          <w:szCs w:val="24"/>
        </w:rPr>
        <w:t xml:space="preserve">National Health (Pharmaceutical Benefits) Regulations </w:t>
      </w:r>
      <w:proofErr w:type="gramStart"/>
      <w:r>
        <w:rPr>
          <w:bCs/>
          <w:i/>
          <w:sz w:val="24"/>
          <w:szCs w:val="24"/>
        </w:rPr>
        <w:t xml:space="preserve">1960 </w:t>
      </w:r>
      <w:r>
        <w:rPr>
          <w:bCs/>
          <w:sz w:val="24"/>
          <w:szCs w:val="24"/>
        </w:rPr>
        <w:t xml:space="preserve">were replaced by the </w:t>
      </w:r>
      <w:r>
        <w:rPr>
          <w:bCs/>
          <w:i/>
          <w:sz w:val="24"/>
          <w:szCs w:val="24"/>
        </w:rPr>
        <w:t>National Health (Pharmaceutical Benefits) Regulations 2017</w:t>
      </w:r>
      <w:proofErr w:type="gramEnd"/>
      <w:r>
        <w:rPr>
          <w:bCs/>
          <w:sz w:val="24"/>
          <w:szCs w:val="24"/>
        </w:rPr>
        <w:t>.</w:t>
      </w:r>
    </w:p>
    <w:p w14:paraId="16DD5AE7" w14:textId="77777777" w:rsidR="00A33A9E" w:rsidRDefault="00081633" w:rsidP="00A33A9E">
      <w:pPr>
        <w:keepLines w:val="0"/>
        <w:widowControl w:val="0"/>
        <w:jc w:val="left"/>
        <w:rPr>
          <w:b/>
          <w:bCs/>
          <w:sz w:val="24"/>
          <w:szCs w:val="24"/>
        </w:rPr>
      </w:pPr>
      <w:r>
        <w:rPr>
          <w:b/>
          <w:bCs/>
          <w:sz w:val="24"/>
          <w:szCs w:val="24"/>
        </w:rPr>
        <w:t>Item 6 Sub-subparagraphs 11(1</w:t>
      </w:r>
      <w:proofErr w:type="gramStart"/>
      <w:r>
        <w:rPr>
          <w:b/>
          <w:bCs/>
          <w:sz w:val="24"/>
          <w:szCs w:val="24"/>
        </w:rPr>
        <w:t>)(</w:t>
      </w:r>
      <w:proofErr w:type="gramEnd"/>
      <w:r>
        <w:rPr>
          <w:b/>
          <w:bCs/>
          <w:sz w:val="24"/>
          <w:szCs w:val="24"/>
        </w:rPr>
        <w:t>a)(</w:t>
      </w:r>
      <w:proofErr w:type="spellStart"/>
      <w:r>
        <w:rPr>
          <w:b/>
          <w:bCs/>
          <w:sz w:val="24"/>
          <w:szCs w:val="24"/>
        </w:rPr>
        <w:t>i</w:t>
      </w:r>
      <w:proofErr w:type="spellEnd"/>
      <w:r>
        <w:rPr>
          <w:b/>
          <w:bCs/>
          <w:sz w:val="24"/>
          <w:szCs w:val="24"/>
        </w:rPr>
        <w:t>)(A) and (</w:t>
      </w:r>
      <w:r w:rsidR="002C3FF8">
        <w:rPr>
          <w:b/>
          <w:bCs/>
          <w:sz w:val="24"/>
          <w:szCs w:val="24"/>
        </w:rPr>
        <w:t>B)</w:t>
      </w:r>
    </w:p>
    <w:p w14:paraId="44F51C32" w14:textId="77777777" w:rsidR="00A33A9E" w:rsidRDefault="00081633" w:rsidP="00A33A9E">
      <w:pPr>
        <w:keepLines w:val="0"/>
        <w:widowControl w:val="0"/>
        <w:jc w:val="left"/>
        <w:rPr>
          <w:bCs/>
          <w:sz w:val="24"/>
          <w:szCs w:val="24"/>
        </w:rPr>
      </w:pPr>
      <w:r>
        <w:rPr>
          <w:bCs/>
          <w:sz w:val="24"/>
          <w:szCs w:val="24"/>
        </w:rPr>
        <w:t>Item 6</w:t>
      </w:r>
      <w:r w:rsidR="002C3FF8">
        <w:rPr>
          <w:bCs/>
          <w:sz w:val="24"/>
          <w:szCs w:val="24"/>
        </w:rPr>
        <w:t xml:space="preserve"> repeals sub-subparagraphs 11(1</w:t>
      </w:r>
      <w:proofErr w:type="gramStart"/>
      <w:r w:rsidR="002C3FF8">
        <w:rPr>
          <w:bCs/>
          <w:sz w:val="24"/>
          <w:szCs w:val="24"/>
        </w:rPr>
        <w:t>)(</w:t>
      </w:r>
      <w:proofErr w:type="gramEnd"/>
      <w:r w:rsidR="002C3FF8">
        <w:rPr>
          <w:bCs/>
          <w:sz w:val="24"/>
          <w:szCs w:val="24"/>
        </w:rPr>
        <w:t>a)(</w:t>
      </w:r>
      <w:proofErr w:type="spellStart"/>
      <w:r w:rsidR="002C3FF8">
        <w:rPr>
          <w:bCs/>
          <w:sz w:val="24"/>
          <w:szCs w:val="24"/>
        </w:rPr>
        <w:t>i</w:t>
      </w:r>
      <w:proofErr w:type="spellEnd"/>
      <w:r w:rsidR="002C3FF8">
        <w:rPr>
          <w:bCs/>
          <w:sz w:val="24"/>
          <w:szCs w:val="24"/>
        </w:rPr>
        <w:t>)</w:t>
      </w:r>
      <w:r>
        <w:rPr>
          <w:bCs/>
          <w:sz w:val="24"/>
          <w:szCs w:val="24"/>
        </w:rPr>
        <w:t>(A</w:t>
      </w:r>
      <w:r w:rsidR="002C3FF8">
        <w:rPr>
          <w:bCs/>
          <w:sz w:val="24"/>
          <w:szCs w:val="24"/>
        </w:rPr>
        <w:t>)</w:t>
      </w:r>
      <w:r w:rsidR="005A36C3">
        <w:rPr>
          <w:bCs/>
          <w:sz w:val="24"/>
          <w:szCs w:val="24"/>
        </w:rPr>
        <w:t xml:space="preserve"> and </w:t>
      </w:r>
      <w:r w:rsidR="002C3FF8">
        <w:rPr>
          <w:bCs/>
          <w:sz w:val="24"/>
          <w:szCs w:val="24"/>
        </w:rPr>
        <w:t xml:space="preserve">(B). These sub-subparagraphs </w:t>
      </w:r>
      <w:r w:rsidR="005A36C3">
        <w:rPr>
          <w:bCs/>
          <w:sz w:val="24"/>
          <w:szCs w:val="24"/>
        </w:rPr>
        <w:t xml:space="preserve">relate to the calculation of the dispensed price of a ready-prepared pharmaceutical benefit where the quantity of the benefit that </w:t>
      </w:r>
      <w:proofErr w:type="gramStart"/>
      <w:r w:rsidR="005A36C3">
        <w:rPr>
          <w:bCs/>
          <w:sz w:val="24"/>
          <w:szCs w:val="24"/>
        </w:rPr>
        <w:t>is supplied</w:t>
      </w:r>
      <w:proofErr w:type="gramEnd"/>
      <w:r w:rsidR="005A36C3">
        <w:rPr>
          <w:bCs/>
          <w:sz w:val="24"/>
          <w:szCs w:val="24"/>
        </w:rPr>
        <w:t xml:space="preserve"> is equal to a multiple of a pack quantity of the benefit.</w:t>
      </w:r>
    </w:p>
    <w:p w14:paraId="0A47808F" w14:textId="77777777" w:rsidR="00A33A9E" w:rsidRPr="00821084" w:rsidRDefault="005A36C3" w:rsidP="00A33A9E">
      <w:pPr>
        <w:keepLines w:val="0"/>
        <w:widowControl w:val="0"/>
        <w:jc w:val="left"/>
        <w:rPr>
          <w:bCs/>
          <w:color w:val="000000" w:themeColor="text1"/>
          <w:sz w:val="24"/>
          <w:szCs w:val="24"/>
        </w:rPr>
      </w:pPr>
      <w:r w:rsidRPr="00821084">
        <w:rPr>
          <w:bCs/>
          <w:color w:val="000000" w:themeColor="text1"/>
          <w:sz w:val="24"/>
          <w:szCs w:val="24"/>
        </w:rPr>
        <w:t xml:space="preserve">Sub-subparagraph </w:t>
      </w:r>
      <w:r w:rsidR="003E0849">
        <w:rPr>
          <w:bCs/>
          <w:sz w:val="24"/>
          <w:szCs w:val="24"/>
        </w:rPr>
        <w:t>11(1</w:t>
      </w:r>
      <w:proofErr w:type="gramStart"/>
      <w:r w:rsidR="003E0849">
        <w:rPr>
          <w:bCs/>
          <w:sz w:val="24"/>
          <w:szCs w:val="24"/>
        </w:rPr>
        <w:t>)(</w:t>
      </w:r>
      <w:proofErr w:type="gramEnd"/>
      <w:r w:rsidR="003E0849">
        <w:rPr>
          <w:bCs/>
          <w:sz w:val="24"/>
          <w:szCs w:val="24"/>
        </w:rPr>
        <w:t>a)(</w:t>
      </w:r>
      <w:proofErr w:type="spellStart"/>
      <w:r w:rsidR="003E0849">
        <w:rPr>
          <w:bCs/>
          <w:sz w:val="24"/>
          <w:szCs w:val="24"/>
        </w:rPr>
        <w:t>i</w:t>
      </w:r>
      <w:proofErr w:type="spellEnd"/>
      <w:r w:rsidR="003E0849">
        <w:rPr>
          <w:bCs/>
          <w:sz w:val="24"/>
          <w:szCs w:val="24"/>
        </w:rPr>
        <w:t>)</w:t>
      </w:r>
      <w:r w:rsidRPr="00821084">
        <w:rPr>
          <w:bCs/>
          <w:color w:val="000000" w:themeColor="text1"/>
          <w:sz w:val="24"/>
          <w:szCs w:val="24"/>
        </w:rPr>
        <w:t xml:space="preserve">(A) has been amended to refer to the approved ex-manufacturer price (AEMP) or the proportional ex-manufacturer price (PEMP), whichever is applicable. This change is to </w:t>
      </w:r>
      <w:r w:rsidR="00821084" w:rsidRPr="00821084">
        <w:rPr>
          <w:bCs/>
          <w:color w:val="000000" w:themeColor="text1"/>
          <w:sz w:val="24"/>
          <w:szCs w:val="24"/>
        </w:rPr>
        <w:t>remove any ambiguity regarding whether the AEMP or the PEMP applies.</w:t>
      </w:r>
    </w:p>
    <w:p w14:paraId="741BB1FB" w14:textId="77777777" w:rsidR="00A33A9E" w:rsidRDefault="005A36C3" w:rsidP="00A33A9E">
      <w:pPr>
        <w:keepLines w:val="0"/>
        <w:widowControl w:val="0"/>
        <w:jc w:val="left"/>
        <w:rPr>
          <w:bCs/>
          <w:sz w:val="24"/>
          <w:szCs w:val="24"/>
        </w:rPr>
      </w:pPr>
      <w:r>
        <w:rPr>
          <w:bCs/>
          <w:sz w:val="24"/>
          <w:szCs w:val="24"/>
        </w:rPr>
        <w:t xml:space="preserve">Sub-subparagraph </w:t>
      </w:r>
      <w:r w:rsidR="000412AB">
        <w:rPr>
          <w:bCs/>
          <w:sz w:val="24"/>
          <w:szCs w:val="24"/>
        </w:rPr>
        <w:t>11(1)(a)(</w:t>
      </w:r>
      <w:proofErr w:type="spellStart"/>
      <w:r w:rsidR="000412AB">
        <w:rPr>
          <w:bCs/>
          <w:sz w:val="24"/>
          <w:szCs w:val="24"/>
        </w:rPr>
        <w:t>i</w:t>
      </w:r>
      <w:proofErr w:type="spellEnd"/>
      <w:r w:rsidR="000412AB">
        <w:rPr>
          <w:bCs/>
          <w:sz w:val="24"/>
          <w:szCs w:val="24"/>
        </w:rPr>
        <w:t>)</w:t>
      </w:r>
      <w:r>
        <w:rPr>
          <w:bCs/>
          <w:sz w:val="24"/>
          <w:szCs w:val="24"/>
        </w:rPr>
        <w:t xml:space="preserve">(B) replaces the previous reference to the ‘storage and handling mark-up’ and replace it with a reference to the storage and </w:t>
      </w:r>
      <w:r w:rsidR="00BE7273">
        <w:rPr>
          <w:bCs/>
          <w:sz w:val="24"/>
          <w:szCs w:val="24"/>
        </w:rPr>
        <w:t>handling mark-up worked out in the new section 11A (inserted below).</w:t>
      </w:r>
    </w:p>
    <w:p w14:paraId="6587E7B0" w14:textId="77777777" w:rsidR="00A33A9E" w:rsidRDefault="00081633" w:rsidP="00A33A9E">
      <w:pPr>
        <w:keepLines w:val="0"/>
        <w:widowControl w:val="0"/>
        <w:jc w:val="left"/>
        <w:rPr>
          <w:b/>
          <w:bCs/>
          <w:sz w:val="24"/>
          <w:szCs w:val="24"/>
        </w:rPr>
      </w:pPr>
      <w:r>
        <w:rPr>
          <w:b/>
          <w:bCs/>
          <w:sz w:val="24"/>
          <w:szCs w:val="24"/>
        </w:rPr>
        <w:t>Item 7 Sub-subparagraphs 11</w:t>
      </w:r>
      <w:r w:rsidR="005A36C3">
        <w:rPr>
          <w:b/>
          <w:bCs/>
          <w:sz w:val="24"/>
          <w:szCs w:val="24"/>
        </w:rPr>
        <w:t>(1</w:t>
      </w:r>
      <w:proofErr w:type="gramStart"/>
      <w:r w:rsidR="005A36C3">
        <w:rPr>
          <w:b/>
          <w:bCs/>
          <w:sz w:val="24"/>
          <w:szCs w:val="24"/>
        </w:rPr>
        <w:t>)</w:t>
      </w:r>
      <w:r>
        <w:rPr>
          <w:b/>
          <w:bCs/>
          <w:sz w:val="24"/>
          <w:szCs w:val="24"/>
        </w:rPr>
        <w:t>(</w:t>
      </w:r>
      <w:proofErr w:type="gramEnd"/>
      <w:r>
        <w:rPr>
          <w:b/>
          <w:bCs/>
          <w:sz w:val="24"/>
          <w:szCs w:val="24"/>
        </w:rPr>
        <w:t>c)(</w:t>
      </w:r>
      <w:proofErr w:type="spellStart"/>
      <w:r>
        <w:rPr>
          <w:b/>
          <w:bCs/>
          <w:sz w:val="24"/>
          <w:szCs w:val="24"/>
        </w:rPr>
        <w:t>i</w:t>
      </w:r>
      <w:proofErr w:type="spellEnd"/>
      <w:r>
        <w:rPr>
          <w:b/>
          <w:bCs/>
          <w:sz w:val="24"/>
          <w:szCs w:val="24"/>
        </w:rPr>
        <w:t>)(A) and (B)</w:t>
      </w:r>
    </w:p>
    <w:p w14:paraId="29D02E5E" w14:textId="77777777" w:rsidR="00A33A9E" w:rsidRDefault="005A36C3" w:rsidP="00A33A9E">
      <w:pPr>
        <w:keepLines w:val="0"/>
        <w:widowControl w:val="0"/>
        <w:jc w:val="left"/>
        <w:rPr>
          <w:bCs/>
          <w:sz w:val="24"/>
          <w:szCs w:val="24"/>
        </w:rPr>
      </w:pPr>
      <w:r>
        <w:rPr>
          <w:bCs/>
          <w:sz w:val="24"/>
          <w:szCs w:val="24"/>
        </w:rPr>
        <w:t>Item 7</w:t>
      </w:r>
      <w:r w:rsidR="00081633">
        <w:rPr>
          <w:bCs/>
          <w:sz w:val="24"/>
          <w:szCs w:val="24"/>
        </w:rPr>
        <w:t xml:space="preserve"> repeals sub-subparagraphs 11(1</w:t>
      </w:r>
      <w:proofErr w:type="gramStart"/>
      <w:r w:rsidR="00081633">
        <w:rPr>
          <w:bCs/>
          <w:sz w:val="24"/>
          <w:szCs w:val="24"/>
        </w:rPr>
        <w:t>)(</w:t>
      </w:r>
      <w:proofErr w:type="gramEnd"/>
      <w:r>
        <w:rPr>
          <w:bCs/>
          <w:sz w:val="24"/>
          <w:szCs w:val="24"/>
        </w:rPr>
        <w:t>c</w:t>
      </w:r>
      <w:r w:rsidR="00081633">
        <w:rPr>
          <w:bCs/>
          <w:sz w:val="24"/>
          <w:szCs w:val="24"/>
        </w:rPr>
        <w:t>)(</w:t>
      </w:r>
      <w:proofErr w:type="spellStart"/>
      <w:r w:rsidR="00081633">
        <w:rPr>
          <w:bCs/>
          <w:sz w:val="24"/>
          <w:szCs w:val="24"/>
        </w:rPr>
        <w:t>i</w:t>
      </w:r>
      <w:proofErr w:type="spellEnd"/>
      <w:r w:rsidR="00081633">
        <w:rPr>
          <w:bCs/>
          <w:sz w:val="24"/>
          <w:szCs w:val="24"/>
        </w:rPr>
        <w:t xml:space="preserve">)(A) and (B). </w:t>
      </w:r>
      <w:r>
        <w:rPr>
          <w:bCs/>
          <w:sz w:val="24"/>
          <w:szCs w:val="24"/>
        </w:rPr>
        <w:t xml:space="preserve">These sub-subparagraphs relate to the calculation of the dispensed price of a ready-prepared pharmaceutical benefit where the quantity of the benefit that </w:t>
      </w:r>
      <w:proofErr w:type="gramStart"/>
      <w:r>
        <w:rPr>
          <w:bCs/>
          <w:sz w:val="24"/>
          <w:szCs w:val="24"/>
        </w:rPr>
        <w:t>is supplied</w:t>
      </w:r>
      <w:proofErr w:type="gramEnd"/>
      <w:r>
        <w:rPr>
          <w:bCs/>
          <w:sz w:val="24"/>
          <w:szCs w:val="24"/>
        </w:rPr>
        <w:t xml:space="preserve"> is greater than a multiple of a pack quantity of the benefit</w:t>
      </w:r>
      <w:r w:rsidR="009C4A70">
        <w:rPr>
          <w:bCs/>
          <w:sz w:val="24"/>
          <w:szCs w:val="24"/>
        </w:rPr>
        <w:t xml:space="preserve">. </w:t>
      </w:r>
    </w:p>
    <w:p w14:paraId="328FA76A" w14:textId="77777777" w:rsidR="00A33A9E" w:rsidRDefault="005A36C3" w:rsidP="00A33A9E">
      <w:pPr>
        <w:keepLines w:val="0"/>
        <w:widowControl w:val="0"/>
        <w:jc w:val="left"/>
        <w:rPr>
          <w:bCs/>
          <w:sz w:val="24"/>
          <w:szCs w:val="24"/>
        </w:rPr>
      </w:pPr>
      <w:r>
        <w:rPr>
          <w:bCs/>
          <w:sz w:val="24"/>
          <w:szCs w:val="24"/>
        </w:rPr>
        <w:t xml:space="preserve">Sub-subparagraph </w:t>
      </w:r>
      <w:r w:rsidR="009E45F3">
        <w:rPr>
          <w:bCs/>
          <w:sz w:val="24"/>
          <w:szCs w:val="24"/>
        </w:rPr>
        <w:t>11(1</w:t>
      </w:r>
      <w:proofErr w:type="gramStart"/>
      <w:r w:rsidR="009E45F3">
        <w:rPr>
          <w:bCs/>
          <w:sz w:val="24"/>
          <w:szCs w:val="24"/>
        </w:rPr>
        <w:t>)(</w:t>
      </w:r>
      <w:proofErr w:type="gramEnd"/>
      <w:r w:rsidR="009E45F3">
        <w:rPr>
          <w:bCs/>
          <w:sz w:val="24"/>
          <w:szCs w:val="24"/>
        </w:rPr>
        <w:t>c)(</w:t>
      </w:r>
      <w:proofErr w:type="spellStart"/>
      <w:r w:rsidR="009E45F3">
        <w:rPr>
          <w:bCs/>
          <w:sz w:val="24"/>
          <w:szCs w:val="24"/>
        </w:rPr>
        <w:t>i</w:t>
      </w:r>
      <w:proofErr w:type="spellEnd"/>
      <w:r w:rsidR="009E45F3">
        <w:rPr>
          <w:bCs/>
          <w:sz w:val="24"/>
          <w:szCs w:val="24"/>
        </w:rPr>
        <w:t>)</w:t>
      </w:r>
      <w:r>
        <w:rPr>
          <w:bCs/>
          <w:sz w:val="24"/>
          <w:szCs w:val="24"/>
        </w:rPr>
        <w:t xml:space="preserve">(A) has been amended to refer to the AEMP or the </w:t>
      </w:r>
      <w:r w:rsidR="00821084">
        <w:rPr>
          <w:bCs/>
          <w:sz w:val="24"/>
          <w:szCs w:val="24"/>
        </w:rPr>
        <w:t>PEMP</w:t>
      </w:r>
      <w:r>
        <w:rPr>
          <w:bCs/>
          <w:sz w:val="24"/>
          <w:szCs w:val="24"/>
        </w:rPr>
        <w:t xml:space="preserve">, whichever is applicable. </w:t>
      </w:r>
      <w:r w:rsidR="00821084" w:rsidRPr="00821084">
        <w:rPr>
          <w:bCs/>
          <w:color w:val="000000" w:themeColor="text1"/>
          <w:sz w:val="24"/>
          <w:szCs w:val="24"/>
        </w:rPr>
        <w:t>This change is to remove any ambiguity regarding whether the AEMP or the PEMP applies.</w:t>
      </w:r>
    </w:p>
    <w:p w14:paraId="4C164A20" w14:textId="77777777" w:rsidR="00A33A9E" w:rsidRDefault="005A36C3" w:rsidP="00A33A9E">
      <w:pPr>
        <w:keepLines w:val="0"/>
        <w:widowControl w:val="0"/>
        <w:jc w:val="left"/>
        <w:rPr>
          <w:bCs/>
          <w:sz w:val="24"/>
          <w:szCs w:val="24"/>
        </w:rPr>
      </w:pPr>
      <w:r>
        <w:rPr>
          <w:bCs/>
          <w:sz w:val="24"/>
          <w:szCs w:val="24"/>
        </w:rPr>
        <w:t xml:space="preserve">Sub-subparagraph </w:t>
      </w:r>
      <w:r w:rsidR="009E45F3">
        <w:rPr>
          <w:bCs/>
          <w:sz w:val="24"/>
          <w:szCs w:val="24"/>
        </w:rPr>
        <w:t>11(1)(c)(</w:t>
      </w:r>
      <w:proofErr w:type="spellStart"/>
      <w:r w:rsidR="009E45F3">
        <w:rPr>
          <w:bCs/>
          <w:sz w:val="24"/>
          <w:szCs w:val="24"/>
        </w:rPr>
        <w:t>i</w:t>
      </w:r>
      <w:proofErr w:type="spellEnd"/>
      <w:r w:rsidR="009E45F3">
        <w:rPr>
          <w:bCs/>
          <w:sz w:val="24"/>
          <w:szCs w:val="24"/>
        </w:rPr>
        <w:t>)</w:t>
      </w:r>
      <w:r>
        <w:rPr>
          <w:bCs/>
          <w:sz w:val="24"/>
          <w:szCs w:val="24"/>
        </w:rPr>
        <w:t>(B) replaces the previous reference to the ‘storage and handling mark-up’ and replace it with a reference to the storage and handling mark-up worked out in the new section 11A (inserted below).</w:t>
      </w:r>
    </w:p>
    <w:p w14:paraId="0E268572" w14:textId="77777777" w:rsidR="00A33A9E" w:rsidRDefault="005A36C3" w:rsidP="00A33A9E">
      <w:pPr>
        <w:keepLines w:val="0"/>
        <w:widowControl w:val="0"/>
        <w:jc w:val="left"/>
        <w:rPr>
          <w:b/>
          <w:bCs/>
          <w:sz w:val="24"/>
          <w:szCs w:val="24"/>
        </w:rPr>
      </w:pPr>
      <w:r>
        <w:rPr>
          <w:b/>
          <w:bCs/>
          <w:sz w:val="24"/>
          <w:szCs w:val="24"/>
        </w:rPr>
        <w:t xml:space="preserve">Item </w:t>
      </w:r>
      <w:proofErr w:type="gramStart"/>
      <w:r>
        <w:rPr>
          <w:b/>
          <w:bCs/>
          <w:sz w:val="24"/>
          <w:szCs w:val="24"/>
        </w:rPr>
        <w:t>8</w:t>
      </w:r>
      <w:proofErr w:type="gramEnd"/>
      <w:r w:rsidR="00BE7273" w:rsidRPr="00BE7273">
        <w:rPr>
          <w:b/>
          <w:bCs/>
          <w:sz w:val="24"/>
          <w:szCs w:val="24"/>
        </w:rPr>
        <w:t xml:space="preserve"> After section 11</w:t>
      </w:r>
    </w:p>
    <w:p w14:paraId="76DA1564" w14:textId="77777777" w:rsidR="00BE7273" w:rsidRDefault="005A36C3" w:rsidP="00A33A9E">
      <w:pPr>
        <w:keepLines w:val="0"/>
        <w:widowControl w:val="0"/>
        <w:jc w:val="left"/>
        <w:rPr>
          <w:bCs/>
          <w:sz w:val="24"/>
          <w:szCs w:val="24"/>
        </w:rPr>
      </w:pPr>
      <w:r>
        <w:rPr>
          <w:bCs/>
          <w:sz w:val="24"/>
          <w:szCs w:val="24"/>
        </w:rPr>
        <w:t>Item 8</w:t>
      </w:r>
      <w:r w:rsidR="00A120F2" w:rsidRPr="00A120F2">
        <w:rPr>
          <w:bCs/>
          <w:sz w:val="24"/>
          <w:szCs w:val="24"/>
        </w:rPr>
        <w:t xml:space="preserve"> </w:t>
      </w:r>
      <w:r w:rsidR="00A120F2">
        <w:rPr>
          <w:bCs/>
          <w:sz w:val="24"/>
          <w:szCs w:val="24"/>
        </w:rPr>
        <w:t>inserts a new section 11A ‘Storage and handling mark-up’. Paragraph 1 outlines that for the purposes of sub-subparagraphs 11(1)(a)(</w:t>
      </w:r>
      <w:proofErr w:type="spellStart"/>
      <w:r w:rsidR="00A120F2">
        <w:rPr>
          <w:bCs/>
          <w:sz w:val="24"/>
          <w:szCs w:val="24"/>
        </w:rPr>
        <w:t>i</w:t>
      </w:r>
      <w:proofErr w:type="spellEnd"/>
      <w:r w:rsidR="00A120F2">
        <w:rPr>
          <w:bCs/>
          <w:sz w:val="24"/>
          <w:szCs w:val="24"/>
        </w:rPr>
        <w:t xml:space="preserve">)(B) and </w:t>
      </w:r>
      <w:r w:rsidR="00A65232">
        <w:rPr>
          <w:bCs/>
          <w:sz w:val="24"/>
          <w:szCs w:val="24"/>
        </w:rPr>
        <w:t>11(1)</w:t>
      </w:r>
      <w:r w:rsidR="00A120F2">
        <w:rPr>
          <w:bCs/>
          <w:sz w:val="24"/>
          <w:szCs w:val="24"/>
        </w:rPr>
        <w:t>(c)(</w:t>
      </w:r>
      <w:proofErr w:type="spellStart"/>
      <w:r w:rsidR="00A120F2">
        <w:rPr>
          <w:bCs/>
          <w:sz w:val="24"/>
          <w:szCs w:val="24"/>
        </w:rPr>
        <w:t>i</w:t>
      </w:r>
      <w:proofErr w:type="spellEnd"/>
      <w:r w:rsidR="00A120F2">
        <w:rPr>
          <w:bCs/>
          <w:sz w:val="24"/>
          <w:szCs w:val="24"/>
        </w:rPr>
        <w:t xml:space="preserve">)(B), and paragraph (b) of step 1 in section 14 (inserted below), the storage and handling mark-up for a ready prepared </w:t>
      </w:r>
      <w:r w:rsidR="00A120F2">
        <w:rPr>
          <w:bCs/>
          <w:sz w:val="24"/>
          <w:szCs w:val="24"/>
        </w:rPr>
        <w:lastRenderedPageBreak/>
        <w:t>pharmaceutical benefit is calculated in accordance with this section.</w:t>
      </w:r>
    </w:p>
    <w:p w14:paraId="27739943" w14:textId="77777777" w:rsidR="00A120F2" w:rsidRDefault="00A120F2" w:rsidP="00A120F2">
      <w:pPr>
        <w:keepLines w:val="0"/>
        <w:widowControl w:val="0"/>
        <w:jc w:val="left"/>
        <w:rPr>
          <w:bCs/>
          <w:i/>
          <w:sz w:val="24"/>
          <w:szCs w:val="24"/>
        </w:rPr>
      </w:pPr>
      <w:r w:rsidRPr="00444A98">
        <w:rPr>
          <w:bCs/>
          <w:sz w:val="24"/>
          <w:szCs w:val="24"/>
        </w:rPr>
        <w:t xml:space="preserve">Paragraph 2 specifies that the following method statement </w:t>
      </w:r>
      <w:proofErr w:type="gramStart"/>
      <w:r w:rsidRPr="00444A98">
        <w:rPr>
          <w:bCs/>
          <w:sz w:val="24"/>
          <w:szCs w:val="24"/>
        </w:rPr>
        <w:t>is</w:t>
      </w:r>
      <w:proofErr w:type="gramEnd"/>
      <w:r w:rsidRPr="00444A98">
        <w:rPr>
          <w:bCs/>
          <w:sz w:val="24"/>
          <w:szCs w:val="24"/>
        </w:rPr>
        <w:t xml:space="preserve"> used to work out the </w:t>
      </w:r>
      <w:r w:rsidRPr="00444A98">
        <w:rPr>
          <w:bCs/>
          <w:i/>
          <w:sz w:val="24"/>
          <w:szCs w:val="24"/>
        </w:rPr>
        <w:t>relevant</w:t>
      </w:r>
      <w:r>
        <w:rPr>
          <w:bCs/>
          <w:i/>
          <w:sz w:val="24"/>
          <w:szCs w:val="24"/>
        </w:rPr>
        <w:t xml:space="preserve"> quantity</w:t>
      </w:r>
      <w:r>
        <w:rPr>
          <w:bCs/>
          <w:sz w:val="24"/>
          <w:szCs w:val="24"/>
        </w:rPr>
        <w:t xml:space="preserve"> for the pack quantity, and the ex-manufacturer price for that </w:t>
      </w:r>
      <w:r>
        <w:rPr>
          <w:bCs/>
          <w:i/>
          <w:sz w:val="24"/>
          <w:szCs w:val="24"/>
        </w:rPr>
        <w:t>relevant quantity.</w:t>
      </w:r>
    </w:p>
    <w:p w14:paraId="18CB639A" w14:textId="77777777" w:rsidR="00A120F2" w:rsidRDefault="00A120F2" w:rsidP="00A120F2">
      <w:pPr>
        <w:keepLines w:val="0"/>
        <w:widowControl w:val="0"/>
        <w:jc w:val="left"/>
        <w:rPr>
          <w:bCs/>
          <w:sz w:val="24"/>
          <w:szCs w:val="24"/>
        </w:rPr>
      </w:pPr>
      <w:r>
        <w:rPr>
          <w:bCs/>
          <w:sz w:val="24"/>
          <w:szCs w:val="24"/>
        </w:rPr>
        <w:t>Step 1 of the method st</w:t>
      </w:r>
      <w:r w:rsidR="002A1882">
        <w:rPr>
          <w:bCs/>
          <w:sz w:val="24"/>
          <w:szCs w:val="24"/>
        </w:rPr>
        <w:t>atement directs that the AEMP or</w:t>
      </w:r>
      <w:r>
        <w:rPr>
          <w:bCs/>
          <w:sz w:val="24"/>
          <w:szCs w:val="24"/>
        </w:rPr>
        <w:t xml:space="preserve"> the PEMP (whichever applies) be identified for the pack quantity.</w:t>
      </w:r>
    </w:p>
    <w:p w14:paraId="4DB8D0A1" w14:textId="77777777" w:rsidR="00A120F2" w:rsidRDefault="00A120F2" w:rsidP="00A120F2">
      <w:pPr>
        <w:keepLines w:val="0"/>
        <w:widowControl w:val="0"/>
        <w:jc w:val="left"/>
        <w:rPr>
          <w:bCs/>
          <w:sz w:val="24"/>
          <w:szCs w:val="24"/>
        </w:rPr>
      </w:pPr>
      <w:r>
        <w:rPr>
          <w:bCs/>
          <w:sz w:val="24"/>
          <w:szCs w:val="24"/>
        </w:rPr>
        <w:t xml:space="preserve">Step 2 directs that the </w:t>
      </w:r>
      <w:r w:rsidRPr="00A21D3F">
        <w:rPr>
          <w:bCs/>
          <w:i/>
          <w:sz w:val="24"/>
          <w:szCs w:val="24"/>
        </w:rPr>
        <w:t>maximum quantities</w:t>
      </w:r>
      <w:r>
        <w:rPr>
          <w:bCs/>
          <w:sz w:val="24"/>
          <w:szCs w:val="24"/>
        </w:rPr>
        <w:t xml:space="preserve"> and any </w:t>
      </w:r>
      <w:r w:rsidRPr="00A21D3F">
        <w:rPr>
          <w:bCs/>
          <w:i/>
          <w:sz w:val="24"/>
          <w:szCs w:val="24"/>
        </w:rPr>
        <w:t>determined quantities</w:t>
      </w:r>
      <w:r>
        <w:rPr>
          <w:bCs/>
          <w:sz w:val="24"/>
          <w:szCs w:val="24"/>
        </w:rPr>
        <w:t xml:space="preserve"> for each listed brand of the pharmaceutical item concerned </w:t>
      </w:r>
      <w:proofErr w:type="gramStart"/>
      <w:r>
        <w:rPr>
          <w:bCs/>
          <w:sz w:val="24"/>
          <w:szCs w:val="24"/>
        </w:rPr>
        <w:t>be identified</w:t>
      </w:r>
      <w:proofErr w:type="gramEnd"/>
      <w:r>
        <w:rPr>
          <w:bCs/>
          <w:sz w:val="24"/>
          <w:szCs w:val="24"/>
        </w:rPr>
        <w:t xml:space="preserve">. This should not include any maximum quantity that relates to a supply of any of those brands that </w:t>
      </w:r>
      <w:proofErr w:type="gramStart"/>
      <w:r>
        <w:rPr>
          <w:bCs/>
          <w:sz w:val="24"/>
          <w:szCs w:val="24"/>
        </w:rPr>
        <w:t>can only be made</w:t>
      </w:r>
      <w:proofErr w:type="gramEnd"/>
      <w:r>
        <w:rPr>
          <w:bCs/>
          <w:sz w:val="24"/>
          <w:szCs w:val="24"/>
        </w:rPr>
        <w:t xml:space="preserve"> in accordance with a special arrangement under section 100 of the Act.</w:t>
      </w:r>
    </w:p>
    <w:p w14:paraId="4628877B" w14:textId="77777777" w:rsidR="00A120F2" w:rsidRDefault="00A120F2" w:rsidP="00A120F2">
      <w:pPr>
        <w:keepLines w:val="0"/>
        <w:widowControl w:val="0"/>
        <w:jc w:val="left"/>
        <w:rPr>
          <w:bCs/>
          <w:sz w:val="24"/>
          <w:szCs w:val="24"/>
        </w:rPr>
      </w:pPr>
      <w:r>
        <w:rPr>
          <w:bCs/>
          <w:sz w:val="24"/>
          <w:szCs w:val="24"/>
        </w:rPr>
        <w:t xml:space="preserve">Step 3 directs that the </w:t>
      </w:r>
      <w:r>
        <w:rPr>
          <w:bCs/>
          <w:i/>
          <w:sz w:val="24"/>
          <w:szCs w:val="24"/>
        </w:rPr>
        <w:t xml:space="preserve">relevant quantity </w:t>
      </w:r>
      <w:r>
        <w:rPr>
          <w:bCs/>
          <w:sz w:val="24"/>
          <w:szCs w:val="24"/>
        </w:rPr>
        <w:t xml:space="preserve">for the pack quantity </w:t>
      </w:r>
      <w:proofErr w:type="gramStart"/>
      <w:r>
        <w:rPr>
          <w:bCs/>
          <w:sz w:val="24"/>
          <w:szCs w:val="24"/>
        </w:rPr>
        <w:t>be identified</w:t>
      </w:r>
      <w:proofErr w:type="gramEnd"/>
      <w:r>
        <w:rPr>
          <w:bCs/>
          <w:sz w:val="24"/>
          <w:szCs w:val="24"/>
        </w:rPr>
        <w:t xml:space="preserve">. The </w:t>
      </w:r>
      <w:r>
        <w:rPr>
          <w:bCs/>
          <w:i/>
          <w:sz w:val="24"/>
          <w:szCs w:val="24"/>
        </w:rPr>
        <w:t xml:space="preserve">relevant quantity </w:t>
      </w:r>
      <w:r>
        <w:rPr>
          <w:bCs/>
          <w:sz w:val="24"/>
          <w:szCs w:val="24"/>
        </w:rPr>
        <w:t>is:</w:t>
      </w:r>
    </w:p>
    <w:p w14:paraId="1BE24F1B" w14:textId="77777777" w:rsidR="00A120F2" w:rsidRPr="00696412" w:rsidRDefault="00A120F2" w:rsidP="00A120F2">
      <w:pPr>
        <w:pStyle w:val="ListParagraph"/>
        <w:keepLines w:val="0"/>
        <w:widowControl w:val="0"/>
        <w:numPr>
          <w:ilvl w:val="0"/>
          <w:numId w:val="4"/>
        </w:numPr>
        <w:jc w:val="left"/>
        <w:rPr>
          <w:bCs/>
          <w:sz w:val="24"/>
          <w:szCs w:val="24"/>
        </w:rPr>
      </w:pPr>
      <w:proofErr w:type="gramStart"/>
      <w:r w:rsidRPr="00696412">
        <w:rPr>
          <w:bCs/>
          <w:sz w:val="24"/>
          <w:szCs w:val="24"/>
        </w:rPr>
        <w:t>the</w:t>
      </w:r>
      <w:proofErr w:type="gramEnd"/>
      <w:r w:rsidRPr="00696412">
        <w:rPr>
          <w:bCs/>
          <w:sz w:val="24"/>
          <w:szCs w:val="24"/>
        </w:rPr>
        <w:t xml:space="preserve"> </w:t>
      </w:r>
      <w:r w:rsidRPr="00696412">
        <w:rPr>
          <w:bCs/>
          <w:i/>
          <w:sz w:val="24"/>
          <w:szCs w:val="24"/>
        </w:rPr>
        <w:t>maximum quantity</w:t>
      </w:r>
      <w:r w:rsidRPr="00696412">
        <w:rPr>
          <w:bCs/>
          <w:sz w:val="24"/>
          <w:szCs w:val="24"/>
        </w:rPr>
        <w:t xml:space="preserve"> (if any) identified in step 2 that is the highest whole number multiple of the pack quantity. If there is no such </w:t>
      </w:r>
      <w:r w:rsidRPr="00696412">
        <w:rPr>
          <w:bCs/>
          <w:i/>
          <w:sz w:val="24"/>
          <w:szCs w:val="24"/>
        </w:rPr>
        <w:t>maximum quantity</w:t>
      </w:r>
      <w:r w:rsidRPr="00696412">
        <w:rPr>
          <w:bCs/>
          <w:sz w:val="24"/>
          <w:szCs w:val="24"/>
        </w:rPr>
        <w:t xml:space="preserve">, the </w:t>
      </w:r>
      <w:r w:rsidRPr="00696412">
        <w:rPr>
          <w:bCs/>
          <w:i/>
          <w:sz w:val="24"/>
          <w:szCs w:val="24"/>
        </w:rPr>
        <w:t xml:space="preserve">determined quantity </w:t>
      </w:r>
      <w:r w:rsidRPr="00696412">
        <w:rPr>
          <w:bCs/>
          <w:sz w:val="24"/>
          <w:szCs w:val="24"/>
        </w:rPr>
        <w:t>identified in step 2 that is the highest whole number multiple of a pack quantity; or</w:t>
      </w:r>
    </w:p>
    <w:p w14:paraId="540174FB" w14:textId="77777777" w:rsidR="00A120F2" w:rsidRDefault="00A120F2" w:rsidP="00A120F2">
      <w:pPr>
        <w:pStyle w:val="ListParagraph"/>
        <w:keepLines w:val="0"/>
        <w:widowControl w:val="0"/>
        <w:numPr>
          <w:ilvl w:val="0"/>
          <w:numId w:val="4"/>
        </w:numPr>
        <w:jc w:val="left"/>
        <w:rPr>
          <w:bCs/>
          <w:sz w:val="24"/>
          <w:szCs w:val="24"/>
        </w:rPr>
      </w:pPr>
      <w:proofErr w:type="gramStart"/>
      <w:r>
        <w:rPr>
          <w:bCs/>
          <w:sz w:val="24"/>
          <w:szCs w:val="24"/>
        </w:rPr>
        <w:t>if</w:t>
      </w:r>
      <w:proofErr w:type="gramEnd"/>
      <w:r>
        <w:rPr>
          <w:bCs/>
          <w:sz w:val="24"/>
          <w:szCs w:val="24"/>
        </w:rPr>
        <w:t xml:space="preserve"> (a) does not apply, the </w:t>
      </w:r>
      <w:r>
        <w:rPr>
          <w:bCs/>
          <w:i/>
          <w:sz w:val="24"/>
          <w:szCs w:val="24"/>
        </w:rPr>
        <w:t xml:space="preserve">maximum quantity </w:t>
      </w:r>
      <w:r>
        <w:rPr>
          <w:bCs/>
          <w:sz w:val="24"/>
          <w:szCs w:val="24"/>
        </w:rPr>
        <w:t xml:space="preserve">(if any) that is closest to the pack quantity. If two </w:t>
      </w:r>
      <w:r>
        <w:rPr>
          <w:bCs/>
          <w:i/>
          <w:sz w:val="24"/>
          <w:szCs w:val="24"/>
        </w:rPr>
        <w:t xml:space="preserve">maximum quantities </w:t>
      </w:r>
      <w:r>
        <w:rPr>
          <w:bCs/>
          <w:sz w:val="24"/>
          <w:szCs w:val="24"/>
        </w:rPr>
        <w:t xml:space="preserve">are equally close, the </w:t>
      </w:r>
      <w:r>
        <w:rPr>
          <w:bCs/>
          <w:i/>
          <w:sz w:val="24"/>
          <w:szCs w:val="24"/>
        </w:rPr>
        <w:t xml:space="preserve">relevant quantity </w:t>
      </w:r>
      <w:r>
        <w:rPr>
          <w:bCs/>
          <w:sz w:val="24"/>
          <w:szCs w:val="24"/>
        </w:rPr>
        <w:t xml:space="preserve">is the greater of those </w:t>
      </w:r>
      <w:r w:rsidRPr="00696412">
        <w:rPr>
          <w:bCs/>
          <w:i/>
          <w:sz w:val="24"/>
          <w:szCs w:val="24"/>
        </w:rPr>
        <w:t>maximum quantities</w:t>
      </w:r>
      <w:r>
        <w:rPr>
          <w:bCs/>
          <w:sz w:val="24"/>
          <w:szCs w:val="24"/>
        </w:rPr>
        <w:t>; or</w:t>
      </w:r>
    </w:p>
    <w:p w14:paraId="56F1A789" w14:textId="77777777" w:rsidR="00A120F2" w:rsidRPr="00696412" w:rsidRDefault="00A120F2" w:rsidP="00A120F2">
      <w:pPr>
        <w:pStyle w:val="ListParagraph"/>
        <w:keepLines w:val="0"/>
        <w:widowControl w:val="0"/>
        <w:numPr>
          <w:ilvl w:val="0"/>
          <w:numId w:val="4"/>
        </w:numPr>
        <w:jc w:val="left"/>
        <w:rPr>
          <w:bCs/>
          <w:sz w:val="24"/>
          <w:szCs w:val="24"/>
        </w:rPr>
      </w:pPr>
      <w:proofErr w:type="gramStart"/>
      <w:r>
        <w:rPr>
          <w:bCs/>
          <w:sz w:val="24"/>
          <w:szCs w:val="24"/>
        </w:rPr>
        <w:t>if</w:t>
      </w:r>
      <w:proofErr w:type="gramEnd"/>
      <w:r>
        <w:rPr>
          <w:bCs/>
          <w:sz w:val="24"/>
          <w:szCs w:val="24"/>
        </w:rPr>
        <w:t xml:space="preserve"> (a) does not apply and there are no </w:t>
      </w:r>
      <w:r>
        <w:rPr>
          <w:bCs/>
          <w:i/>
          <w:sz w:val="24"/>
          <w:szCs w:val="24"/>
        </w:rPr>
        <w:t>maximum quantities</w:t>
      </w:r>
      <w:r>
        <w:rPr>
          <w:bCs/>
          <w:sz w:val="24"/>
          <w:szCs w:val="24"/>
        </w:rPr>
        <w:t xml:space="preserve">, the </w:t>
      </w:r>
      <w:r>
        <w:rPr>
          <w:bCs/>
          <w:i/>
          <w:sz w:val="24"/>
          <w:szCs w:val="24"/>
        </w:rPr>
        <w:t xml:space="preserve">determined quantity </w:t>
      </w:r>
      <w:r>
        <w:rPr>
          <w:bCs/>
          <w:sz w:val="24"/>
          <w:szCs w:val="24"/>
        </w:rPr>
        <w:t xml:space="preserve">(if any) that is closest to the pack quantity. If two </w:t>
      </w:r>
      <w:r>
        <w:rPr>
          <w:bCs/>
          <w:i/>
          <w:sz w:val="24"/>
          <w:szCs w:val="24"/>
        </w:rPr>
        <w:t xml:space="preserve">determined quantities </w:t>
      </w:r>
      <w:r>
        <w:rPr>
          <w:bCs/>
          <w:sz w:val="24"/>
          <w:szCs w:val="24"/>
        </w:rPr>
        <w:t xml:space="preserve">are equally close, the </w:t>
      </w:r>
      <w:r>
        <w:rPr>
          <w:bCs/>
          <w:i/>
          <w:sz w:val="24"/>
          <w:szCs w:val="24"/>
        </w:rPr>
        <w:t xml:space="preserve">relevant quantity </w:t>
      </w:r>
      <w:r>
        <w:rPr>
          <w:bCs/>
          <w:sz w:val="24"/>
          <w:szCs w:val="24"/>
        </w:rPr>
        <w:t xml:space="preserve">is the greater of those </w:t>
      </w:r>
      <w:r w:rsidRPr="00696412">
        <w:rPr>
          <w:bCs/>
          <w:i/>
          <w:sz w:val="24"/>
          <w:szCs w:val="24"/>
        </w:rPr>
        <w:t>determined quantities</w:t>
      </w:r>
      <w:r>
        <w:rPr>
          <w:bCs/>
          <w:sz w:val="24"/>
          <w:szCs w:val="24"/>
        </w:rPr>
        <w:t>.</w:t>
      </w:r>
    </w:p>
    <w:p w14:paraId="0FB51142" w14:textId="77777777" w:rsidR="00A120F2" w:rsidRDefault="00A120F2" w:rsidP="00A120F2">
      <w:pPr>
        <w:keepLines w:val="0"/>
        <w:widowControl w:val="0"/>
        <w:jc w:val="left"/>
        <w:rPr>
          <w:bCs/>
          <w:sz w:val="24"/>
          <w:szCs w:val="24"/>
        </w:rPr>
      </w:pPr>
      <w:r>
        <w:rPr>
          <w:bCs/>
          <w:sz w:val="24"/>
          <w:szCs w:val="24"/>
        </w:rPr>
        <w:t xml:space="preserve">Step 4 specifies that the </w:t>
      </w:r>
      <w:r>
        <w:rPr>
          <w:bCs/>
          <w:i/>
          <w:sz w:val="24"/>
          <w:szCs w:val="24"/>
        </w:rPr>
        <w:t>ex-manufacturer price for the relevant quantity</w:t>
      </w:r>
      <w:r>
        <w:rPr>
          <w:bCs/>
          <w:sz w:val="24"/>
          <w:szCs w:val="24"/>
        </w:rPr>
        <w:t xml:space="preserve"> is the </w:t>
      </w:r>
      <w:r>
        <w:rPr>
          <w:bCs/>
          <w:i/>
          <w:sz w:val="24"/>
          <w:szCs w:val="24"/>
        </w:rPr>
        <w:t>relevant quantity</w:t>
      </w:r>
      <w:r>
        <w:rPr>
          <w:bCs/>
          <w:sz w:val="24"/>
          <w:szCs w:val="24"/>
        </w:rPr>
        <w:t xml:space="preserve"> multiplied by the AEMP or PEMP (whichever applies) for the pack quantity.</w:t>
      </w:r>
    </w:p>
    <w:p w14:paraId="3063C654" w14:textId="77777777" w:rsidR="00A120F2" w:rsidRDefault="00A120F2" w:rsidP="00A120F2">
      <w:pPr>
        <w:keepLines w:val="0"/>
        <w:widowControl w:val="0"/>
        <w:jc w:val="left"/>
        <w:rPr>
          <w:bCs/>
          <w:sz w:val="24"/>
          <w:szCs w:val="24"/>
        </w:rPr>
      </w:pPr>
      <w:r>
        <w:rPr>
          <w:bCs/>
          <w:sz w:val="24"/>
          <w:szCs w:val="24"/>
        </w:rPr>
        <w:t xml:space="preserve">Paragraph 3 outlines that if the </w:t>
      </w:r>
      <w:r>
        <w:rPr>
          <w:bCs/>
          <w:i/>
          <w:sz w:val="24"/>
          <w:szCs w:val="24"/>
        </w:rPr>
        <w:t>ex-manufacturer price for the relevant quantity</w:t>
      </w:r>
      <w:r>
        <w:rPr>
          <w:bCs/>
          <w:sz w:val="24"/>
          <w:szCs w:val="24"/>
        </w:rPr>
        <w:t>, as calculated above, is $930.06 or less, the mark-up for the pack quantity is calculated as 7.52% of the AEMP or PEMP (whichever applies) for the pack quantity.</w:t>
      </w:r>
    </w:p>
    <w:p w14:paraId="7EBC4493" w14:textId="77777777" w:rsidR="00A120F2" w:rsidRDefault="00A120F2" w:rsidP="00A120F2">
      <w:pPr>
        <w:keepLines w:val="0"/>
        <w:widowControl w:val="0"/>
        <w:jc w:val="left"/>
        <w:rPr>
          <w:bCs/>
          <w:sz w:val="24"/>
          <w:szCs w:val="24"/>
        </w:rPr>
      </w:pPr>
      <w:r>
        <w:rPr>
          <w:bCs/>
          <w:sz w:val="24"/>
          <w:szCs w:val="24"/>
        </w:rPr>
        <w:t xml:space="preserve">Paragraph 4 outlines that if the </w:t>
      </w:r>
      <w:r>
        <w:rPr>
          <w:bCs/>
          <w:i/>
          <w:sz w:val="24"/>
          <w:szCs w:val="24"/>
        </w:rPr>
        <w:t>ex-manufacturer price for the relevant quantity</w:t>
      </w:r>
      <w:r>
        <w:rPr>
          <w:bCs/>
          <w:sz w:val="24"/>
          <w:szCs w:val="24"/>
        </w:rPr>
        <w:t xml:space="preserve">, as calculated above, is more than $930.06, and the pack quantity and </w:t>
      </w:r>
      <w:r>
        <w:rPr>
          <w:bCs/>
          <w:i/>
          <w:sz w:val="24"/>
          <w:szCs w:val="24"/>
        </w:rPr>
        <w:t>relevant quantity</w:t>
      </w:r>
      <w:r>
        <w:rPr>
          <w:bCs/>
          <w:sz w:val="24"/>
          <w:szCs w:val="24"/>
        </w:rPr>
        <w:t xml:space="preserve"> are the same, the mark-up for the pack quantity is $69.94.</w:t>
      </w:r>
    </w:p>
    <w:p w14:paraId="179FC739" w14:textId="77777777" w:rsidR="00A120F2" w:rsidRDefault="00A120F2" w:rsidP="00A120F2">
      <w:pPr>
        <w:keepNext/>
        <w:widowControl w:val="0"/>
        <w:jc w:val="left"/>
        <w:rPr>
          <w:bCs/>
          <w:sz w:val="24"/>
          <w:szCs w:val="24"/>
        </w:rPr>
      </w:pPr>
      <w:r>
        <w:rPr>
          <w:bCs/>
          <w:sz w:val="24"/>
          <w:szCs w:val="24"/>
        </w:rPr>
        <w:t xml:space="preserve">Paragraph 5 outlines that if the </w:t>
      </w:r>
      <w:r>
        <w:rPr>
          <w:bCs/>
          <w:i/>
          <w:sz w:val="24"/>
          <w:szCs w:val="24"/>
        </w:rPr>
        <w:t>ex-manufacturer price for the relevant quantity</w:t>
      </w:r>
      <w:r>
        <w:rPr>
          <w:bCs/>
          <w:sz w:val="24"/>
          <w:szCs w:val="24"/>
        </w:rPr>
        <w:t xml:space="preserve">, as calculated above, is more than $930.06, and the pack quantity and </w:t>
      </w:r>
      <w:r>
        <w:rPr>
          <w:bCs/>
          <w:i/>
          <w:sz w:val="24"/>
          <w:szCs w:val="24"/>
        </w:rPr>
        <w:t xml:space="preserve">relevant quantity </w:t>
      </w:r>
      <w:r>
        <w:rPr>
          <w:bCs/>
          <w:sz w:val="24"/>
          <w:szCs w:val="24"/>
        </w:rPr>
        <w:t xml:space="preserve">are </w:t>
      </w:r>
      <w:r>
        <w:rPr>
          <w:b/>
          <w:bCs/>
          <w:sz w:val="24"/>
          <w:szCs w:val="24"/>
        </w:rPr>
        <w:t>different</w:t>
      </w:r>
      <w:r>
        <w:rPr>
          <w:b/>
          <w:bCs/>
          <w:i/>
          <w:sz w:val="24"/>
          <w:szCs w:val="24"/>
        </w:rPr>
        <w:t xml:space="preserve">, </w:t>
      </w:r>
      <w:r>
        <w:rPr>
          <w:bCs/>
          <w:sz w:val="24"/>
          <w:szCs w:val="24"/>
        </w:rPr>
        <w:t>the mark-up for the pack quantity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tblGrid>
      <w:tr w:rsidR="00A120F2" w14:paraId="575F60D6" w14:textId="77777777" w:rsidTr="00E97226">
        <w:tc>
          <w:tcPr>
            <w:tcW w:w="1129" w:type="dxa"/>
            <w:vMerge w:val="restart"/>
            <w:vAlign w:val="center"/>
          </w:tcPr>
          <w:p w14:paraId="67AA8715" w14:textId="77777777" w:rsidR="00A120F2" w:rsidRPr="001423AD" w:rsidRDefault="00A120F2" w:rsidP="00A120F2">
            <w:pPr>
              <w:keepNext/>
              <w:widowControl w:val="0"/>
              <w:jc w:val="left"/>
              <w:rPr>
                <w:bCs/>
                <w:szCs w:val="24"/>
              </w:rPr>
            </w:pPr>
            <w:r w:rsidRPr="001423AD">
              <w:rPr>
                <w:bCs/>
                <w:szCs w:val="24"/>
              </w:rPr>
              <w:t xml:space="preserve">$69.94 x </w:t>
            </w:r>
          </w:p>
        </w:tc>
        <w:tc>
          <w:tcPr>
            <w:tcW w:w="1701" w:type="dxa"/>
            <w:tcBorders>
              <w:bottom w:val="single" w:sz="4" w:space="0" w:color="auto"/>
            </w:tcBorders>
          </w:tcPr>
          <w:p w14:paraId="140D255F" w14:textId="77777777" w:rsidR="00A120F2" w:rsidRPr="001423AD" w:rsidRDefault="00A120F2" w:rsidP="00A120F2">
            <w:pPr>
              <w:keepNext/>
              <w:widowControl w:val="0"/>
              <w:jc w:val="center"/>
              <w:rPr>
                <w:bCs/>
                <w:szCs w:val="24"/>
              </w:rPr>
            </w:pPr>
            <w:r w:rsidRPr="001423AD">
              <w:rPr>
                <w:bCs/>
                <w:szCs w:val="24"/>
              </w:rPr>
              <w:t>Pack quantity</w:t>
            </w:r>
          </w:p>
        </w:tc>
      </w:tr>
      <w:tr w:rsidR="00A120F2" w14:paraId="54BE2823" w14:textId="77777777" w:rsidTr="00E97226">
        <w:trPr>
          <w:trHeight w:val="396"/>
        </w:trPr>
        <w:tc>
          <w:tcPr>
            <w:tcW w:w="1129" w:type="dxa"/>
            <w:vMerge/>
          </w:tcPr>
          <w:p w14:paraId="0112DBD8" w14:textId="77777777" w:rsidR="00A120F2" w:rsidRPr="001423AD" w:rsidRDefault="00A120F2" w:rsidP="00A120F2">
            <w:pPr>
              <w:keepNext/>
              <w:widowControl w:val="0"/>
              <w:jc w:val="left"/>
              <w:rPr>
                <w:bCs/>
                <w:szCs w:val="24"/>
              </w:rPr>
            </w:pPr>
          </w:p>
        </w:tc>
        <w:tc>
          <w:tcPr>
            <w:tcW w:w="1701" w:type="dxa"/>
            <w:tcBorders>
              <w:top w:val="single" w:sz="4" w:space="0" w:color="auto"/>
            </w:tcBorders>
            <w:vAlign w:val="bottom"/>
          </w:tcPr>
          <w:p w14:paraId="4B88A8BD" w14:textId="77777777" w:rsidR="00A120F2" w:rsidRPr="00D75E7D" w:rsidRDefault="00A120F2" w:rsidP="00A120F2">
            <w:pPr>
              <w:keepNext/>
              <w:widowControl w:val="0"/>
              <w:jc w:val="left"/>
              <w:rPr>
                <w:bCs/>
                <w:i/>
                <w:szCs w:val="24"/>
              </w:rPr>
            </w:pPr>
            <w:r w:rsidRPr="00D75E7D">
              <w:rPr>
                <w:bCs/>
                <w:i/>
                <w:szCs w:val="24"/>
              </w:rPr>
              <w:t>Relevant quantity</w:t>
            </w:r>
          </w:p>
        </w:tc>
      </w:tr>
    </w:tbl>
    <w:p w14:paraId="1E16A4FA" w14:textId="77777777" w:rsidR="00A120F2" w:rsidRPr="00A120F2" w:rsidRDefault="00A120F2" w:rsidP="00A120F2">
      <w:pPr>
        <w:keepNext/>
        <w:widowControl w:val="0"/>
        <w:jc w:val="left"/>
        <w:rPr>
          <w:b/>
          <w:bCs/>
          <w:sz w:val="24"/>
          <w:szCs w:val="24"/>
        </w:rPr>
      </w:pPr>
      <w:r w:rsidRPr="00A120F2">
        <w:rPr>
          <w:b/>
          <w:bCs/>
          <w:sz w:val="24"/>
          <w:szCs w:val="24"/>
        </w:rPr>
        <w:t xml:space="preserve">Item </w:t>
      </w:r>
      <w:r w:rsidR="005A36C3">
        <w:rPr>
          <w:b/>
          <w:bCs/>
          <w:sz w:val="24"/>
          <w:szCs w:val="24"/>
        </w:rPr>
        <w:t>9 Section 14 (paragraphs (a</w:t>
      </w:r>
      <w:r w:rsidRPr="00A120F2">
        <w:rPr>
          <w:b/>
          <w:bCs/>
          <w:sz w:val="24"/>
          <w:szCs w:val="24"/>
        </w:rPr>
        <w:t>) to (d) of Step 1)</w:t>
      </w:r>
    </w:p>
    <w:p w14:paraId="65C3D1A0" w14:textId="77777777" w:rsidR="00A120F2" w:rsidRDefault="00B956B9" w:rsidP="006D3045">
      <w:pPr>
        <w:keepLines w:val="0"/>
        <w:widowControl w:val="0"/>
        <w:jc w:val="left"/>
        <w:rPr>
          <w:bCs/>
          <w:sz w:val="24"/>
          <w:szCs w:val="24"/>
        </w:rPr>
      </w:pPr>
      <w:r>
        <w:rPr>
          <w:bCs/>
          <w:sz w:val="24"/>
          <w:szCs w:val="24"/>
        </w:rPr>
        <w:t>Item 9 repeals paragraphs (a</w:t>
      </w:r>
      <w:r w:rsidR="00A120F2">
        <w:rPr>
          <w:bCs/>
          <w:sz w:val="24"/>
          <w:szCs w:val="24"/>
        </w:rPr>
        <w:t>) to (d) of Step 1 of Section 14, and replaces them with the following steps.</w:t>
      </w:r>
    </w:p>
    <w:p w14:paraId="244DD9EB" w14:textId="77777777" w:rsidR="00B956B9" w:rsidRDefault="00B956B9" w:rsidP="006D3045">
      <w:pPr>
        <w:keepLines w:val="0"/>
        <w:widowControl w:val="0"/>
        <w:jc w:val="left"/>
        <w:rPr>
          <w:bCs/>
          <w:sz w:val="24"/>
          <w:szCs w:val="24"/>
        </w:rPr>
      </w:pPr>
      <w:r>
        <w:rPr>
          <w:bCs/>
          <w:sz w:val="24"/>
          <w:szCs w:val="24"/>
        </w:rPr>
        <w:t xml:space="preserve">Paragraph (a) specifies the AEMP or </w:t>
      </w:r>
      <w:r w:rsidRPr="00821084">
        <w:rPr>
          <w:bCs/>
          <w:sz w:val="24"/>
          <w:szCs w:val="24"/>
        </w:rPr>
        <w:t>PEMP (whichever applies)</w:t>
      </w:r>
      <w:r>
        <w:rPr>
          <w:bCs/>
          <w:sz w:val="24"/>
          <w:szCs w:val="24"/>
        </w:rPr>
        <w:t xml:space="preserve"> for the pack quantity.</w:t>
      </w:r>
      <w:r w:rsidR="00821084" w:rsidRPr="00821084">
        <w:rPr>
          <w:bCs/>
          <w:color w:val="000000" w:themeColor="text1"/>
          <w:sz w:val="24"/>
          <w:szCs w:val="24"/>
        </w:rPr>
        <w:t xml:space="preserve"> This change is to remove any ambiguity regarding whether the AEMP or the PEMP applies.</w:t>
      </w:r>
    </w:p>
    <w:p w14:paraId="59ADCA56" w14:textId="77777777" w:rsidR="00A120F2" w:rsidRDefault="00A120F2" w:rsidP="006D3045">
      <w:pPr>
        <w:keepLines w:val="0"/>
        <w:widowControl w:val="0"/>
        <w:jc w:val="left"/>
        <w:rPr>
          <w:bCs/>
          <w:sz w:val="24"/>
          <w:szCs w:val="24"/>
        </w:rPr>
      </w:pPr>
      <w:r>
        <w:rPr>
          <w:bCs/>
          <w:sz w:val="24"/>
          <w:szCs w:val="24"/>
        </w:rPr>
        <w:t xml:space="preserve">Paragraph (b) </w:t>
      </w:r>
      <w:r w:rsidR="00527743">
        <w:rPr>
          <w:bCs/>
          <w:sz w:val="24"/>
          <w:szCs w:val="24"/>
        </w:rPr>
        <w:t>specifies the storage and handling mark-up as calculated under section 11A, as inserted by the Determination.</w:t>
      </w:r>
    </w:p>
    <w:p w14:paraId="7B382765" w14:textId="46827F95" w:rsidR="00527743" w:rsidRDefault="00527743" w:rsidP="006D3045">
      <w:pPr>
        <w:keepLines w:val="0"/>
        <w:widowControl w:val="0"/>
        <w:jc w:val="left"/>
        <w:rPr>
          <w:bCs/>
          <w:sz w:val="24"/>
          <w:szCs w:val="24"/>
        </w:rPr>
      </w:pPr>
      <w:r>
        <w:rPr>
          <w:bCs/>
          <w:sz w:val="24"/>
          <w:szCs w:val="24"/>
        </w:rPr>
        <w:t>Paragraph (c) specifies the mark-up worked out under section 12 (‘private hospital mark-up’).</w:t>
      </w:r>
      <w:r w:rsidR="009B30B7">
        <w:rPr>
          <w:bCs/>
          <w:sz w:val="24"/>
          <w:szCs w:val="24"/>
        </w:rPr>
        <w:t xml:space="preserve"> This is consistent with wording in the existing determination, however </w:t>
      </w:r>
      <w:proofErr w:type="gramStart"/>
      <w:r w:rsidR="009B30B7">
        <w:rPr>
          <w:bCs/>
          <w:sz w:val="24"/>
          <w:szCs w:val="24"/>
        </w:rPr>
        <w:t>has been amended</w:t>
      </w:r>
      <w:proofErr w:type="gramEnd"/>
      <w:r w:rsidR="009B30B7">
        <w:rPr>
          <w:bCs/>
          <w:sz w:val="24"/>
          <w:szCs w:val="24"/>
        </w:rPr>
        <w:t xml:space="preserve"> to remove the word ‘and’, as paragraph (d) has been removed.</w:t>
      </w:r>
    </w:p>
    <w:p w14:paraId="344C4BF2" w14:textId="77777777" w:rsidR="00B956B9" w:rsidRDefault="00B956B9" w:rsidP="006D3045">
      <w:pPr>
        <w:keepLines w:val="0"/>
        <w:widowControl w:val="0"/>
        <w:jc w:val="left"/>
        <w:rPr>
          <w:bCs/>
          <w:sz w:val="24"/>
          <w:szCs w:val="24"/>
        </w:rPr>
      </w:pPr>
      <w:r>
        <w:rPr>
          <w:bCs/>
          <w:sz w:val="24"/>
          <w:szCs w:val="24"/>
        </w:rPr>
        <w:t xml:space="preserve">The previous paragraph (d), which refers to the dangerous drug fee (if applicable), </w:t>
      </w:r>
      <w:proofErr w:type="gramStart"/>
      <w:r>
        <w:rPr>
          <w:bCs/>
          <w:sz w:val="24"/>
          <w:szCs w:val="24"/>
        </w:rPr>
        <w:t xml:space="preserve">has been </w:t>
      </w:r>
      <w:r>
        <w:rPr>
          <w:bCs/>
          <w:sz w:val="24"/>
          <w:szCs w:val="24"/>
        </w:rPr>
        <w:lastRenderedPageBreak/>
        <w:t>repealed</w:t>
      </w:r>
      <w:proofErr w:type="gramEnd"/>
      <w:r>
        <w:rPr>
          <w:bCs/>
          <w:sz w:val="24"/>
          <w:szCs w:val="24"/>
        </w:rPr>
        <w:t xml:space="preserve">. This was an erroneous reference, as the dangerous drug fee </w:t>
      </w:r>
      <w:proofErr w:type="gramStart"/>
      <w:r>
        <w:rPr>
          <w:bCs/>
          <w:sz w:val="24"/>
          <w:szCs w:val="24"/>
        </w:rPr>
        <w:t>is already captured</w:t>
      </w:r>
      <w:proofErr w:type="gramEnd"/>
      <w:r>
        <w:rPr>
          <w:bCs/>
          <w:sz w:val="24"/>
          <w:szCs w:val="24"/>
        </w:rPr>
        <w:t xml:space="preserve"> in the relevant parts of Section 11.</w:t>
      </w:r>
    </w:p>
    <w:p w14:paraId="6E0A5F4C" w14:textId="77777777" w:rsidR="00111577" w:rsidRPr="00111577" w:rsidRDefault="00B956B9" w:rsidP="00111577">
      <w:pPr>
        <w:keepNext/>
        <w:widowControl w:val="0"/>
        <w:jc w:val="left"/>
        <w:rPr>
          <w:b/>
          <w:bCs/>
          <w:sz w:val="24"/>
          <w:szCs w:val="24"/>
        </w:rPr>
      </w:pPr>
      <w:r>
        <w:rPr>
          <w:b/>
          <w:bCs/>
          <w:sz w:val="24"/>
          <w:szCs w:val="24"/>
        </w:rPr>
        <w:t>Item 10</w:t>
      </w:r>
      <w:r w:rsidR="00111577" w:rsidRPr="00111577">
        <w:rPr>
          <w:b/>
          <w:bCs/>
          <w:sz w:val="24"/>
          <w:szCs w:val="24"/>
        </w:rPr>
        <w:t xml:space="preserve"> </w:t>
      </w:r>
      <w:proofErr w:type="gramStart"/>
      <w:r w:rsidR="00111577" w:rsidRPr="00111577">
        <w:rPr>
          <w:b/>
          <w:bCs/>
          <w:sz w:val="24"/>
          <w:szCs w:val="24"/>
        </w:rPr>
        <w:t>At</w:t>
      </w:r>
      <w:proofErr w:type="gramEnd"/>
      <w:r w:rsidR="00111577" w:rsidRPr="00111577">
        <w:rPr>
          <w:b/>
          <w:bCs/>
          <w:sz w:val="24"/>
          <w:szCs w:val="24"/>
        </w:rPr>
        <w:t xml:space="preserve"> the end of the instrument</w:t>
      </w:r>
    </w:p>
    <w:p w14:paraId="1EF6E564" w14:textId="77777777" w:rsidR="00111577" w:rsidRDefault="00111577" w:rsidP="00773619">
      <w:pPr>
        <w:keepLines w:val="0"/>
        <w:widowControl w:val="0"/>
        <w:jc w:val="left"/>
        <w:rPr>
          <w:bCs/>
          <w:sz w:val="24"/>
          <w:szCs w:val="24"/>
        </w:rPr>
      </w:pPr>
      <w:r>
        <w:rPr>
          <w:bCs/>
          <w:sz w:val="24"/>
          <w:szCs w:val="24"/>
        </w:rPr>
        <w:t xml:space="preserve">Item </w:t>
      </w:r>
      <w:r w:rsidR="00B956B9">
        <w:rPr>
          <w:bCs/>
          <w:sz w:val="24"/>
          <w:szCs w:val="24"/>
        </w:rPr>
        <w:t>10</w:t>
      </w:r>
      <w:r>
        <w:rPr>
          <w:bCs/>
          <w:sz w:val="24"/>
          <w:szCs w:val="24"/>
        </w:rPr>
        <w:t xml:space="preserve"> inserts a new schedule to the </w:t>
      </w:r>
      <w:r w:rsidR="00527743">
        <w:rPr>
          <w:bCs/>
          <w:sz w:val="24"/>
          <w:szCs w:val="24"/>
        </w:rPr>
        <w:t>instrument, entitled ‘Schedule 1</w:t>
      </w:r>
      <w:r>
        <w:rPr>
          <w:bCs/>
          <w:sz w:val="24"/>
          <w:szCs w:val="24"/>
        </w:rPr>
        <w:t xml:space="preserve"> – Application and transitional arrangements’. This schedule </w:t>
      </w:r>
      <w:proofErr w:type="gramStart"/>
      <w:r>
        <w:rPr>
          <w:bCs/>
          <w:sz w:val="24"/>
          <w:szCs w:val="24"/>
        </w:rPr>
        <w:t>is r</w:t>
      </w:r>
      <w:r w:rsidR="00527743">
        <w:rPr>
          <w:bCs/>
          <w:sz w:val="24"/>
          <w:szCs w:val="24"/>
        </w:rPr>
        <w:t>eferred</w:t>
      </w:r>
      <w:proofErr w:type="gramEnd"/>
      <w:r w:rsidR="00527743">
        <w:rPr>
          <w:bCs/>
          <w:sz w:val="24"/>
          <w:szCs w:val="24"/>
        </w:rPr>
        <w:t xml:space="preserve"> to in the new section 4A</w:t>
      </w:r>
      <w:r>
        <w:rPr>
          <w:bCs/>
          <w:sz w:val="24"/>
          <w:szCs w:val="24"/>
        </w:rPr>
        <w:t xml:space="preserve"> as inserted by Item 1.</w:t>
      </w:r>
    </w:p>
    <w:p w14:paraId="00CAEDB2" w14:textId="77777777" w:rsidR="0052788C" w:rsidRDefault="00111577" w:rsidP="00773619">
      <w:pPr>
        <w:keepLines w:val="0"/>
        <w:widowControl w:val="0"/>
        <w:jc w:val="left"/>
        <w:rPr>
          <w:bCs/>
          <w:sz w:val="24"/>
          <w:szCs w:val="24"/>
        </w:rPr>
      </w:pPr>
      <w:r>
        <w:rPr>
          <w:bCs/>
          <w:sz w:val="24"/>
          <w:szCs w:val="24"/>
        </w:rPr>
        <w:t>Part 1</w:t>
      </w:r>
      <w:r w:rsidR="0052788C">
        <w:rPr>
          <w:bCs/>
          <w:sz w:val="24"/>
          <w:szCs w:val="24"/>
        </w:rPr>
        <w:t xml:space="preserve"> </w:t>
      </w:r>
      <w:r w:rsidR="00485568">
        <w:rPr>
          <w:bCs/>
          <w:sz w:val="24"/>
          <w:szCs w:val="24"/>
        </w:rPr>
        <w:t xml:space="preserve">of the new schedule </w:t>
      </w:r>
      <w:r w:rsidR="0052788C">
        <w:rPr>
          <w:bCs/>
          <w:sz w:val="24"/>
          <w:szCs w:val="24"/>
        </w:rPr>
        <w:t xml:space="preserve">refers to the amendments made by the </w:t>
      </w:r>
      <w:r w:rsidR="00527743" w:rsidRPr="00CB3115">
        <w:rPr>
          <w:sz w:val="24"/>
          <w:szCs w:val="24"/>
        </w:rPr>
        <w:t xml:space="preserve">National Health (Pharmaceutical Benefits Supplied </w:t>
      </w:r>
      <w:proofErr w:type="gramStart"/>
      <w:r w:rsidR="00527743" w:rsidRPr="00CB3115">
        <w:rPr>
          <w:sz w:val="24"/>
          <w:szCs w:val="24"/>
        </w:rPr>
        <w:t>By</w:t>
      </w:r>
      <w:proofErr w:type="gramEnd"/>
      <w:r w:rsidR="00527743" w:rsidRPr="00CB3115">
        <w:rPr>
          <w:sz w:val="24"/>
          <w:szCs w:val="24"/>
        </w:rPr>
        <w:t xml:space="preserve"> Private Hospitals) Amendment (Budget Measure) Determination 2019</w:t>
      </w:r>
      <w:r w:rsidR="0052788C">
        <w:rPr>
          <w:bCs/>
          <w:sz w:val="24"/>
          <w:szCs w:val="24"/>
        </w:rPr>
        <w:t>.</w:t>
      </w:r>
    </w:p>
    <w:p w14:paraId="040D7A45" w14:textId="77777777" w:rsidR="002E40A1" w:rsidRDefault="0052788C" w:rsidP="00773619">
      <w:pPr>
        <w:keepLines w:val="0"/>
        <w:widowControl w:val="0"/>
        <w:jc w:val="left"/>
        <w:rPr>
          <w:bCs/>
          <w:sz w:val="24"/>
          <w:szCs w:val="24"/>
          <w:highlight w:val="yellow"/>
        </w:rPr>
      </w:pPr>
      <w:r>
        <w:rPr>
          <w:bCs/>
          <w:sz w:val="24"/>
          <w:szCs w:val="24"/>
        </w:rPr>
        <w:t xml:space="preserve">Paragraph 1 </w:t>
      </w:r>
      <w:r w:rsidR="00485568">
        <w:rPr>
          <w:bCs/>
          <w:sz w:val="24"/>
          <w:szCs w:val="24"/>
        </w:rPr>
        <w:t>of the new schedule outlines th</w:t>
      </w:r>
      <w:r w:rsidR="00527743">
        <w:rPr>
          <w:bCs/>
          <w:sz w:val="24"/>
          <w:szCs w:val="24"/>
        </w:rPr>
        <w:t>at the amendments made by items 3 to 6 of Schedule 1 of the</w:t>
      </w:r>
      <w:r w:rsidR="00485568">
        <w:rPr>
          <w:bCs/>
          <w:sz w:val="24"/>
          <w:szCs w:val="24"/>
        </w:rPr>
        <w:t xml:space="preserve"> </w:t>
      </w:r>
      <w:r w:rsidR="00527743" w:rsidRPr="00CB3115">
        <w:rPr>
          <w:sz w:val="24"/>
          <w:szCs w:val="24"/>
        </w:rPr>
        <w:t xml:space="preserve">National Health (Pharmaceutical Benefits Supplied </w:t>
      </w:r>
      <w:proofErr w:type="gramStart"/>
      <w:r w:rsidR="00527743" w:rsidRPr="00CB3115">
        <w:rPr>
          <w:sz w:val="24"/>
          <w:szCs w:val="24"/>
        </w:rPr>
        <w:t>By</w:t>
      </w:r>
      <w:proofErr w:type="gramEnd"/>
      <w:r w:rsidR="00527743" w:rsidRPr="00CB3115">
        <w:rPr>
          <w:sz w:val="24"/>
          <w:szCs w:val="24"/>
        </w:rPr>
        <w:t xml:space="preserve"> Private Hospitals) Amendment (Budget Measure) Determination 2019</w:t>
      </w:r>
      <w:r w:rsidR="00527743">
        <w:rPr>
          <w:sz w:val="24"/>
          <w:szCs w:val="24"/>
        </w:rPr>
        <w:t xml:space="preserve"> </w:t>
      </w:r>
      <w:r w:rsidR="00485568">
        <w:rPr>
          <w:bCs/>
          <w:sz w:val="24"/>
          <w:szCs w:val="24"/>
        </w:rPr>
        <w:t>apply in relation to the supply of pharmaceutical benefits on or after 1 October 2019.</w:t>
      </w:r>
      <w:r w:rsidR="00CA6632">
        <w:rPr>
          <w:bCs/>
          <w:sz w:val="24"/>
          <w:szCs w:val="24"/>
        </w:rPr>
        <w:t xml:space="preserve"> </w:t>
      </w:r>
    </w:p>
    <w:p w14:paraId="141849D0" w14:textId="77777777" w:rsidR="002E40A1" w:rsidRDefault="002E40A1">
      <w:pPr>
        <w:keepLines w:val="0"/>
        <w:spacing w:after="160" w:line="259" w:lineRule="auto"/>
        <w:jc w:val="left"/>
        <w:rPr>
          <w:bCs/>
          <w:sz w:val="24"/>
          <w:szCs w:val="24"/>
          <w:highlight w:val="yellow"/>
        </w:rPr>
      </w:pPr>
      <w:r>
        <w:rPr>
          <w:bCs/>
          <w:sz w:val="24"/>
          <w:szCs w:val="24"/>
          <w:highlight w:val="yellow"/>
        </w:rPr>
        <w:br w:type="page"/>
      </w:r>
    </w:p>
    <w:p w14:paraId="02D47E00" w14:textId="77777777" w:rsidR="002E40A1" w:rsidRDefault="002E40A1" w:rsidP="002E40A1">
      <w:pPr>
        <w:jc w:val="right"/>
        <w:rPr>
          <w:b/>
          <w:sz w:val="24"/>
          <w:szCs w:val="24"/>
        </w:rPr>
      </w:pPr>
      <w:r>
        <w:rPr>
          <w:b/>
          <w:sz w:val="24"/>
          <w:szCs w:val="24"/>
        </w:rPr>
        <w:lastRenderedPageBreak/>
        <w:t>ATTACHMENT 2</w:t>
      </w:r>
    </w:p>
    <w:p w14:paraId="45A521E6" w14:textId="77777777" w:rsidR="0059044A" w:rsidRDefault="0059044A" w:rsidP="0041577E">
      <w:pPr>
        <w:rPr>
          <w:b/>
          <w:sz w:val="24"/>
          <w:szCs w:val="24"/>
        </w:rPr>
      </w:pPr>
    </w:p>
    <w:p w14:paraId="41887E92" w14:textId="7E1D5079" w:rsidR="0041577E" w:rsidRPr="003F7B52" w:rsidRDefault="0041577E" w:rsidP="0041577E">
      <w:pPr>
        <w:rPr>
          <w:b/>
          <w:sz w:val="24"/>
          <w:szCs w:val="24"/>
        </w:rPr>
      </w:pPr>
      <w:r w:rsidRPr="003F7B52">
        <w:rPr>
          <w:b/>
          <w:sz w:val="24"/>
          <w:szCs w:val="24"/>
        </w:rPr>
        <w:t>Example 1: Where the AEMP for the relevant quantity is under $930.00</w:t>
      </w:r>
    </w:p>
    <w:p w14:paraId="2C6C7E42" w14:textId="77777777" w:rsidR="0041577E" w:rsidRPr="002C3FF8" w:rsidRDefault="0041577E" w:rsidP="0041577E">
      <w:pPr>
        <w:rPr>
          <w:sz w:val="24"/>
          <w:szCs w:val="24"/>
        </w:rPr>
      </w:pPr>
      <w:r w:rsidRPr="002C3FF8">
        <w:rPr>
          <w:sz w:val="24"/>
          <w:szCs w:val="24"/>
        </w:rPr>
        <w:t xml:space="preserve">A private hospital pharmacist wishes to supply a pack quantity of one. </w:t>
      </w:r>
      <w:r>
        <w:rPr>
          <w:sz w:val="24"/>
          <w:szCs w:val="24"/>
        </w:rPr>
        <w:t>In this example,</w:t>
      </w:r>
      <w:r w:rsidRPr="002C3FF8">
        <w:rPr>
          <w:sz w:val="24"/>
          <w:szCs w:val="24"/>
        </w:rPr>
        <w:t xml:space="preserve"> the AEMP </w:t>
      </w:r>
      <w:r>
        <w:rPr>
          <w:sz w:val="24"/>
          <w:szCs w:val="24"/>
        </w:rPr>
        <w:t>for a pack quantity of one is $1</w:t>
      </w:r>
      <w:r w:rsidRPr="002C3FF8">
        <w:rPr>
          <w:sz w:val="24"/>
          <w:szCs w:val="24"/>
        </w:rPr>
        <w:t>00, a dangerous drug fee under secti</w:t>
      </w:r>
      <w:r>
        <w:rPr>
          <w:sz w:val="24"/>
          <w:szCs w:val="24"/>
        </w:rPr>
        <w:t>on 11(1</w:t>
      </w:r>
      <w:proofErr w:type="gramStart"/>
      <w:r>
        <w:rPr>
          <w:sz w:val="24"/>
          <w:szCs w:val="24"/>
        </w:rPr>
        <w:t>)(</w:t>
      </w:r>
      <w:proofErr w:type="gramEnd"/>
      <w:r>
        <w:rPr>
          <w:sz w:val="24"/>
          <w:szCs w:val="24"/>
        </w:rPr>
        <w:t>a)(iii) does not apply and</w:t>
      </w:r>
      <w:r w:rsidRPr="002C3FF8">
        <w:rPr>
          <w:sz w:val="24"/>
          <w:szCs w:val="24"/>
        </w:rPr>
        <w:t xml:space="preserve"> the dispensed price for a supply under section 11(1)(a) is the sum of the following:</w:t>
      </w:r>
    </w:p>
    <w:tbl>
      <w:tblPr>
        <w:tblStyle w:val="TableGrid"/>
        <w:tblW w:w="9158" w:type="dxa"/>
        <w:tblLook w:val="04A0" w:firstRow="1" w:lastRow="0" w:firstColumn="1" w:lastColumn="0" w:noHBand="0" w:noVBand="1"/>
      </w:tblPr>
      <w:tblGrid>
        <w:gridCol w:w="2405"/>
        <w:gridCol w:w="5670"/>
        <w:gridCol w:w="1083"/>
      </w:tblGrid>
      <w:tr w:rsidR="0041577E" w:rsidRPr="002C3FF8" w14:paraId="49669B79" w14:textId="77777777" w:rsidTr="00E7234B">
        <w:tc>
          <w:tcPr>
            <w:tcW w:w="2405" w:type="dxa"/>
          </w:tcPr>
          <w:p w14:paraId="59346DEF" w14:textId="77777777" w:rsidR="0041577E" w:rsidRPr="002C3FF8" w:rsidRDefault="0041577E" w:rsidP="00E7234B">
            <w:pPr>
              <w:rPr>
                <w:sz w:val="24"/>
                <w:szCs w:val="24"/>
              </w:rPr>
            </w:pPr>
            <w:r w:rsidRPr="002C3FF8">
              <w:rPr>
                <w:sz w:val="24"/>
                <w:szCs w:val="24"/>
              </w:rPr>
              <w:t>Section 11(1)(a)(</w:t>
            </w:r>
            <w:proofErr w:type="spellStart"/>
            <w:r w:rsidRPr="002C3FF8">
              <w:rPr>
                <w:sz w:val="24"/>
                <w:szCs w:val="24"/>
              </w:rPr>
              <w:t>i</w:t>
            </w:r>
            <w:proofErr w:type="spellEnd"/>
            <w:r w:rsidRPr="002C3FF8">
              <w:rPr>
                <w:sz w:val="24"/>
                <w:szCs w:val="24"/>
              </w:rPr>
              <w:t>)(A)</w:t>
            </w:r>
          </w:p>
        </w:tc>
        <w:tc>
          <w:tcPr>
            <w:tcW w:w="5670" w:type="dxa"/>
          </w:tcPr>
          <w:p w14:paraId="4B6A605C" w14:textId="77777777" w:rsidR="0041577E" w:rsidRPr="002C3FF8" w:rsidRDefault="0041577E" w:rsidP="00E7234B">
            <w:pPr>
              <w:rPr>
                <w:sz w:val="24"/>
                <w:szCs w:val="24"/>
              </w:rPr>
            </w:pPr>
            <w:r w:rsidRPr="002C3FF8">
              <w:rPr>
                <w:sz w:val="24"/>
                <w:szCs w:val="24"/>
              </w:rPr>
              <w:t>AEMP for each pack quantity</w:t>
            </w:r>
          </w:p>
        </w:tc>
        <w:tc>
          <w:tcPr>
            <w:tcW w:w="1083" w:type="dxa"/>
          </w:tcPr>
          <w:p w14:paraId="4AFF90E6" w14:textId="77777777" w:rsidR="0041577E" w:rsidRPr="002C3FF8" w:rsidRDefault="0041577E" w:rsidP="00E7234B">
            <w:pPr>
              <w:rPr>
                <w:sz w:val="24"/>
                <w:szCs w:val="24"/>
              </w:rPr>
            </w:pPr>
            <w:r>
              <w:rPr>
                <w:sz w:val="24"/>
                <w:szCs w:val="24"/>
              </w:rPr>
              <w:t>$1</w:t>
            </w:r>
            <w:r w:rsidRPr="002C3FF8">
              <w:rPr>
                <w:sz w:val="24"/>
                <w:szCs w:val="24"/>
              </w:rPr>
              <w:t>00.00</w:t>
            </w:r>
          </w:p>
        </w:tc>
      </w:tr>
      <w:tr w:rsidR="0041577E" w:rsidRPr="002C3FF8" w14:paraId="238B4D60" w14:textId="77777777" w:rsidTr="00E7234B">
        <w:tc>
          <w:tcPr>
            <w:tcW w:w="2405" w:type="dxa"/>
          </w:tcPr>
          <w:p w14:paraId="00675B96" w14:textId="77777777" w:rsidR="0041577E" w:rsidRPr="002C3FF8" w:rsidRDefault="0041577E" w:rsidP="00E7234B">
            <w:pPr>
              <w:rPr>
                <w:sz w:val="24"/>
                <w:szCs w:val="24"/>
              </w:rPr>
            </w:pPr>
            <w:r w:rsidRPr="002C3FF8">
              <w:rPr>
                <w:sz w:val="24"/>
                <w:szCs w:val="24"/>
              </w:rPr>
              <w:t>Section 11(1)(a)(</w:t>
            </w:r>
            <w:proofErr w:type="spellStart"/>
            <w:r w:rsidRPr="002C3FF8">
              <w:rPr>
                <w:sz w:val="24"/>
                <w:szCs w:val="24"/>
              </w:rPr>
              <w:t>i</w:t>
            </w:r>
            <w:proofErr w:type="spellEnd"/>
            <w:r w:rsidRPr="002C3FF8">
              <w:rPr>
                <w:sz w:val="24"/>
                <w:szCs w:val="24"/>
              </w:rPr>
              <w:t>)(B)</w:t>
            </w:r>
          </w:p>
        </w:tc>
        <w:tc>
          <w:tcPr>
            <w:tcW w:w="5670" w:type="dxa"/>
          </w:tcPr>
          <w:p w14:paraId="183128D1" w14:textId="77777777" w:rsidR="0041577E" w:rsidRPr="002C3FF8" w:rsidRDefault="0041577E" w:rsidP="00E7234B">
            <w:pPr>
              <w:rPr>
                <w:sz w:val="24"/>
                <w:szCs w:val="24"/>
              </w:rPr>
            </w:pPr>
            <w:r w:rsidRPr="002C3FF8">
              <w:rPr>
                <w:sz w:val="24"/>
                <w:szCs w:val="24"/>
              </w:rPr>
              <w:t>The storage and handling mark-up worked out under section 11A for the whole pack quantity of one</w:t>
            </w:r>
            <w:r>
              <w:rPr>
                <w:sz w:val="24"/>
                <w:szCs w:val="24"/>
              </w:rPr>
              <w:t xml:space="preserve"> (see below)</w:t>
            </w:r>
          </w:p>
        </w:tc>
        <w:tc>
          <w:tcPr>
            <w:tcW w:w="1083" w:type="dxa"/>
          </w:tcPr>
          <w:p w14:paraId="30F78A8F" w14:textId="77777777" w:rsidR="0041577E" w:rsidRPr="002C3FF8" w:rsidRDefault="0041577E" w:rsidP="00E7234B">
            <w:pPr>
              <w:rPr>
                <w:rFonts w:eastAsiaTheme="minorEastAsia"/>
                <w:sz w:val="24"/>
                <w:szCs w:val="24"/>
              </w:rPr>
            </w:pPr>
            <w:r w:rsidRPr="002C3FF8">
              <w:rPr>
                <w:rFonts w:eastAsiaTheme="minorEastAsia"/>
                <w:sz w:val="24"/>
                <w:szCs w:val="24"/>
              </w:rPr>
              <w:t>$</w:t>
            </w:r>
            <w:r>
              <w:rPr>
                <w:rFonts w:eastAsiaTheme="minorEastAsia"/>
                <w:sz w:val="24"/>
                <w:szCs w:val="24"/>
              </w:rPr>
              <w:t>7.52</w:t>
            </w:r>
          </w:p>
        </w:tc>
      </w:tr>
      <w:tr w:rsidR="0041577E" w:rsidRPr="002C3FF8" w14:paraId="5A01F7F8" w14:textId="77777777" w:rsidTr="00E7234B">
        <w:tc>
          <w:tcPr>
            <w:tcW w:w="2405" w:type="dxa"/>
          </w:tcPr>
          <w:p w14:paraId="3224151F" w14:textId="77777777" w:rsidR="0041577E" w:rsidRPr="002C3FF8" w:rsidRDefault="0041577E" w:rsidP="00E7234B">
            <w:pPr>
              <w:rPr>
                <w:sz w:val="24"/>
                <w:szCs w:val="24"/>
              </w:rPr>
            </w:pPr>
            <w:r w:rsidRPr="002C3FF8">
              <w:rPr>
                <w:sz w:val="24"/>
                <w:szCs w:val="24"/>
              </w:rPr>
              <w:t>Section 11(1)(a)(</w:t>
            </w:r>
            <w:proofErr w:type="spellStart"/>
            <w:r w:rsidRPr="002C3FF8">
              <w:rPr>
                <w:sz w:val="24"/>
                <w:szCs w:val="24"/>
              </w:rPr>
              <w:t>i</w:t>
            </w:r>
            <w:proofErr w:type="spellEnd"/>
            <w:r w:rsidRPr="002C3FF8">
              <w:rPr>
                <w:sz w:val="24"/>
                <w:szCs w:val="24"/>
              </w:rPr>
              <w:t>)(C)</w:t>
            </w:r>
          </w:p>
        </w:tc>
        <w:tc>
          <w:tcPr>
            <w:tcW w:w="5670" w:type="dxa"/>
          </w:tcPr>
          <w:p w14:paraId="2D4B1769" w14:textId="77777777" w:rsidR="0041577E" w:rsidRPr="002C3FF8" w:rsidRDefault="0041577E" w:rsidP="00E7234B">
            <w:pPr>
              <w:rPr>
                <w:sz w:val="24"/>
                <w:szCs w:val="24"/>
              </w:rPr>
            </w:pPr>
            <w:r w:rsidRPr="002C3FF8">
              <w:rPr>
                <w:sz w:val="24"/>
                <w:szCs w:val="24"/>
              </w:rPr>
              <w:t>The private hospital mark-up, worked out under section 12</w:t>
            </w:r>
            <w:r>
              <w:rPr>
                <w:sz w:val="24"/>
                <w:szCs w:val="24"/>
              </w:rPr>
              <w:t xml:space="preserve"> (see below)</w:t>
            </w:r>
          </w:p>
        </w:tc>
        <w:tc>
          <w:tcPr>
            <w:tcW w:w="1083" w:type="dxa"/>
          </w:tcPr>
          <w:p w14:paraId="34CDE61F" w14:textId="77777777" w:rsidR="0041577E" w:rsidRPr="002C3FF8" w:rsidRDefault="0041577E" w:rsidP="00E7234B">
            <w:pPr>
              <w:rPr>
                <w:rFonts w:eastAsiaTheme="minorEastAsia"/>
                <w:sz w:val="24"/>
                <w:szCs w:val="24"/>
              </w:rPr>
            </w:pPr>
            <w:r>
              <w:rPr>
                <w:rFonts w:eastAsiaTheme="minorEastAsia"/>
                <w:sz w:val="24"/>
                <w:szCs w:val="24"/>
              </w:rPr>
              <w:t>$1.51</w:t>
            </w:r>
          </w:p>
        </w:tc>
      </w:tr>
      <w:tr w:rsidR="0041577E" w:rsidRPr="002C3FF8" w14:paraId="425938DE" w14:textId="77777777" w:rsidTr="00E7234B">
        <w:tc>
          <w:tcPr>
            <w:tcW w:w="2405" w:type="dxa"/>
          </w:tcPr>
          <w:p w14:paraId="1892D497" w14:textId="77777777" w:rsidR="0041577E" w:rsidRPr="002C3FF8" w:rsidRDefault="0041577E" w:rsidP="00E7234B">
            <w:pPr>
              <w:rPr>
                <w:sz w:val="24"/>
                <w:szCs w:val="24"/>
              </w:rPr>
            </w:pPr>
            <w:r w:rsidRPr="002C3FF8">
              <w:rPr>
                <w:sz w:val="24"/>
                <w:szCs w:val="24"/>
              </w:rPr>
              <w:t>Section 11(1)(a)(ii)</w:t>
            </w:r>
          </w:p>
        </w:tc>
        <w:tc>
          <w:tcPr>
            <w:tcW w:w="5670" w:type="dxa"/>
          </w:tcPr>
          <w:p w14:paraId="53F2631F" w14:textId="77777777" w:rsidR="0041577E" w:rsidRPr="002C3FF8" w:rsidRDefault="0041577E" w:rsidP="00E7234B">
            <w:pPr>
              <w:rPr>
                <w:sz w:val="24"/>
                <w:szCs w:val="24"/>
              </w:rPr>
            </w:pPr>
            <w:r w:rsidRPr="002C3FF8">
              <w:rPr>
                <w:sz w:val="24"/>
                <w:szCs w:val="24"/>
              </w:rPr>
              <w:t>A ready-prepared dispensing fee</w:t>
            </w:r>
          </w:p>
        </w:tc>
        <w:tc>
          <w:tcPr>
            <w:tcW w:w="1083" w:type="dxa"/>
          </w:tcPr>
          <w:p w14:paraId="14D173EE" w14:textId="77777777" w:rsidR="0041577E" w:rsidRPr="002C3FF8" w:rsidRDefault="0041577E" w:rsidP="00E7234B">
            <w:pPr>
              <w:rPr>
                <w:rFonts w:eastAsiaTheme="minorEastAsia"/>
                <w:sz w:val="24"/>
                <w:szCs w:val="24"/>
              </w:rPr>
            </w:pPr>
            <w:r w:rsidRPr="002C3FF8">
              <w:rPr>
                <w:rFonts w:eastAsiaTheme="minorEastAsia"/>
                <w:sz w:val="24"/>
                <w:szCs w:val="24"/>
              </w:rPr>
              <w:t>$7.29</w:t>
            </w:r>
          </w:p>
        </w:tc>
      </w:tr>
      <w:tr w:rsidR="0041577E" w:rsidRPr="002C3FF8" w14:paraId="221AAEA9" w14:textId="77777777" w:rsidTr="00E7234B">
        <w:tc>
          <w:tcPr>
            <w:tcW w:w="2405" w:type="dxa"/>
          </w:tcPr>
          <w:p w14:paraId="73E77A75" w14:textId="77777777" w:rsidR="0041577E" w:rsidRPr="002C3FF8" w:rsidRDefault="0041577E" w:rsidP="00E7234B">
            <w:pPr>
              <w:rPr>
                <w:sz w:val="24"/>
                <w:szCs w:val="24"/>
              </w:rPr>
            </w:pPr>
            <w:r w:rsidRPr="002C3FF8">
              <w:rPr>
                <w:sz w:val="24"/>
                <w:szCs w:val="24"/>
              </w:rPr>
              <w:t>Section 11(1)(a)(iii)</w:t>
            </w:r>
          </w:p>
        </w:tc>
        <w:tc>
          <w:tcPr>
            <w:tcW w:w="5670" w:type="dxa"/>
          </w:tcPr>
          <w:p w14:paraId="1251C43B" w14:textId="77777777" w:rsidR="0041577E" w:rsidRPr="002C3FF8" w:rsidRDefault="0041577E" w:rsidP="00E7234B">
            <w:pPr>
              <w:rPr>
                <w:sz w:val="24"/>
                <w:szCs w:val="24"/>
              </w:rPr>
            </w:pPr>
            <w:r w:rsidRPr="002C3FF8">
              <w:rPr>
                <w:sz w:val="24"/>
                <w:szCs w:val="24"/>
              </w:rPr>
              <w:t>Dangerous drug fee</w:t>
            </w:r>
          </w:p>
        </w:tc>
        <w:tc>
          <w:tcPr>
            <w:tcW w:w="1083" w:type="dxa"/>
          </w:tcPr>
          <w:p w14:paraId="65E1CA4C" w14:textId="77777777" w:rsidR="0041577E" w:rsidRPr="002C3FF8" w:rsidRDefault="0041577E" w:rsidP="00E7234B">
            <w:pPr>
              <w:rPr>
                <w:rFonts w:eastAsiaTheme="minorEastAsia"/>
                <w:sz w:val="24"/>
                <w:szCs w:val="24"/>
              </w:rPr>
            </w:pPr>
            <w:r w:rsidRPr="002C3FF8">
              <w:rPr>
                <w:rFonts w:eastAsiaTheme="minorEastAsia"/>
                <w:sz w:val="24"/>
                <w:szCs w:val="24"/>
              </w:rPr>
              <w:t>n/a</w:t>
            </w:r>
          </w:p>
        </w:tc>
      </w:tr>
      <w:tr w:rsidR="0041577E" w:rsidRPr="002C3FF8" w14:paraId="5FA28890" w14:textId="77777777" w:rsidTr="00E7234B">
        <w:tc>
          <w:tcPr>
            <w:tcW w:w="2405" w:type="dxa"/>
          </w:tcPr>
          <w:p w14:paraId="74AB5631" w14:textId="77777777" w:rsidR="0041577E" w:rsidRPr="002C3FF8" w:rsidRDefault="0041577E" w:rsidP="00E7234B">
            <w:pPr>
              <w:rPr>
                <w:sz w:val="24"/>
                <w:szCs w:val="24"/>
              </w:rPr>
            </w:pPr>
          </w:p>
        </w:tc>
        <w:tc>
          <w:tcPr>
            <w:tcW w:w="5670" w:type="dxa"/>
          </w:tcPr>
          <w:p w14:paraId="6C169CF8" w14:textId="77777777" w:rsidR="0041577E" w:rsidRPr="002C3FF8" w:rsidRDefault="0041577E" w:rsidP="00E7234B">
            <w:pPr>
              <w:jc w:val="right"/>
              <w:rPr>
                <w:b/>
                <w:sz w:val="24"/>
                <w:szCs w:val="24"/>
              </w:rPr>
            </w:pPr>
            <w:r w:rsidRPr="002C3FF8">
              <w:rPr>
                <w:b/>
                <w:sz w:val="24"/>
                <w:szCs w:val="24"/>
              </w:rPr>
              <w:t xml:space="preserve">Dispensed price </w:t>
            </w:r>
            <w:r>
              <w:rPr>
                <w:b/>
                <w:sz w:val="24"/>
                <w:szCs w:val="24"/>
              </w:rPr>
              <w:t>for a pack quantity of one</w:t>
            </w:r>
          </w:p>
        </w:tc>
        <w:tc>
          <w:tcPr>
            <w:tcW w:w="1083" w:type="dxa"/>
          </w:tcPr>
          <w:p w14:paraId="3A90CA02" w14:textId="77777777" w:rsidR="0041577E" w:rsidRPr="002C3FF8" w:rsidRDefault="0041577E" w:rsidP="00E7234B">
            <w:pPr>
              <w:rPr>
                <w:rFonts w:eastAsiaTheme="minorEastAsia"/>
                <w:b/>
                <w:sz w:val="24"/>
                <w:szCs w:val="24"/>
              </w:rPr>
            </w:pPr>
            <w:r w:rsidRPr="002C3FF8">
              <w:rPr>
                <w:rFonts w:eastAsiaTheme="minorEastAsia"/>
                <w:b/>
                <w:sz w:val="24"/>
                <w:szCs w:val="24"/>
              </w:rPr>
              <w:t>$</w:t>
            </w:r>
            <w:r w:rsidRPr="00A4577A">
              <w:rPr>
                <w:rFonts w:eastAsiaTheme="minorEastAsia"/>
                <w:b/>
                <w:sz w:val="24"/>
                <w:szCs w:val="24"/>
              </w:rPr>
              <w:t>116.32</w:t>
            </w:r>
          </w:p>
        </w:tc>
      </w:tr>
    </w:tbl>
    <w:p w14:paraId="795DF458" w14:textId="77777777" w:rsidR="0041577E" w:rsidRDefault="0041577E" w:rsidP="0041577E">
      <w:pPr>
        <w:rPr>
          <w:sz w:val="24"/>
          <w:szCs w:val="24"/>
        </w:rPr>
      </w:pPr>
    </w:p>
    <w:p w14:paraId="2473D3B9" w14:textId="77777777" w:rsidR="0041577E" w:rsidRPr="002C3FF8" w:rsidRDefault="0041577E" w:rsidP="0041577E">
      <w:pPr>
        <w:rPr>
          <w:sz w:val="24"/>
          <w:szCs w:val="24"/>
        </w:rPr>
      </w:pPr>
      <w:r w:rsidRPr="002C3FF8">
        <w:rPr>
          <w:sz w:val="24"/>
          <w:szCs w:val="24"/>
        </w:rPr>
        <w:t>Section 11(1)(a)(</w:t>
      </w:r>
      <w:proofErr w:type="spellStart"/>
      <w:r w:rsidRPr="002C3FF8">
        <w:rPr>
          <w:sz w:val="24"/>
          <w:szCs w:val="24"/>
        </w:rPr>
        <w:t>i</w:t>
      </w:r>
      <w:proofErr w:type="spellEnd"/>
      <w:r w:rsidRPr="002C3FF8">
        <w:rPr>
          <w:sz w:val="24"/>
          <w:szCs w:val="24"/>
        </w:rPr>
        <w:t xml:space="preserve">)(B) refers to section 11A, which outlines the method statement to calculate the </w:t>
      </w:r>
      <w:r w:rsidRPr="002C3FF8">
        <w:rPr>
          <w:sz w:val="24"/>
          <w:szCs w:val="24"/>
          <w:u w:val="single"/>
        </w:rPr>
        <w:t>storage and handling mark-up</w:t>
      </w:r>
      <w:r w:rsidRPr="002C3FF8">
        <w:rPr>
          <w:sz w:val="24"/>
          <w:szCs w:val="24"/>
        </w:rPr>
        <w:t xml:space="preserve">. The calculation for section 11A is as follows: </w:t>
      </w:r>
    </w:p>
    <w:p w14:paraId="0A8E2E83" w14:textId="77777777" w:rsidR="0041577E" w:rsidRPr="002C3FF8" w:rsidRDefault="0041577E" w:rsidP="0041577E">
      <w:pPr>
        <w:pStyle w:val="ListParagraph"/>
        <w:keepLines w:val="0"/>
        <w:numPr>
          <w:ilvl w:val="0"/>
          <w:numId w:val="5"/>
        </w:numPr>
        <w:spacing w:after="160" w:line="259" w:lineRule="auto"/>
        <w:jc w:val="left"/>
        <w:rPr>
          <w:sz w:val="24"/>
          <w:szCs w:val="24"/>
        </w:rPr>
      </w:pPr>
      <w:r w:rsidRPr="002C3FF8">
        <w:rPr>
          <w:sz w:val="24"/>
          <w:szCs w:val="24"/>
        </w:rPr>
        <w:t>Step 1: identify the AEMP for the pack quantity: $</w:t>
      </w:r>
      <w:r>
        <w:rPr>
          <w:sz w:val="24"/>
          <w:szCs w:val="24"/>
        </w:rPr>
        <w:t>1</w:t>
      </w:r>
      <w:r w:rsidRPr="002C3FF8">
        <w:rPr>
          <w:sz w:val="24"/>
          <w:szCs w:val="24"/>
        </w:rPr>
        <w:t>00 per pack quantity;</w:t>
      </w:r>
    </w:p>
    <w:p w14:paraId="0B9B03F3" w14:textId="77777777" w:rsidR="0041577E" w:rsidRPr="002C3FF8" w:rsidRDefault="0041577E" w:rsidP="0041577E">
      <w:pPr>
        <w:pStyle w:val="ListParagraph"/>
        <w:keepLines w:val="0"/>
        <w:numPr>
          <w:ilvl w:val="0"/>
          <w:numId w:val="5"/>
        </w:numPr>
        <w:spacing w:after="160" w:line="259" w:lineRule="auto"/>
        <w:jc w:val="left"/>
        <w:rPr>
          <w:sz w:val="24"/>
          <w:szCs w:val="24"/>
        </w:rPr>
      </w:pPr>
      <w:r w:rsidRPr="002C3FF8">
        <w:rPr>
          <w:sz w:val="24"/>
          <w:szCs w:val="24"/>
        </w:rPr>
        <w:t xml:space="preserve">Step 2: identify the </w:t>
      </w:r>
      <w:r w:rsidRPr="00821084">
        <w:rPr>
          <w:i/>
          <w:sz w:val="24"/>
          <w:szCs w:val="24"/>
        </w:rPr>
        <w:t>maximum quantity</w:t>
      </w:r>
      <w:r w:rsidRPr="002C3FF8">
        <w:rPr>
          <w:sz w:val="24"/>
          <w:szCs w:val="24"/>
        </w:rPr>
        <w:t xml:space="preserve"> of each listed brand of the pharmaceutical item: </w:t>
      </w:r>
      <w:r>
        <w:rPr>
          <w:sz w:val="24"/>
          <w:szCs w:val="24"/>
        </w:rPr>
        <w:t xml:space="preserve">in this example, the highest </w:t>
      </w:r>
      <w:r>
        <w:rPr>
          <w:i/>
          <w:sz w:val="24"/>
          <w:szCs w:val="24"/>
        </w:rPr>
        <w:t xml:space="preserve">maximum quantity </w:t>
      </w:r>
      <w:r>
        <w:rPr>
          <w:sz w:val="24"/>
          <w:szCs w:val="24"/>
        </w:rPr>
        <w:t>is one</w:t>
      </w:r>
      <w:r w:rsidRPr="002C3FF8">
        <w:rPr>
          <w:sz w:val="24"/>
          <w:szCs w:val="24"/>
        </w:rPr>
        <w:t>;</w:t>
      </w:r>
    </w:p>
    <w:p w14:paraId="54F34922" w14:textId="77777777" w:rsidR="0041577E" w:rsidRPr="002C3FF8" w:rsidRDefault="0041577E" w:rsidP="0041577E">
      <w:pPr>
        <w:pStyle w:val="ListParagraph"/>
        <w:keepLines w:val="0"/>
        <w:numPr>
          <w:ilvl w:val="0"/>
          <w:numId w:val="5"/>
        </w:numPr>
        <w:spacing w:after="160" w:line="259" w:lineRule="auto"/>
        <w:jc w:val="left"/>
        <w:rPr>
          <w:sz w:val="24"/>
          <w:szCs w:val="24"/>
        </w:rPr>
      </w:pPr>
      <w:r w:rsidRPr="002C3FF8">
        <w:rPr>
          <w:sz w:val="24"/>
          <w:szCs w:val="24"/>
        </w:rPr>
        <w:t xml:space="preserve">Step 3: identify the </w:t>
      </w:r>
      <w:r w:rsidRPr="00B15FF9">
        <w:rPr>
          <w:i/>
          <w:sz w:val="24"/>
          <w:szCs w:val="24"/>
        </w:rPr>
        <w:t>relevant quantity</w:t>
      </w:r>
      <w:r w:rsidRPr="002C3FF8">
        <w:rPr>
          <w:sz w:val="24"/>
          <w:szCs w:val="24"/>
        </w:rPr>
        <w:t xml:space="preserve">: the </w:t>
      </w:r>
      <w:r w:rsidRPr="00B15FF9">
        <w:rPr>
          <w:i/>
          <w:sz w:val="24"/>
          <w:szCs w:val="24"/>
        </w:rPr>
        <w:t>maximum quantity</w:t>
      </w:r>
      <w:r>
        <w:rPr>
          <w:sz w:val="24"/>
          <w:szCs w:val="24"/>
        </w:rPr>
        <w:t xml:space="preserve"> of one</w:t>
      </w:r>
      <w:r w:rsidRPr="002C3FF8">
        <w:rPr>
          <w:sz w:val="24"/>
          <w:szCs w:val="24"/>
        </w:rPr>
        <w:t xml:space="preserve"> is the highest </w:t>
      </w:r>
      <w:proofErr w:type="gramStart"/>
      <w:r w:rsidRPr="002C3FF8">
        <w:rPr>
          <w:sz w:val="24"/>
          <w:szCs w:val="24"/>
        </w:rPr>
        <w:t>whole</w:t>
      </w:r>
      <w:proofErr w:type="gramEnd"/>
      <w:r w:rsidRPr="002C3FF8">
        <w:rPr>
          <w:sz w:val="24"/>
          <w:szCs w:val="24"/>
        </w:rPr>
        <w:t xml:space="preserve"> number multiple of the pack quantity. As there is no </w:t>
      </w:r>
      <w:r w:rsidRPr="00B15FF9">
        <w:rPr>
          <w:i/>
          <w:sz w:val="24"/>
          <w:szCs w:val="24"/>
        </w:rPr>
        <w:t>determined quantity</w:t>
      </w:r>
      <w:r w:rsidRPr="002C3FF8">
        <w:rPr>
          <w:sz w:val="24"/>
          <w:szCs w:val="24"/>
        </w:rPr>
        <w:t xml:space="preserve">, </w:t>
      </w:r>
      <w:r>
        <w:rPr>
          <w:sz w:val="24"/>
          <w:szCs w:val="24"/>
          <w:u w:val="single"/>
        </w:rPr>
        <w:t>one</w:t>
      </w:r>
      <w:r w:rsidRPr="002C3FF8">
        <w:rPr>
          <w:sz w:val="24"/>
          <w:szCs w:val="24"/>
        </w:rPr>
        <w:t xml:space="preserve"> is the </w:t>
      </w:r>
      <w:r w:rsidRPr="00B15FF9">
        <w:rPr>
          <w:i/>
          <w:sz w:val="24"/>
          <w:szCs w:val="24"/>
        </w:rPr>
        <w:t>relevant quantity</w:t>
      </w:r>
      <w:r w:rsidRPr="002C3FF8">
        <w:rPr>
          <w:sz w:val="24"/>
          <w:szCs w:val="24"/>
        </w:rPr>
        <w:t xml:space="preserve">. </w:t>
      </w:r>
    </w:p>
    <w:p w14:paraId="14497E9D" w14:textId="77777777" w:rsidR="0041577E" w:rsidRPr="002C3FF8" w:rsidRDefault="0041577E" w:rsidP="0041577E">
      <w:pPr>
        <w:pStyle w:val="ListParagraph"/>
        <w:keepLines w:val="0"/>
        <w:numPr>
          <w:ilvl w:val="0"/>
          <w:numId w:val="5"/>
        </w:numPr>
        <w:spacing w:after="160" w:line="259" w:lineRule="auto"/>
        <w:jc w:val="left"/>
        <w:rPr>
          <w:sz w:val="24"/>
          <w:szCs w:val="24"/>
        </w:rPr>
      </w:pPr>
      <w:r w:rsidRPr="002C3FF8">
        <w:rPr>
          <w:sz w:val="24"/>
          <w:szCs w:val="24"/>
        </w:rPr>
        <w:t xml:space="preserve">Step 4: the </w:t>
      </w:r>
      <w:r w:rsidRPr="00B15FF9">
        <w:rPr>
          <w:i/>
          <w:sz w:val="24"/>
          <w:szCs w:val="24"/>
        </w:rPr>
        <w:t>ex-manufacturer price for the relevant quantity</w:t>
      </w:r>
      <w:r w:rsidRPr="002C3FF8">
        <w:rPr>
          <w:sz w:val="24"/>
          <w:szCs w:val="24"/>
        </w:rPr>
        <w:t xml:space="preserve"> is the </w:t>
      </w:r>
      <w:r w:rsidRPr="00B15FF9">
        <w:rPr>
          <w:i/>
          <w:sz w:val="24"/>
          <w:szCs w:val="24"/>
        </w:rPr>
        <w:t>relevant quantity</w:t>
      </w:r>
      <w:r w:rsidRPr="002C3FF8">
        <w:rPr>
          <w:sz w:val="24"/>
          <w:szCs w:val="24"/>
        </w:rPr>
        <w:t xml:space="preserve"> multiplied by the AEMP for the pack quantity. This is </w:t>
      </w:r>
      <w:proofErr w:type="gramStart"/>
      <w:r>
        <w:rPr>
          <w:sz w:val="24"/>
          <w:szCs w:val="24"/>
        </w:rPr>
        <w:t>1</w:t>
      </w:r>
      <w:proofErr w:type="gramEnd"/>
      <w:r>
        <w:rPr>
          <w:sz w:val="24"/>
          <w:szCs w:val="24"/>
        </w:rPr>
        <w:t xml:space="preserve"> x $100</w:t>
      </w:r>
      <w:r w:rsidRPr="002C3FF8">
        <w:rPr>
          <w:sz w:val="24"/>
          <w:szCs w:val="24"/>
        </w:rPr>
        <w:t xml:space="preserve"> = </w:t>
      </w:r>
      <w:r w:rsidRPr="002C3FF8">
        <w:rPr>
          <w:sz w:val="24"/>
          <w:szCs w:val="24"/>
          <w:u w:val="single"/>
        </w:rPr>
        <w:t>$</w:t>
      </w:r>
      <w:r>
        <w:rPr>
          <w:sz w:val="24"/>
          <w:szCs w:val="24"/>
          <w:u w:val="single"/>
        </w:rPr>
        <w:t>1</w:t>
      </w:r>
      <w:r w:rsidRPr="002C3FF8">
        <w:rPr>
          <w:sz w:val="24"/>
          <w:szCs w:val="24"/>
          <w:u w:val="single"/>
        </w:rPr>
        <w:t>00</w:t>
      </w:r>
      <w:r w:rsidRPr="002C3FF8">
        <w:rPr>
          <w:sz w:val="24"/>
          <w:szCs w:val="24"/>
        </w:rPr>
        <w:t xml:space="preserve">. </w:t>
      </w:r>
    </w:p>
    <w:p w14:paraId="628AF7AB" w14:textId="77777777" w:rsidR="0041577E" w:rsidRDefault="0041577E" w:rsidP="0041577E">
      <w:pPr>
        <w:rPr>
          <w:sz w:val="24"/>
          <w:szCs w:val="24"/>
        </w:rPr>
      </w:pPr>
      <w:r w:rsidRPr="002C3FF8">
        <w:rPr>
          <w:sz w:val="24"/>
          <w:szCs w:val="24"/>
        </w:rPr>
        <w:t xml:space="preserve">In this case, because the </w:t>
      </w:r>
      <w:r w:rsidRPr="00B15FF9">
        <w:rPr>
          <w:i/>
          <w:sz w:val="24"/>
          <w:szCs w:val="24"/>
        </w:rPr>
        <w:t>ex-manufacturer price for the relevant quantity</w:t>
      </w:r>
      <w:r w:rsidRPr="002C3FF8">
        <w:rPr>
          <w:sz w:val="24"/>
          <w:szCs w:val="24"/>
        </w:rPr>
        <w:t>,</w:t>
      </w:r>
      <w:r>
        <w:rPr>
          <w:sz w:val="24"/>
          <w:szCs w:val="24"/>
        </w:rPr>
        <w:t xml:space="preserve"> $100, is less than $930.00, section </w:t>
      </w:r>
      <w:proofErr w:type="gramStart"/>
      <w:r>
        <w:rPr>
          <w:sz w:val="24"/>
          <w:szCs w:val="24"/>
        </w:rPr>
        <w:t>11A(</w:t>
      </w:r>
      <w:proofErr w:type="gramEnd"/>
      <w:r>
        <w:rPr>
          <w:sz w:val="24"/>
          <w:szCs w:val="24"/>
        </w:rPr>
        <w:t xml:space="preserve">3) would apply and the </w:t>
      </w:r>
      <w:r>
        <w:rPr>
          <w:sz w:val="24"/>
          <w:szCs w:val="24"/>
          <w:u w:val="single"/>
        </w:rPr>
        <w:t>mark-up for the pack quantity of one</w:t>
      </w:r>
      <w:r>
        <w:rPr>
          <w:sz w:val="24"/>
          <w:szCs w:val="24"/>
        </w:rPr>
        <w:t xml:space="preserve"> is worked out as follows: $100 x </w:t>
      </w:r>
      <m:oMath>
        <m:f>
          <m:fPr>
            <m:ctrlPr>
              <w:rPr>
                <w:rFonts w:ascii="Cambria Math" w:hAnsi="Cambria Math"/>
                <w:i/>
                <w:sz w:val="24"/>
                <w:szCs w:val="24"/>
              </w:rPr>
            </m:ctrlPr>
          </m:fPr>
          <m:num>
            <m:r>
              <w:rPr>
                <w:rFonts w:ascii="Cambria Math" w:hAnsi="Cambria Math"/>
                <w:sz w:val="24"/>
                <w:szCs w:val="24"/>
              </w:rPr>
              <m:t>7.52</m:t>
            </m:r>
          </m:num>
          <m:den>
            <m:r>
              <w:rPr>
                <w:rFonts w:ascii="Cambria Math" w:hAnsi="Cambria Math"/>
                <w:sz w:val="24"/>
                <w:szCs w:val="24"/>
              </w:rPr>
              <m:t>100</m:t>
            </m:r>
          </m:den>
        </m:f>
      </m:oMath>
      <w:r>
        <w:rPr>
          <w:sz w:val="24"/>
          <w:szCs w:val="24"/>
        </w:rPr>
        <w:t xml:space="preserve"> = </w:t>
      </w:r>
      <w:r w:rsidRPr="00773872">
        <w:rPr>
          <w:b/>
          <w:sz w:val="24"/>
          <w:szCs w:val="24"/>
        </w:rPr>
        <w:t>$7.52</w:t>
      </w:r>
    </w:p>
    <w:p w14:paraId="084C4287" w14:textId="77777777" w:rsidR="0041577E" w:rsidRPr="002C3FF8" w:rsidRDefault="0041577E" w:rsidP="0041577E">
      <w:pPr>
        <w:rPr>
          <w:sz w:val="24"/>
          <w:szCs w:val="24"/>
        </w:rPr>
      </w:pPr>
      <w:r w:rsidRPr="002C3FF8">
        <w:rPr>
          <w:sz w:val="24"/>
          <w:szCs w:val="24"/>
        </w:rPr>
        <w:t>Section 11(1</w:t>
      </w:r>
      <w:proofErr w:type="gramStart"/>
      <w:r w:rsidRPr="002C3FF8">
        <w:rPr>
          <w:sz w:val="24"/>
          <w:szCs w:val="24"/>
        </w:rPr>
        <w:t>)(</w:t>
      </w:r>
      <w:proofErr w:type="gramEnd"/>
      <w:r>
        <w:rPr>
          <w:sz w:val="24"/>
          <w:szCs w:val="24"/>
        </w:rPr>
        <w:t>a)(</w:t>
      </w:r>
      <w:proofErr w:type="spellStart"/>
      <w:r>
        <w:rPr>
          <w:sz w:val="24"/>
          <w:szCs w:val="24"/>
        </w:rPr>
        <w:t>i</w:t>
      </w:r>
      <w:proofErr w:type="spellEnd"/>
      <w:r>
        <w:rPr>
          <w:sz w:val="24"/>
          <w:szCs w:val="24"/>
        </w:rPr>
        <w:t>)(C) refers to section 12</w:t>
      </w:r>
      <w:r w:rsidRPr="002C3FF8">
        <w:rPr>
          <w:sz w:val="24"/>
          <w:szCs w:val="24"/>
        </w:rPr>
        <w:t>, which calculates the private hospital mark-up. The calculation for section 12 is as follows:</w:t>
      </w:r>
    </w:p>
    <w:p w14:paraId="70A0DBA1" w14:textId="77777777" w:rsidR="0041577E" w:rsidRPr="002C3FF8" w:rsidRDefault="0041577E" w:rsidP="0041577E">
      <w:pPr>
        <w:rPr>
          <w:rFonts w:eastAsiaTheme="minorEastAsia"/>
          <w:sz w:val="24"/>
          <w:szCs w:val="24"/>
        </w:rPr>
      </w:pPr>
      <w:r w:rsidRPr="002C3FF8">
        <w:rPr>
          <w:sz w:val="24"/>
          <w:szCs w:val="24"/>
        </w:rPr>
        <w:t>The sum of sections 11(1</w:t>
      </w:r>
      <w:proofErr w:type="gramStart"/>
      <w:r w:rsidRPr="002C3FF8">
        <w:rPr>
          <w:sz w:val="24"/>
          <w:szCs w:val="24"/>
        </w:rPr>
        <w:t>)(</w:t>
      </w:r>
      <w:proofErr w:type="gramEnd"/>
      <w:r w:rsidRPr="002C3FF8">
        <w:rPr>
          <w:sz w:val="24"/>
          <w:szCs w:val="24"/>
        </w:rPr>
        <w:t>a)(</w:t>
      </w:r>
      <w:proofErr w:type="spellStart"/>
      <w:r w:rsidRPr="002C3FF8">
        <w:rPr>
          <w:sz w:val="24"/>
          <w:szCs w:val="24"/>
        </w:rPr>
        <w:t>i</w:t>
      </w:r>
      <w:proofErr w:type="spellEnd"/>
      <w:r w:rsidRPr="002C3FF8">
        <w:rPr>
          <w:sz w:val="24"/>
          <w:szCs w:val="24"/>
        </w:rPr>
        <w:t>)(A) and 11(1)(a)(</w:t>
      </w:r>
      <w:proofErr w:type="spellStart"/>
      <w:r w:rsidRPr="002C3FF8">
        <w:rPr>
          <w:sz w:val="24"/>
          <w:szCs w:val="24"/>
        </w:rPr>
        <w:t>i</w:t>
      </w:r>
      <w:proofErr w:type="spellEnd"/>
      <w:r w:rsidRPr="002C3FF8">
        <w:rPr>
          <w:sz w:val="24"/>
          <w:szCs w:val="24"/>
        </w:rPr>
        <w:t>)(B) = $</w:t>
      </w:r>
      <w:r>
        <w:rPr>
          <w:rFonts w:eastAsiaTheme="minorEastAsia"/>
          <w:sz w:val="24"/>
          <w:szCs w:val="24"/>
        </w:rPr>
        <w:t>107.52</w:t>
      </w:r>
      <w:r w:rsidRPr="002C3FF8">
        <w:rPr>
          <w:rFonts w:eastAsiaTheme="minorEastAsia"/>
          <w:sz w:val="24"/>
          <w:szCs w:val="24"/>
        </w:rPr>
        <w:t xml:space="preserve">.  </w:t>
      </w:r>
    </w:p>
    <w:p w14:paraId="66169E3B" w14:textId="77777777" w:rsidR="0041577E" w:rsidRPr="002C3FF8" w:rsidRDefault="0041577E" w:rsidP="0041577E">
      <w:pPr>
        <w:rPr>
          <w:sz w:val="24"/>
          <w:szCs w:val="24"/>
        </w:rPr>
      </w:pPr>
      <w:r w:rsidRPr="002C3FF8">
        <w:rPr>
          <w:rFonts w:eastAsiaTheme="minorEastAsia"/>
          <w:sz w:val="24"/>
          <w:szCs w:val="24"/>
        </w:rPr>
        <w:t xml:space="preserve">The private hospital mark-up = </w:t>
      </w:r>
      <w:r w:rsidRPr="002C3FF8">
        <w:rPr>
          <w:sz w:val="24"/>
          <w:szCs w:val="24"/>
        </w:rPr>
        <w:t>$</w:t>
      </w:r>
      <w:r>
        <w:rPr>
          <w:rFonts w:eastAsiaTheme="minorEastAsia"/>
          <w:sz w:val="24"/>
          <w:szCs w:val="24"/>
        </w:rPr>
        <w:t>107.52</w:t>
      </w:r>
      <w:r w:rsidRPr="002C3FF8">
        <w:rPr>
          <w:rFonts w:eastAsiaTheme="minorEastAsia"/>
          <w:b/>
          <w:sz w:val="24"/>
          <w:szCs w:val="24"/>
        </w:rPr>
        <w:t xml:space="preserve"> </w:t>
      </w:r>
      <w:r w:rsidRPr="002C3FF8">
        <w:rPr>
          <w:rFonts w:eastAsiaTheme="minorEastAsia"/>
          <w:sz w:val="24"/>
          <w:szCs w:val="24"/>
        </w:rPr>
        <w:t xml:space="preserve">x </w:t>
      </w:r>
      <m:oMath>
        <m:f>
          <m:fPr>
            <m:ctrlPr>
              <w:rPr>
                <w:rFonts w:ascii="Cambria Math" w:eastAsiaTheme="minorEastAsia" w:hAnsi="Cambria Math"/>
                <w:sz w:val="24"/>
                <w:szCs w:val="24"/>
              </w:rPr>
            </m:ctrlPr>
          </m:fPr>
          <m:num>
            <m:r>
              <w:rPr>
                <w:rFonts w:ascii="Cambria Math" w:eastAsiaTheme="minorEastAsia" w:hAnsi="Cambria Math"/>
                <w:sz w:val="24"/>
                <w:szCs w:val="24"/>
              </w:rPr>
              <m:t>1.4</m:t>
            </m:r>
          </m:num>
          <m:den>
            <m:r>
              <w:rPr>
                <w:rFonts w:ascii="Cambria Math" w:eastAsiaTheme="minorEastAsia" w:hAnsi="Cambria Math"/>
                <w:sz w:val="24"/>
                <w:szCs w:val="24"/>
              </w:rPr>
              <m:t>100</m:t>
            </m:r>
          </m:den>
        </m:f>
      </m:oMath>
      <w:r w:rsidRPr="002C3FF8">
        <w:rPr>
          <w:rFonts w:eastAsiaTheme="minorEastAsia"/>
          <w:sz w:val="24"/>
          <w:szCs w:val="24"/>
        </w:rPr>
        <w:t xml:space="preserve"> = </w:t>
      </w:r>
      <w:r>
        <w:rPr>
          <w:rFonts w:eastAsiaTheme="minorEastAsia"/>
          <w:b/>
          <w:sz w:val="24"/>
          <w:szCs w:val="24"/>
        </w:rPr>
        <w:t>$1.51</w:t>
      </w:r>
      <w:r w:rsidRPr="002C3FF8">
        <w:rPr>
          <w:rFonts w:eastAsiaTheme="minorEastAsia"/>
          <w:sz w:val="24"/>
          <w:szCs w:val="24"/>
        </w:rPr>
        <w:t xml:space="preserve">. </w:t>
      </w:r>
    </w:p>
    <w:p w14:paraId="56855B66" w14:textId="77777777" w:rsidR="0059044A" w:rsidRDefault="0059044A" w:rsidP="0041577E">
      <w:pPr>
        <w:keepLines w:val="0"/>
        <w:spacing w:after="160" w:line="259" w:lineRule="auto"/>
        <w:jc w:val="left"/>
        <w:rPr>
          <w:b/>
          <w:sz w:val="24"/>
          <w:szCs w:val="24"/>
        </w:rPr>
      </w:pPr>
    </w:p>
    <w:p w14:paraId="69588B10" w14:textId="604BC9B0" w:rsidR="0041577E" w:rsidRPr="0041577E" w:rsidRDefault="0041577E" w:rsidP="0041577E">
      <w:pPr>
        <w:keepLines w:val="0"/>
        <w:spacing w:after="160" w:line="259" w:lineRule="auto"/>
        <w:jc w:val="left"/>
        <w:rPr>
          <w:b/>
          <w:sz w:val="24"/>
          <w:szCs w:val="24"/>
        </w:rPr>
      </w:pPr>
      <w:r w:rsidRPr="0041577E">
        <w:rPr>
          <w:b/>
          <w:sz w:val="24"/>
          <w:szCs w:val="24"/>
        </w:rPr>
        <w:t>Example 2: Where the AEMP for the relevant quantity is under $930.00 and the quantity of the benefit supplied is less than a pack quantity of the benefit</w:t>
      </w:r>
    </w:p>
    <w:p w14:paraId="04DBC699" w14:textId="77777777" w:rsidR="0041577E" w:rsidRPr="002C3FF8" w:rsidRDefault="0041577E" w:rsidP="0041577E">
      <w:pPr>
        <w:rPr>
          <w:sz w:val="24"/>
          <w:szCs w:val="24"/>
        </w:rPr>
      </w:pPr>
      <w:r w:rsidRPr="002C3FF8">
        <w:rPr>
          <w:sz w:val="24"/>
          <w:szCs w:val="24"/>
        </w:rPr>
        <w:t xml:space="preserve">A private hospital pharmacist wishes </w:t>
      </w:r>
      <w:r>
        <w:rPr>
          <w:sz w:val="24"/>
          <w:szCs w:val="24"/>
        </w:rPr>
        <w:t>to supply a pack quantity of 0.5</w:t>
      </w:r>
      <w:r w:rsidRPr="002C3FF8">
        <w:rPr>
          <w:sz w:val="24"/>
          <w:szCs w:val="24"/>
        </w:rPr>
        <w:t xml:space="preserve">. </w:t>
      </w:r>
      <w:r>
        <w:rPr>
          <w:sz w:val="24"/>
          <w:szCs w:val="24"/>
        </w:rPr>
        <w:t>In this example,</w:t>
      </w:r>
      <w:r w:rsidRPr="002C3FF8">
        <w:rPr>
          <w:sz w:val="24"/>
          <w:szCs w:val="24"/>
        </w:rPr>
        <w:t xml:space="preserve"> the AEMP </w:t>
      </w:r>
      <w:r>
        <w:rPr>
          <w:sz w:val="24"/>
          <w:szCs w:val="24"/>
        </w:rPr>
        <w:t>for a pack quantity of one is $1</w:t>
      </w:r>
      <w:r w:rsidRPr="002C3FF8">
        <w:rPr>
          <w:sz w:val="24"/>
          <w:szCs w:val="24"/>
        </w:rPr>
        <w:t>00, a dangerous drug fee under secti</w:t>
      </w:r>
      <w:r>
        <w:rPr>
          <w:sz w:val="24"/>
          <w:szCs w:val="24"/>
        </w:rPr>
        <w:t>on 11(1</w:t>
      </w:r>
      <w:proofErr w:type="gramStart"/>
      <w:r>
        <w:rPr>
          <w:sz w:val="24"/>
          <w:szCs w:val="24"/>
        </w:rPr>
        <w:t>)(</w:t>
      </w:r>
      <w:proofErr w:type="gramEnd"/>
      <w:r>
        <w:rPr>
          <w:sz w:val="24"/>
          <w:szCs w:val="24"/>
        </w:rPr>
        <w:t>a)(iii) does not apply and</w:t>
      </w:r>
      <w:r w:rsidRPr="002C3FF8">
        <w:rPr>
          <w:sz w:val="24"/>
          <w:szCs w:val="24"/>
        </w:rPr>
        <w:t xml:space="preserve"> the dispensed price for a supply under section 11(1)(</w:t>
      </w:r>
      <w:r>
        <w:rPr>
          <w:sz w:val="24"/>
          <w:szCs w:val="24"/>
        </w:rPr>
        <w:t>b</w:t>
      </w:r>
      <w:r w:rsidRPr="002C3FF8">
        <w:rPr>
          <w:sz w:val="24"/>
          <w:szCs w:val="24"/>
        </w:rPr>
        <w:t>) is the sum of the following:</w:t>
      </w:r>
    </w:p>
    <w:tbl>
      <w:tblPr>
        <w:tblStyle w:val="TableGrid"/>
        <w:tblW w:w="9049" w:type="dxa"/>
        <w:tblLook w:val="04A0" w:firstRow="1" w:lastRow="0" w:firstColumn="1" w:lastColumn="0" w:noHBand="0" w:noVBand="1"/>
      </w:tblPr>
      <w:tblGrid>
        <w:gridCol w:w="2400"/>
        <w:gridCol w:w="5533"/>
        <w:gridCol w:w="1116"/>
      </w:tblGrid>
      <w:tr w:rsidR="0041577E" w:rsidRPr="002C3FF8" w14:paraId="106C3306" w14:textId="77777777" w:rsidTr="00E7234B">
        <w:tc>
          <w:tcPr>
            <w:tcW w:w="2400" w:type="dxa"/>
          </w:tcPr>
          <w:p w14:paraId="7E5E90A1" w14:textId="77777777" w:rsidR="0041577E" w:rsidRPr="002C3FF8" w:rsidRDefault="0041577E" w:rsidP="00E7234B">
            <w:pPr>
              <w:rPr>
                <w:sz w:val="24"/>
                <w:szCs w:val="24"/>
              </w:rPr>
            </w:pPr>
            <w:r w:rsidRPr="002C3FF8">
              <w:rPr>
                <w:sz w:val="24"/>
                <w:szCs w:val="24"/>
              </w:rPr>
              <w:lastRenderedPageBreak/>
              <w:t>Section 11(1)(</w:t>
            </w:r>
            <w:r>
              <w:rPr>
                <w:sz w:val="24"/>
                <w:szCs w:val="24"/>
              </w:rPr>
              <w:t>b</w:t>
            </w:r>
            <w:r w:rsidRPr="002C3FF8">
              <w:rPr>
                <w:sz w:val="24"/>
                <w:szCs w:val="24"/>
              </w:rPr>
              <w:t>)(</w:t>
            </w:r>
            <w:proofErr w:type="spellStart"/>
            <w:r w:rsidRPr="002C3FF8">
              <w:rPr>
                <w:sz w:val="24"/>
                <w:szCs w:val="24"/>
              </w:rPr>
              <w:t>i</w:t>
            </w:r>
            <w:proofErr w:type="spellEnd"/>
            <w:r w:rsidRPr="002C3FF8">
              <w:rPr>
                <w:sz w:val="24"/>
                <w:szCs w:val="24"/>
              </w:rPr>
              <w:t>)</w:t>
            </w:r>
          </w:p>
        </w:tc>
        <w:tc>
          <w:tcPr>
            <w:tcW w:w="5533" w:type="dxa"/>
          </w:tcPr>
          <w:p w14:paraId="0CDF6169" w14:textId="77777777" w:rsidR="0041577E" w:rsidRPr="002C3FF8" w:rsidRDefault="0041577E" w:rsidP="00E7234B">
            <w:pPr>
              <w:rPr>
                <w:sz w:val="24"/>
                <w:szCs w:val="24"/>
              </w:rPr>
            </w:pPr>
            <w:r>
              <w:rPr>
                <w:sz w:val="24"/>
                <w:szCs w:val="24"/>
              </w:rPr>
              <w:t>The amount worked out under section 14</w:t>
            </w:r>
          </w:p>
        </w:tc>
        <w:tc>
          <w:tcPr>
            <w:tcW w:w="1116" w:type="dxa"/>
          </w:tcPr>
          <w:p w14:paraId="70A8A26D" w14:textId="77777777" w:rsidR="0041577E" w:rsidRPr="002C3FF8" w:rsidRDefault="0041577E" w:rsidP="00E7234B">
            <w:pPr>
              <w:rPr>
                <w:sz w:val="24"/>
                <w:szCs w:val="24"/>
              </w:rPr>
            </w:pPr>
            <w:r>
              <w:rPr>
                <w:sz w:val="24"/>
                <w:szCs w:val="24"/>
              </w:rPr>
              <w:t>$67.60</w:t>
            </w:r>
          </w:p>
        </w:tc>
      </w:tr>
      <w:tr w:rsidR="0041577E" w:rsidRPr="002C3FF8" w14:paraId="4B9F9D55" w14:textId="77777777" w:rsidTr="00E7234B">
        <w:tc>
          <w:tcPr>
            <w:tcW w:w="2400" w:type="dxa"/>
          </w:tcPr>
          <w:p w14:paraId="21EE37BC" w14:textId="77777777" w:rsidR="0041577E" w:rsidRPr="002C3FF8" w:rsidRDefault="0041577E" w:rsidP="00E7234B">
            <w:pPr>
              <w:rPr>
                <w:sz w:val="24"/>
                <w:szCs w:val="24"/>
              </w:rPr>
            </w:pPr>
            <w:r w:rsidRPr="002C3FF8">
              <w:rPr>
                <w:sz w:val="24"/>
                <w:szCs w:val="24"/>
              </w:rPr>
              <w:t>Section 11(1)(</w:t>
            </w:r>
            <w:r>
              <w:rPr>
                <w:sz w:val="24"/>
                <w:szCs w:val="24"/>
              </w:rPr>
              <w:t>b</w:t>
            </w:r>
            <w:r w:rsidRPr="002C3FF8">
              <w:rPr>
                <w:sz w:val="24"/>
                <w:szCs w:val="24"/>
              </w:rPr>
              <w:t>)(</w:t>
            </w:r>
            <w:r>
              <w:rPr>
                <w:sz w:val="24"/>
                <w:szCs w:val="24"/>
              </w:rPr>
              <w:t>i</w:t>
            </w:r>
            <w:r w:rsidRPr="002C3FF8">
              <w:rPr>
                <w:sz w:val="24"/>
                <w:szCs w:val="24"/>
              </w:rPr>
              <w:t>i)</w:t>
            </w:r>
          </w:p>
        </w:tc>
        <w:tc>
          <w:tcPr>
            <w:tcW w:w="5533" w:type="dxa"/>
          </w:tcPr>
          <w:p w14:paraId="4ADCF6DF" w14:textId="77777777" w:rsidR="0041577E" w:rsidRPr="002C3FF8" w:rsidRDefault="0041577E" w:rsidP="00E7234B">
            <w:pPr>
              <w:rPr>
                <w:sz w:val="24"/>
                <w:szCs w:val="24"/>
              </w:rPr>
            </w:pPr>
            <w:r>
              <w:rPr>
                <w:sz w:val="24"/>
                <w:szCs w:val="24"/>
              </w:rPr>
              <w:t>A read-prepared dispensing fee</w:t>
            </w:r>
          </w:p>
        </w:tc>
        <w:tc>
          <w:tcPr>
            <w:tcW w:w="1116" w:type="dxa"/>
          </w:tcPr>
          <w:p w14:paraId="19F79F1B" w14:textId="77777777" w:rsidR="0041577E" w:rsidRPr="002C3FF8" w:rsidRDefault="0041577E" w:rsidP="00E7234B">
            <w:pPr>
              <w:rPr>
                <w:rFonts w:eastAsiaTheme="minorEastAsia"/>
                <w:sz w:val="24"/>
                <w:szCs w:val="24"/>
              </w:rPr>
            </w:pPr>
            <w:r w:rsidRPr="002C3FF8">
              <w:rPr>
                <w:rFonts w:eastAsiaTheme="minorEastAsia"/>
                <w:sz w:val="24"/>
                <w:szCs w:val="24"/>
              </w:rPr>
              <w:t>$7.29</w:t>
            </w:r>
          </w:p>
        </w:tc>
      </w:tr>
      <w:tr w:rsidR="0041577E" w:rsidRPr="002C3FF8" w14:paraId="2968BF81" w14:textId="77777777" w:rsidTr="00E7234B">
        <w:tc>
          <w:tcPr>
            <w:tcW w:w="2400" w:type="dxa"/>
          </w:tcPr>
          <w:p w14:paraId="4563AD81" w14:textId="77777777" w:rsidR="0041577E" w:rsidRPr="002C3FF8" w:rsidRDefault="0041577E" w:rsidP="00E7234B">
            <w:pPr>
              <w:rPr>
                <w:sz w:val="24"/>
                <w:szCs w:val="24"/>
              </w:rPr>
            </w:pPr>
            <w:r>
              <w:rPr>
                <w:sz w:val="24"/>
                <w:szCs w:val="24"/>
              </w:rPr>
              <w:t>Section 11(1)(b</w:t>
            </w:r>
            <w:r w:rsidRPr="002C3FF8">
              <w:rPr>
                <w:sz w:val="24"/>
                <w:szCs w:val="24"/>
              </w:rPr>
              <w:t>)(</w:t>
            </w:r>
            <w:r>
              <w:rPr>
                <w:sz w:val="24"/>
                <w:szCs w:val="24"/>
              </w:rPr>
              <w:t>iii</w:t>
            </w:r>
            <w:r w:rsidRPr="002C3FF8">
              <w:rPr>
                <w:sz w:val="24"/>
                <w:szCs w:val="24"/>
              </w:rPr>
              <w:t>)</w:t>
            </w:r>
          </w:p>
        </w:tc>
        <w:tc>
          <w:tcPr>
            <w:tcW w:w="5533" w:type="dxa"/>
          </w:tcPr>
          <w:p w14:paraId="1C040FB9" w14:textId="77777777" w:rsidR="0041577E" w:rsidRPr="002C3FF8" w:rsidRDefault="0041577E" w:rsidP="00E7234B">
            <w:pPr>
              <w:rPr>
                <w:sz w:val="24"/>
                <w:szCs w:val="24"/>
              </w:rPr>
            </w:pPr>
            <w:r>
              <w:rPr>
                <w:sz w:val="24"/>
                <w:szCs w:val="24"/>
              </w:rPr>
              <w:t>Dangerous drug fee</w:t>
            </w:r>
          </w:p>
        </w:tc>
        <w:tc>
          <w:tcPr>
            <w:tcW w:w="1116" w:type="dxa"/>
          </w:tcPr>
          <w:p w14:paraId="62DBE839" w14:textId="77777777" w:rsidR="0041577E" w:rsidRPr="002C3FF8" w:rsidRDefault="0041577E" w:rsidP="00E7234B">
            <w:pPr>
              <w:rPr>
                <w:rFonts w:eastAsiaTheme="minorEastAsia"/>
                <w:sz w:val="24"/>
                <w:szCs w:val="24"/>
              </w:rPr>
            </w:pPr>
            <w:r>
              <w:rPr>
                <w:rFonts w:eastAsiaTheme="minorEastAsia"/>
                <w:sz w:val="24"/>
                <w:szCs w:val="24"/>
              </w:rPr>
              <w:t>n/a</w:t>
            </w:r>
          </w:p>
        </w:tc>
      </w:tr>
      <w:tr w:rsidR="0041577E" w:rsidRPr="002C3FF8" w14:paraId="10AA595B" w14:textId="77777777" w:rsidTr="00E7234B">
        <w:tc>
          <w:tcPr>
            <w:tcW w:w="2400" w:type="dxa"/>
          </w:tcPr>
          <w:p w14:paraId="328787D0" w14:textId="77777777" w:rsidR="0041577E" w:rsidRPr="002C3FF8" w:rsidRDefault="0041577E" w:rsidP="00E7234B">
            <w:pPr>
              <w:rPr>
                <w:sz w:val="24"/>
                <w:szCs w:val="24"/>
              </w:rPr>
            </w:pPr>
          </w:p>
        </w:tc>
        <w:tc>
          <w:tcPr>
            <w:tcW w:w="5533" w:type="dxa"/>
          </w:tcPr>
          <w:p w14:paraId="14720923" w14:textId="77777777" w:rsidR="0041577E" w:rsidRPr="002C3FF8" w:rsidRDefault="0041577E" w:rsidP="00E7234B">
            <w:pPr>
              <w:jc w:val="right"/>
              <w:rPr>
                <w:b/>
                <w:sz w:val="24"/>
                <w:szCs w:val="24"/>
              </w:rPr>
            </w:pPr>
            <w:r w:rsidRPr="002C3FF8">
              <w:rPr>
                <w:b/>
                <w:sz w:val="24"/>
                <w:szCs w:val="24"/>
              </w:rPr>
              <w:t xml:space="preserve">Dispensed price </w:t>
            </w:r>
            <w:r>
              <w:rPr>
                <w:b/>
                <w:sz w:val="24"/>
                <w:szCs w:val="24"/>
              </w:rPr>
              <w:t>for a supply of a quantity of 0.5</w:t>
            </w:r>
          </w:p>
        </w:tc>
        <w:tc>
          <w:tcPr>
            <w:tcW w:w="1116" w:type="dxa"/>
          </w:tcPr>
          <w:p w14:paraId="75D53DA2" w14:textId="77777777" w:rsidR="0041577E" w:rsidRPr="002C3FF8" w:rsidRDefault="0041577E" w:rsidP="00E7234B">
            <w:pPr>
              <w:rPr>
                <w:rFonts w:eastAsiaTheme="minorEastAsia"/>
                <w:b/>
                <w:sz w:val="24"/>
                <w:szCs w:val="24"/>
              </w:rPr>
            </w:pPr>
            <w:r w:rsidRPr="002C3FF8">
              <w:rPr>
                <w:rFonts w:eastAsiaTheme="minorEastAsia"/>
                <w:b/>
                <w:sz w:val="24"/>
                <w:szCs w:val="24"/>
              </w:rPr>
              <w:t>$</w:t>
            </w:r>
            <w:r w:rsidRPr="00874300">
              <w:rPr>
                <w:rFonts w:eastAsiaTheme="minorEastAsia"/>
                <w:b/>
                <w:sz w:val="24"/>
                <w:szCs w:val="24"/>
              </w:rPr>
              <w:t>75.12</w:t>
            </w:r>
          </w:p>
        </w:tc>
      </w:tr>
    </w:tbl>
    <w:p w14:paraId="7232A1F1" w14:textId="77777777" w:rsidR="0041577E" w:rsidRDefault="0041577E" w:rsidP="0041577E">
      <w:pPr>
        <w:rPr>
          <w:sz w:val="24"/>
          <w:szCs w:val="24"/>
        </w:rPr>
      </w:pPr>
    </w:p>
    <w:p w14:paraId="1B7B88FF" w14:textId="77777777" w:rsidR="0041577E" w:rsidRDefault="0041577E" w:rsidP="0041577E">
      <w:pPr>
        <w:rPr>
          <w:rFonts w:eastAsiaTheme="minorEastAsia"/>
          <w:sz w:val="24"/>
          <w:szCs w:val="24"/>
        </w:rPr>
      </w:pPr>
      <w:r>
        <w:rPr>
          <w:sz w:val="24"/>
          <w:szCs w:val="24"/>
        </w:rPr>
        <w:t xml:space="preserve">Section 14 outlines the </w:t>
      </w:r>
      <w:r w:rsidRPr="002C3FF8">
        <w:rPr>
          <w:rFonts w:eastAsiaTheme="minorEastAsia"/>
          <w:sz w:val="24"/>
          <w:szCs w:val="24"/>
        </w:rPr>
        <w:t xml:space="preserve">method statement for calculating the dispensed price for broken quantities. </w:t>
      </w:r>
      <w:r>
        <w:rPr>
          <w:rFonts w:eastAsiaTheme="minorEastAsia"/>
          <w:sz w:val="24"/>
          <w:szCs w:val="24"/>
        </w:rPr>
        <w:t>T</w:t>
      </w:r>
      <w:r w:rsidRPr="002C3FF8">
        <w:rPr>
          <w:rFonts w:eastAsiaTheme="minorEastAsia"/>
          <w:sz w:val="24"/>
          <w:szCs w:val="24"/>
        </w:rPr>
        <w:t>he calculation for the broken quantity of 0.5 under section 14 is as follows:</w:t>
      </w:r>
    </w:p>
    <w:p w14:paraId="6D436E95" w14:textId="77777777" w:rsidR="0041577E" w:rsidRDefault="0041577E" w:rsidP="0041577E">
      <w:pPr>
        <w:pStyle w:val="ListParagraph"/>
        <w:numPr>
          <w:ilvl w:val="0"/>
          <w:numId w:val="5"/>
        </w:numPr>
        <w:rPr>
          <w:rFonts w:eastAsiaTheme="minorEastAsia"/>
          <w:sz w:val="24"/>
          <w:szCs w:val="24"/>
        </w:rPr>
      </w:pPr>
      <w:r>
        <w:rPr>
          <w:rFonts w:eastAsiaTheme="minorEastAsia"/>
          <w:sz w:val="24"/>
          <w:szCs w:val="24"/>
        </w:rPr>
        <w:t xml:space="preserve">Step 1: </w:t>
      </w:r>
      <w:r w:rsidRPr="002C3FF8">
        <w:rPr>
          <w:rFonts w:eastAsiaTheme="minorEastAsia"/>
          <w:sz w:val="24"/>
          <w:szCs w:val="24"/>
        </w:rPr>
        <w:t>add together the AEMP for the pack quantity, the storage and handling mark-up as worked out under section 11A for the pack quantity and the mark-up worked out und</w:t>
      </w:r>
      <w:r>
        <w:rPr>
          <w:rFonts w:eastAsiaTheme="minorEastAsia"/>
          <w:sz w:val="24"/>
          <w:szCs w:val="24"/>
        </w:rPr>
        <w:t>er section 12. This is $100 + $7.52 + $1.51 = $</w:t>
      </w:r>
      <w:r w:rsidRPr="00300F8C">
        <w:rPr>
          <w:rFonts w:eastAsiaTheme="minorEastAsia"/>
          <w:sz w:val="24"/>
          <w:szCs w:val="24"/>
        </w:rPr>
        <w:t>109.03</w:t>
      </w:r>
      <w:r>
        <w:rPr>
          <w:rFonts w:eastAsiaTheme="minorEastAsia"/>
          <w:sz w:val="24"/>
          <w:szCs w:val="24"/>
        </w:rPr>
        <w:t xml:space="preserve"> </w:t>
      </w:r>
    </w:p>
    <w:p w14:paraId="4EF64310" w14:textId="77777777" w:rsidR="0041577E" w:rsidRPr="00300F8C" w:rsidRDefault="0041577E" w:rsidP="0041577E">
      <w:pPr>
        <w:pStyle w:val="ListParagraph"/>
        <w:numPr>
          <w:ilvl w:val="0"/>
          <w:numId w:val="5"/>
        </w:numPr>
        <w:rPr>
          <w:rFonts w:eastAsiaTheme="minorEastAsia"/>
          <w:sz w:val="24"/>
          <w:szCs w:val="24"/>
        </w:rPr>
      </w:pPr>
      <w:r w:rsidRPr="00300F8C">
        <w:rPr>
          <w:rFonts w:eastAsiaTheme="minorEastAsia"/>
          <w:sz w:val="24"/>
          <w:szCs w:val="24"/>
        </w:rPr>
        <w:t>Step 2: divide the quantity or number of units in the broken quantity by the pack quantity and express as a percentage. In this case, 0.5 = 50%</w:t>
      </w:r>
    </w:p>
    <w:p w14:paraId="58779D3E" w14:textId="77777777" w:rsidR="0041577E" w:rsidRPr="002C3FF8" w:rsidRDefault="0041577E" w:rsidP="0041577E">
      <w:pPr>
        <w:pStyle w:val="ListParagraph"/>
        <w:keepLines w:val="0"/>
        <w:numPr>
          <w:ilvl w:val="0"/>
          <w:numId w:val="5"/>
        </w:numPr>
        <w:spacing w:after="160" w:line="259" w:lineRule="auto"/>
        <w:jc w:val="left"/>
        <w:rPr>
          <w:rFonts w:eastAsiaTheme="minorEastAsia"/>
          <w:sz w:val="24"/>
          <w:szCs w:val="24"/>
        </w:rPr>
      </w:pPr>
      <w:r w:rsidRPr="002C3FF8">
        <w:rPr>
          <w:rFonts w:eastAsiaTheme="minorEastAsia"/>
          <w:sz w:val="24"/>
          <w:szCs w:val="24"/>
        </w:rPr>
        <w:t xml:space="preserve">Step 3: referring to the table in the Determination, select the percentage amount in column 2. In this case, 50% </w:t>
      </w:r>
      <w:proofErr w:type="gramStart"/>
      <w:r w:rsidRPr="002C3FF8">
        <w:rPr>
          <w:rFonts w:eastAsiaTheme="minorEastAsia"/>
          <w:sz w:val="24"/>
          <w:szCs w:val="24"/>
        </w:rPr>
        <w:t>is matched</w:t>
      </w:r>
      <w:proofErr w:type="gramEnd"/>
      <w:r w:rsidRPr="002C3FF8">
        <w:rPr>
          <w:rFonts w:eastAsiaTheme="minorEastAsia"/>
          <w:sz w:val="24"/>
          <w:szCs w:val="24"/>
        </w:rPr>
        <w:t xml:space="preserve"> with column 2 = 62%.</w:t>
      </w:r>
    </w:p>
    <w:p w14:paraId="7FD84AF5" w14:textId="77777777" w:rsidR="0041577E" w:rsidRPr="002C3FF8" w:rsidRDefault="0041577E" w:rsidP="0041577E">
      <w:pPr>
        <w:pStyle w:val="ListParagraph"/>
        <w:keepLines w:val="0"/>
        <w:numPr>
          <w:ilvl w:val="0"/>
          <w:numId w:val="5"/>
        </w:numPr>
        <w:spacing w:after="160" w:line="259" w:lineRule="auto"/>
        <w:jc w:val="left"/>
        <w:rPr>
          <w:rFonts w:eastAsiaTheme="minorEastAsia"/>
          <w:sz w:val="24"/>
          <w:szCs w:val="24"/>
        </w:rPr>
      </w:pPr>
      <w:r w:rsidRPr="002C3FF8">
        <w:rPr>
          <w:rFonts w:eastAsiaTheme="minorEastAsia"/>
          <w:sz w:val="24"/>
          <w:szCs w:val="24"/>
        </w:rPr>
        <w:t>Step 4: multiply the amount worked out under step 3 by the amou</w:t>
      </w:r>
      <w:r>
        <w:rPr>
          <w:rFonts w:eastAsiaTheme="minorEastAsia"/>
          <w:sz w:val="24"/>
          <w:szCs w:val="24"/>
        </w:rPr>
        <w:t>nt worked out in step 1. $</w:t>
      </w:r>
      <w:r w:rsidRPr="00300F8C">
        <w:rPr>
          <w:rFonts w:eastAsiaTheme="minorEastAsia"/>
          <w:sz w:val="24"/>
          <w:szCs w:val="24"/>
        </w:rPr>
        <w:t>109.03</w:t>
      </w:r>
      <w:r w:rsidRPr="002C3FF8">
        <w:rPr>
          <w:rFonts w:eastAsiaTheme="minorEastAsia"/>
          <w:sz w:val="24"/>
          <w:szCs w:val="24"/>
        </w:rPr>
        <w:t xml:space="preserve"> x </w:t>
      </w:r>
      <m:oMath>
        <m:f>
          <m:fPr>
            <m:ctrlPr>
              <w:rPr>
                <w:rFonts w:ascii="Cambria Math" w:eastAsiaTheme="minorEastAsia" w:hAnsi="Cambria Math"/>
                <w:sz w:val="24"/>
                <w:szCs w:val="24"/>
              </w:rPr>
            </m:ctrlPr>
          </m:fPr>
          <m:num>
            <m:r>
              <w:rPr>
                <w:rFonts w:ascii="Cambria Math" w:eastAsiaTheme="minorEastAsia" w:hAnsi="Cambria Math"/>
                <w:sz w:val="24"/>
                <w:szCs w:val="24"/>
              </w:rPr>
              <m:t>62</m:t>
            </m:r>
          </m:num>
          <m:den>
            <m:r>
              <w:rPr>
                <w:rFonts w:ascii="Cambria Math" w:eastAsiaTheme="minorEastAsia" w:hAnsi="Cambria Math"/>
                <w:sz w:val="24"/>
                <w:szCs w:val="24"/>
              </w:rPr>
              <m:t>100</m:t>
            </m:r>
          </m:den>
        </m:f>
      </m:oMath>
      <w:r w:rsidRPr="002C3FF8">
        <w:rPr>
          <w:rFonts w:eastAsiaTheme="minorEastAsia"/>
          <w:sz w:val="24"/>
          <w:szCs w:val="24"/>
        </w:rPr>
        <w:t xml:space="preserve"> = </w:t>
      </w:r>
      <w:r w:rsidRPr="002C3FF8">
        <w:rPr>
          <w:rFonts w:eastAsiaTheme="minorEastAsia"/>
          <w:b/>
          <w:sz w:val="24"/>
          <w:szCs w:val="24"/>
        </w:rPr>
        <w:t>$</w:t>
      </w:r>
      <w:r>
        <w:rPr>
          <w:rFonts w:eastAsiaTheme="minorEastAsia"/>
          <w:b/>
          <w:sz w:val="24"/>
          <w:szCs w:val="24"/>
        </w:rPr>
        <w:t>67.60</w:t>
      </w:r>
      <w:r w:rsidRPr="002C3FF8">
        <w:rPr>
          <w:rFonts w:eastAsiaTheme="minorEastAsia"/>
          <w:sz w:val="24"/>
          <w:szCs w:val="24"/>
        </w:rPr>
        <w:t>. This is the dispensed price for the supply of the broken quantity of 0.5.</w:t>
      </w:r>
    </w:p>
    <w:p w14:paraId="301D9F43" w14:textId="77777777" w:rsidR="0059044A" w:rsidRDefault="0059044A" w:rsidP="0041577E">
      <w:pPr>
        <w:keepLines w:val="0"/>
        <w:spacing w:after="160" w:line="259" w:lineRule="auto"/>
        <w:jc w:val="left"/>
        <w:rPr>
          <w:b/>
          <w:sz w:val="24"/>
          <w:szCs w:val="24"/>
        </w:rPr>
      </w:pPr>
    </w:p>
    <w:p w14:paraId="201636C8" w14:textId="4D4D78BC" w:rsidR="0041577E" w:rsidRPr="0041577E" w:rsidRDefault="0041577E" w:rsidP="0041577E">
      <w:pPr>
        <w:keepLines w:val="0"/>
        <w:spacing w:after="160" w:line="259" w:lineRule="auto"/>
        <w:jc w:val="left"/>
        <w:rPr>
          <w:b/>
          <w:sz w:val="24"/>
          <w:szCs w:val="24"/>
        </w:rPr>
      </w:pPr>
      <w:r w:rsidRPr="0041577E">
        <w:rPr>
          <w:b/>
          <w:sz w:val="24"/>
          <w:szCs w:val="24"/>
        </w:rPr>
        <w:t>Example 3: Where the AEMP for the relevant quantity is over $930.00</w:t>
      </w:r>
    </w:p>
    <w:p w14:paraId="0F406662" w14:textId="77777777" w:rsidR="0041577E" w:rsidRPr="002C3FF8" w:rsidRDefault="0041577E" w:rsidP="0041577E">
      <w:pPr>
        <w:rPr>
          <w:sz w:val="24"/>
          <w:szCs w:val="24"/>
        </w:rPr>
      </w:pPr>
      <w:r w:rsidRPr="002C3FF8">
        <w:rPr>
          <w:sz w:val="24"/>
          <w:szCs w:val="24"/>
        </w:rPr>
        <w:t xml:space="preserve">A private hospital pharmacist wishes to supply a pack quantity of one. </w:t>
      </w:r>
      <w:r>
        <w:rPr>
          <w:sz w:val="24"/>
          <w:szCs w:val="24"/>
        </w:rPr>
        <w:t>In this example,</w:t>
      </w:r>
      <w:r w:rsidRPr="002C3FF8">
        <w:rPr>
          <w:sz w:val="24"/>
          <w:szCs w:val="24"/>
        </w:rPr>
        <w:t xml:space="preserve"> the AEMP </w:t>
      </w:r>
      <w:r>
        <w:rPr>
          <w:sz w:val="24"/>
          <w:szCs w:val="24"/>
        </w:rPr>
        <w:t>for a pack quantity of one is $1</w:t>
      </w:r>
      <w:r w:rsidRPr="002C3FF8">
        <w:rPr>
          <w:sz w:val="24"/>
          <w:szCs w:val="24"/>
        </w:rPr>
        <w:t>00</w:t>
      </w:r>
      <w:r>
        <w:rPr>
          <w:sz w:val="24"/>
          <w:szCs w:val="24"/>
        </w:rPr>
        <w:t>0</w:t>
      </w:r>
      <w:r w:rsidRPr="002C3FF8">
        <w:rPr>
          <w:sz w:val="24"/>
          <w:szCs w:val="24"/>
        </w:rPr>
        <w:t>, a dangerous drug fee under secti</w:t>
      </w:r>
      <w:r>
        <w:rPr>
          <w:sz w:val="24"/>
          <w:szCs w:val="24"/>
        </w:rPr>
        <w:t>on 11(1</w:t>
      </w:r>
      <w:proofErr w:type="gramStart"/>
      <w:r>
        <w:rPr>
          <w:sz w:val="24"/>
          <w:szCs w:val="24"/>
        </w:rPr>
        <w:t>)(</w:t>
      </w:r>
      <w:proofErr w:type="gramEnd"/>
      <w:r>
        <w:rPr>
          <w:sz w:val="24"/>
          <w:szCs w:val="24"/>
        </w:rPr>
        <w:t>a)(iii) does not apply and</w:t>
      </w:r>
      <w:r w:rsidRPr="002C3FF8">
        <w:rPr>
          <w:sz w:val="24"/>
          <w:szCs w:val="24"/>
        </w:rPr>
        <w:t xml:space="preserve"> the dispensed price for a supply under section 11(1)(a) is the sum of the following:</w:t>
      </w:r>
    </w:p>
    <w:tbl>
      <w:tblPr>
        <w:tblStyle w:val="TableGrid"/>
        <w:tblW w:w="9049" w:type="dxa"/>
        <w:tblLook w:val="04A0" w:firstRow="1" w:lastRow="0" w:firstColumn="1" w:lastColumn="0" w:noHBand="0" w:noVBand="1"/>
      </w:tblPr>
      <w:tblGrid>
        <w:gridCol w:w="2400"/>
        <w:gridCol w:w="5533"/>
        <w:gridCol w:w="1116"/>
      </w:tblGrid>
      <w:tr w:rsidR="0041577E" w:rsidRPr="002C3FF8" w14:paraId="39C1AC91" w14:textId="77777777" w:rsidTr="00E7234B">
        <w:tc>
          <w:tcPr>
            <w:tcW w:w="2400" w:type="dxa"/>
          </w:tcPr>
          <w:p w14:paraId="34A47B45" w14:textId="77777777" w:rsidR="0041577E" w:rsidRPr="002C3FF8" w:rsidRDefault="0041577E" w:rsidP="00E7234B">
            <w:pPr>
              <w:rPr>
                <w:sz w:val="24"/>
                <w:szCs w:val="24"/>
              </w:rPr>
            </w:pPr>
            <w:r w:rsidRPr="002C3FF8">
              <w:rPr>
                <w:sz w:val="24"/>
                <w:szCs w:val="24"/>
              </w:rPr>
              <w:t>Section 11(1)(a)(</w:t>
            </w:r>
            <w:proofErr w:type="spellStart"/>
            <w:r w:rsidRPr="002C3FF8">
              <w:rPr>
                <w:sz w:val="24"/>
                <w:szCs w:val="24"/>
              </w:rPr>
              <w:t>i</w:t>
            </w:r>
            <w:proofErr w:type="spellEnd"/>
            <w:r w:rsidRPr="002C3FF8">
              <w:rPr>
                <w:sz w:val="24"/>
                <w:szCs w:val="24"/>
              </w:rPr>
              <w:t>)(A)</w:t>
            </w:r>
          </w:p>
        </w:tc>
        <w:tc>
          <w:tcPr>
            <w:tcW w:w="5533" w:type="dxa"/>
          </w:tcPr>
          <w:p w14:paraId="2519CC5A" w14:textId="77777777" w:rsidR="0041577E" w:rsidRPr="002C3FF8" w:rsidRDefault="0041577E" w:rsidP="00E7234B">
            <w:pPr>
              <w:rPr>
                <w:sz w:val="24"/>
                <w:szCs w:val="24"/>
              </w:rPr>
            </w:pPr>
            <w:r w:rsidRPr="002C3FF8">
              <w:rPr>
                <w:sz w:val="24"/>
                <w:szCs w:val="24"/>
              </w:rPr>
              <w:t>AEMP for each pack quantity</w:t>
            </w:r>
          </w:p>
        </w:tc>
        <w:tc>
          <w:tcPr>
            <w:tcW w:w="1116" w:type="dxa"/>
          </w:tcPr>
          <w:p w14:paraId="69C15AB4" w14:textId="77777777" w:rsidR="0041577E" w:rsidRPr="002C3FF8" w:rsidRDefault="0041577E" w:rsidP="00E7234B">
            <w:pPr>
              <w:rPr>
                <w:sz w:val="24"/>
                <w:szCs w:val="24"/>
              </w:rPr>
            </w:pPr>
            <w:r>
              <w:rPr>
                <w:sz w:val="24"/>
                <w:szCs w:val="24"/>
              </w:rPr>
              <w:t>$1</w:t>
            </w:r>
            <w:r w:rsidRPr="002C3FF8">
              <w:rPr>
                <w:sz w:val="24"/>
                <w:szCs w:val="24"/>
              </w:rPr>
              <w:t>0</w:t>
            </w:r>
            <w:r>
              <w:rPr>
                <w:sz w:val="24"/>
                <w:szCs w:val="24"/>
              </w:rPr>
              <w:t>0</w:t>
            </w:r>
            <w:r w:rsidRPr="002C3FF8">
              <w:rPr>
                <w:sz w:val="24"/>
                <w:szCs w:val="24"/>
              </w:rPr>
              <w:t>0.00</w:t>
            </w:r>
          </w:p>
        </w:tc>
      </w:tr>
      <w:tr w:rsidR="0041577E" w:rsidRPr="002C3FF8" w14:paraId="08A67D98" w14:textId="77777777" w:rsidTr="00E7234B">
        <w:tc>
          <w:tcPr>
            <w:tcW w:w="2400" w:type="dxa"/>
          </w:tcPr>
          <w:p w14:paraId="56061635" w14:textId="77777777" w:rsidR="0041577E" w:rsidRPr="002C3FF8" w:rsidRDefault="0041577E" w:rsidP="00E7234B">
            <w:pPr>
              <w:rPr>
                <w:sz w:val="24"/>
                <w:szCs w:val="24"/>
              </w:rPr>
            </w:pPr>
            <w:r w:rsidRPr="002C3FF8">
              <w:rPr>
                <w:sz w:val="24"/>
                <w:szCs w:val="24"/>
              </w:rPr>
              <w:t>Section 11(1)(a)(</w:t>
            </w:r>
            <w:proofErr w:type="spellStart"/>
            <w:r w:rsidRPr="002C3FF8">
              <w:rPr>
                <w:sz w:val="24"/>
                <w:szCs w:val="24"/>
              </w:rPr>
              <w:t>i</w:t>
            </w:r>
            <w:proofErr w:type="spellEnd"/>
            <w:r w:rsidRPr="002C3FF8">
              <w:rPr>
                <w:sz w:val="24"/>
                <w:szCs w:val="24"/>
              </w:rPr>
              <w:t>)(B)</w:t>
            </w:r>
          </w:p>
        </w:tc>
        <w:tc>
          <w:tcPr>
            <w:tcW w:w="5533" w:type="dxa"/>
          </w:tcPr>
          <w:p w14:paraId="428EDFCC" w14:textId="77777777" w:rsidR="0041577E" w:rsidRPr="002C3FF8" w:rsidRDefault="0041577E" w:rsidP="00E7234B">
            <w:pPr>
              <w:rPr>
                <w:sz w:val="24"/>
                <w:szCs w:val="24"/>
              </w:rPr>
            </w:pPr>
            <w:r w:rsidRPr="002C3FF8">
              <w:rPr>
                <w:sz w:val="24"/>
                <w:szCs w:val="24"/>
              </w:rPr>
              <w:t>The storage and handling mark-up worked out under section 11A for the whole pack quantity of one</w:t>
            </w:r>
            <w:r>
              <w:rPr>
                <w:sz w:val="24"/>
                <w:szCs w:val="24"/>
              </w:rPr>
              <w:t xml:space="preserve"> (see below)</w:t>
            </w:r>
          </w:p>
        </w:tc>
        <w:tc>
          <w:tcPr>
            <w:tcW w:w="1116" w:type="dxa"/>
          </w:tcPr>
          <w:p w14:paraId="7E2C6834" w14:textId="77777777" w:rsidR="0041577E" w:rsidRPr="002C3FF8" w:rsidRDefault="0041577E" w:rsidP="00E7234B">
            <w:pPr>
              <w:rPr>
                <w:rFonts w:eastAsiaTheme="minorEastAsia"/>
                <w:sz w:val="24"/>
                <w:szCs w:val="24"/>
              </w:rPr>
            </w:pPr>
            <w:r w:rsidRPr="002C3FF8">
              <w:rPr>
                <w:rFonts w:eastAsiaTheme="minorEastAsia"/>
                <w:sz w:val="24"/>
                <w:szCs w:val="24"/>
              </w:rPr>
              <w:t>$</w:t>
            </w:r>
            <w:r>
              <w:rPr>
                <w:rFonts w:eastAsiaTheme="minorEastAsia"/>
                <w:sz w:val="24"/>
                <w:szCs w:val="24"/>
              </w:rPr>
              <w:t>69.94</w:t>
            </w:r>
          </w:p>
        </w:tc>
      </w:tr>
      <w:tr w:rsidR="0041577E" w:rsidRPr="002C3FF8" w14:paraId="76355A21" w14:textId="77777777" w:rsidTr="00E7234B">
        <w:tc>
          <w:tcPr>
            <w:tcW w:w="2400" w:type="dxa"/>
          </w:tcPr>
          <w:p w14:paraId="762CD681" w14:textId="77777777" w:rsidR="0041577E" w:rsidRPr="002C3FF8" w:rsidRDefault="0041577E" w:rsidP="00E7234B">
            <w:pPr>
              <w:rPr>
                <w:sz w:val="24"/>
                <w:szCs w:val="24"/>
              </w:rPr>
            </w:pPr>
            <w:r w:rsidRPr="002C3FF8">
              <w:rPr>
                <w:sz w:val="24"/>
                <w:szCs w:val="24"/>
              </w:rPr>
              <w:t>Section 11(1)(a)(</w:t>
            </w:r>
            <w:proofErr w:type="spellStart"/>
            <w:r w:rsidRPr="002C3FF8">
              <w:rPr>
                <w:sz w:val="24"/>
                <w:szCs w:val="24"/>
              </w:rPr>
              <w:t>i</w:t>
            </w:r>
            <w:proofErr w:type="spellEnd"/>
            <w:r w:rsidRPr="002C3FF8">
              <w:rPr>
                <w:sz w:val="24"/>
                <w:szCs w:val="24"/>
              </w:rPr>
              <w:t>)(C)</w:t>
            </w:r>
          </w:p>
        </w:tc>
        <w:tc>
          <w:tcPr>
            <w:tcW w:w="5533" w:type="dxa"/>
          </w:tcPr>
          <w:p w14:paraId="312E0C19" w14:textId="77777777" w:rsidR="0041577E" w:rsidRPr="002C3FF8" w:rsidRDefault="0041577E" w:rsidP="00E7234B">
            <w:pPr>
              <w:rPr>
                <w:sz w:val="24"/>
                <w:szCs w:val="24"/>
              </w:rPr>
            </w:pPr>
            <w:r w:rsidRPr="002C3FF8">
              <w:rPr>
                <w:sz w:val="24"/>
                <w:szCs w:val="24"/>
              </w:rPr>
              <w:t>The private hospital mark-up, worked out under section 12</w:t>
            </w:r>
            <w:r>
              <w:rPr>
                <w:sz w:val="24"/>
                <w:szCs w:val="24"/>
              </w:rPr>
              <w:t xml:space="preserve"> (see below)</w:t>
            </w:r>
          </w:p>
        </w:tc>
        <w:tc>
          <w:tcPr>
            <w:tcW w:w="1116" w:type="dxa"/>
          </w:tcPr>
          <w:p w14:paraId="4E92F106" w14:textId="77777777" w:rsidR="0041577E" w:rsidRPr="002C3FF8" w:rsidRDefault="0041577E" w:rsidP="00E7234B">
            <w:pPr>
              <w:rPr>
                <w:rFonts w:eastAsiaTheme="minorEastAsia"/>
                <w:sz w:val="24"/>
                <w:szCs w:val="24"/>
              </w:rPr>
            </w:pPr>
            <w:r>
              <w:rPr>
                <w:rFonts w:eastAsiaTheme="minorEastAsia"/>
                <w:sz w:val="24"/>
                <w:szCs w:val="24"/>
              </w:rPr>
              <w:t>$14.98</w:t>
            </w:r>
          </w:p>
        </w:tc>
      </w:tr>
      <w:tr w:rsidR="0041577E" w:rsidRPr="002C3FF8" w14:paraId="2531B631" w14:textId="77777777" w:rsidTr="00E7234B">
        <w:tc>
          <w:tcPr>
            <w:tcW w:w="2400" w:type="dxa"/>
          </w:tcPr>
          <w:p w14:paraId="77CF93DA" w14:textId="77777777" w:rsidR="0041577E" w:rsidRPr="002C3FF8" w:rsidRDefault="0041577E" w:rsidP="00E7234B">
            <w:pPr>
              <w:rPr>
                <w:sz w:val="24"/>
                <w:szCs w:val="24"/>
              </w:rPr>
            </w:pPr>
            <w:r w:rsidRPr="002C3FF8">
              <w:rPr>
                <w:sz w:val="24"/>
                <w:szCs w:val="24"/>
              </w:rPr>
              <w:t>Section 11(1)(a)(ii)</w:t>
            </w:r>
          </w:p>
        </w:tc>
        <w:tc>
          <w:tcPr>
            <w:tcW w:w="5533" w:type="dxa"/>
          </w:tcPr>
          <w:p w14:paraId="716819BD" w14:textId="77777777" w:rsidR="0041577E" w:rsidRPr="002C3FF8" w:rsidRDefault="0041577E" w:rsidP="00E7234B">
            <w:pPr>
              <w:rPr>
                <w:sz w:val="24"/>
                <w:szCs w:val="24"/>
              </w:rPr>
            </w:pPr>
            <w:r w:rsidRPr="002C3FF8">
              <w:rPr>
                <w:sz w:val="24"/>
                <w:szCs w:val="24"/>
              </w:rPr>
              <w:t>A ready-prepared dispensing fee</w:t>
            </w:r>
          </w:p>
        </w:tc>
        <w:tc>
          <w:tcPr>
            <w:tcW w:w="1116" w:type="dxa"/>
          </w:tcPr>
          <w:p w14:paraId="41B05821" w14:textId="77777777" w:rsidR="0041577E" w:rsidRPr="002C3FF8" w:rsidRDefault="0041577E" w:rsidP="00E7234B">
            <w:pPr>
              <w:rPr>
                <w:rFonts w:eastAsiaTheme="minorEastAsia"/>
                <w:sz w:val="24"/>
                <w:szCs w:val="24"/>
              </w:rPr>
            </w:pPr>
            <w:r w:rsidRPr="002C3FF8">
              <w:rPr>
                <w:rFonts w:eastAsiaTheme="minorEastAsia"/>
                <w:sz w:val="24"/>
                <w:szCs w:val="24"/>
              </w:rPr>
              <w:t>$7.29</w:t>
            </w:r>
          </w:p>
        </w:tc>
      </w:tr>
      <w:tr w:rsidR="0041577E" w:rsidRPr="002C3FF8" w14:paraId="11E93D7E" w14:textId="77777777" w:rsidTr="00E7234B">
        <w:tc>
          <w:tcPr>
            <w:tcW w:w="2400" w:type="dxa"/>
          </w:tcPr>
          <w:p w14:paraId="7F274539" w14:textId="77777777" w:rsidR="0041577E" w:rsidRPr="002C3FF8" w:rsidRDefault="0041577E" w:rsidP="00E7234B">
            <w:pPr>
              <w:rPr>
                <w:sz w:val="24"/>
                <w:szCs w:val="24"/>
              </w:rPr>
            </w:pPr>
            <w:r w:rsidRPr="002C3FF8">
              <w:rPr>
                <w:sz w:val="24"/>
                <w:szCs w:val="24"/>
              </w:rPr>
              <w:t>Section 11(1)(a)(iii)</w:t>
            </w:r>
          </w:p>
        </w:tc>
        <w:tc>
          <w:tcPr>
            <w:tcW w:w="5533" w:type="dxa"/>
          </w:tcPr>
          <w:p w14:paraId="20978A3A" w14:textId="77777777" w:rsidR="0041577E" w:rsidRPr="002C3FF8" w:rsidRDefault="0041577E" w:rsidP="00E7234B">
            <w:pPr>
              <w:rPr>
                <w:sz w:val="24"/>
                <w:szCs w:val="24"/>
              </w:rPr>
            </w:pPr>
            <w:r w:rsidRPr="002C3FF8">
              <w:rPr>
                <w:sz w:val="24"/>
                <w:szCs w:val="24"/>
              </w:rPr>
              <w:t>Dangerous drug fee</w:t>
            </w:r>
          </w:p>
        </w:tc>
        <w:tc>
          <w:tcPr>
            <w:tcW w:w="1116" w:type="dxa"/>
          </w:tcPr>
          <w:p w14:paraId="709EA9E9" w14:textId="77777777" w:rsidR="0041577E" w:rsidRPr="002C3FF8" w:rsidRDefault="0041577E" w:rsidP="00E7234B">
            <w:pPr>
              <w:rPr>
                <w:rFonts w:eastAsiaTheme="minorEastAsia"/>
                <w:sz w:val="24"/>
                <w:szCs w:val="24"/>
              </w:rPr>
            </w:pPr>
            <w:r w:rsidRPr="002C3FF8">
              <w:rPr>
                <w:rFonts w:eastAsiaTheme="minorEastAsia"/>
                <w:sz w:val="24"/>
                <w:szCs w:val="24"/>
              </w:rPr>
              <w:t>n/a</w:t>
            </w:r>
          </w:p>
        </w:tc>
      </w:tr>
      <w:tr w:rsidR="0041577E" w:rsidRPr="002C3FF8" w14:paraId="0D3950F0" w14:textId="77777777" w:rsidTr="00E7234B">
        <w:tc>
          <w:tcPr>
            <w:tcW w:w="2400" w:type="dxa"/>
          </w:tcPr>
          <w:p w14:paraId="3BE8C957" w14:textId="77777777" w:rsidR="0041577E" w:rsidRPr="002C3FF8" w:rsidRDefault="0041577E" w:rsidP="00E7234B">
            <w:pPr>
              <w:rPr>
                <w:sz w:val="24"/>
                <w:szCs w:val="24"/>
              </w:rPr>
            </w:pPr>
          </w:p>
        </w:tc>
        <w:tc>
          <w:tcPr>
            <w:tcW w:w="5533" w:type="dxa"/>
          </w:tcPr>
          <w:p w14:paraId="6C80DBC7" w14:textId="77777777" w:rsidR="0041577E" w:rsidRPr="002C3FF8" w:rsidRDefault="0041577E" w:rsidP="00E7234B">
            <w:pPr>
              <w:jc w:val="right"/>
              <w:rPr>
                <w:b/>
                <w:sz w:val="24"/>
                <w:szCs w:val="24"/>
              </w:rPr>
            </w:pPr>
            <w:r>
              <w:rPr>
                <w:b/>
                <w:sz w:val="24"/>
                <w:szCs w:val="24"/>
              </w:rPr>
              <w:t>Dispensed price for a pack quantity of</w:t>
            </w:r>
            <w:r w:rsidRPr="002C3FF8">
              <w:rPr>
                <w:b/>
                <w:sz w:val="24"/>
                <w:szCs w:val="24"/>
              </w:rPr>
              <w:t xml:space="preserve"> one</w:t>
            </w:r>
          </w:p>
        </w:tc>
        <w:tc>
          <w:tcPr>
            <w:tcW w:w="1116" w:type="dxa"/>
          </w:tcPr>
          <w:p w14:paraId="267C64F2" w14:textId="77777777" w:rsidR="0041577E" w:rsidRPr="002C3FF8" w:rsidRDefault="0041577E" w:rsidP="00E7234B">
            <w:pPr>
              <w:rPr>
                <w:rFonts w:eastAsiaTheme="minorEastAsia"/>
                <w:b/>
                <w:sz w:val="24"/>
                <w:szCs w:val="24"/>
              </w:rPr>
            </w:pPr>
            <w:r w:rsidRPr="002C3FF8">
              <w:rPr>
                <w:rFonts w:eastAsiaTheme="minorEastAsia"/>
                <w:b/>
                <w:sz w:val="24"/>
                <w:szCs w:val="24"/>
              </w:rPr>
              <w:t>$</w:t>
            </w:r>
            <w:r w:rsidRPr="005E6BF1">
              <w:rPr>
                <w:rFonts w:eastAsiaTheme="minorEastAsia"/>
                <w:b/>
                <w:sz w:val="24"/>
                <w:szCs w:val="24"/>
              </w:rPr>
              <w:t>1092.21</w:t>
            </w:r>
          </w:p>
        </w:tc>
      </w:tr>
    </w:tbl>
    <w:p w14:paraId="6AE2C36D" w14:textId="77777777" w:rsidR="0041577E" w:rsidRDefault="0041577E" w:rsidP="0041577E">
      <w:pPr>
        <w:rPr>
          <w:sz w:val="24"/>
          <w:szCs w:val="24"/>
        </w:rPr>
      </w:pPr>
    </w:p>
    <w:p w14:paraId="18702E4D" w14:textId="77777777" w:rsidR="0041577E" w:rsidRPr="002C3FF8" w:rsidRDefault="0041577E" w:rsidP="0041577E">
      <w:pPr>
        <w:rPr>
          <w:sz w:val="24"/>
          <w:szCs w:val="24"/>
        </w:rPr>
      </w:pPr>
      <w:r w:rsidRPr="002C3FF8">
        <w:rPr>
          <w:sz w:val="24"/>
          <w:szCs w:val="24"/>
        </w:rPr>
        <w:t>Section 11(1)(a)(</w:t>
      </w:r>
      <w:proofErr w:type="spellStart"/>
      <w:r w:rsidRPr="002C3FF8">
        <w:rPr>
          <w:sz w:val="24"/>
          <w:szCs w:val="24"/>
        </w:rPr>
        <w:t>i</w:t>
      </w:r>
      <w:proofErr w:type="spellEnd"/>
      <w:r w:rsidRPr="002C3FF8">
        <w:rPr>
          <w:sz w:val="24"/>
          <w:szCs w:val="24"/>
        </w:rPr>
        <w:t xml:space="preserve">)(B) refers to section 11A, which outlines the method statement to calculate the </w:t>
      </w:r>
      <w:r w:rsidRPr="002C3FF8">
        <w:rPr>
          <w:sz w:val="24"/>
          <w:szCs w:val="24"/>
          <w:u w:val="single"/>
        </w:rPr>
        <w:t>storage and handling mark-up</w:t>
      </w:r>
      <w:r w:rsidRPr="002C3FF8">
        <w:rPr>
          <w:sz w:val="24"/>
          <w:szCs w:val="24"/>
        </w:rPr>
        <w:t xml:space="preserve">. The calculation for section 11A is as follows: </w:t>
      </w:r>
    </w:p>
    <w:p w14:paraId="22AD03A3" w14:textId="77777777" w:rsidR="0041577E" w:rsidRPr="002C3FF8" w:rsidRDefault="0041577E" w:rsidP="0041577E">
      <w:pPr>
        <w:pStyle w:val="ListParagraph"/>
        <w:keepLines w:val="0"/>
        <w:numPr>
          <w:ilvl w:val="0"/>
          <w:numId w:val="5"/>
        </w:numPr>
        <w:spacing w:after="160" w:line="259" w:lineRule="auto"/>
        <w:jc w:val="left"/>
        <w:rPr>
          <w:sz w:val="24"/>
          <w:szCs w:val="24"/>
        </w:rPr>
      </w:pPr>
      <w:r w:rsidRPr="002C3FF8">
        <w:rPr>
          <w:sz w:val="24"/>
          <w:szCs w:val="24"/>
        </w:rPr>
        <w:t>Step 1: identify the AEMP for the pack quantity: $</w:t>
      </w:r>
      <w:r>
        <w:rPr>
          <w:sz w:val="24"/>
          <w:szCs w:val="24"/>
        </w:rPr>
        <w:t>1</w:t>
      </w:r>
      <w:r w:rsidRPr="002C3FF8">
        <w:rPr>
          <w:sz w:val="24"/>
          <w:szCs w:val="24"/>
        </w:rPr>
        <w:t>0</w:t>
      </w:r>
      <w:r>
        <w:rPr>
          <w:sz w:val="24"/>
          <w:szCs w:val="24"/>
        </w:rPr>
        <w:t>0</w:t>
      </w:r>
      <w:r w:rsidRPr="002C3FF8">
        <w:rPr>
          <w:sz w:val="24"/>
          <w:szCs w:val="24"/>
        </w:rPr>
        <w:t>0 per pack quantity;</w:t>
      </w:r>
    </w:p>
    <w:p w14:paraId="62713883" w14:textId="77777777" w:rsidR="0041577E" w:rsidRPr="002C3FF8" w:rsidRDefault="0041577E" w:rsidP="0041577E">
      <w:pPr>
        <w:pStyle w:val="ListParagraph"/>
        <w:keepLines w:val="0"/>
        <w:numPr>
          <w:ilvl w:val="0"/>
          <w:numId w:val="5"/>
        </w:numPr>
        <w:spacing w:after="160" w:line="259" w:lineRule="auto"/>
        <w:jc w:val="left"/>
        <w:rPr>
          <w:sz w:val="24"/>
          <w:szCs w:val="24"/>
        </w:rPr>
      </w:pPr>
      <w:r w:rsidRPr="002C3FF8">
        <w:rPr>
          <w:sz w:val="24"/>
          <w:szCs w:val="24"/>
        </w:rPr>
        <w:t xml:space="preserve">Step 2: identify the </w:t>
      </w:r>
      <w:r w:rsidRPr="00821084">
        <w:rPr>
          <w:i/>
          <w:sz w:val="24"/>
          <w:szCs w:val="24"/>
        </w:rPr>
        <w:t>maximum quantity</w:t>
      </w:r>
      <w:r w:rsidRPr="002C3FF8">
        <w:rPr>
          <w:sz w:val="24"/>
          <w:szCs w:val="24"/>
        </w:rPr>
        <w:t xml:space="preserve"> of each listed brand of the pharmaceutical item: </w:t>
      </w:r>
      <w:r>
        <w:rPr>
          <w:sz w:val="24"/>
          <w:szCs w:val="24"/>
        </w:rPr>
        <w:t xml:space="preserve">in this example, the highest </w:t>
      </w:r>
      <w:r>
        <w:rPr>
          <w:i/>
          <w:sz w:val="24"/>
          <w:szCs w:val="24"/>
        </w:rPr>
        <w:t xml:space="preserve">maximum quantity </w:t>
      </w:r>
      <w:r>
        <w:rPr>
          <w:sz w:val="24"/>
          <w:szCs w:val="24"/>
        </w:rPr>
        <w:t>is one</w:t>
      </w:r>
      <w:r w:rsidRPr="002C3FF8">
        <w:rPr>
          <w:sz w:val="24"/>
          <w:szCs w:val="24"/>
        </w:rPr>
        <w:t>;</w:t>
      </w:r>
    </w:p>
    <w:p w14:paraId="2C91F18D" w14:textId="77777777" w:rsidR="0041577E" w:rsidRPr="002C3FF8" w:rsidRDefault="0041577E" w:rsidP="0041577E">
      <w:pPr>
        <w:pStyle w:val="ListParagraph"/>
        <w:keepLines w:val="0"/>
        <w:numPr>
          <w:ilvl w:val="0"/>
          <w:numId w:val="5"/>
        </w:numPr>
        <w:spacing w:after="160" w:line="259" w:lineRule="auto"/>
        <w:jc w:val="left"/>
        <w:rPr>
          <w:sz w:val="24"/>
          <w:szCs w:val="24"/>
        </w:rPr>
      </w:pPr>
      <w:r w:rsidRPr="002C3FF8">
        <w:rPr>
          <w:sz w:val="24"/>
          <w:szCs w:val="24"/>
        </w:rPr>
        <w:t xml:space="preserve">Step 3: identify the </w:t>
      </w:r>
      <w:r w:rsidRPr="00B15FF9">
        <w:rPr>
          <w:i/>
          <w:sz w:val="24"/>
          <w:szCs w:val="24"/>
        </w:rPr>
        <w:t>relevant quantity</w:t>
      </w:r>
      <w:r w:rsidRPr="002C3FF8">
        <w:rPr>
          <w:sz w:val="24"/>
          <w:szCs w:val="24"/>
        </w:rPr>
        <w:t xml:space="preserve">: the </w:t>
      </w:r>
      <w:r w:rsidRPr="00B15FF9">
        <w:rPr>
          <w:i/>
          <w:sz w:val="24"/>
          <w:szCs w:val="24"/>
        </w:rPr>
        <w:t>maximum quantity</w:t>
      </w:r>
      <w:r>
        <w:rPr>
          <w:sz w:val="24"/>
          <w:szCs w:val="24"/>
        </w:rPr>
        <w:t xml:space="preserve"> of one</w:t>
      </w:r>
      <w:r w:rsidRPr="002C3FF8">
        <w:rPr>
          <w:sz w:val="24"/>
          <w:szCs w:val="24"/>
        </w:rPr>
        <w:t xml:space="preserve"> is the highest </w:t>
      </w:r>
      <w:proofErr w:type="gramStart"/>
      <w:r w:rsidRPr="002C3FF8">
        <w:rPr>
          <w:sz w:val="24"/>
          <w:szCs w:val="24"/>
        </w:rPr>
        <w:t>whole</w:t>
      </w:r>
      <w:proofErr w:type="gramEnd"/>
      <w:r w:rsidRPr="002C3FF8">
        <w:rPr>
          <w:sz w:val="24"/>
          <w:szCs w:val="24"/>
        </w:rPr>
        <w:t xml:space="preserve"> number multiple of the pack quantity. As there is no </w:t>
      </w:r>
      <w:r w:rsidRPr="00B15FF9">
        <w:rPr>
          <w:i/>
          <w:sz w:val="24"/>
          <w:szCs w:val="24"/>
        </w:rPr>
        <w:t>determined quantity</w:t>
      </w:r>
      <w:r w:rsidRPr="002C3FF8">
        <w:rPr>
          <w:sz w:val="24"/>
          <w:szCs w:val="24"/>
        </w:rPr>
        <w:t xml:space="preserve">, </w:t>
      </w:r>
      <w:r>
        <w:rPr>
          <w:sz w:val="24"/>
          <w:szCs w:val="24"/>
          <w:u w:val="single"/>
        </w:rPr>
        <w:t>one</w:t>
      </w:r>
      <w:r w:rsidRPr="002C3FF8">
        <w:rPr>
          <w:sz w:val="24"/>
          <w:szCs w:val="24"/>
        </w:rPr>
        <w:t xml:space="preserve"> is the </w:t>
      </w:r>
      <w:r w:rsidRPr="00B15FF9">
        <w:rPr>
          <w:i/>
          <w:sz w:val="24"/>
          <w:szCs w:val="24"/>
        </w:rPr>
        <w:t>relevant quantity</w:t>
      </w:r>
      <w:r w:rsidRPr="002C3FF8">
        <w:rPr>
          <w:sz w:val="24"/>
          <w:szCs w:val="24"/>
        </w:rPr>
        <w:t xml:space="preserve">. </w:t>
      </w:r>
    </w:p>
    <w:p w14:paraId="75EC80A4" w14:textId="77777777" w:rsidR="0041577E" w:rsidRPr="002C3FF8" w:rsidRDefault="0041577E" w:rsidP="0041577E">
      <w:pPr>
        <w:pStyle w:val="ListParagraph"/>
        <w:keepLines w:val="0"/>
        <w:numPr>
          <w:ilvl w:val="0"/>
          <w:numId w:val="5"/>
        </w:numPr>
        <w:spacing w:after="160" w:line="259" w:lineRule="auto"/>
        <w:jc w:val="left"/>
        <w:rPr>
          <w:sz w:val="24"/>
          <w:szCs w:val="24"/>
        </w:rPr>
      </w:pPr>
      <w:r w:rsidRPr="002C3FF8">
        <w:rPr>
          <w:sz w:val="24"/>
          <w:szCs w:val="24"/>
        </w:rPr>
        <w:lastRenderedPageBreak/>
        <w:t xml:space="preserve">Step 4: the </w:t>
      </w:r>
      <w:r w:rsidRPr="00B15FF9">
        <w:rPr>
          <w:i/>
          <w:sz w:val="24"/>
          <w:szCs w:val="24"/>
        </w:rPr>
        <w:t>ex-manufacturer price for the relevant quantity</w:t>
      </w:r>
      <w:r w:rsidRPr="002C3FF8">
        <w:rPr>
          <w:sz w:val="24"/>
          <w:szCs w:val="24"/>
        </w:rPr>
        <w:t xml:space="preserve"> is the </w:t>
      </w:r>
      <w:r w:rsidRPr="00B15FF9">
        <w:rPr>
          <w:i/>
          <w:sz w:val="24"/>
          <w:szCs w:val="24"/>
        </w:rPr>
        <w:t>relevant quantity</w:t>
      </w:r>
      <w:r w:rsidRPr="002C3FF8">
        <w:rPr>
          <w:sz w:val="24"/>
          <w:szCs w:val="24"/>
        </w:rPr>
        <w:t xml:space="preserve"> multiplied by the AEMP for the pack quantity. This is </w:t>
      </w:r>
      <w:proofErr w:type="gramStart"/>
      <w:r>
        <w:rPr>
          <w:sz w:val="24"/>
          <w:szCs w:val="24"/>
        </w:rPr>
        <w:t>1</w:t>
      </w:r>
      <w:proofErr w:type="gramEnd"/>
      <w:r>
        <w:rPr>
          <w:sz w:val="24"/>
          <w:szCs w:val="24"/>
        </w:rPr>
        <w:t xml:space="preserve"> x $1000</w:t>
      </w:r>
      <w:r w:rsidRPr="002C3FF8">
        <w:rPr>
          <w:sz w:val="24"/>
          <w:szCs w:val="24"/>
        </w:rPr>
        <w:t xml:space="preserve"> = </w:t>
      </w:r>
      <w:r w:rsidRPr="002C3FF8">
        <w:rPr>
          <w:sz w:val="24"/>
          <w:szCs w:val="24"/>
          <w:u w:val="single"/>
        </w:rPr>
        <w:t>$</w:t>
      </w:r>
      <w:r>
        <w:rPr>
          <w:sz w:val="24"/>
          <w:szCs w:val="24"/>
          <w:u w:val="single"/>
        </w:rPr>
        <w:t>10</w:t>
      </w:r>
      <w:r w:rsidRPr="002C3FF8">
        <w:rPr>
          <w:sz w:val="24"/>
          <w:szCs w:val="24"/>
          <w:u w:val="single"/>
        </w:rPr>
        <w:t>00</w:t>
      </w:r>
      <w:r w:rsidRPr="002C3FF8">
        <w:rPr>
          <w:sz w:val="24"/>
          <w:szCs w:val="24"/>
        </w:rPr>
        <w:t xml:space="preserve">. </w:t>
      </w:r>
    </w:p>
    <w:p w14:paraId="0D100C4B" w14:textId="77777777" w:rsidR="0041577E" w:rsidRPr="000555EC" w:rsidRDefault="0041577E" w:rsidP="0041577E">
      <w:pPr>
        <w:rPr>
          <w:sz w:val="24"/>
          <w:szCs w:val="24"/>
        </w:rPr>
      </w:pPr>
      <w:r w:rsidRPr="002C3FF8">
        <w:rPr>
          <w:sz w:val="24"/>
          <w:szCs w:val="24"/>
        </w:rPr>
        <w:t xml:space="preserve">In this case, because the </w:t>
      </w:r>
      <w:r w:rsidRPr="00B15FF9">
        <w:rPr>
          <w:i/>
          <w:sz w:val="24"/>
          <w:szCs w:val="24"/>
        </w:rPr>
        <w:t>ex-manufacturer price for the relevant quantity</w:t>
      </w:r>
      <w:r w:rsidRPr="002C3FF8">
        <w:rPr>
          <w:sz w:val="24"/>
          <w:szCs w:val="24"/>
        </w:rPr>
        <w:t>,</w:t>
      </w:r>
      <w:r>
        <w:rPr>
          <w:sz w:val="24"/>
          <w:szCs w:val="24"/>
        </w:rPr>
        <w:t xml:space="preserve"> $1000, is over $930.00, section </w:t>
      </w:r>
      <w:proofErr w:type="gramStart"/>
      <w:r>
        <w:rPr>
          <w:sz w:val="24"/>
          <w:szCs w:val="24"/>
        </w:rPr>
        <w:t>11A(</w:t>
      </w:r>
      <w:proofErr w:type="gramEnd"/>
      <w:r>
        <w:rPr>
          <w:sz w:val="24"/>
          <w:szCs w:val="24"/>
        </w:rPr>
        <w:t xml:space="preserve">4) would apply and the </w:t>
      </w:r>
      <w:r>
        <w:rPr>
          <w:sz w:val="24"/>
          <w:szCs w:val="24"/>
          <w:u w:val="single"/>
        </w:rPr>
        <w:t>mark-up for the pack quantity of one</w:t>
      </w:r>
      <w:r>
        <w:rPr>
          <w:sz w:val="24"/>
          <w:szCs w:val="24"/>
        </w:rPr>
        <w:t xml:space="preserve"> is </w:t>
      </w:r>
      <w:r>
        <w:rPr>
          <w:b/>
          <w:sz w:val="24"/>
          <w:szCs w:val="24"/>
        </w:rPr>
        <w:t>$69.94</w:t>
      </w:r>
      <w:r>
        <w:rPr>
          <w:sz w:val="24"/>
          <w:szCs w:val="24"/>
        </w:rPr>
        <w:t xml:space="preserve">. </w:t>
      </w:r>
    </w:p>
    <w:p w14:paraId="3BB43E56" w14:textId="77777777" w:rsidR="0041577E" w:rsidRPr="002C3FF8" w:rsidRDefault="0041577E" w:rsidP="0041577E">
      <w:pPr>
        <w:rPr>
          <w:sz w:val="24"/>
          <w:szCs w:val="24"/>
        </w:rPr>
      </w:pPr>
      <w:r w:rsidRPr="002C3FF8">
        <w:rPr>
          <w:sz w:val="24"/>
          <w:szCs w:val="24"/>
        </w:rPr>
        <w:t>Section 11(1</w:t>
      </w:r>
      <w:proofErr w:type="gramStart"/>
      <w:r w:rsidRPr="002C3FF8">
        <w:rPr>
          <w:sz w:val="24"/>
          <w:szCs w:val="24"/>
        </w:rPr>
        <w:t>)(</w:t>
      </w:r>
      <w:proofErr w:type="gramEnd"/>
      <w:r>
        <w:rPr>
          <w:sz w:val="24"/>
          <w:szCs w:val="24"/>
        </w:rPr>
        <w:t>a)(</w:t>
      </w:r>
      <w:proofErr w:type="spellStart"/>
      <w:r>
        <w:rPr>
          <w:sz w:val="24"/>
          <w:szCs w:val="24"/>
        </w:rPr>
        <w:t>i</w:t>
      </w:r>
      <w:proofErr w:type="spellEnd"/>
      <w:r>
        <w:rPr>
          <w:sz w:val="24"/>
          <w:szCs w:val="24"/>
        </w:rPr>
        <w:t>)(C) refers to section 12</w:t>
      </w:r>
      <w:r w:rsidRPr="002C3FF8">
        <w:rPr>
          <w:sz w:val="24"/>
          <w:szCs w:val="24"/>
        </w:rPr>
        <w:t>, which calculates the private hospital mark-up. The calculation for section 12 is as follows:</w:t>
      </w:r>
    </w:p>
    <w:p w14:paraId="0CC83FB6" w14:textId="77777777" w:rsidR="0041577E" w:rsidRPr="002C3FF8" w:rsidRDefault="0041577E" w:rsidP="0041577E">
      <w:pPr>
        <w:rPr>
          <w:rFonts w:eastAsiaTheme="minorEastAsia"/>
          <w:sz w:val="24"/>
          <w:szCs w:val="24"/>
        </w:rPr>
      </w:pPr>
      <w:r w:rsidRPr="002C3FF8">
        <w:rPr>
          <w:sz w:val="24"/>
          <w:szCs w:val="24"/>
        </w:rPr>
        <w:t>The sum of sections 11(1</w:t>
      </w:r>
      <w:proofErr w:type="gramStart"/>
      <w:r w:rsidRPr="002C3FF8">
        <w:rPr>
          <w:sz w:val="24"/>
          <w:szCs w:val="24"/>
        </w:rPr>
        <w:t>)(</w:t>
      </w:r>
      <w:proofErr w:type="gramEnd"/>
      <w:r w:rsidRPr="002C3FF8">
        <w:rPr>
          <w:sz w:val="24"/>
          <w:szCs w:val="24"/>
        </w:rPr>
        <w:t>a)(</w:t>
      </w:r>
      <w:proofErr w:type="spellStart"/>
      <w:r w:rsidRPr="002C3FF8">
        <w:rPr>
          <w:sz w:val="24"/>
          <w:szCs w:val="24"/>
        </w:rPr>
        <w:t>i</w:t>
      </w:r>
      <w:proofErr w:type="spellEnd"/>
      <w:r w:rsidRPr="002C3FF8">
        <w:rPr>
          <w:sz w:val="24"/>
          <w:szCs w:val="24"/>
        </w:rPr>
        <w:t>)(A) and 11(1)(a)(</w:t>
      </w:r>
      <w:proofErr w:type="spellStart"/>
      <w:r w:rsidRPr="002C3FF8">
        <w:rPr>
          <w:sz w:val="24"/>
          <w:szCs w:val="24"/>
        </w:rPr>
        <w:t>i</w:t>
      </w:r>
      <w:proofErr w:type="spellEnd"/>
      <w:r w:rsidRPr="002C3FF8">
        <w:rPr>
          <w:sz w:val="24"/>
          <w:szCs w:val="24"/>
        </w:rPr>
        <w:t>)(B) = $</w:t>
      </w:r>
      <w:r>
        <w:rPr>
          <w:rFonts w:eastAsiaTheme="minorEastAsia"/>
          <w:sz w:val="24"/>
          <w:szCs w:val="24"/>
        </w:rPr>
        <w:t>1069.94</w:t>
      </w:r>
      <w:r w:rsidRPr="002C3FF8">
        <w:rPr>
          <w:rFonts w:eastAsiaTheme="minorEastAsia"/>
          <w:sz w:val="24"/>
          <w:szCs w:val="24"/>
        </w:rPr>
        <w:t xml:space="preserve">.  </w:t>
      </w:r>
    </w:p>
    <w:p w14:paraId="7940F41E" w14:textId="77777777" w:rsidR="0041577E" w:rsidRDefault="0041577E" w:rsidP="0041577E">
      <w:pPr>
        <w:rPr>
          <w:rFonts w:eastAsiaTheme="minorEastAsia"/>
          <w:sz w:val="24"/>
          <w:szCs w:val="24"/>
        </w:rPr>
      </w:pPr>
      <w:r w:rsidRPr="002C3FF8">
        <w:rPr>
          <w:rFonts w:eastAsiaTheme="minorEastAsia"/>
          <w:sz w:val="24"/>
          <w:szCs w:val="24"/>
        </w:rPr>
        <w:t xml:space="preserve">The private hospital mark-up = </w:t>
      </w:r>
      <w:r w:rsidRPr="002C3FF8">
        <w:rPr>
          <w:sz w:val="24"/>
          <w:szCs w:val="24"/>
        </w:rPr>
        <w:t>$</w:t>
      </w:r>
      <w:r>
        <w:rPr>
          <w:rFonts w:eastAsiaTheme="minorEastAsia"/>
          <w:sz w:val="24"/>
          <w:szCs w:val="24"/>
        </w:rPr>
        <w:t xml:space="preserve">1069.94 </w:t>
      </w:r>
      <w:r w:rsidRPr="002C3FF8">
        <w:rPr>
          <w:rFonts w:eastAsiaTheme="minorEastAsia"/>
          <w:sz w:val="24"/>
          <w:szCs w:val="24"/>
        </w:rPr>
        <w:t xml:space="preserve">x </w:t>
      </w:r>
      <m:oMath>
        <m:f>
          <m:fPr>
            <m:ctrlPr>
              <w:rPr>
                <w:rFonts w:ascii="Cambria Math" w:eastAsiaTheme="minorEastAsia" w:hAnsi="Cambria Math"/>
                <w:sz w:val="24"/>
                <w:szCs w:val="24"/>
              </w:rPr>
            </m:ctrlPr>
          </m:fPr>
          <m:num>
            <m:r>
              <w:rPr>
                <w:rFonts w:ascii="Cambria Math" w:eastAsiaTheme="minorEastAsia" w:hAnsi="Cambria Math"/>
                <w:sz w:val="24"/>
                <w:szCs w:val="24"/>
              </w:rPr>
              <m:t>1.4</m:t>
            </m:r>
          </m:num>
          <m:den>
            <m:r>
              <w:rPr>
                <w:rFonts w:ascii="Cambria Math" w:eastAsiaTheme="minorEastAsia" w:hAnsi="Cambria Math"/>
                <w:sz w:val="24"/>
                <w:szCs w:val="24"/>
              </w:rPr>
              <m:t>100</m:t>
            </m:r>
          </m:den>
        </m:f>
      </m:oMath>
      <w:r w:rsidRPr="002C3FF8">
        <w:rPr>
          <w:rFonts w:eastAsiaTheme="minorEastAsia"/>
          <w:sz w:val="24"/>
          <w:szCs w:val="24"/>
        </w:rPr>
        <w:t xml:space="preserve"> = </w:t>
      </w:r>
      <w:r>
        <w:rPr>
          <w:rFonts w:eastAsiaTheme="minorEastAsia"/>
          <w:b/>
          <w:sz w:val="24"/>
          <w:szCs w:val="24"/>
        </w:rPr>
        <w:t>$14.98</w:t>
      </w:r>
      <w:r w:rsidRPr="002C3FF8">
        <w:rPr>
          <w:rFonts w:eastAsiaTheme="minorEastAsia"/>
          <w:sz w:val="24"/>
          <w:szCs w:val="24"/>
        </w:rPr>
        <w:t xml:space="preserve">. </w:t>
      </w:r>
    </w:p>
    <w:p w14:paraId="2CF27A82" w14:textId="77777777" w:rsidR="002E40A1" w:rsidRDefault="002E40A1" w:rsidP="002E40A1">
      <w:pPr>
        <w:jc w:val="right"/>
        <w:rPr>
          <w:b/>
          <w:sz w:val="24"/>
          <w:szCs w:val="24"/>
        </w:rPr>
      </w:pPr>
    </w:p>
    <w:p w14:paraId="375B244F" w14:textId="77777777" w:rsidR="002E40A1" w:rsidRPr="00EE4903" w:rsidRDefault="002E40A1" w:rsidP="002E40A1"/>
    <w:p w14:paraId="3E8CB3C1" w14:textId="77777777" w:rsidR="002E40A1" w:rsidRDefault="002E40A1">
      <w:pPr>
        <w:keepLines w:val="0"/>
        <w:spacing w:after="160" w:line="259" w:lineRule="auto"/>
        <w:jc w:val="left"/>
        <w:rPr>
          <w:bCs/>
          <w:sz w:val="24"/>
          <w:szCs w:val="24"/>
        </w:rPr>
      </w:pPr>
      <w:r>
        <w:rPr>
          <w:bCs/>
          <w:sz w:val="24"/>
          <w:szCs w:val="24"/>
        </w:rPr>
        <w:br w:type="page"/>
      </w:r>
    </w:p>
    <w:p w14:paraId="36D8D0C6" w14:textId="77777777" w:rsidR="0052788C" w:rsidRPr="00111577" w:rsidRDefault="0052788C" w:rsidP="002E40A1">
      <w:pPr>
        <w:keepLines w:val="0"/>
        <w:widowControl w:val="0"/>
        <w:rPr>
          <w:bCs/>
          <w:sz w:val="24"/>
          <w:szCs w:val="24"/>
        </w:rPr>
        <w:sectPr w:rsidR="0052788C" w:rsidRPr="00111577" w:rsidSect="005A6385">
          <w:footerReference w:type="even" r:id="rId9"/>
          <w:footerReference w:type="default" r:id="rId10"/>
          <w:pgSz w:w="11906" w:h="16838"/>
          <w:pgMar w:top="1079" w:right="1440" w:bottom="1258" w:left="1440" w:header="709" w:footer="420" w:gutter="0"/>
          <w:cols w:space="708"/>
          <w:titlePg/>
          <w:docGrid w:linePitch="360"/>
        </w:sectPr>
      </w:pPr>
    </w:p>
    <w:p w14:paraId="36CE17B8" w14:textId="77777777" w:rsidR="006D3045" w:rsidRPr="00A0454E" w:rsidRDefault="006D3045" w:rsidP="006D3045">
      <w:pPr>
        <w:keepLines w:val="0"/>
        <w:spacing w:after="0"/>
        <w:jc w:val="left"/>
        <w:rPr>
          <w:b/>
          <w:sz w:val="24"/>
          <w:szCs w:val="24"/>
          <w:highlight w:val="yellow"/>
        </w:rPr>
      </w:pPr>
    </w:p>
    <w:p w14:paraId="1B70B4E1"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rPr>
          <w:b/>
          <w:sz w:val="24"/>
          <w:szCs w:val="24"/>
        </w:rPr>
      </w:pPr>
      <w:r w:rsidRPr="00265A78">
        <w:rPr>
          <w:b/>
          <w:sz w:val="24"/>
          <w:szCs w:val="24"/>
        </w:rPr>
        <w:t>Statement of Compatibility with Human Rights</w:t>
      </w:r>
    </w:p>
    <w:p w14:paraId="4DD7D6B5"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pPr>
      <w:r w:rsidRPr="00265A78">
        <w:rPr>
          <w:i/>
        </w:rPr>
        <w:t>Prepared in accordance with Part 3 of the Human Rights (Parliamentary Scrutiny) Act 2011</w:t>
      </w:r>
    </w:p>
    <w:p w14:paraId="6C54B5B8" w14:textId="77777777" w:rsidR="006D3045" w:rsidRPr="001E01CA" w:rsidRDefault="00CB311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rPr>
          <w:b/>
          <w:sz w:val="22"/>
          <w:szCs w:val="22"/>
        </w:rPr>
      </w:pPr>
      <w:r w:rsidRPr="00CB3115">
        <w:rPr>
          <w:b/>
          <w:sz w:val="24"/>
          <w:szCs w:val="24"/>
        </w:rPr>
        <w:t>National Health (Pharmaceutical Benefits Supplied By Private Hospitals) Amendment (Budget Measure) Determination 2019 PB 56 of 2019</w:t>
      </w:r>
    </w:p>
    <w:p w14:paraId="08CC3721"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jc w:val="left"/>
        <w:rPr>
          <w:sz w:val="22"/>
          <w:szCs w:val="22"/>
        </w:rPr>
      </w:pPr>
      <w:r w:rsidRPr="00265A78">
        <w:rPr>
          <w:sz w:val="22"/>
          <w:szCs w:val="22"/>
        </w:rPr>
        <w:t xml:space="preserve">This </w:t>
      </w:r>
      <w:r w:rsidR="003B799A">
        <w:rPr>
          <w:sz w:val="22"/>
          <w:szCs w:val="22"/>
        </w:rPr>
        <w:t>Determination</w:t>
      </w:r>
      <w:r>
        <w:rPr>
          <w:sz w:val="22"/>
          <w:szCs w:val="22"/>
        </w:rPr>
        <w:t xml:space="preserve"> </w:t>
      </w:r>
      <w:r w:rsidRPr="00265A78">
        <w:rPr>
          <w:sz w:val="22"/>
          <w:szCs w:val="22"/>
        </w:rPr>
        <w:t xml:space="preserve">is compatible with the human rights and freedoms recognised or declared in the international instruments listed in section 3 of the </w:t>
      </w:r>
      <w:r w:rsidRPr="00265A78">
        <w:rPr>
          <w:i/>
          <w:sz w:val="22"/>
          <w:szCs w:val="22"/>
        </w:rPr>
        <w:t>Human Rights (Parliamentary Scrutiny) Act 2011</w:t>
      </w:r>
      <w:r w:rsidRPr="00265A78">
        <w:rPr>
          <w:sz w:val="22"/>
          <w:szCs w:val="22"/>
        </w:rPr>
        <w:t>.</w:t>
      </w:r>
    </w:p>
    <w:p w14:paraId="1D6B9407"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60"/>
        <w:jc w:val="left"/>
        <w:rPr>
          <w:b/>
          <w:sz w:val="22"/>
          <w:szCs w:val="22"/>
        </w:rPr>
      </w:pPr>
      <w:r w:rsidRPr="00265A78">
        <w:rPr>
          <w:b/>
          <w:sz w:val="22"/>
          <w:szCs w:val="22"/>
        </w:rPr>
        <w:t xml:space="preserve">Overview of the </w:t>
      </w:r>
      <w:r>
        <w:rPr>
          <w:b/>
          <w:sz w:val="22"/>
          <w:szCs w:val="22"/>
        </w:rPr>
        <w:t>Determination</w:t>
      </w:r>
    </w:p>
    <w:p w14:paraId="431A9C5F"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60"/>
        <w:jc w:val="left"/>
        <w:rPr>
          <w:bCs/>
          <w:iCs/>
          <w:sz w:val="22"/>
          <w:szCs w:val="22"/>
        </w:rPr>
      </w:pPr>
      <w:r w:rsidRPr="00265A78">
        <w:rPr>
          <w:sz w:val="22"/>
          <w:szCs w:val="22"/>
        </w:rPr>
        <w:t xml:space="preserve">The </w:t>
      </w:r>
      <w:r w:rsidR="00CB3115" w:rsidRPr="00CB3115">
        <w:rPr>
          <w:sz w:val="22"/>
          <w:szCs w:val="22"/>
        </w:rPr>
        <w:t xml:space="preserve">National Health (Pharmaceutical Benefits Supplied </w:t>
      </w:r>
      <w:proofErr w:type="gramStart"/>
      <w:r w:rsidR="00CB3115" w:rsidRPr="00CB3115">
        <w:rPr>
          <w:sz w:val="22"/>
          <w:szCs w:val="22"/>
        </w:rPr>
        <w:t>By</w:t>
      </w:r>
      <w:proofErr w:type="gramEnd"/>
      <w:r w:rsidR="00CB3115" w:rsidRPr="00CB3115">
        <w:rPr>
          <w:sz w:val="22"/>
          <w:szCs w:val="22"/>
        </w:rPr>
        <w:t xml:space="preserve"> Private Hospitals) Amendment (Budge</w:t>
      </w:r>
      <w:r w:rsidR="00CB3115">
        <w:rPr>
          <w:sz w:val="22"/>
          <w:szCs w:val="22"/>
        </w:rPr>
        <w:t>t Measure) Determination 2019</w:t>
      </w:r>
      <w:r w:rsidR="00CB3115" w:rsidRPr="00CB3115">
        <w:rPr>
          <w:sz w:val="22"/>
          <w:szCs w:val="22"/>
        </w:rPr>
        <w:t xml:space="preserve"> </w:t>
      </w:r>
      <w:r w:rsidRPr="009E3940">
        <w:rPr>
          <w:sz w:val="22"/>
          <w:szCs w:val="22"/>
        </w:rPr>
        <w:t>(the </w:t>
      </w:r>
      <w:r w:rsidR="0080510D">
        <w:rPr>
          <w:sz w:val="22"/>
          <w:szCs w:val="22"/>
        </w:rPr>
        <w:t>D</w:t>
      </w:r>
      <w:r w:rsidRPr="009E3940">
        <w:rPr>
          <w:sz w:val="22"/>
          <w:szCs w:val="22"/>
        </w:rPr>
        <w:t xml:space="preserve">etermination) </w:t>
      </w:r>
      <w:r w:rsidRPr="00265A78">
        <w:rPr>
          <w:sz w:val="22"/>
          <w:szCs w:val="22"/>
        </w:rPr>
        <w:t>amends the</w:t>
      </w:r>
      <w:r w:rsidRPr="009E3940">
        <w:rPr>
          <w:sz w:val="22"/>
          <w:szCs w:val="22"/>
        </w:rPr>
        <w:t xml:space="preserve"> </w:t>
      </w:r>
      <w:r w:rsidR="00CB3115" w:rsidRPr="00CB3115">
        <w:rPr>
          <w:sz w:val="22"/>
          <w:szCs w:val="22"/>
        </w:rPr>
        <w:t>National Health (Commonwealth Price- Pharmaceutical Benefits Supplied By Private Hospitals) Determination 2010</w:t>
      </w:r>
      <w:r w:rsidRPr="00CB3115">
        <w:rPr>
          <w:sz w:val="22"/>
          <w:szCs w:val="22"/>
        </w:rPr>
        <w:t>.</w:t>
      </w:r>
    </w:p>
    <w:p w14:paraId="6EEDBB74" w14:textId="77777777" w:rsidR="00B66097" w:rsidRPr="00B66097" w:rsidRDefault="006D3045" w:rsidP="00B66097">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240" w:after="60"/>
        <w:jc w:val="left"/>
        <w:rPr>
          <w:sz w:val="22"/>
          <w:szCs w:val="22"/>
        </w:rPr>
      </w:pPr>
      <w:r w:rsidRPr="00780E97">
        <w:rPr>
          <w:sz w:val="22"/>
          <w:szCs w:val="22"/>
        </w:rPr>
        <w:t xml:space="preserve">The purpose of </w:t>
      </w:r>
      <w:r w:rsidR="0080510D">
        <w:rPr>
          <w:sz w:val="22"/>
          <w:szCs w:val="22"/>
        </w:rPr>
        <w:t>the D</w:t>
      </w:r>
      <w:r>
        <w:rPr>
          <w:sz w:val="22"/>
          <w:szCs w:val="22"/>
        </w:rPr>
        <w:t xml:space="preserve">etermination </w:t>
      </w:r>
      <w:r w:rsidR="00B66097">
        <w:rPr>
          <w:sz w:val="22"/>
          <w:szCs w:val="22"/>
        </w:rPr>
        <w:t xml:space="preserve">is to align the Pharmaceutical Benefits Scheme (PBS) </w:t>
      </w:r>
      <w:r w:rsidR="00D962D5" w:rsidRPr="00D962D5">
        <w:rPr>
          <w:sz w:val="22"/>
          <w:szCs w:val="22"/>
        </w:rPr>
        <w:t xml:space="preserve">storage and handling mark-up, known as the </w:t>
      </w:r>
      <w:r w:rsidR="00B66097">
        <w:rPr>
          <w:sz w:val="22"/>
          <w:szCs w:val="22"/>
        </w:rPr>
        <w:t>wholesale mark-up</w:t>
      </w:r>
      <w:r w:rsidR="00D962D5">
        <w:rPr>
          <w:sz w:val="22"/>
          <w:szCs w:val="22"/>
        </w:rPr>
        <w:t>,</w:t>
      </w:r>
      <w:r w:rsidR="00B66097">
        <w:rPr>
          <w:sz w:val="22"/>
          <w:szCs w:val="22"/>
        </w:rPr>
        <w:t xml:space="preserve"> for p</w:t>
      </w:r>
      <w:r w:rsidR="00CB3115">
        <w:rPr>
          <w:sz w:val="22"/>
          <w:szCs w:val="22"/>
        </w:rPr>
        <w:t>rivate</w:t>
      </w:r>
      <w:r w:rsidR="00B66097">
        <w:rPr>
          <w:sz w:val="22"/>
          <w:szCs w:val="22"/>
        </w:rPr>
        <w:t xml:space="preserve"> hospitals, as applied to ready-prepared pharmaceutical benefits (as per section 85 of the </w:t>
      </w:r>
      <w:r w:rsidR="00B66097">
        <w:rPr>
          <w:i/>
          <w:sz w:val="22"/>
          <w:szCs w:val="22"/>
        </w:rPr>
        <w:t>National Health Act 1953</w:t>
      </w:r>
      <w:r w:rsidR="00B66097">
        <w:rPr>
          <w:sz w:val="22"/>
          <w:szCs w:val="22"/>
        </w:rPr>
        <w:t>), with the wholesale mark-up arrangements in the community pharmacy setting. This will ensure parity of wholesale mark-ups across the range of PBS dispensing environments.</w:t>
      </w:r>
    </w:p>
    <w:p w14:paraId="313D5444"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120" w:after="0"/>
        <w:jc w:val="left"/>
        <w:rPr>
          <w:b/>
          <w:sz w:val="22"/>
          <w:szCs w:val="22"/>
        </w:rPr>
      </w:pPr>
      <w:r w:rsidRPr="00265A78">
        <w:rPr>
          <w:b/>
          <w:sz w:val="22"/>
          <w:szCs w:val="22"/>
        </w:rPr>
        <w:t>Human rights implications</w:t>
      </w:r>
    </w:p>
    <w:p w14:paraId="18D689C0" w14:textId="77777777" w:rsidR="00D81EC8" w:rsidRDefault="00D81EC8"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60" w:after="0"/>
        <w:jc w:val="left"/>
        <w:rPr>
          <w:sz w:val="22"/>
          <w:szCs w:val="22"/>
        </w:rPr>
      </w:pPr>
      <w:r>
        <w:rPr>
          <w:sz w:val="22"/>
          <w:szCs w:val="22"/>
        </w:rPr>
        <w:t xml:space="preserve">The </w:t>
      </w:r>
      <w:r w:rsidR="003B799A">
        <w:rPr>
          <w:sz w:val="22"/>
          <w:szCs w:val="22"/>
        </w:rPr>
        <w:t>Determination</w:t>
      </w:r>
      <w:r>
        <w:rPr>
          <w:sz w:val="22"/>
          <w:szCs w:val="22"/>
        </w:rPr>
        <w:t xml:space="preserve"> adds new clauses for the calculation for the dispensed price for pharmaceutical benefits supplied in p</w:t>
      </w:r>
      <w:r w:rsidR="00CB3115">
        <w:rPr>
          <w:sz w:val="22"/>
          <w:szCs w:val="22"/>
        </w:rPr>
        <w:t>rivate</w:t>
      </w:r>
      <w:r>
        <w:rPr>
          <w:sz w:val="22"/>
          <w:szCs w:val="22"/>
        </w:rPr>
        <w:t xml:space="preserve"> hospitals. These new clauses revise the existing wholesale mark-up calculations and align them with the calculations that </w:t>
      </w:r>
      <w:r w:rsidR="0080510D">
        <w:rPr>
          <w:sz w:val="22"/>
          <w:szCs w:val="22"/>
        </w:rPr>
        <w:t>apply in community pharmacy. These changes do not engage any of the applicable rights or freedoms and do not raise any human rights issues.</w:t>
      </w:r>
    </w:p>
    <w:p w14:paraId="796F4471"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60" w:after="0"/>
        <w:jc w:val="left"/>
        <w:rPr>
          <w:sz w:val="22"/>
          <w:szCs w:val="22"/>
        </w:rPr>
      </w:pPr>
      <w:r>
        <w:rPr>
          <w:sz w:val="22"/>
          <w:szCs w:val="22"/>
        </w:rPr>
        <w:t xml:space="preserve">More broadly, the </w:t>
      </w:r>
      <w:r w:rsidRPr="004B7B70">
        <w:rPr>
          <w:sz w:val="22"/>
          <w:szCs w:val="22"/>
        </w:rPr>
        <w:t xml:space="preserve">PBS is a benefit </w:t>
      </w:r>
      <w:proofErr w:type="gramStart"/>
      <w:r w:rsidRPr="004B7B70">
        <w:rPr>
          <w:sz w:val="22"/>
          <w:szCs w:val="22"/>
        </w:rPr>
        <w:t>scheme which</w:t>
      </w:r>
      <w:proofErr w:type="gramEnd"/>
      <w:r w:rsidRPr="004B7B70">
        <w:rPr>
          <w:sz w:val="22"/>
          <w:szCs w:val="22"/>
        </w:rPr>
        <w:t xml:space="preserve"> assists with providing subsidised access to medicines</w:t>
      </w:r>
      <w:r>
        <w:rPr>
          <w:sz w:val="22"/>
          <w:szCs w:val="22"/>
        </w:rPr>
        <w:t xml:space="preserve"> for people in the community</w:t>
      </w:r>
      <w:r w:rsidRPr="004B7B70">
        <w:rPr>
          <w:sz w:val="22"/>
          <w:szCs w:val="22"/>
        </w:rPr>
        <w:t xml:space="preserve">. </w:t>
      </w:r>
      <w:r>
        <w:rPr>
          <w:sz w:val="22"/>
          <w:szCs w:val="22"/>
        </w:rPr>
        <w:t>It engages Articles 2 and 12 of the ICESCR, as it</w:t>
      </w:r>
      <w:r w:rsidRPr="004B7B70">
        <w:rPr>
          <w:sz w:val="22"/>
          <w:szCs w:val="22"/>
        </w:rPr>
        <w:t xml:space="preserve"> is a positive step towards attaining the highest standard</w:t>
      </w:r>
      <w:r>
        <w:rPr>
          <w:sz w:val="22"/>
          <w:szCs w:val="22"/>
        </w:rPr>
        <w:t xml:space="preserve"> of health for all Australians. E</w:t>
      </w:r>
      <w:r w:rsidRPr="004B7B70">
        <w:rPr>
          <w:sz w:val="22"/>
          <w:szCs w:val="22"/>
        </w:rPr>
        <w:t xml:space="preserve">fficient operational arrangements for </w:t>
      </w:r>
      <w:r>
        <w:rPr>
          <w:sz w:val="22"/>
          <w:szCs w:val="22"/>
        </w:rPr>
        <w:t xml:space="preserve">the </w:t>
      </w:r>
      <w:r w:rsidRPr="004B7B70">
        <w:rPr>
          <w:sz w:val="22"/>
          <w:szCs w:val="22"/>
        </w:rPr>
        <w:t>PBS support effective administration of the scheme.</w:t>
      </w:r>
      <w:r>
        <w:rPr>
          <w:sz w:val="22"/>
          <w:szCs w:val="22"/>
        </w:rPr>
        <w:t xml:space="preserve"> </w:t>
      </w:r>
      <w:r w:rsidRPr="004B7B70">
        <w:rPr>
          <w:sz w:val="22"/>
          <w:szCs w:val="22"/>
        </w:rPr>
        <w:t>In addition</w:t>
      </w:r>
      <w:r>
        <w:rPr>
          <w:sz w:val="22"/>
          <w:szCs w:val="22"/>
        </w:rPr>
        <w:t>,</w:t>
      </w:r>
      <w:r w:rsidRPr="004B7B70">
        <w:rPr>
          <w:sz w:val="22"/>
          <w:szCs w:val="22"/>
        </w:rPr>
        <w:t xml:space="preserve"> it also assists in the progressive realisation by all appropriate means of the right of everyone to the enjoyment of the highest attainable standard of physical and mental health</w:t>
      </w:r>
      <w:r>
        <w:rPr>
          <w:sz w:val="22"/>
          <w:szCs w:val="22"/>
        </w:rPr>
        <w:t>. T</w:t>
      </w:r>
      <w:r w:rsidRPr="00265A78">
        <w:rPr>
          <w:sz w:val="22"/>
          <w:szCs w:val="22"/>
        </w:rPr>
        <w:t xml:space="preserve">he </w:t>
      </w:r>
      <w:r w:rsidR="003B799A">
        <w:rPr>
          <w:sz w:val="22"/>
          <w:szCs w:val="22"/>
        </w:rPr>
        <w:t>Determination</w:t>
      </w:r>
      <w:r>
        <w:rPr>
          <w:sz w:val="22"/>
          <w:szCs w:val="22"/>
        </w:rPr>
        <w:t xml:space="preserve"> </w:t>
      </w:r>
      <w:r w:rsidRPr="00265A78">
        <w:rPr>
          <w:sz w:val="22"/>
          <w:szCs w:val="22"/>
        </w:rPr>
        <w:t xml:space="preserve">has no net effect on the </w:t>
      </w:r>
      <w:r>
        <w:rPr>
          <w:sz w:val="22"/>
          <w:szCs w:val="22"/>
        </w:rPr>
        <w:t xml:space="preserve">Articles engaged by the </w:t>
      </w:r>
      <w:r w:rsidRPr="00265A78">
        <w:rPr>
          <w:sz w:val="22"/>
          <w:szCs w:val="22"/>
        </w:rPr>
        <w:t xml:space="preserve">principal </w:t>
      </w:r>
      <w:r w:rsidR="003B799A">
        <w:rPr>
          <w:sz w:val="22"/>
          <w:szCs w:val="22"/>
        </w:rPr>
        <w:t>Determination</w:t>
      </w:r>
      <w:r>
        <w:rPr>
          <w:sz w:val="22"/>
          <w:szCs w:val="22"/>
        </w:rPr>
        <w:t xml:space="preserve">; its effect is to </w:t>
      </w:r>
      <w:r w:rsidRPr="00265A78">
        <w:rPr>
          <w:sz w:val="22"/>
          <w:szCs w:val="22"/>
        </w:rPr>
        <w:t xml:space="preserve">ensure that </w:t>
      </w:r>
      <w:r>
        <w:rPr>
          <w:sz w:val="22"/>
          <w:szCs w:val="22"/>
        </w:rPr>
        <w:t xml:space="preserve">legislative provisions reflect arrangements as agreed by Government. </w:t>
      </w:r>
    </w:p>
    <w:p w14:paraId="3CA19E02" w14:textId="77777777" w:rsidR="006D3045" w:rsidRPr="004B7B70"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120" w:after="0"/>
        <w:jc w:val="left"/>
        <w:rPr>
          <w:b/>
          <w:sz w:val="22"/>
          <w:szCs w:val="22"/>
        </w:rPr>
      </w:pPr>
      <w:r w:rsidRPr="004B7B70">
        <w:rPr>
          <w:b/>
          <w:sz w:val="22"/>
          <w:szCs w:val="22"/>
        </w:rPr>
        <w:t>Conclusion</w:t>
      </w:r>
    </w:p>
    <w:p w14:paraId="1F378F6A"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left"/>
        <w:rPr>
          <w:sz w:val="22"/>
          <w:szCs w:val="22"/>
        </w:rPr>
      </w:pPr>
      <w:r>
        <w:rPr>
          <w:sz w:val="22"/>
          <w:szCs w:val="22"/>
        </w:rPr>
        <w:t>T</w:t>
      </w:r>
      <w:r w:rsidRPr="00265A78">
        <w:rPr>
          <w:sz w:val="22"/>
          <w:szCs w:val="22"/>
        </w:rPr>
        <w:t xml:space="preserve">he </w:t>
      </w:r>
      <w:r w:rsidR="003B799A">
        <w:rPr>
          <w:sz w:val="22"/>
          <w:szCs w:val="22"/>
        </w:rPr>
        <w:t>Determination</w:t>
      </w:r>
      <w:r>
        <w:rPr>
          <w:sz w:val="22"/>
          <w:szCs w:val="22"/>
        </w:rPr>
        <w:t xml:space="preserve"> </w:t>
      </w:r>
      <w:r w:rsidRPr="00265A78">
        <w:rPr>
          <w:sz w:val="22"/>
          <w:szCs w:val="22"/>
        </w:rPr>
        <w:t>is compatible with human rights, as they apply to Australia</w:t>
      </w:r>
      <w:r>
        <w:rPr>
          <w:sz w:val="22"/>
          <w:szCs w:val="22"/>
        </w:rPr>
        <w:t>,</w:t>
      </w:r>
      <w:r w:rsidRPr="00265A78">
        <w:rPr>
          <w:sz w:val="22"/>
          <w:szCs w:val="22"/>
        </w:rPr>
        <w:t xml:space="preserve"> </w:t>
      </w:r>
      <w:r>
        <w:rPr>
          <w:sz w:val="22"/>
          <w:szCs w:val="22"/>
        </w:rPr>
        <w:t xml:space="preserve">as it </w:t>
      </w:r>
      <w:r w:rsidRPr="00265A78">
        <w:rPr>
          <w:sz w:val="22"/>
          <w:szCs w:val="22"/>
        </w:rPr>
        <w:t>does not raise any human rights issues</w:t>
      </w:r>
      <w:r>
        <w:rPr>
          <w:sz w:val="22"/>
          <w:szCs w:val="22"/>
        </w:rPr>
        <w:t xml:space="preserve"> and </w:t>
      </w:r>
      <w:r w:rsidRPr="00265A78">
        <w:rPr>
          <w:sz w:val="22"/>
          <w:szCs w:val="22"/>
        </w:rPr>
        <w:t xml:space="preserve">does not </w:t>
      </w:r>
      <w:r>
        <w:rPr>
          <w:sz w:val="22"/>
          <w:szCs w:val="22"/>
        </w:rPr>
        <w:t>impinge</w:t>
      </w:r>
      <w:r w:rsidRPr="00265A78">
        <w:rPr>
          <w:sz w:val="22"/>
          <w:szCs w:val="22"/>
        </w:rPr>
        <w:t xml:space="preserve"> </w:t>
      </w:r>
      <w:r>
        <w:rPr>
          <w:sz w:val="22"/>
          <w:szCs w:val="22"/>
        </w:rPr>
        <w:t xml:space="preserve">on </w:t>
      </w:r>
      <w:r w:rsidRPr="00265A78">
        <w:rPr>
          <w:sz w:val="22"/>
          <w:szCs w:val="22"/>
        </w:rPr>
        <w:t>any rights or freedoms.</w:t>
      </w:r>
    </w:p>
    <w:p w14:paraId="3185A36F"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left"/>
        <w:rPr>
          <w:sz w:val="22"/>
          <w:szCs w:val="22"/>
        </w:rPr>
      </w:pPr>
    </w:p>
    <w:p w14:paraId="6EDBAF90"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highlight w:val="yellow"/>
        </w:rPr>
      </w:pPr>
      <w:bookmarkStart w:id="0" w:name="_GoBack"/>
      <w:bookmarkEnd w:id="0"/>
    </w:p>
    <w:p w14:paraId="7CEB2A22" w14:textId="77777777" w:rsidR="006D3045" w:rsidRPr="00C03A86"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sidRPr="00C03A86">
        <w:rPr>
          <w:b/>
          <w:sz w:val="22"/>
          <w:szCs w:val="22"/>
        </w:rPr>
        <w:t xml:space="preserve">Adriana </w:t>
      </w:r>
      <w:proofErr w:type="spellStart"/>
      <w:r w:rsidRPr="00C03A86">
        <w:rPr>
          <w:b/>
          <w:sz w:val="22"/>
          <w:szCs w:val="22"/>
        </w:rPr>
        <w:t>Platona</w:t>
      </w:r>
      <w:proofErr w:type="spellEnd"/>
    </w:p>
    <w:p w14:paraId="64BC603F"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sidRPr="00C03A86">
        <w:rPr>
          <w:b/>
          <w:sz w:val="22"/>
          <w:szCs w:val="22"/>
        </w:rPr>
        <w:t>First Assistant Secretary</w:t>
      </w:r>
    </w:p>
    <w:p w14:paraId="29C54181"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sidRPr="00534B53">
        <w:rPr>
          <w:b/>
          <w:sz w:val="22"/>
          <w:szCs w:val="22"/>
        </w:rPr>
        <w:t>Technology Assessment &amp; Access Division</w:t>
      </w:r>
    </w:p>
    <w:p w14:paraId="0F6ECBEE" w14:textId="77777777" w:rsidR="006D3045" w:rsidRPr="00ED0FB3"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Pr>
          <w:b/>
          <w:sz w:val="22"/>
          <w:szCs w:val="22"/>
        </w:rPr>
        <w:t>Department of Health</w:t>
      </w:r>
    </w:p>
    <w:p w14:paraId="289229AD" w14:textId="77777777" w:rsidR="00280050" w:rsidRDefault="00280050"/>
    <w:sectPr w:rsidR="00280050" w:rsidSect="005A6385">
      <w:pgSz w:w="11906" w:h="16838"/>
      <w:pgMar w:top="1079" w:right="1274" w:bottom="1258" w:left="1440" w:header="709"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ABEAE" w14:textId="77777777" w:rsidR="009E58A0" w:rsidRDefault="009C14C6">
      <w:pPr>
        <w:spacing w:after="0"/>
      </w:pPr>
      <w:r>
        <w:separator/>
      </w:r>
    </w:p>
  </w:endnote>
  <w:endnote w:type="continuationSeparator" w:id="0">
    <w:p w14:paraId="7CF2520C" w14:textId="77777777" w:rsidR="009E58A0" w:rsidRDefault="009C1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86B8" w14:textId="5A05F1F2" w:rsidR="00BF19FB" w:rsidRDefault="002205F1" w:rsidP="00C32656">
    <w:pPr>
      <w:keepLines w:val="0"/>
      <w:jc w:val="center"/>
      <w:rPr>
        <w:sz w:val="24"/>
        <w:szCs w:val="24"/>
      </w:rPr>
    </w:pPr>
    <w:r w:rsidRPr="005A6385">
      <w:rPr>
        <w:sz w:val="24"/>
        <w:szCs w:val="24"/>
      </w:rPr>
      <w:fldChar w:fldCharType="begin"/>
    </w:r>
    <w:r w:rsidRPr="005A6385">
      <w:rPr>
        <w:sz w:val="24"/>
        <w:szCs w:val="24"/>
      </w:rPr>
      <w:instrText xml:space="preserve"> PAGE </w:instrText>
    </w:r>
    <w:r w:rsidRPr="005A6385">
      <w:rPr>
        <w:sz w:val="24"/>
        <w:szCs w:val="24"/>
      </w:rPr>
      <w:fldChar w:fldCharType="separate"/>
    </w:r>
    <w:r w:rsidR="008D1654">
      <w:rPr>
        <w:noProof/>
        <w:sz w:val="24"/>
        <w:szCs w:val="24"/>
      </w:rPr>
      <w:t>2</w:t>
    </w:r>
    <w:r w:rsidRPr="005A6385">
      <w:rPr>
        <w:sz w:val="24"/>
        <w:szCs w:val="24"/>
      </w:rPr>
      <w:fldChar w:fldCharType="end"/>
    </w:r>
  </w:p>
  <w:p w14:paraId="03C872B3" w14:textId="77777777" w:rsidR="008D1654" w:rsidRPr="005A6385" w:rsidRDefault="008D1654" w:rsidP="00C32656">
    <w:pPr>
      <w:keepLines w:val="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FFD6" w14:textId="2964C25D" w:rsidR="005A6385" w:rsidRPr="005A6385" w:rsidRDefault="002205F1" w:rsidP="005A6385">
    <w:pPr>
      <w:keepLines w:val="0"/>
      <w:jc w:val="center"/>
      <w:rPr>
        <w:sz w:val="24"/>
        <w:szCs w:val="24"/>
      </w:rPr>
    </w:pPr>
    <w:r w:rsidRPr="005A6385">
      <w:rPr>
        <w:sz w:val="24"/>
        <w:szCs w:val="24"/>
      </w:rPr>
      <w:fldChar w:fldCharType="begin"/>
    </w:r>
    <w:r w:rsidRPr="005A6385">
      <w:rPr>
        <w:sz w:val="24"/>
        <w:szCs w:val="24"/>
      </w:rPr>
      <w:instrText xml:space="preserve"> PAGE </w:instrText>
    </w:r>
    <w:r w:rsidRPr="005A6385">
      <w:rPr>
        <w:sz w:val="24"/>
        <w:szCs w:val="24"/>
      </w:rPr>
      <w:fldChar w:fldCharType="separate"/>
    </w:r>
    <w:r w:rsidR="008D1654">
      <w:rPr>
        <w:noProof/>
        <w:sz w:val="24"/>
        <w:szCs w:val="24"/>
      </w:rPr>
      <w:t>10</w:t>
    </w:r>
    <w:r w:rsidRPr="005A6385">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34F7" w14:textId="77777777" w:rsidR="00BF19FB" w:rsidRDefault="002205F1"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9C6C431" w14:textId="77777777" w:rsidR="00BF19FB" w:rsidRDefault="008D1654">
    <w:pP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CCAD" w14:textId="011D66D0" w:rsidR="00BF19FB" w:rsidRDefault="002205F1" w:rsidP="0032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654">
      <w:rPr>
        <w:rStyle w:val="PageNumber"/>
        <w:noProof/>
      </w:rPr>
      <w:t>9</w:t>
    </w:r>
    <w:r>
      <w:rPr>
        <w:rStyle w:val="PageNumber"/>
      </w:rPr>
      <w:fldChar w:fldCharType="end"/>
    </w:r>
  </w:p>
  <w:p w14:paraId="350E0A8D" w14:textId="77777777" w:rsidR="00BF19FB" w:rsidRDefault="008D1654" w:rsidP="00325DC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96D49" w14:textId="77777777" w:rsidR="009E58A0" w:rsidRDefault="009C14C6">
      <w:pPr>
        <w:spacing w:after="0"/>
      </w:pPr>
      <w:r>
        <w:separator/>
      </w:r>
    </w:p>
  </w:footnote>
  <w:footnote w:type="continuationSeparator" w:id="0">
    <w:p w14:paraId="05437206" w14:textId="77777777" w:rsidR="009E58A0" w:rsidRDefault="009C1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601"/>
    <w:multiLevelType w:val="hybridMultilevel"/>
    <w:tmpl w:val="FC04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937EF"/>
    <w:multiLevelType w:val="hybridMultilevel"/>
    <w:tmpl w:val="481CAB04"/>
    <w:lvl w:ilvl="0" w:tplc="7EEA7D66">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AE07A7"/>
    <w:multiLevelType w:val="hybridMultilevel"/>
    <w:tmpl w:val="4208A134"/>
    <w:lvl w:ilvl="0" w:tplc="AFC6EF54">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793DB7"/>
    <w:multiLevelType w:val="hybridMultilevel"/>
    <w:tmpl w:val="5FCC876A"/>
    <w:lvl w:ilvl="0" w:tplc="D396CDA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4D3779"/>
    <w:multiLevelType w:val="hybridMultilevel"/>
    <w:tmpl w:val="BE70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D17247"/>
    <w:multiLevelType w:val="hybridMultilevel"/>
    <w:tmpl w:val="C8B07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45"/>
    <w:rsid w:val="000412AB"/>
    <w:rsid w:val="00081633"/>
    <w:rsid w:val="000B39D2"/>
    <w:rsid w:val="000F63DC"/>
    <w:rsid w:val="00111577"/>
    <w:rsid w:val="001423AD"/>
    <w:rsid w:val="001A4A15"/>
    <w:rsid w:val="001E01CA"/>
    <w:rsid w:val="001E7315"/>
    <w:rsid w:val="002205F1"/>
    <w:rsid w:val="00241D4F"/>
    <w:rsid w:val="0026768D"/>
    <w:rsid w:val="00280050"/>
    <w:rsid w:val="002A1882"/>
    <w:rsid w:val="002C3FF8"/>
    <w:rsid w:val="002E40A1"/>
    <w:rsid w:val="002F523E"/>
    <w:rsid w:val="00337E3F"/>
    <w:rsid w:val="00347EC5"/>
    <w:rsid w:val="00365A63"/>
    <w:rsid w:val="0037427D"/>
    <w:rsid w:val="003B74E0"/>
    <w:rsid w:val="003B799A"/>
    <w:rsid w:val="003E0849"/>
    <w:rsid w:val="003F49B4"/>
    <w:rsid w:val="0041577E"/>
    <w:rsid w:val="00434504"/>
    <w:rsid w:val="00444A98"/>
    <w:rsid w:val="00485568"/>
    <w:rsid w:val="004C2764"/>
    <w:rsid w:val="00502D9C"/>
    <w:rsid w:val="00527743"/>
    <w:rsid w:val="0052788C"/>
    <w:rsid w:val="00531DEE"/>
    <w:rsid w:val="0059044A"/>
    <w:rsid w:val="0059552E"/>
    <w:rsid w:val="005A36C3"/>
    <w:rsid w:val="005C72AB"/>
    <w:rsid w:val="00632D80"/>
    <w:rsid w:val="00642124"/>
    <w:rsid w:val="0065672F"/>
    <w:rsid w:val="00696412"/>
    <w:rsid w:val="006D3045"/>
    <w:rsid w:val="006D4335"/>
    <w:rsid w:val="006D462A"/>
    <w:rsid w:val="00773619"/>
    <w:rsid w:val="007A12F5"/>
    <w:rsid w:val="007A5AEA"/>
    <w:rsid w:val="007D248C"/>
    <w:rsid w:val="007F0D17"/>
    <w:rsid w:val="007F573D"/>
    <w:rsid w:val="0080510D"/>
    <w:rsid w:val="00821084"/>
    <w:rsid w:val="008716CE"/>
    <w:rsid w:val="008D1654"/>
    <w:rsid w:val="00947FEE"/>
    <w:rsid w:val="009749DB"/>
    <w:rsid w:val="009B30B7"/>
    <w:rsid w:val="009C14C6"/>
    <w:rsid w:val="009C4A70"/>
    <w:rsid w:val="009E3940"/>
    <w:rsid w:val="009E45F3"/>
    <w:rsid w:val="009E58A0"/>
    <w:rsid w:val="00A120F2"/>
    <w:rsid w:val="00A21D3F"/>
    <w:rsid w:val="00A33A9E"/>
    <w:rsid w:val="00A65232"/>
    <w:rsid w:val="00AB3E79"/>
    <w:rsid w:val="00AF1D7A"/>
    <w:rsid w:val="00B15FF9"/>
    <w:rsid w:val="00B66097"/>
    <w:rsid w:val="00B70EFF"/>
    <w:rsid w:val="00B956B9"/>
    <w:rsid w:val="00BC783C"/>
    <w:rsid w:val="00BE7273"/>
    <w:rsid w:val="00C03A86"/>
    <w:rsid w:val="00C4604A"/>
    <w:rsid w:val="00CA6632"/>
    <w:rsid w:val="00CB3115"/>
    <w:rsid w:val="00CE348C"/>
    <w:rsid w:val="00CE41E0"/>
    <w:rsid w:val="00D008DF"/>
    <w:rsid w:val="00D75E7D"/>
    <w:rsid w:val="00D81EC8"/>
    <w:rsid w:val="00D962D5"/>
    <w:rsid w:val="00E641DD"/>
    <w:rsid w:val="00EE104E"/>
    <w:rsid w:val="00F14D6C"/>
    <w:rsid w:val="00F21D1E"/>
    <w:rsid w:val="00F54B53"/>
    <w:rsid w:val="00FB4FD5"/>
    <w:rsid w:val="00FD7321"/>
    <w:rsid w:val="00FE0E32"/>
    <w:rsid w:val="00FE7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37B2"/>
  <w15:chartTrackingRefBased/>
  <w15:docId w15:val="{79003E7B-68EE-4A0C-BB8D-393AE52D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45"/>
    <w:pPr>
      <w:keepLines/>
      <w:spacing w:after="120" w:line="240" w:lineRule="auto"/>
      <w:jc w:val="both"/>
    </w:pPr>
    <w:rPr>
      <w:rFonts w:eastAsia="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rsid w:val="006D3045"/>
    <w:pPr>
      <w:keepNext/>
      <w:suppressAutoHyphens/>
      <w:jc w:val="center"/>
    </w:pPr>
    <w:rPr>
      <w:b/>
    </w:rPr>
  </w:style>
  <w:style w:type="paragraph" w:customStyle="1" w:styleId="Heading6">
    <w:name w:val="Heading6"/>
    <w:basedOn w:val="Normal"/>
    <w:link w:val="Heading6Char"/>
    <w:rsid w:val="006D3045"/>
    <w:pPr>
      <w:keepNext/>
      <w:suppressAutoHyphens/>
    </w:pPr>
    <w:rPr>
      <w:b/>
    </w:rPr>
  </w:style>
  <w:style w:type="paragraph" w:styleId="Footer">
    <w:name w:val="footer"/>
    <w:basedOn w:val="Normal"/>
    <w:link w:val="FooterChar"/>
    <w:uiPriority w:val="99"/>
    <w:rsid w:val="006D3045"/>
    <w:pPr>
      <w:tabs>
        <w:tab w:val="center" w:pos="4153"/>
        <w:tab w:val="right" w:pos="8306"/>
      </w:tabs>
    </w:pPr>
  </w:style>
  <w:style w:type="character" w:customStyle="1" w:styleId="FooterChar">
    <w:name w:val="Footer Char"/>
    <w:basedOn w:val="DefaultParagraphFont"/>
    <w:link w:val="Footer"/>
    <w:uiPriority w:val="99"/>
    <w:rsid w:val="006D3045"/>
    <w:rPr>
      <w:rFonts w:eastAsia="Times New Roman"/>
      <w:sz w:val="20"/>
      <w:szCs w:val="20"/>
      <w:lang w:eastAsia="en-AU"/>
    </w:rPr>
  </w:style>
  <w:style w:type="character" w:styleId="PageNumber">
    <w:name w:val="page number"/>
    <w:basedOn w:val="DefaultParagraphFont"/>
    <w:rsid w:val="006D3045"/>
  </w:style>
  <w:style w:type="character" w:customStyle="1" w:styleId="Heading6Char">
    <w:name w:val="Heading6 Char"/>
    <w:link w:val="Heading6"/>
    <w:rsid w:val="006D3045"/>
    <w:rPr>
      <w:rFonts w:eastAsia="Times New Roman"/>
      <w:b/>
      <w:sz w:val="20"/>
      <w:szCs w:val="20"/>
      <w:lang w:eastAsia="en-AU"/>
    </w:rPr>
  </w:style>
  <w:style w:type="paragraph" w:styleId="ListParagraph">
    <w:name w:val="List Paragraph"/>
    <w:basedOn w:val="Normal"/>
    <w:uiPriority w:val="34"/>
    <w:qFormat/>
    <w:rsid w:val="007A5AEA"/>
    <w:pPr>
      <w:ind w:left="720"/>
      <w:contextualSpacing/>
    </w:pPr>
  </w:style>
  <w:style w:type="table" w:styleId="TableGrid">
    <w:name w:val="Table Grid"/>
    <w:basedOn w:val="TableNormal"/>
    <w:uiPriority w:val="39"/>
    <w:rsid w:val="0014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41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DD"/>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6D462A"/>
    <w:rPr>
      <w:sz w:val="16"/>
      <w:szCs w:val="16"/>
    </w:rPr>
  </w:style>
  <w:style w:type="paragraph" w:styleId="CommentText">
    <w:name w:val="annotation text"/>
    <w:basedOn w:val="Normal"/>
    <w:link w:val="CommentTextChar"/>
    <w:uiPriority w:val="99"/>
    <w:semiHidden/>
    <w:unhideWhenUsed/>
    <w:rsid w:val="006D462A"/>
  </w:style>
  <w:style w:type="character" w:customStyle="1" w:styleId="CommentTextChar">
    <w:name w:val="Comment Text Char"/>
    <w:basedOn w:val="DefaultParagraphFont"/>
    <w:link w:val="CommentText"/>
    <w:uiPriority w:val="99"/>
    <w:semiHidden/>
    <w:rsid w:val="006D462A"/>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462A"/>
    <w:rPr>
      <w:b/>
      <w:bCs/>
    </w:rPr>
  </w:style>
  <w:style w:type="character" w:customStyle="1" w:styleId="CommentSubjectChar">
    <w:name w:val="Comment Subject Char"/>
    <w:basedOn w:val="CommentTextChar"/>
    <w:link w:val="CommentSubject"/>
    <w:uiPriority w:val="99"/>
    <w:semiHidden/>
    <w:rsid w:val="006D462A"/>
    <w:rPr>
      <w:rFonts w:eastAsia="Times New Roman"/>
      <w:b/>
      <w:bCs/>
      <w:sz w:val="20"/>
      <w:szCs w:val="20"/>
      <w:lang w:eastAsia="en-AU"/>
    </w:rPr>
  </w:style>
  <w:style w:type="paragraph" w:styleId="Header">
    <w:name w:val="header"/>
    <w:basedOn w:val="Normal"/>
    <w:link w:val="HeaderChar"/>
    <w:uiPriority w:val="99"/>
    <w:unhideWhenUsed/>
    <w:rsid w:val="008D1654"/>
    <w:pPr>
      <w:tabs>
        <w:tab w:val="center" w:pos="4513"/>
        <w:tab w:val="right" w:pos="9026"/>
      </w:tabs>
      <w:spacing w:after="0"/>
    </w:pPr>
  </w:style>
  <w:style w:type="character" w:customStyle="1" w:styleId="HeaderChar">
    <w:name w:val="Header Char"/>
    <w:basedOn w:val="DefaultParagraphFont"/>
    <w:link w:val="Header"/>
    <w:uiPriority w:val="99"/>
    <w:rsid w:val="008D1654"/>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KERSLAKE, Antony</dc:creator>
  <cp:keywords/>
  <dc:description/>
  <cp:lastModifiedBy>NG, Jason</cp:lastModifiedBy>
  <cp:revision>4</cp:revision>
  <dcterms:created xsi:type="dcterms:W3CDTF">2019-06-27T23:30:00Z</dcterms:created>
  <dcterms:modified xsi:type="dcterms:W3CDTF">2019-06-28T06:20:00Z</dcterms:modified>
</cp:coreProperties>
</file>