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29F8DD73" w:rsidR="008744EC" w:rsidRPr="002F1E95" w:rsidRDefault="008744EC" w:rsidP="008744EC">
      <w:pPr>
        <w:pStyle w:val="ShortT"/>
        <w:rPr>
          <w:szCs w:val="40"/>
        </w:rPr>
      </w:pPr>
      <w:r w:rsidRPr="002F1E95">
        <w:rPr>
          <w:szCs w:val="40"/>
        </w:rPr>
        <w:t>Public Governance, Performance and Accountability</w:t>
      </w:r>
      <w:r w:rsidR="0035237D" w:rsidRPr="002F1E95">
        <w:rPr>
          <w:szCs w:val="40"/>
        </w:rPr>
        <w:t xml:space="preserve"> (Section </w:t>
      </w:r>
      <w:r w:rsidRPr="002F1E95">
        <w:rPr>
          <w:szCs w:val="40"/>
        </w:rPr>
        <w:t>75 Transfe</w:t>
      </w:r>
      <w:r w:rsidR="00446ABC" w:rsidRPr="002F1E95">
        <w:rPr>
          <w:szCs w:val="40"/>
        </w:rPr>
        <w:t>r</w:t>
      </w:r>
      <w:r w:rsidR="00760917" w:rsidRPr="002F1E95">
        <w:rPr>
          <w:szCs w:val="40"/>
        </w:rPr>
        <w:t>s) Amendment Determination 2018</w:t>
      </w:r>
      <w:r w:rsidR="0035237D" w:rsidRPr="002F1E95">
        <w:rPr>
          <w:szCs w:val="40"/>
        </w:rPr>
        <w:noBreakHyphen/>
      </w:r>
      <w:r w:rsidR="00760917" w:rsidRPr="002F1E95">
        <w:rPr>
          <w:szCs w:val="40"/>
        </w:rPr>
        <w:t>2019</w:t>
      </w:r>
      <w:r w:rsidRPr="002F1E95">
        <w:rPr>
          <w:szCs w:val="40"/>
        </w:rPr>
        <w:t xml:space="preserve"> (</w:t>
      </w:r>
      <w:r w:rsidR="0035237D" w:rsidRPr="002F1E95">
        <w:rPr>
          <w:szCs w:val="40"/>
        </w:rPr>
        <w:t>No. </w:t>
      </w:r>
      <w:r w:rsidR="005A4DE8" w:rsidRPr="002F1E95">
        <w:rPr>
          <w:szCs w:val="40"/>
        </w:rPr>
        <w:t>7</w:t>
      </w:r>
      <w:r w:rsidRPr="002F1E95">
        <w:rPr>
          <w:szCs w:val="40"/>
        </w:rPr>
        <w:t>)</w:t>
      </w:r>
    </w:p>
    <w:p w14:paraId="0631E657" w14:textId="3A5494A0" w:rsidR="00EC2C49" w:rsidRPr="00FD1487" w:rsidRDefault="00EC2C49" w:rsidP="00EC2C49">
      <w:pPr>
        <w:pStyle w:val="SignCoverPageStart"/>
        <w:spacing w:before="240"/>
        <w:ind w:right="91"/>
        <w:rPr>
          <w:szCs w:val="22"/>
        </w:rPr>
      </w:pPr>
      <w:r w:rsidRPr="00FD1487">
        <w:rPr>
          <w:szCs w:val="22"/>
        </w:rPr>
        <w:t xml:space="preserve">I, Tracey Carroll, First Assistant Secretary, Financial Analysis, Reporting and Management, </w:t>
      </w:r>
      <w:r w:rsidR="006B5AAB" w:rsidRPr="00FD1487">
        <w:rPr>
          <w:szCs w:val="22"/>
        </w:rPr>
        <w:t xml:space="preserve">Department of Finance, </w:t>
      </w:r>
      <w:r w:rsidRPr="00FD1487">
        <w:rPr>
          <w:szCs w:val="22"/>
        </w:rPr>
        <w:t>make the following determination.</w:t>
      </w:r>
    </w:p>
    <w:p w14:paraId="208CB4AA" w14:textId="7C2CA418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FD1487">
        <w:rPr>
          <w:szCs w:val="22"/>
        </w:rPr>
        <w:t>Dated</w:t>
      </w:r>
      <w:r w:rsidR="00E17AC3">
        <w:rPr>
          <w:szCs w:val="22"/>
        </w:rPr>
        <w:t xml:space="preserve">  3</w:t>
      </w:r>
      <w:proofErr w:type="gramEnd"/>
      <w:r w:rsidR="00E17AC3">
        <w:rPr>
          <w:szCs w:val="22"/>
        </w:rPr>
        <w:t xml:space="preserve"> </w:t>
      </w:r>
      <w:r w:rsidR="00D61B0F" w:rsidRPr="00FD1487">
        <w:rPr>
          <w:szCs w:val="22"/>
        </w:rPr>
        <w:t>Ju</w:t>
      </w:r>
      <w:r w:rsidR="00E302F4">
        <w:rPr>
          <w:szCs w:val="22"/>
        </w:rPr>
        <w:t>ly</w:t>
      </w:r>
      <w:r w:rsidR="000B1963" w:rsidRPr="00FD1487">
        <w:rPr>
          <w:szCs w:val="22"/>
        </w:rPr>
        <w:t xml:space="preserve"> 201</w:t>
      </w:r>
      <w:r w:rsidR="001736FB" w:rsidRPr="00FD1487">
        <w:rPr>
          <w:szCs w:val="22"/>
        </w:rPr>
        <w:t>9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D1487" w:rsidRDefault="008744EC" w:rsidP="008744EC">
      <w:pPr>
        <w:outlineLvl w:val="0"/>
        <w:rPr>
          <w:szCs w:val="22"/>
        </w:rPr>
      </w:pPr>
      <w:r w:rsidRPr="00FD1487">
        <w:rPr>
          <w:szCs w:val="22"/>
        </w:rPr>
        <w:lastRenderedPageBreak/>
        <w:t>Contents</w:t>
      </w:r>
    </w:p>
    <w:bookmarkStart w:id="0" w:name="BKCheck15B_2"/>
    <w:bookmarkEnd w:id="0"/>
    <w:p w14:paraId="429CEB92" w14:textId="1FC19F97" w:rsidR="00AC0B31" w:rsidRPr="00FD1487" w:rsidRDefault="0011704F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FD1487">
        <w:rPr>
          <w:sz w:val="22"/>
          <w:szCs w:val="22"/>
        </w:rPr>
        <w:fldChar w:fldCharType="begin"/>
      </w:r>
      <w:r w:rsidR="008744EC" w:rsidRPr="00FD1487">
        <w:rPr>
          <w:sz w:val="22"/>
          <w:szCs w:val="22"/>
        </w:rPr>
        <w:instrText xml:space="preserve"> TOC \o "1-9" </w:instrText>
      </w:r>
      <w:r w:rsidRPr="00FD1487">
        <w:rPr>
          <w:sz w:val="22"/>
          <w:szCs w:val="22"/>
        </w:rPr>
        <w:fldChar w:fldCharType="separate"/>
      </w:r>
      <w:r w:rsidR="00AC0B31" w:rsidRPr="00FD1487">
        <w:rPr>
          <w:noProof/>
          <w:sz w:val="22"/>
          <w:szCs w:val="22"/>
        </w:rPr>
        <w:t>1  Name</w:t>
      </w:r>
      <w:r w:rsidR="00AC0B31" w:rsidRPr="00FD1487">
        <w:rPr>
          <w:noProof/>
          <w:sz w:val="22"/>
          <w:szCs w:val="22"/>
        </w:rPr>
        <w:tab/>
      </w:r>
      <w:r w:rsidR="00AC0B31" w:rsidRPr="00FD1487">
        <w:rPr>
          <w:noProof/>
          <w:sz w:val="22"/>
          <w:szCs w:val="22"/>
        </w:rPr>
        <w:fldChar w:fldCharType="begin"/>
      </w:r>
      <w:r w:rsidR="00AC0B31" w:rsidRPr="00FD1487">
        <w:rPr>
          <w:noProof/>
          <w:sz w:val="22"/>
          <w:szCs w:val="22"/>
        </w:rPr>
        <w:instrText xml:space="preserve"> PAGEREF _Toc12537687 \h </w:instrText>
      </w:r>
      <w:r w:rsidR="00AC0B31" w:rsidRPr="00FD1487">
        <w:rPr>
          <w:noProof/>
          <w:sz w:val="22"/>
          <w:szCs w:val="22"/>
        </w:rPr>
      </w:r>
      <w:r w:rsidR="00AC0B31" w:rsidRPr="00FD1487">
        <w:rPr>
          <w:noProof/>
          <w:sz w:val="22"/>
          <w:szCs w:val="22"/>
        </w:rPr>
        <w:fldChar w:fldCharType="separate"/>
      </w:r>
      <w:r w:rsidR="00AC0B31" w:rsidRPr="00FD1487">
        <w:rPr>
          <w:noProof/>
          <w:sz w:val="22"/>
          <w:szCs w:val="22"/>
        </w:rPr>
        <w:t>1</w:t>
      </w:r>
      <w:r w:rsidR="00AC0B31" w:rsidRPr="00FD1487">
        <w:rPr>
          <w:noProof/>
          <w:sz w:val="22"/>
          <w:szCs w:val="22"/>
        </w:rPr>
        <w:fldChar w:fldCharType="end"/>
      </w:r>
    </w:p>
    <w:p w14:paraId="19062A24" w14:textId="530C4F35" w:rsidR="00AC0B31" w:rsidRPr="00FD1487" w:rsidRDefault="00AC0B31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FD1487">
        <w:rPr>
          <w:noProof/>
          <w:sz w:val="22"/>
          <w:szCs w:val="22"/>
        </w:rPr>
        <w:t>2  Commencement</w:t>
      </w:r>
      <w:r w:rsidRPr="00FD1487">
        <w:rPr>
          <w:noProof/>
          <w:sz w:val="22"/>
          <w:szCs w:val="22"/>
        </w:rPr>
        <w:tab/>
      </w:r>
      <w:r w:rsidRPr="00FD1487">
        <w:rPr>
          <w:noProof/>
          <w:sz w:val="22"/>
          <w:szCs w:val="22"/>
        </w:rPr>
        <w:fldChar w:fldCharType="begin"/>
      </w:r>
      <w:r w:rsidRPr="00FD1487">
        <w:rPr>
          <w:noProof/>
          <w:sz w:val="22"/>
          <w:szCs w:val="22"/>
        </w:rPr>
        <w:instrText xml:space="preserve"> PAGEREF _Toc12537688 \h </w:instrText>
      </w:r>
      <w:r w:rsidRPr="00FD1487">
        <w:rPr>
          <w:noProof/>
          <w:sz w:val="22"/>
          <w:szCs w:val="22"/>
        </w:rPr>
      </w:r>
      <w:r w:rsidRPr="00FD1487">
        <w:rPr>
          <w:noProof/>
          <w:sz w:val="22"/>
          <w:szCs w:val="22"/>
        </w:rPr>
        <w:fldChar w:fldCharType="separate"/>
      </w:r>
      <w:r w:rsidRPr="00FD1487">
        <w:rPr>
          <w:noProof/>
          <w:sz w:val="22"/>
          <w:szCs w:val="22"/>
        </w:rPr>
        <w:t>1</w:t>
      </w:r>
      <w:r w:rsidRPr="00FD1487">
        <w:rPr>
          <w:noProof/>
          <w:sz w:val="22"/>
          <w:szCs w:val="22"/>
        </w:rPr>
        <w:fldChar w:fldCharType="end"/>
      </w:r>
    </w:p>
    <w:p w14:paraId="1C8B6259" w14:textId="3C047691" w:rsidR="00AC0B31" w:rsidRPr="00FD1487" w:rsidRDefault="00AC0B31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FD1487">
        <w:rPr>
          <w:noProof/>
          <w:sz w:val="22"/>
          <w:szCs w:val="22"/>
        </w:rPr>
        <w:t>3  Authority</w:t>
      </w:r>
      <w:r w:rsidRPr="00FD1487">
        <w:rPr>
          <w:noProof/>
          <w:sz w:val="22"/>
          <w:szCs w:val="22"/>
        </w:rPr>
        <w:tab/>
      </w:r>
      <w:r w:rsidRPr="00FD1487">
        <w:rPr>
          <w:noProof/>
          <w:sz w:val="22"/>
          <w:szCs w:val="22"/>
        </w:rPr>
        <w:fldChar w:fldCharType="begin"/>
      </w:r>
      <w:r w:rsidRPr="00FD1487">
        <w:rPr>
          <w:noProof/>
          <w:sz w:val="22"/>
          <w:szCs w:val="22"/>
        </w:rPr>
        <w:instrText xml:space="preserve"> PAGEREF _Toc12537689 \h </w:instrText>
      </w:r>
      <w:r w:rsidRPr="00FD1487">
        <w:rPr>
          <w:noProof/>
          <w:sz w:val="22"/>
          <w:szCs w:val="22"/>
        </w:rPr>
      </w:r>
      <w:r w:rsidRPr="00FD1487">
        <w:rPr>
          <w:noProof/>
          <w:sz w:val="22"/>
          <w:szCs w:val="22"/>
        </w:rPr>
        <w:fldChar w:fldCharType="separate"/>
      </w:r>
      <w:r w:rsidRPr="00FD1487">
        <w:rPr>
          <w:noProof/>
          <w:sz w:val="22"/>
          <w:szCs w:val="22"/>
        </w:rPr>
        <w:t>1</w:t>
      </w:r>
      <w:r w:rsidRPr="00FD1487">
        <w:rPr>
          <w:noProof/>
          <w:sz w:val="22"/>
          <w:szCs w:val="22"/>
        </w:rPr>
        <w:fldChar w:fldCharType="end"/>
      </w:r>
    </w:p>
    <w:p w14:paraId="2A48BDCF" w14:textId="5733F9AE" w:rsidR="00AC0B31" w:rsidRPr="00FD1487" w:rsidRDefault="00AC0B31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FD1487">
        <w:rPr>
          <w:noProof/>
          <w:sz w:val="22"/>
          <w:szCs w:val="22"/>
        </w:rPr>
        <w:t>4  Schedules</w:t>
      </w:r>
      <w:r w:rsidRPr="00FD1487">
        <w:rPr>
          <w:noProof/>
          <w:sz w:val="22"/>
          <w:szCs w:val="22"/>
        </w:rPr>
        <w:tab/>
      </w:r>
      <w:r w:rsidRPr="00FD1487">
        <w:rPr>
          <w:noProof/>
          <w:sz w:val="22"/>
          <w:szCs w:val="22"/>
        </w:rPr>
        <w:fldChar w:fldCharType="begin"/>
      </w:r>
      <w:r w:rsidRPr="00FD1487">
        <w:rPr>
          <w:noProof/>
          <w:sz w:val="22"/>
          <w:szCs w:val="22"/>
        </w:rPr>
        <w:instrText xml:space="preserve"> PAGEREF _Toc12537690 \h </w:instrText>
      </w:r>
      <w:r w:rsidRPr="00FD1487">
        <w:rPr>
          <w:noProof/>
          <w:sz w:val="22"/>
          <w:szCs w:val="22"/>
        </w:rPr>
      </w:r>
      <w:r w:rsidRPr="00FD1487">
        <w:rPr>
          <w:noProof/>
          <w:sz w:val="22"/>
          <w:szCs w:val="22"/>
        </w:rPr>
        <w:fldChar w:fldCharType="separate"/>
      </w:r>
      <w:r w:rsidRPr="00FD1487">
        <w:rPr>
          <w:noProof/>
          <w:sz w:val="22"/>
          <w:szCs w:val="22"/>
        </w:rPr>
        <w:t>1</w:t>
      </w:r>
      <w:r w:rsidRPr="00FD1487">
        <w:rPr>
          <w:noProof/>
          <w:sz w:val="22"/>
          <w:szCs w:val="22"/>
        </w:rPr>
        <w:fldChar w:fldCharType="end"/>
      </w:r>
    </w:p>
    <w:p w14:paraId="43A680FF" w14:textId="3AC0E10C" w:rsidR="00AC0B31" w:rsidRPr="00FD1487" w:rsidRDefault="00AC0B31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FD1487">
        <w:rPr>
          <w:rFonts w:eastAsia="Calibri"/>
          <w:noProof/>
          <w:sz w:val="22"/>
          <w:szCs w:val="22"/>
        </w:rPr>
        <w:t>Schedule 1</w:t>
      </w:r>
      <w:r w:rsidRPr="00FD1487">
        <w:rPr>
          <w:noProof/>
          <w:sz w:val="22"/>
          <w:szCs w:val="22"/>
        </w:rPr>
        <w:t>—Amendments</w:t>
      </w:r>
      <w:r w:rsidRPr="00FD1487">
        <w:rPr>
          <w:noProof/>
          <w:sz w:val="22"/>
          <w:szCs w:val="22"/>
        </w:rPr>
        <w:tab/>
      </w:r>
      <w:r w:rsidRPr="00FD1487">
        <w:rPr>
          <w:noProof/>
          <w:sz w:val="22"/>
          <w:szCs w:val="22"/>
        </w:rPr>
        <w:fldChar w:fldCharType="begin"/>
      </w:r>
      <w:r w:rsidRPr="00FD1487">
        <w:rPr>
          <w:noProof/>
          <w:sz w:val="22"/>
          <w:szCs w:val="22"/>
        </w:rPr>
        <w:instrText xml:space="preserve"> PAGEREF _Toc12537691 \h </w:instrText>
      </w:r>
      <w:r w:rsidRPr="00FD1487">
        <w:rPr>
          <w:noProof/>
          <w:sz w:val="22"/>
          <w:szCs w:val="22"/>
        </w:rPr>
      </w:r>
      <w:r w:rsidRPr="00FD1487">
        <w:rPr>
          <w:noProof/>
          <w:sz w:val="22"/>
          <w:szCs w:val="22"/>
        </w:rPr>
        <w:fldChar w:fldCharType="separate"/>
      </w:r>
      <w:r w:rsidRPr="00FD1487">
        <w:rPr>
          <w:noProof/>
          <w:sz w:val="22"/>
          <w:szCs w:val="22"/>
        </w:rPr>
        <w:t>2</w:t>
      </w:r>
      <w:r w:rsidRPr="00FD1487">
        <w:rPr>
          <w:noProof/>
          <w:sz w:val="22"/>
          <w:szCs w:val="22"/>
        </w:rPr>
        <w:fldChar w:fldCharType="end"/>
      </w:r>
    </w:p>
    <w:p w14:paraId="65AF8576" w14:textId="65DADB96" w:rsidR="00AC0B31" w:rsidRPr="00FD1487" w:rsidRDefault="00AC0B31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FD1487">
        <w:rPr>
          <w:noProof/>
          <w:sz w:val="22"/>
          <w:szCs w:val="22"/>
        </w:rPr>
        <w:t>Public Governance, Performance and Accountability (Section 75 Transfers) Determination 2018</w:t>
      </w:r>
      <w:r w:rsidRPr="00FD1487">
        <w:rPr>
          <w:noProof/>
          <w:sz w:val="22"/>
          <w:szCs w:val="22"/>
        </w:rPr>
        <w:noBreakHyphen/>
        <w:t>2019</w:t>
      </w:r>
      <w:r w:rsidRPr="00FD1487">
        <w:rPr>
          <w:noProof/>
          <w:sz w:val="22"/>
          <w:szCs w:val="22"/>
        </w:rPr>
        <w:tab/>
      </w:r>
      <w:r w:rsidRPr="00FD1487">
        <w:rPr>
          <w:noProof/>
          <w:sz w:val="22"/>
          <w:szCs w:val="22"/>
        </w:rPr>
        <w:fldChar w:fldCharType="begin"/>
      </w:r>
      <w:r w:rsidRPr="00FD1487">
        <w:rPr>
          <w:noProof/>
          <w:sz w:val="22"/>
          <w:szCs w:val="22"/>
        </w:rPr>
        <w:instrText xml:space="preserve"> PAGEREF _Toc12537692 \h </w:instrText>
      </w:r>
      <w:r w:rsidRPr="00FD1487">
        <w:rPr>
          <w:noProof/>
          <w:sz w:val="22"/>
          <w:szCs w:val="22"/>
        </w:rPr>
      </w:r>
      <w:r w:rsidRPr="00FD1487">
        <w:rPr>
          <w:noProof/>
          <w:sz w:val="22"/>
          <w:szCs w:val="22"/>
        </w:rPr>
        <w:fldChar w:fldCharType="separate"/>
      </w:r>
      <w:r w:rsidRPr="00FD1487">
        <w:rPr>
          <w:noProof/>
          <w:sz w:val="22"/>
          <w:szCs w:val="22"/>
        </w:rPr>
        <w:t>2</w:t>
      </w:r>
      <w:r w:rsidRPr="00FD1487">
        <w:rPr>
          <w:noProof/>
          <w:sz w:val="22"/>
          <w:szCs w:val="22"/>
        </w:rPr>
        <w:fldChar w:fldCharType="end"/>
      </w:r>
    </w:p>
    <w:p w14:paraId="54D2749A" w14:textId="39F3374A" w:rsidR="008744EC" w:rsidRPr="00FD1487" w:rsidRDefault="0011704F" w:rsidP="008744EC">
      <w:pPr>
        <w:rPr>
          <w:szCs w:val="22"/>
        </w:rPr>
      </w:pPr>
      <w:r w:rsidRPr="00FD1487">
        <w:rPr>
          <w:szCs w:val="22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1" w:name="_Toc12537687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1"/>
      <w:proofErr w:type="gramEnd"/>
    </w:p>
    <w:p w14:paraId="7ECCD161" w14:textId="08B654C5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2" w:name="BKCheck15B_3"/>
      <w:bookmarkEnd w:id="2"/>
      <w:r w:rsidR="0011704F" w:rsidRPr="00FD1487">
        <w:rPr>
          <w:i/>
          <w:szCs w:val="22"/>
        </w:rPr>
        <w:fldChar w:fldCharType="begin"/>
      </w:r>
      <w:r w:rsidRPr="00FD1487">
        <w:rPr>
          <w:i/>
          <w:szCs w:val="22"/>
        </w:rPr>
        <w:instrText xml:space="preserve"> STYLEREF  ShortT </w:instrText>
      </w:r>
      <w:r w:rsidR="0011704F" w:rsidRPr="00FD1487">
        <w:rPr>
          <w:i/>
          <w:szCs w:val="22"/>
        </w:rPr>
        <w:fldChar w:fldCharType="separate"/>
      </w:r>
      <w:r w:rsidR="005A4DE8" w:rsidRPr="00FD1487">
        <w:rPr>
          <w:i/>
          <w:noProof/>
          <w:szCs w:val="22"/>
        </w:rPr>
        <w:t>Public Governance, Performance and Accountability (Section 75 Transfers) Amendment Determination 2018-2019 (No. 7)</w:t>
      </w:r>
      <w:r w:rsidR="0011704F" w:rsidRPr="00FD1487">
        <w:rPr>
          <w:i/>
          <w:szCs w:val="22"/>
        </w:rPr>
        <w:fldChar w:fldCharType="end"/>
      </w:r>
      <w:r w:rsidRPr="00FD148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3" w:name="_Toc12537688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3"/>
      <w:proofErr w:type="gramEnd"/>
    </w:p>
    <w:p w14:paraId="3EF07A75" w14:textId="2891C11A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FD1487">
        <w:rPr>
          <w:szCs w:val="22"/>
        </w:rPr>
        <w:t xml:space="preserve">on </w:t>
      </w:r>
      <w:r w:rsidR="00C71E19" w:rsidRPr="004B7ADD">
        <w:rPr>
          <w:szCs w:val="22"/>
        </w:rPr>
        <w:t>the day after it is registered</w:t>
      </w:r>
      <w:r w:rsidRPr="004B7ADD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12537689"/>
      <w:proofErr w:type="gramStart"/>
      <w:r w:rsidRPr="00FD1487">
        <w:rPr>
          <w:sz w:val="22"/>
          <w:szCs w:val="22"/>
        </w:rPr>
        <w:t>3  Authority</w:t>
      </w:r>
      <w:bookmarkEnd w:id="4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</w:t>
      </w:r>
      <w:proofErr w:type="gramStart"/>
      <w:r w:rsidRPr="00FD1487">
        <w:rPr>
          <w:szCs w:val="22"/>
        </w:rPr>
        <w:t>is made</w:t>
      </w:r>
      <w:proofErr w:type="gramEnd"/>
      <w:r w:rsidRPr="00FD1487">
        <w:rPr>
          <w:szCs w:val="22"/>
        </w:rPr>
        <w:t xml:space="preserve">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12537690"/>
      <w:proofErr w:type="gramStart"/>
      <w:r w:rsidRPr="00FD1487">
        <w:rPr>
          <w:sz w:val="22"/>
          <w:szCs w:val="22"/>
        </w:rPr>
        <w:t>4  Schedules</w:t>
      </w:r>
      <w:bookmarkEnd w:id="5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Each instrument that </w:t>
      </w:r>
      <w:proofErr w:type="gramStart"/>
      <w:r w:rsidRPr="00FD1487">
        <w:rPr>
          <w:szCs w:val="22"/>
        </w:rPr>
        <w:t>is specified</w:t>
      </w:r>
      <w:proofErr w:type="gramEnd"/>
      <w:r w:rsidRPr="00FD1487">
        <w:rPr>
          <w:szCs w:val="22"/>
        </w:rP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98306C" w:rsidRDefault="008744EC" w:rsidP="008744EC">
      <w:pPr>
        <w:pStyle w:val="ActHead6"/>
        <w:pageBreakBefore/>
        <w:rPr>
          <w:rFonts w:cs="Arial"/>
          <w:szCs w:val="32"/>
        </w:rPr>
      </w:pPr>
      <w:bookmarkStart w:id="6" w:name="_Toc12537691"/>
      <w:bookmarkStart w:id="7" w:name="opcAmSched"/>
      <w:bookmarkStart w:id="8" w:name="opcCurrentFind"/>
      <w:r w:rsidRPr="0098306C">
        <w:rPr>
          <w:rStyle w:val="CharAmSchNo"/>
          <w:rFonts w:eastAsia="Calibri" w:cs="Arial"/>
          <w:szCs w:val="32"/>
        </w:rPr>
        <w:lastRenderedPageBreak/>
        <w:t>Schedule 1</w:t>
      </w:r>
      <w:r w:rsidRPr="0098306C">
        <w:rPr>
          <w:rFonts w:cs="Arial"/>
          <w:szCs w:val="32"/>
        </w:rPr>
        <w:t>—</w:t>
      </w:r>
      <w:r w:rsidRPr="0098306C">
        <w:rPr>
          <w:rStyle w:val="CharAmSchText"/>
          <w:rFonts w:cs="Arial"/>
          <w:szCs w:val="32"/>
        </w:rPr>
        <w:t>Amendments</w:t>
      </w:r>
      <w:bookmarkEnd w:id="6"/>
    </w:p>
    <w:p w14:paraId="395FA9AB" w14:textId="35C65D15" w:rsidR="008744EC" w:rsidRPr="0098306C" w:rsidRDefault="008744EC" w:rsidP="008744EC">
      <w:pPr>
        <w:pStyle w:val="ActHead9"/>
        <w:rPr>
          <w:szCs w:val="28"/>
        </w:rPr>
      </w:pPr>
      <w:bookmarkStart w:id="9" w:name="_Toc12537692"/>
      <w:bookmarkEnd w:id="7"/>
      <w:bookmarkEnd w:id="8"/>
      <w:r w:rsidRPr="0098306C">
        <w:rPr>
          <w:szCs w:val="28"/>
        </w:rPr>
        <w:t>Public Governance, Performance and Accountability</w:t>
      </w:r>
      <w:r w:rsidR="001164D5" w:rsidRPr="0098306C">
        <w:rPr>
          <w:szCs w:val="28"/>
        </w:rPr>
        <w:t xml:space="preserve"> (Section </w:t>
      </w:r>
      <w:r w:rsidR="0002127A" w:rsidRPr="0098306C">
        <w:rPr>
          <w:szCs w:val="28"/>
        </w:rPr>
        <w:t xml:space="preserve">75 </w:t>
      </w:r>
      <w:r w:rsidR="00B57EFF" w:rsidRPr="0098306C">
        <w:rPr>
          <w:szCs w:val="28"/>
        </w:rPr>
        <w:t>Transfers) Determination 2018</w:t>
      </w:r>
      <w:r w:rsidR="001164D5" w:rsidRPr="0098306C">
        <w:rPr>
          <w:szCs w:val="28"/>
        </w:rPr>
        <w:noBreakHyphen/>
      </w:r>
      <w:r w:rsidRPr="0098306C">
        <w:rPr>
          <w:szCs w:val="28"/>
        </w:rPr>
        <w:t>201</w:t>
      </w:r>
      <w:r w:rsidR="00B57EFF" w:rsidRPr="0098306C">
        <w:rPr>
          <w:szCs w:val="28"/>
        </w:rPr>
        <w:t>9</w:t>
      </w:r>
      <w:bookmarkEnd w:id="9"/>
    </w:p>
    <w:p w14:paraId="7FA1743D" w14:textId="77777777" w:rsidR="0049437D" w:rsidRDefault="0049437D" w:rsidP="0049437D">
      <w:pPr>
        <w:pStyle w:val="ItemHead"/>
        <w:ind w:left="284" w:hanging="284"/>
      </w:pPr>
      <w:r>
        <w:t>1</w:t>
      </w:r>
      <w:r>
        <w:tab/>
        <w:t xml:space="preserve">Section 4 (at the end of the definition of </w:t>
      </w:r>
      <w:r w:rsidRPr="003713DD">
        <w:rPr>
          <w:i/>
        </w:rPr>
        <w:t>Appropriation Act</w:t>
      </w:r>
      <w:r>
        <w:t>)</w:t>
      </w:r>
    </w:p>
    <w:p w14:paraId="6FF5479C" w14:textId="77777777" w:rsidR="0049437D" w:rsidRDefault="0049437D" w:rsidP="0049437D">
      <w:pPr>
        <w:pStyle w:val="Item"/>
      </w:pPr>
      <w:r>
        <w:t>Add:</w:t>
      </w:r>
    </w:p>
    <w:p w14:paraId="2FD3AAE9" w14:textId="00A9C01B" w:rsidR="005F4A47" w:rsidRDefault="005F4A47" w:rsidP="005F4A47">
      <w:pPr>
        <w:pStyle w:val="paragraph"/>
        <w:tabs>
          <w:tab w:val="left" w:pos="1560"/>
        </w:tabs>
        <w:ind w:left="1276" w:hanging="1276"/>
      </w:pPr>
      <w:r>
        <w:t xml:space="preserve">                 ; </w:t>
      </w:r>
      <w:proofErr w:type="gramStart"/>
      <w:r>
        <w:t>or</w:t>
      </w:r>
      <w:proofErr w:type="gramEnd"/>
      <w:r>
        <w:t xml:space="preserve"> </w:t>
      </w:r>
      <w:r>
        <w:tab/>
        <w:t xml:space="preserve">(c) the </w:t>
      </w:r>
      <w:r>
        <w:rPr>
          <w:i/>
        </w:rPr>
        <w:t>Appropriation Act (No. 3) 2018</w:t>
      </w:r>
      <w:r>
        <w:rPr>
          <w:i/>
        </w:rPr>
        <w:noBreakHyphen/>
        <w:t>2019</w:t>
      </w:r>
      <w:r>
        <w:t>; or</w:t>
      </w:r>
    </w:p>
    <w:p w14:paraId="665083EF" w14:textId="097A1B4A" w:rsidR="005F4A47" w:rsidRDefault="005F4A47" w:rsidP="005F4A47">
      <w:pPr>
        <w:pStyle w:val="paragraph"/>
        <w:ind w:left="1276" w:hanging="1276"/>
      </w:pPr>
      <w:r>
        <w:tab/>
      </w:r>
      <w:r>
        <w:tab/>
        <w:t xml:space="preserve">(d)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4) 2018</w:t>
      </w:r>
      <w:r>
        <w:rPr>
          <w:i/>
        </w:rPr>
        <w:noBreakHyphen/>
        <w:t>2019</w:t>
      </w:r>
      <w:r>
        <w:t>.</w:t>
      </w:r>
    </w:p>
    <w:p w14:paraId="2B57F83B" w14:textId="64C15279" w:rsidR="0089695B" w:rsidRPr="00727EC1" w:rsidRDefault="0089695B" w:rsidP="0089695B">
      <w:pPr>
        <w:pStyle w:val="ItemHead"/>
        <w:ind w:left="284" w:hanging="284"/>
        <w:rPr>
          <w:rFonts w:cs="Arial"/>
          <w:color w:val="000000" w:themeColor="text1"/>
          <w:szCs w:val="24"/>
        </w:rPr>
      </w:pPr>
      <w:proofErr w:type="gramStart"/>
      <w:r>
        <w:rPr>
          <w:rFonts w:cs="Arial"/>
          <w:szCs w:val="24"/>
        </w:rPr>
        <w:t>2</w:t>
      </w:r>
      <w:proofErr w:type="gramEnd"/>
      <w:r w:rsidRPr="00727EC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</w:t>
      </w:r>
      <w:r w:rsidRPr="00727EC1">
        <w:rPr>
          <w:rFonts w:cs="Arial"/>
          <w:szCs w:val="24"/>
        </w:rPr>
        <w:t>ection</w:t>
      </w:r>
      <w:r w:rsidRPr="00727EC1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>5</w:t>
      </w:r>
    </w:p>
    <w:p w14:paraId="68DAB770" w14:textId="77777777" w:rsidR="0089695B" w:rsidRPr="00FD1487" w:rsidRDefault="0089695B" w:rsidP="0089695B">
      <w:pPr>
        <w:pStyle w:val="Item"/>
        <w:rPr>
          <w:szCs w:val="22"/>
        </w:rPr>
      </w:pPr>
      <w:r w:rsidRPr="00FD1487">
        <w:rPr>
          <w:szCs w:val="22"/>
        </w:rPr>
        <w:t>Repeal the item, substitute:</w:t>
      </w:r>
    </w:p>
    <w:p w14:paraId="7B0435E7" w14:textId="77777777" w:rsidR="00C83914" w:rsidRDefault="00C83914" w:rsidP="00C83914">
      <w:pPr>
        <w:pStyle w:val="subsection"/>
        <w:numPr>
          <w:ilvl w:val="0"/>
          <w:numId w:val="23"/>
        </w:numPr>
        <w:tabs>
          <w:tab w:val="clear" w:pos="1021"/>
        </w:tabs>
      </w:pPr>
      <w:r>
        <w:t>The Appropriation Acts have effect as if:</w:t>
      </w:r>
    </w:p>
    <w:p w14:paraId="6B94C6C4" w14:textId="68A377E2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Agriculture and Water Resources Portfolio were references to the Agriculture Portfolio; and</w:t>
      </w:r>
    </w:p>
    <w:p w14:paraId="459A441D" w14:textId="50566B07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Department of Agriculture and Water Resources were references to the Department of Agriculture; and</w:t>
      </w:r>
    </w:p>
    <w:p w14:paraId="4A33F090" w14:textId="1350B54B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Education and Training Portfolio were references to the Education Portfolio; and</w:t>
      </w:r>
    </w:p>
    <w:p w14:paraId="45A0B0F5" w14:textId="590032DF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Department of Education and Training were references to the Department of Education; and</w:t>
      </w:r>
    </w:p>
    <w:p w14:paraId="40B18F61" w14:textId="423F38E3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Department of Human Services were references to Services Australia; and</w:t>
      </w:r>
    </w:p>
    <w:p w14:paraId="76D6570C" w14:textId="29CBCBDB" w:rsidR="00C83914" w:rsidRP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 w:rsidRPr="00C83914">
        <w:t>references in the Schedules to the Acts to:</w:t>
      </w:r>
    </w:p>
    <w:p w14:paraId="17D66D42" w14:textId="78A9C9A6" w:rsidR="00C83914" w:rsidRPr="00C83914" w:rsidRDefault="00C83914" w:rsidP="00C83914">
      <w:pPr>
        <w:pStyle w:val="subsection"/>
        <w:numPr>
          <w:ilvl w:val="2"/>
          <w:numId w:val="23"/>
        </w:numPr>
        <w:tabs>
          <w:tab w:val="clear" w:pos="1021"/>
        </w:tabs>
      </w:pPr>
      <w:r w:rsidRPr="00C83914">
        <w:t>the Jobs and Innovation Portfolio; or</w:t>
      </w:r>
    </w:p>
    <w:p w14:paraId="182A473C" w14:textId="016CE98C" w:rsidR="00C83914" w:rsidRPr="00C83914" w:rsidRDefault="00C83914" w:rsidP="00C83914">
      <w:pPr>
        <w:pStyle w:val="subsection"/>
        <w:numPr>
          <w:ilvl w:val="2"/>
          <w:numId w:val="23"/>
        </w:numPr>
        <w:tabs>
          <w:tab w:val="clear" w:pos="1021"/>
        </w:tabs>
      </w:pPr>
      <w:r w:rsidRPr="00C83914">
        <w:t>the Jobs and Small Business Portfolio;</w:t>
      </w:r>
    </w:p>
    <w:p w14:paraId="28FB7C80" w14:textId="2C47AD08" w:rsidR="00C83914" w:rsidRDefault="00C83914" w:rsidP="00C83914">
      <w:pPr>
        <w:pStyle w:val="subsection"/>
        <w:tabs>
          <w:tab w:val="clear" w:pos="1021"/>
        </w:tabs>
        <w:ind w:left="1440" w:firstLine="0"/>
      </w:pPr>
      <w:proofErr w:type="gramStart"/>
      <w:r w:rsidRPr="00C83914">
        <w:t>were</w:t>
      </w:r>
      <w:proofErr w:type="gramEnd"/>
      <w:r w:rsidRPr="00C83914">
        <w:t xml:space="preserve"> references to the Employment, Skills, Small and Family Business Portfolio; and</w:t>
      </w:r>
    </w:p>
    <w:p w14:paraId="52E3FAB6" w14:textId="45FBD461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>references in the Schedules to the Acts to the Department of Jobs and Small Business were references to the Department of Employment, Skills, Small and Family Business; and</w:t>
      </w:r>
    </w:p>
    <w:p w14:paraId="0F160B83" w14:textId="7EF0D5A2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r>
        <w:t xml:space="preserve">references in the Schedules to the Acts to the Infrastructure, Regional Development and Cities Portfolio were references to the Infrastructure, Transport, Cities and Regional Development Portfolio; and  </w:t>
      </w:r>
    </w:p>
    <w:p w14:paraId="5BC44993" w14:textId="27303A43" w:rsidR="00C83914" w:rsidRDefault="00C83914" w:rsidP="00C83914">
      <w:pPr>
        <w:pStyle w:val="subsection"/>
        <w:numPr>
          <w:ilvl w:val="1"/>
          <w:numId w:val="23"/>
        </w:numPr>
        <w:tabs>
          <w:tab w:val="clear" w:pos="1021"/>
        </w:tabs>
      </w:pPr>
      <w:proofErr w:type="gramStart"/>
      <w:r>
        <w:t>references</w:t>
      </w:r>
      <w:proofErr w:type="gramEnd"/>
      <w:r>
        <w:t xml:space="preserve"> in the Schedules to the Acts to the Department of Infrastructure, Regional Development and Cities were references to the Department of Infrastructure, Transport, Cities and Regional Development.</w:t>
      </w:r>
    </w:p>
    <w:p w14:paraId="144773F5" w14:textId="77777777" w:rsidR="00C83914" w:rsidRDefault="00C83914" w:rsidP="00C83914">
      <w:pPr>
        <w:pStyle w:val="paragraph"/>
        <w:numPr>
          <w:ilvl w:val="0"/>
          <w:numId w:val="23"/>
        </w:numPr>
        <w:tabs>
          <w:tab w:val="clear" w:pos="1531"/>
        </w:tabs>
        <w:spacing w:before="120" w:after="120"/>
      </w:pPr>
      <w:r>
        <w:t>Assuming that the substitutions described in subsection (1) have happened, the Appropriation Acts have effect as if:</w:t>
      </w:r>
    </w:p>
    <w:p w14:paraId="14383288" w14:textId="77777777" w:rsid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>
        <w:lastRenderedPageBreak/>
        <w:t>items and outcomes for the Australian Skills Quality Authority, included for the Education Portfolio, were instead included for the Employment, Skills, Small and Family Business Portfolio; and</w:t>
      </w:r>
    </w:p>
    <w:p w14:paraId="4AF74B8B" w14:textId="77777777" w:rsid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>
        <w:t>items and outcomes for the Digital Transformation Agency, included for the Prime Minister and Cabinet Portfolio, were instead included for the Social Services Portfolio; and</w:t>
      </w:r>
    </w:p>
    <w:p w14:paraId="0C19FFEC" w14:textId="77777777" w:rsidR="00C83914" w:rsidRP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>
        <w:t xml:space="preserve">items and outcomes for Services Australia, included for the Human Services Portfolio, were </w:t>
      </w:r>
      <w:r w:rsidRPr="00C83914">
        <w:t>instead included for the Social Services Portfolio; and</w:t>
      </w:r>
    </w:p>
    <w:p w14:paraId="5C7BADD7" w14:textId="77777777" w:rsidR="00C83914" w:rsidRP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 w:rsidRPr="00C83914">
        <w:t>items and outcomes for the following entities, included for the Employment, Skills, Small and Family Business Portfolio, were instead included for an Industry, Innovation and Science Portfolio:</w:t>
      </w:r>
    </w:p>
    <w:p w14:paraId="0FC8F849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Department of Industry, Innovation and Science;</w:t>
      </w:r>
    </w:p>
    <w:p w14:paraId="2BE9C091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Australian Institute of Marine Science;</w:t>
      </w:r>
    </w:p>
    <w:p w14:paraId="418D4F6B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Australian Nuclear Science and Technology Organisation;</w:t>
      </w:r>
    </w:p>
    <w:p w14:paraId="652CA66B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Commonwealth Scientific and Industrial Research Organisation;</w:t>
      </w:r>
    </w:p>
    <w:p w14:paraId="7CF93BF2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Northern Australia Infrastructure Facility;</w:t>
      </w:r>
    </w:p>
    <w:p w14:paraId="007DB465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 xml:space="preserve">Geoscience Australia; </w:t>
      </w:r>
    </w:p>
    <w:p w14:paraId="717E355E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IP Australia; and</w:t>
      </w:r>
    </w:p>
    <w:p w14:paraId="11D25D93" w14:textId="77777777" w:rsidR="00C83914" w:rsidRP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 w:rsidRPr="00C83914">
        <w:t>items and outcomes for the following entities, included for the Employment, Skills, Small and Family Business Portfolio, were instead included for the Attorney-General’s Portfolio:</w:t>
      </w:r>
    </w:p>
    <w:p w14:paraId="4E5C8A2C" w14:textId="77777777" w:rsidR="00C83914" w:rsidRP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 w:rsidRPr="00C83914">
        <w:t>Asbestos Safety and Eradication Agency;</w:t>
      </w:r>
    </w:p>
    <w:p w14:paraId="4F2D958C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>Australian Building and Construction Commission;</w:t>
      </w:r>
    </w:p>
    <w:p w14:paraId="22CEF45A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>Fair Work Commission;</w:t>
      </w:r>
    </w:p>
    <w:p w14:paraId="7880E806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>Fair Work Ombudsman and Registered Organisations Commission Entity;</w:t>
      </w:r>
    </w:p>
    <w:p w14:paraId="04522B64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>Safe Work Australia;</w:t>
      </w:r>
    </w:p>
    <w:p w14:paraId="5F573C85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proofErr w:type="spellStart"/>
      <w:r>
        <w:t>Comcare</w:t>
      </w:r>
      <w:proofErr w:type="spellEnd"/>
      <w:r>
        <w:t>; and</w:t>
      </w:r>
    </w:p>
    <w:p w14:paraId="30B9A611" w14:textId="77777777" w:rsid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>
        <w:t xml:space="preserve">items and outcomes for the Australian Security Intelligence Organisation, </w:t>
      </w:r>
      <w:r w:rsidRPr="00C83914">
        <w:t>included for the</w:t>
      </w:r>
      <w:r>
        <w:t xml:space="preserve"> Attorney-General’s Portfolio, were instead included for the Home Affairs Portfolio; and</w:t>
      </w:r>
    </w:p>
    <w:p w14:paraId="5D24954B" w14:textId="77777777" w:rsidR="00C83914" w:rsidRDefault="00C83914" w:rsidP="00C83914">
      <w:pPr>
        <w:pStyle w:val="paragraph"/>
        <w:numPr>
          <w:ilvl w:val="1"/>
          <w:numId w:val="23"/>
        </w:numPr>
        <w:tabs>
          <w:tab w:val="clear" w:pos="1531"/>
        </w:tabs>
        <w:spacing w:before="120" w:after="120"/>
        <w:ind w:left="1434" w:hanging="357"/>
      </w:pPr>
      <w:r>
        <w:t>items and outcomes for the following entities, included for the Prime Minister and Cabinet Portfolio, were instead included for the Attorney-General’s Portfolio:</w:t>
      </w:r>
    </w:p>
    <w:p w14:paraId="5F804426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 xml:space="preserve">Office of the Commonwealth Ombudsman; </w:t>
      </w:r>
    </w:p>
    <w:p w14:paraId="56C340D7" w14:textId="77777777" w:rsidR="00C83914" w:rsidRDefault="00C83914" w:rsidP="00C83914">
      <w:pPr>
        <w:pStyle w:val="paragraphsub"/>
        <w:numPr>
          <w:ilvl w:val="2"/>
          <w:numId w:val="23"/>
        </w:numPr>
        <w:tabs>
          <w:tab w:val="clear" w:pos="1985"/>
        </w:tabs>
      </w:pPr>
      <w:r>
        <w:t>Office of the Inspector-General of Intelligence Services.</w:t>
      </w:r>
    </w:p>
    <w:p w14:paraId="29EEACA4" w14:textId="034537CB" w:rsidR="00110C45" w:rsidRPr="00110C45" w:rsidRDefault="00110C45" w:rsidP="00110C45">
      <w:pPr>
        <w:pStyle w:val="ItemHead"/>
        <w:ind w:left="284" w:hanging="284"/>
        <w:rPr>
          <w:rFonts w:cs="Arial"/>
          <w:szCs w:val="24"/>
        </w:rPr>
      </w:pPr>
      <w:proofErr w:type="gramStart"/>
      <w:r w:rsidRPr="00110C45">
        <w:rPr>
          <w:rFonts w:cs="Arial"/>
          <w:szCs w:val="24"/>
        </w:rPr>
        <w:t>3</w:t>
      </w:r>
      <w:proofErr w:type="gramEnd"/>
      <w:r w:rsidRPr="00110C45">
        <w:rPr>
          <w:rFonts w:cs="Arial"/>
          <w:szCs w:val="24"/>
        </w:rPr>
        <w:t xml:space="preserve"> Subsection 6(</w:t>
      </w:r>
      <w:r>
        <w:rPr>
          <w:rFonts w:cs="Arial"/>
          <w:szCs w:val="24"/>
        </w:rPr>
        <w:t>1)</w:t>
      </w:r>
    </w:p>
    <w:p w14:paraId="52309300" w14:textId="3C962282" w:rsidR="00110C45" w:rsidRDefault="00110C45" w:rsidP="00110C45">
      <w:pPr>
        <w:pStyle w:val="Item"/>
        <w:rPr>
          <w:szCs w:val="22"/>
        </w:rPr>
      </w:pPr>
      <w:r w:rsidRPr="00110C45">
        <w:rPr>
          <w:szCs w:val="22"/>
        </w:rPr>
        <w:t xml:space="preserve">Repeal the </w:t>
      </w:r>
      <w:r>
        <w:rPr>
          <w:szCs w:val="22"/>
        </w:rPr>
        <w:t>subsection</w:t>
      </w:r>
      <w:r w:rsidRPr="00110C45">
        <w:rPr>
          <w:szCs w:val="22"/>
        </w:rPr>
        <w:t>, substitute:</w:t>
      </w:r>
    </w:p>
    <w:p w14:paraId="66B69D88" w14:textId="380BE5F3" w:rsidR="00110C45" w:rsidRDefault="00110C45" w:rsidP="00110C45">
      <w:pPr>
        <w:pStyle w:val="subsection"/>
        <w:numPr>
          <w:ilvl w:val="0"/>
          <w:numId w:val="20"/>
        </w:numPr>
      </w:pPr>
      <w:r w:rsidRPr="00CD755D">
        <w:t xml:space="preserve">This section applies to the </w:t>
      </w:r>
      <w:r w:rsidRPr="00110C45">
        <w:rPr>
          <w:i/>
        </w:rPr>
        <w:t>Appropriation Act (No. 1) 2018</w:t>
      </w:r>
      <w:r w:rsidRPr="00110C45">
        <w:rPr>
          <w:i/>
        </w:rPr>
        <w:noBreakHyphen/>
        <w:t>2019</w:t>
      </w:r>
      <w:r w:rsidRPr="00CD755D">
        <w:t>.</w:t>
      </w:r>
    </w:p>
    <w:p w14:paraId="3B8176C4" w14:textId="5EB8BE4F" w:rsidR="00110C45" w:rsidRPr="00110C45" w:rsidRDefault="005F4A47" w:rsidP="005F4A47">
      <w:pPr>
        <w:pStyle w:val="subsection"/>
        <w:ind w:left="851" w:hanging="491"/>
      </w:pPr>
      <w:r>
        <w:t xml:space="preserve">(1A) </w:t>
      </w:r>
      <w:proofErr w:type="gramStart"/>
      <w:r w:rsidR="00110C45">
        <w:t>For</w:t>
      </w:r>
      <w:proofErr w:type="gramEnd"/>
      <w:r w:rsidR="00110C45">
        <w:t xml:space="preserve"> the purposes of this section, assume that the substitutions described in section 5 have happened.</w:t>
      </w:r>
      <w:bookmarkStart w:id="10" w:name="_GoBack"/>
      <w:bookmarkEnd w:id="10"/>
    </w:p>
    <w:p w14:paraId="307CD7D7" w14:textId="6CCF4D11" w:rsidR="000A009C" w:rsidRPr="00727EC1" w:rsidRDefault="00110C45" w:rsidP="00110C45">
      <w:pPr>
        <w:pStyle w:val="ItemHead"/>
        <w:ind w:left="284" w:hanging="284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lastRenderedPageBreak/>
        <w:t>4</w:t>
      </w:r>
      <w:r w:rsidR="002B5150" w:rsidRPr="00727EC1">
        <w:rPr>
          <w:rFonts w:cs="Arial"/>
          <w:szCs w:val="24"/>
        </w:rPr>
        <w:t xml:space="preserve"> Subsection</w:t>
      </w:r>
      <w:r w:rsidR="00A815E0" w:rsidRPr="00727EC1">
        <w:rPr>
          <w:rFonts w:cs="Arial"/>
          <w:color w:val="000000" w:themeColor="text1"/>
          <w:szCs w:val="24"/>
        </w:rPr>
        <w:t xml:space="preserve"> 6(4)</w:t>
      </w:r>
      <w:r w:rsidR="007A68D5" w:rsidRPr="00727EC1">
        <w:rPr>
          <w:rFonts w:cs="Arial"/>
          <w:color w:val="000000" w:themeColor="text1"/>
          <w:szCs w:val="24"/>
        </w:rPr>
        <w:t xml:space="preserve"> (table item 10)</w:t>
      </w:r>
    </w:p>
    <w:p w14:paraId="4D45B043" w14:textId="6D6CED76" w:rsidR="00A815E0" w:rsidRPr="00FD1487" w:rsidRDefault="007A68D5" w:rsidP="00A815E0">
      <w:pPr>
        <w:pStyle w:val="Item"/>
        <w:rPr>
          <w:szCs w:val="22"/>
        </w:rPr>
      </w:pPr>
      <w:r w:rsidRPr="00FD1487">
        <w:rPr>
          <w:szCs w:val="22"/>
        </w:rPr>
        <w:t>Repeal the item</w:t>
      </w:r>
      <w:r w:rsidR="00A815E0" w:rsidRPr="00FD1487">
        <w:rPr>
          <w:szCs w:val="22"/>
        </w:rPr>
        <w:t>, substitute: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397"/>
        <w:gridCol w:w="2842"/>
        <w:gridCol w:w="1696"/>
      </w:tblGrid>
      <w:tr w:rsidR="00A815E0" w:rsidRPr="00FD1487" w14:paraId="3938C15F" w14:textId="77777777" w:rsidTr="008B6843"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BE9707" w14:textId="77777777" w:rsidR="00A815E0" w:rsidRPr="00FD1487" w:rsidRDefault="00A815E0" w:rsidP="008B6843">
            <w:pPr>
              <w:pStyle w:val="Tabletex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10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B49792" w14:textId="77777777" w:rsidR="00A815E0" w:rsidRPr="00FD1487" w:rsidRDefault="00A815E0" w:rsidP="008B6843">
            <w:pPr>
              <w:pStyle w:val="Tabletext"/>
              <w:rPr>
                <w:sz w:val="22"/>
                <w:szCs w:val="22"/>
              </w:rPr>
            </w:pPr>
            <w:r w:rsidRPr="00FD1487">
              <w:rPr>
                <w:color w:val="000000" w:themeColor="text1"/>
                <w:sz w:val="22"/>
                <w:szCs w:val="22"/>
              </w:rPr>
              <w:t>Department of Education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27A671" w14:textId="77777777" w:rsidR="00A815E0" w:rsidRPr="00FD1487" w:rsidRDefault="00A815E0" w:rsidP="008B6843">
            <w:pPr>
              <w:pStyle w:val="Tabletex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28EDD5" w14:textId="77777777" w:rsidR="00A815E0" w:rsidRPr="00FD1487" w:rsidRDefault="00A815E0" w:rsidP="008B6843">
            <w:pPr>
              <w:pStyle w:val="Tabletext"/>
              <w:jc w:val="righ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-14,786.15903</w:t>
            </w:r>
          </w:p>
        </w:tc>
      </w:tr>
    </w:tbl>
    <w:p w14:paraId="2CE589D5" w14:textId="7D44E196" w:rsidR="000A009C" w:rsidRPr="00FD1487" w:rsidRDefault="000A009C" w:rsidP="000A009C">
      <w:pPr>
        <w:rPr>
          <w:szCs w:val="22"/>
          <w:lang w:eastAsia="en-AU"/>
        </w:rPr>
      </w:pPr>
    </w:p>
    <w:p w14:paraId="0B50AAE7" w14:textId="14C0FA78" w:rsidR="000A009C" w:rsidRPr="00727EC1" w:rsidRDefault="00110C45" w:rsidP="00A815E0">
      <w:pPr>
        <w:pStyle w:val="ItemHead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2B5150" w:rsidRPr="00727EC1">
        <w:rPr>
          <w:rFonts w:cs="Arial"/>
          <w:szCs w:val="24"/>
        </w:rPr>
        <w:t xml:space="preserve"> Subsection</w:t>
      </w:r>
      <w:r w:rsidR="00A815E0" w:rsidRPr="00727EC1">
        <w:rPr>
          <w:rFonts w:cs="Arial"/>
          <w:szCs w:val="24"/>
        </w:rPr>
        <w:t xml:space="preserve"> 6(4) (at the end of the table)</w:t>
      </w:r>
    </w:p>
    <w:p w14:paraId="00DBE348" w14:textId="7BBEA9D3" w:rsidR="00A815E0" w:rsidRPr="00FD1487" w:rsidRDefault="00A815E0" w:rsidP="00A815E0">
      <w:pPr>
        <w:pStyle w:val="ItemHead"/>
        <w:tabs>
          <w:tab w:val="left" w:pos="851"/>
        </w:tabs>
        <w:ind w:left="851" w:hanging="142"/>
        <w:rPr>
          <w:rFonts w:ascii="Times New Roman" w:hAnsi="Times New Roman"/>
          <w:b w:val="0"/>
          <w:kern w:val="0"/>
          <w:sz w:val="22"/>
          <w:szCs w:val="22"/>
        </w:rPr>
      </w:pPr>
      <w:r w:rsidRPr="00FD1487">
        <w:rPr>
          <w:rFonts w:ascii="Times New Roman" w:hAnsi="Times New Roman"/>
          <w:b w:val="0"/>
          <w:kern w:val="0"/>
          <w:sz w:val="22"/>
          <w:szCs w:val="22"/>
        </w:rPr>
        <w:t>Add:</w:t>
      </w:r>
    </w:p>
    <w:tbl>
      <w:tblPr>
        <w:tblW w:w="8579" w:type="dxa"/>
        <w:tblInd w:w="113" w:type="dxa"/>
        <w:tblBorders>
          <w:top w:val="single" w:sz="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397"/>
        <w:gridCol w:w="2842"/>
        <w:gridCol w:w="1696"/>
      </w:tblGrid>
      <w:tr w:rsidR="00A815E0" w:rsidRPr="00FD1487" w14:paraId="7B4F6B9A" w14:textId="77777777" w:rsidTr="002038B4">
        <w:tc>
          <w:tcPr>
            <w:tcW w:w="644" w:type="dxa"/>
            <w:shd w:val="clear" w:color="auto" w:fill="auto"/>
          </w:tcPr>
          <w:p w14:paraId="18C978FE" w14:textId="77777777" w:rsidR="00A815E0" w:rsidRPr="00FD1487" w:rsidRDefault="00A815E0" w:rsidP="008B6843">
            <w:pPr>
              <w:pStyle w:val="Tabletex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12</w:t>
            </w:r>
          </w:p>
        </w:tc>
        <w:tc>
          <w:tcPr>
            <w:tcW w:w="3397" w:type="dxa"/>
            <w:shd w:val="clear" w:color="auto" w:fill="auto"/>
          </w:tcPr>
          <w:p w14:paraId="043357C8" w14:textId="77777777" w:rsidR="00A815E0" w:rsidRPr="00FD1487" w:rsidRDefault="00A815E0" w:rsidP="008B6843">
            <w:pPr>
              <w:pStyle w:val="Tabletext"/>
              <w:rPr>
                <w:color w:val="FF0000"/>
                <w:sz w:val="22"/>
                <w:szCs w:val="22"/>
              </w:rPr>
            </w:pPr>
            <w:r w:rsidRPr="00FD1487">
              <w:rPr>
                <w:color w:val="000000" w:themeColor="text1"/>
                <w:sz w:val="22"/>
                <w:szCs w:val="22"/>
              </w:rPr>
              <w:t>Department of Employment, Skills, Small and Family Business</w:t>
            </w:r>
          </w:p>
        </w:tc>
        <w:tc>
          <w:tcPr>
            <w:tcW w:w="2842" w:type="dxa"/>
            <w:shd w:val="clear" w:color="auto" w:fill="auto"/>
          </w:tcPr>
          <w:p w14:paraId="40BB4D47" w14:textId="77777777" w:rsidR="00A815E0" w:rsidRPr="00FD1487" w:rsidRDefault="00A815E0" w:rsidP="008B6843">
            <w:pPr>
              <w:pStyle w:val="Tabletex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Departmental item</w:t>
            </w:r>
          </w:p>
        </w:tc>
        <w:tc>
          <w:tcPr>
            <w:tcW w:w="1696" w:type="dxa"/>
            <w:shd w:val="clear" w:color="auto" w:fill="auto"/>
          </w:tcPr>
          <w:p w14:paraId="6C906A6B" w14:textId="77777777" w:rsidR="00A815E0" w:rsidRPr="00FD1487" w:rsidRDefault="00A815E0" w:rsidP="008B6843">
            <w:pPr>
              <w:pStyle w:val="Tabletext"/>
              <w:jc w:val="right"/>
              <w:rPr>
                <w:sz w:val="22"/>
                <w:szCs w:val="22"/>
              </w:rPr>
            </w:pPr>
            <w:r w:rsidRPr="00FD1487">
              <w:rPr>
                <w:sz w:val="22"/>
                <w:szCs w:val="22"/>
              </w:rPr>
              <w:t>+14,749.15903</w:t>
            </w:r>
          </w:p>
        </w:tc>
      </w:tr>
    </w:tbl>
    <w:p w14:paraId="3737D77F" w14:textId="334EBEBE" w:rsidR="00B45E14" w:rsidRPr="00FD1487" w:rsidRDefault="00B45E14" w:rsidP="000A009C">
      <w:pPr>
        <w:rPr>
          <w:szCs w:val="22"/>
          <w:lang w:eastAsia="en-AU"/>
        </w:rPr>
      </w:pPr>
    </w:p>
    <w:sectPr w:rsidR="00B45E14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D48DD70" w:rsidR="00326468" w:rsidRPr="003236FC" w:rsidRDefault="00D41EBF" w:rsidP="000A009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A009C">
            <w:rPr>
              <w:i/>
              <w:sz w:val="18"/>
            </w:rPr>
            <w:t>No.</w:t>
          </w:r>
          <w:r w:rsidR="00983142">
            <w:rPr>
              <w:i/>
              <w:sz w:val="18"/>
            </w:rPr>
            <w:t>7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00907D19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40DDD7C4" w:rsidR="00326468" w:rsidRPr="00D26890" w:rsidRDefault="00C5577E" w:rsidP="000A009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</w:t>
          </w:r>
          <w:r w:rsidRPr="00D61B0F">
            <w:rPr>
              <w:i/>
              <w:sz w:val="18"/>
            </w:rPr>
            <w:t>2019</w:t>
          </w:r>
          <w:r w:rsidR="00762BD8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 xml:space="preserve">No. </w:t>
          </w:r>
          <w:r w:rsidR="00983142">
            <w:rPr>
              <w:i/>
              <w:sz w:val="18"/>
            </w:rPr>
            <w:t>7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5870FB9C" w:rsidR="00326468" w:rsidRPr="00D26890" w:rsidRDefault="007D2E75" w:rsidP="000A009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</w:t>
          </w:r>
          <w:r w:rsidRPr="00D61B0F">
            <w:rPr>
              <w:i/>
              <w:sz w:val="18"/>
            </w:rPr>
            <w:t>-2019</w:t>
          </w:r>
          <w:r w:rsidR="00DE5FB3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983142">
            <w:rPr>
              <w:i/>
              <w:sz w:val="18"/>
            </w:rPr>
            <w:t>7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7D756848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65498ABC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F049D8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F049D8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6839D77D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07D4EB82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F049D8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F049D8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5F676835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58233A82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02B6282C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F069F4"/>
    <w:multiLevelType w:val="multilevel"/>
    <w:tmpl w:val="DDE42F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80362C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BB6EF1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8AE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045FCB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0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47542425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4BB23B46"/>
    <w:multiLevelType w:val="multilevel"/>
    <w:tmpl w:val="2AF8FA4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59420E1A"/>
    <w:multiLevelType w:val="multilevel"/>
    <w:tmpl w:val="55FABB5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5BAD3890"/>
    <w:multiLevelType w:val="multilevel"/>
    <w:tmpl w:val="652CCE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6"/>
  </w:num>
  <w:num w:numId="5">
    <w:abstractNumId w:val="21"/>
  </w:num>
  <w:num w:numId="6">
    <w:abstractNumId w:val="12"/>
  </w:num>
  <w:num w:numId="7">
    <w:abstractNumId w:val="14"/>
  </w:num>
  <w:num w:numId="8">
    <w:abstractNumId w:val="10"/>
  </w:num>
  <w:num w:numId="9">
    <w:abstractNumId w:val="20"/>
  </w:num>
  <w:num w:numId="10">
    <w:abstractNumId w:val="0"/>
  </w:num>
  <w:num w:numId="11">
    <w:abstractNumId w:val="6"/>
  </w:num>
  <w:num w:numId="12">
    <w:abstractNumId w:val="5"/>
  </w:num>
  <w:num w:numId="13">
    <w:abstractNumId w:val="15"/>
  </w:num>
  <w:num w:numId="14">
    <w:abstractNumId w:val="3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2"/>
  </w:num>
  <w:num w:numId="20">
    <w:abstractNumId w:val="17"/>
  </w:num>
  <w:num w:numId="21">
    <w:abstractNumId w:val="7"/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0C45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1DFE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15D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B5150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1E95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4E3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437D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ADD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967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4A4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27EC1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0513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BC7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695B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06C"/>
    <w:rsid w:val="0098314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11B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21F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6610"/>
    <w:rsid w:val="00B07367"/>
    <w:rsid w:val="00B07AC2"/>
    <w:rsid w:val="00B07F4D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2B8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C5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3914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5E5A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20BD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17AC3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2F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49D8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1594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,Subsection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uiPriority w:val="99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83914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3E66-E483-48F3-99D8-8935D986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28AE14A8</Template>
  <TotalTime>10</TotalTime>
  <Pages>8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Chowdhury, Bibaswan</cp:lastModifiedBy>
  <cp:revision>5</cp:revision>
  <cp:lastPrinted>2019-03-07T00:06:00Z</cp:lastPrinted>
  <dcterms:created xsi:type="dcterms:W3CDTF">2019-07-02T22:42:00Z</dcterms:created>
  <dcterms:modified xsi:type="dcterms:W3CDTF">2019-07-03T04:29:00Z</dcterms:modified>
</cp:coreProperties>
</file>