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E39F" w14:textId="77777777" w:rsidR="00E10903" w:rsidRPr="00224D7B" w:rsidRDefault="00E10903" w:rsidP="00E10903">
      <w:pPr>
        <w:jc w:val="center"/>
        <w:rPr>
          <w:rFonts w:ascii="Times New Roman" w:hAnsi="Times New Roman"/>
          <w:sz w:val="24"/>
          <w:szCs w:val="24"/>
        </w:rPr>
      </w:pPr>
      <w:r w:rsidRPr="00224D7B">
        <w:rPr>
          <w:rFonts w:ascii="Times New Roman" w:hAnsi="Times New Roman"/>
          <w:b/>
          <w:sz w:val="24"/>
          <w:szCs w:val="24"/>
          <w:u w:val="single"/>
        </w:rPr>
        <w:t>EXPLANATORY STATEMENT</w:t>
      </w:r>
    </w:p>
    <w:p w14:paraId="51FB29EB" w14:textId="77777777" w:rsidR="00E10903" w:rsidRPr="00224D7B" w:rsidRDefault="00E10903" w:rsidP="00E10903">
      <w:pPr>
        <w:rPr>
          <w:rFonts w:ascii="Times New Roman" w:hAnsi="Times New Roman"/>
          <w:b/>
          <w:sz w:val="24"/>
          <w:szCs w:val="24"/>
        </w:rPr>
      </w:pPr>
    </w:p>
    <w:p w14:paraId="2B841070" w14:textId="77777777" w:rsidR="00E10903" w:rsidRPr="00224D7B" w:rsidRDefault="00E10903" w:rsidP="00E10903">
      <w:pPr>
        <w:tabs>
          <w:tab w:val="left" w:pos="1701"/>
        </w:tabs>
        <w:jc w:val="center"/>
        <w:rPr>
          <w:rFonts w:ascii="Times New Roman" w:hAnsi="Times New Roman"/>
          <w:sz w:val="24"/>
          <w:szCs w:val="24"/>
        </w:rPr>
      </w:pPr>
    </w:p>
    <w:p w14:paraId="04775A07" w14:textId="77777777" w:rsidR="00E10903" w:rsidRPr="00224D7B" w:rsidRDefault="00E10903" w:rsidP="00E10903">
      <w:pPr>
        <w:jc w:val="center"/>
        <w:rPr>
          <w:rFonts w:ascii="Times New Roman" w:hAnsi="Times New Roman"/>
          <w:i/>
          <w:sz w:val="24"/>
          <w:szCs w:val="24"/>
        </w:rPr>
      </w:pPr>
      <w:r>
        <w:rPr>
          <w:rFonts w:ascii="Times New Roman" w:hAnsi="Times New Roman"/>
          <w:i/>
          <w:sz w:val="24"/>
          <w:szCs w:val="24"/>
        </w:rPr>
        <w:t>Enhancing Online Safety Act 2015</w:t>
      </w:r>
    </w:p>
    <w:p w14:paraId="71C58100" w14:textId="77777777" w:rsidR="00E10903" w:rsidRPr="00224D7B" w:rsidRDefault="00E10903" w:rsidP="00E10903">
      <w:pPr>
        <w:tabs>
          <w:tab w:val="left" w:pos="1701"/>
        </w:tabs>
        <w:jc w:val="center"/>
        <w:rPr>
          <w:rFonts w:ascii="Times New Roman" w:hAnsi="Times New Roman"/>
          <w:sz w:val="24"/>
          <w:szCs w:val="24"/>
        </w:rPr>
      </w:pPr>
    </w:p>
    <w:p w14:paraId="40F2E1A0" w14:textId="77777777" w:rsidR="00E10903" w:rsidRPr="00CD2A76" w:rsidRDefault="00E10903" w:rsidP="00E10903">
      <w:pPr>
        <w:tabs>
          <w:tab w:val="left" w:pos="1701"/>
        </w:tabs>
        <w:jc w:val="center"/>
        <w:rPr>
          <w:rFonts w:ascii="Times New Roman" w:hAnsi="Times New Roman"/>
          <w:b/>
          <w:sz w:val="28"/>
          <w:szCs w:val="28"/>
        </w:rPr>
      </w:pPr>
      <w:r w:rsidRPr="00D940C5">
        <w:rPr>
          <w:rFonts w:ascii="Times New Roman" w:hAnsi="Times New Roman"/>
          <w:b/>
          <w:sz w:val="28"/>
          <w:szCs w:val="28"/>
        </w:rPr>
        <w:t>Enhancing Online Safety (Protecting Australians from Terrorist or Violent Criminal Material) Rule 2019</w:t>
      </w:r>
    </w:p>
    <w:p w14:paraId="40C67E15" w14:textId="77777777" w:rsidR="00E10903" w:rsidRDefault="00E10903" w:rsidP="00E10903">
      <w:pPr>
        <w:tabs>
          <w:tab w:val="left" w:pos="1701"/>
        </w:tabs>
        <w:jc w:val="center"/>
        <w:rPr>
          <w:rFonts w:ascii="Times New Roman" w:hAnsi="Times New Roman"/>
          <w:i/>
          <w:sz w:val="24"/>
          <w:szCs w:val="24"/>
        </w:rPr>
      </w:pPr>
    </w:p>
    <w:p w14:paraId="19DFC5FF" w14:textId="77777777" w:rsidR="00E10903" w:rsidRPr="00CD2A76" w:rsidRDefault="00E10903" w:rsidP="00E10903">
      <w:pPr>
        <w:jc w:val="center"/>
        <w:rPr>
          <w:rFonts w:ascii="Times New Roman" w:hAnsi="Times New Roman"/>
          <w:sz w:val="24"/>
          <w:szCs w:val="24"/>
        </w:rPr>
      </w:pPr>
      <w:r w:rsidRPr="00CD2A76">
        <w:rPr>
          <w:rFonts w:ascii="Times New Roman" w:hAnsi="Times New Roman"/>
          <w:sz w:val="24"/>
          <w:szCs w:val="24"/>
        </w:rPr>
        <w:t>Issued by the Authority of the Minister for Communications, Cyber Safety and the Arts</w:t>
      </w:r>
      <w:r w:rsidRPr="00CD2A76">
        <w:rPr>
          <w:rFonts w:ascii="Times New Roman" w:hAnsi="Times New Roman"/>
          <w:i/>
          <w:sz w:val="24"/>
          <w:szCs w:val="24"/>
        </w:rPr>
        <w:t xml:space="preserve"> </w:t>
      </w:r>
    </w:p>
    <w:p w14:paraId="38BB7D5C" w14:textId="77777777" w:rsidR="00E10903" w:rsidRDefault="00E10903" w:rsidP="00E10903">
      <w:pPr>
        <w:tabs>
          <w:tab w:val="left" w:pos="1701"/>
        </w:tabs>
        <w:rPr>
          <w:rFonts w:ascii="Times New Roman" w:hAnsi="Times New Roman"/>
          <w:sz w:val="24"/>
          <w:szCs w:val="24"/>
        </w:rPr>
      </w:pPr>
    </w:p>
    <w:p w14:paraId="0BC51555" w14:textId="77777777" w:rsidR="00E10903" w:rsidRDefault="00E10903" w:rsidP="00E10903">
      <w:pPr>
        <w:tabs>
          <w:tab w:val="left" w:pos="1701"/>
        </w:tabs>
        <w:rPr>
          <w:rFonts w:ascii="Times New Roman" w:hAnsi="Times New Roman"/>
          <w:b/>
          <w:sz w:val="24"/>
          <w:szCs w:val="24"/>
        </w:rPr>
      </w:pPr>
      <w:r>
        <w:rPr>
          <w:rFonts w:ascii="Times New Roman" w:hAnsi="Times New Roman"/>
          <w:b/>
          <w:sz w:val="24"/>
          <w:szCs w:val="24"/>
        </w:rPr>
        <w:t>Purpose and operation of this instrument</w:t>
      </w:r>
    </w:p>
    <w:p w14:paraId="22D0085E" w14:textId="77777777" w:rsidR="00E10903" w:rsidRDefault="00E10903" w:rsidP="00E10903">
      <w:pPr>
        <w:tabs>
          <w:tab w:val="left" w:pos="1701"/>
        </w:tabs>
        <w:rPr>
          <w:rFonts w:ascii="Times New Roman" w:hAnsi="Times New Roman"/>
          <w:sz w:val="24"/>
          <w:szCs w:val="24"/>
        </w:rPr>
      </w:pPr>
    </w:p>
    <w:p w14:paraId="21DDB140" w14:textId="420DCE33" w:rsidR="00E10903" w:rsidRDefault="00E10903" w:rsidP="00E10903">
      <w:pPr>
        <w:tabs>
          <w:tab w:val="left" w:pos="1701"/>
        </w:tabs>
        <w:rPr>
          <w:rFonts w:ascii="Times New Roman" w:hAnsi="Times New Roman"/>
          <w:sz w:val="24"/>
          <w:szCs w:val="24"/>
        </w:rPr>
      </w:pPr>
      <w:r>
        <w:rPr>
          <w:rFonts w:ascii="Times New Roman" w:hAnsi="Times New Roman"/>
          <w:sz w:val="24"/>
          <w:szCs w:val="24"/>
        </w:rPr>
        <w:t xml:space="preserve">The new function of the eSafety Commissioner created by this instrument is to promote online safety for Australians by </w:t>
      </w:r>
      <w:r w:rsidR="00DE1618">
        <w:rPr>
          <w:rFonts w:ascii="Times New Roman" w:hAnsi="Times New Roman"/>
          <w:sz w:val="24"/>
          <w:szCs w:val="24"/>
        </w:rPr>
        <w:t xml:space="preserve">protecting Australians from access or </w:t>
      </w:r>
      <w:r>
        <w:rPr>
          <w:rFonts w:ascii="Times New Roman" w:hAnsi="Times New Roman"/>
          <w:sz w:val="24"/>
          <w:szCs w:val="24"/>
        </w:rPr>
        <w:t>exposure to material that promotes, incites or instructs</w:t>
      </w:r>
      <w:r w:rsidR="00D00489">
        <w:rPr>
          <w:rFonts w:ascii="Times New Roman" w:hAnsi="Times New Roman"/>
          <w:sz w:val="24"/>
          <w:szCs w:val="24"/>
        </w:rPr>
        <w:t xml:space="preserve"> in</w:t>
      </w:r>
      <w:r>
        <w:rPr>
          <w:rFonts w:ascii="Times New Roman" w:hAnsi="Times New Roman"/>
          <w:sz w:val="24"/>
          <w:szCs w:val="24"/>
        </w:rPr>
        <w:t xml:space="preserve">, </w:t>
      </w:r>
      <w:r w:rsidRPr="00BC316D">
        <w:rPr>
          <w:rFonts w:ascii="Times New Roman" w:hAnsi="Times New Roman"/>
          <w:sz w:val="24"/>
          <w:szCs w:val="24"/>
        </w:rPr>
        <w:t>terrorist acts or violent crimes</w:t>
      </w:r>
      <w:r>
        <w:rPr>
          <w:rFonts w:ascii="Times New Roman" w:hAnsi="Times New Roman"/>
          <w:sz w:val="24"/>
          <w:szCs w:val="24"/>
        </w:rPr>
        <w:t>.</w:t>
      </w:r>
    </w:p>
    <w:p w14:paraId="50E5B971" w14:textId="77777777" w:rsidR="00E10903" w:rsidRDefault="00E10903" w:rsidP="00E10903">
      <w:pPr>
        <w:tabs>
          <w:tab w:val="left" w:pos="1701"/>
        </w:tabs>
        <w:rPr>
          <w:rFonts w:ascii="Times New Roman" w:hAnsi="Times New Roman"/>
          <w:sz w:val="24"/>
          <w:szCs w:val="24"/>
        </w:rPr>
      </w:pPr>
    </w:p>
    <w:p w14:paraId="1808120C" w14:textId="2B27926A" w:rsidR="00E10903" w:rsidRDefault="00E10903" w:rsidP="00E10903">
      <w:pPr>
        <w:tabs>
          <w:tab w:val="left" w:pos="1701"/>
        </w:tabs>
        <w:rPr>
          <w:rFonts w:ascii="Times New Roman" w:hAnsi="Times New Roman"/>
          <w:sz w:val="24"/>
          <w:szCs w:val="24"/>
        </w:rPr>
      </w:pPr>
      <w:r>
        <w:rPr>
          <w:rFonts w:ascii="Times New Roman" w:hAnsi="Times New Roman"/>
          <w:sz w:val="24"/>
          <w:szCs w:val="24"/>
        </w:rPr>
        <w:t>The horrific Christchurch terror attack</w:t>
      </w:r>
      <w:r w:rsidR="00AF23F0">
        <w:rPr>
          <w:rFonts w:ascii="Times New Roman" w:hAnsi="Times New Roman"/>
          <w:sz w:val="24"/>
          <w:szCs w:val="24"/>
        </w:rPr>
        <w:t>s</w:t>
      </w:r>
      <w:r>
        <w:rPr>
          <w:rFonts w:ascii="Times New Roman" w:hAnsi="Times New Roman"/>
          <w:sz w:val="24"/>
          <w:szCs w:val="24"/>
        </w:rPr>
        <w:t>, and the subsequent viral dissemination of the perpetrator’s video and manifesto</w:t>
      </w:r>
      <w:r w:rsidR="00776C6F">
        <w:rPr>
          <w:rFonts w:ascii="Times New Roman" w:hAnsi="Times New Roman"/>
          <w:sz w:val="24"/>
          <w:szCs w:val="24"/>
        </w:rPr>
        <w:t>,</w:t>
      </w:r>
      <w:r>
        <w:rPr>
          <w:rFonts w:ascii="Times New Roman" w:hAnsi="Times New Roman"/>
          <w:sz w:val="24"/>
          <w:szCs w:val="24"/>
        </w:rPr>
        <w:t xml:space="preserve"> demonstrated that there is a risk posed to Australian internet users by material involving terrorist acts or violent crime. </w:t>
      </w:r>
    </w:p>
    <w:p w14:paraId="08A922B7" w14:textId="77777777" w:rsidR="00E10903" w:rsidRDefault="00E10903" w:rsidP="00E10903">
      <w:pPr>
        <w:tabs>
          <w:tab w:val="left" w:pos="1701"/>
        </w:tabs>
        <w:rPr>
          <w:rFonts w:ascii="Times New Roman" w:hAnsi="Times New Roman"/>
          <w:sz w:val="24"/>
          <w:szCs w:val="24"/>
        </w:rPr>
      </w:pPr>
    </w:p>
    <w:p w14:paraId="5BA57D7A" w14:textId="5FA762B7" w:rsidR="00E10903" w:rsidRDefault="00E10903" w:rsidP="00E10903">
      <w:pPr>
        <w:tabs>
          <w:tab w:val="left" w:pos="1701"/>
        </w:tabs>
        <w:rPr>
          <w:rFonts w:ascii="Times New Roman" w:hAnsi="Times New Roman"/>
          <w:sz w:val="24"/>
          <w:szCs w:val="24"/>
        </w:rPr>
      </w:pPr>
      <w:r>
        <w:rPr>
          <w:rFonts w:ascii="Times New Roman" w:hAnsi="Times New Roman"/>
          <w:sz w:val="24"/>
          <w:szCs w:val="24"/>
        </w:rPr>
        <w:t xml:space="preserve">Under the </w:t>
      </w:r>
      <w:r w:rsidR="00D00489" w:rsidRPr="00D00489">
        <w:rPr>
          <w:rFonts w:ascii="Times New Roman" w:hAnsi="Times New Roman"/>
          <w:i/>
          <w:sz w:val="24"/>
          <w:szCs w:val="24"/>
        </w:rPr>
        <w:t>National</w:t>
      </w:r>
      <w:r w:rsidR="00D00489">
        <w:rPr>
          <w:rFonts w:ascii="Times New Roman" w:hAnsi="Times New Roman"/>
          <w:sz w:val="24"/>
          <w:szCs w:val="24"/>
        </w:rPr>
        <w:t xml:space="preserve"> </w:t>
      </w:r>
      <w:r>
        <w:rPr>
          <w:rFonts w:ascii="Times New Roman" w:hAnsi="Times New Roman"/>
          <w:i/>
          <w:sz w:val="24"/>
          <w:szCs w:val="24"/>
        </w:rPr>
        <w:t xml:space="preserve">Classification Code </w:t>
      </w:r>
      <w:r w:rsidR="00D00489" w:rsidRPr="00D00489">
        <w:rPr>
          <w:rFonts w:ascii="Times New Roman" w:hAnsi="Times New Roman"/>
          <w:sz w:val="24"/>
          <w:szCs w:val="24"/>
        </w:rPr>
        <w:t xml:space="preserve">made in </w:t>
      </w:r>
      <w:r w:rsidRPr="00D00489">
        <w:rPr>
          <w:rFonts w:ascii="Times New Roman" w:hAnsi="Times New Roman"/>
          <w:sz w:val="24"/>
          <w:szCs w:val="24"/>
        </w:rPr>
        <w:t>2005</w:t>
      </w:r>
      <w:r>
        <w:rPr>
          <w:rFonts w:ascii="Times New Roman" w:hAnsi="Times New Roman"/>
          <w:sz w:val="24"/>
          <w:szCs w:val="24"/>
        </w:rPr>
        <w:t xml:space="preserve">, the Classification Board is required to </w:t>
      </w:r>
      <w:r w:rsidR="00D00489">
        <w:rPr>
          <w:rFonts w:ascii="Times New Roman" w:hAnsi="Times New Roman"/>
          <w:sz w:val="24"/>
          <w:szCs w:val="24"/>
        </w:rPr>
        <w:t xml:space="preserve">classify </w:t>
      </w:r>
      <w:r>
        <w:rPr>
          <w:rFonts w:ascii="Times New Roman" w:hAnsi="Times New Roman"/>
          <w:sz w:val="24"/>
          <w:szCs w:val="24"/>
        </w:rPr>
        <w:t xml:space="preserve">material, including publications, films and </w:t>
      </w:r>
      <w:r w:rsidR="00D00489">
        <w:rPr>
          <w:rFonts w:ascii="Times New Roman" w:hAnsi="Times New Roman"/>
          <w:sz w:val="24"/>
          <w:szCs w:val="24"/>
        </w:rPr>
        <w:t>computer</w:t>
      </w:r>
      <w:r>
        <w:rPr>
          <w:rFonts w:ascii="Times New Roman" w:hAnsi="Times New Roman"/>
          <w:sz w:val="24"/>
          <w:szCs w:val="24"/>
        </w:rPr>
        <w:t xml:space="preserve"> games that “promote, incite or instruct in matters of crime or violence”</w:t>
      </w:r>
      <w:r w:rsidR="00D00489">
        <w:rPr>
          <w:rFonts w:ascii="Times New Roman" w:hAnsi="Times New Roman"/>
          <w:sz w:val="24"/>
          <w:szCs w:val="24"/>
        </w:rPr>
        <w:t xml:space="preserve"> as RC (refused classification)</w:t>
      </w:r>
      <w:r>
        <w:rPr>
          <w:rFonts w:ascii="Times New Roman" w:hAnsi="Times New Roman"/>
          <w:sz w:val="24"/>
          <w:szCs w:val="24"/>
        </w:rPr>
        <w:t xml:space="preserve">. Where material is </w:t>
      </w:r>
      <w:r w:rsidR="00D00489">
        <w:rPr>
          <w:rFonts w:ascii="Times New Roman" w:hAnsi="Times New Roman"/>
          <w:sz w:val="24"/>
          <w:szCs w:val="24"/>
        </w:rPr>
        <w:t>classified RC</w:t>
      </w:r>
      <w:r>
        <w:rPr>
          <w:rFonts w:ascii="Times New Roman" w:hAnsi="Times New Roman"/>
          <w:sz w:val="24"/>
          <w:szCs w:val="24"/>
        </w:rPr>
        <w:t xml:space="preserve">, it is prohibited for that material to be exhibited, sold or hired in Australia. </w:t>
      </w:r>
      <w:r w:rsidR="00D00489">
        <w:rPr>
          <w:rFonts w:ascii="Times New Roman" w:hAnsi="Times New Roman"/>
          <w:sz w:val="24"/>
          <w:szCs w:val="24"/>
        </w:rPr>
        <w:t xml:space="preserve">The eSafety Commissioner has existing powers under Schedules 5 and 7 to the </w:t>
      </w:r>
      <w:r w:rsidR="00D00489">
        <w:rPr>
          <w:rFonts w:ascii="Times New Roman" w:hAnsi="Times New Roman"/>
          <w:i/>
          <w:sz w:val="24"/>
          <w:szCs w:val="24"/>
        </w:rPr>
        <w:t xml:space="preserve">Broadcasting Services Act 1992 </w:t>
      </w:r>
      <w:r w:rsidR="00D00489">
        <w:rPr>
          <w:rFonts w:ascii="Times New Roman" w:hAnsi="Times New Roman"/>
          <w:sz w:val="24"/>
          <w:szCs w:val="24"/>
        </w:rPr>
        <w:t xml:space="preserve">regarding material that has been classified RC. </w:t>
      </w:r>
      <w:r w:rsidR="008015AB">
        <w:rPr>
          <w:rFonts w:ascii="Times New Roman" w:hAnsi="Times New Roman"/>
          <w:sz w:val="24"/>
          <w:szCs w:val="24"/>
        </w:rPr>
        <w:t>However, m</w:t>
      </w:r>
      <w:r>
        <w:rPr>
          <w:rFonts w:ascii="Times New Roman" w:hAnsi="Times New Roman"/>
          <w:sz w:val="24"/>
          <w:szCs w:val="24"/>
        </w:rPr>
        <w:t>any offshore sites are reckless, or even malicious</w:t>
      </w:r>
      <w:r w:rsidR="00776C6F">
        <w:rPr>
          <w:rFonts w:ascii="Times New Roman" w:hAnsi="Times New Roman"/>
          <w:sz w:val="24"/>
          <w:szCs w:val="24"/>
        </w:rPr>
        <w:t>,</w:t>
      </w:r>
      <w:r>
        <w:rPr>
          <w:rFonts w:ascii="Times New Roman" w:hAnsi="Times New Roman"/>
          <w:sz w:val="24"/>
          <w:szCs w:val="24"/>
        </w:rPr>
        <w:t xml:space="preserve"> in exposing Australian internet users to </w:t>
      </w:r>
      <w:r>
        <w:rPr>
          <w:rFonts w:ascii="Times New Roman" w:hAnsi="Times New Roman"/>
          <w:sz w:val="24"/>
          <w:szCs w:val="24"/>
        </w:rPr>
        <w:lastRenderedPageBreak/>
        <w:t xml:space="preserve">content that has been </w:t>
      </w:r>
      <w:r w:rsidR="00D00489">
        <w:rPr>
          <w:rFonts w:ascii="Times New Roman" w:hAnsi="Times New Roman"/>
          <w:sz w:val="24"/>
          <w:szCs w:val="24"/>
        </w:rPr>
        <w:t>classified RC</w:t>
      </w:r>
      <w:r>
        <w:rPr>
          <w:rFonts w:ascii="Times New Roman" w:hAnsi="Times New Roman"/>
          <w:sz w:val="24"/>
          <w:szCs w:val="24"/>
        </w:rPr>
        <w:t xml:space="preserve"> due to the abhorrent nature of that material.</w:t>
      </w:r>
    </w:p>
    <w:p w14:paraId="76CB9798" w14:textId="77777777" w:rsidR="00E10903" w:rsidRDefault="00E10903" w:rsidP="00E10903">
      <w:pPr>
        <w:tabs>
          <w:tab w:val="left" w:pos="1701"/>
        </w:tabs>
        <w:rPr>
          <w:rFonts w:ascii="Times New Roman" w:hAnsi="Times New Roman"/>
          <w:sz w:val="24"/>
          <w:szCs w:val="24"/>
        </w:rPr>
      </w:pPr>
    </w:p>
    <w:p w14:paraId="7B83A018" w14:textId="45DA6CD5" w:rsidR="00E10903" w:rsidRDefault="00E10903" w:rsidP="00E10903">
      <w:pPr>
        <w:tabs>
          <w:tab w:val="left" w:pos="1701"/>
        </w:tabs>
        <w:rPr>
          <w:rFonts w:ascii="Times New Roman" w:hAnsi="Times New Roman"/>
          <w:sz w:val="24"/>
          <w:szCs w:val="24"/>
        </w:rPr>
      </w:pPr>
      <w:r>
        <w:rPr>
          <w:rFonts w:ascii="Times New Roman" w:hAnsi="Times New Roman"/>
          <w:sz w:val="24"/>
          <w:szCs w:val="24"/>
        </w:rPr>
        <w:t xml:space="preserve">The new function provided for by this instrument reflects the intention that the eSafety Commissioner have a </w:t>
      </w:r>
      <w:r w:rsidR="008015AB">
        <w:rPr>
          <w:rFonts w:ascii="Times New Roman" w:hAnsi="Times New Roman"/>
          <w:sz w:val="24"/>
          <w:szCs w:val="24"/>
        </w:rPr>
        <w:t xml:space="preserve">further </w:t>
      </w:r>
      <w:r>
        <w:rPr>
          <w:rFonts w:ascii="Times New Roman" w:hAnsi="Times New Roman"/>
          <w:sz w:val="24"/>
          <w:szCs w:val="24"/>
        </w:rPr>
        <w:t>role</w:t>
      </w:r>
      <w:r w:rsidR="008015AB">
        <w:rPr>
          <w:rFonts w:ascii="Times New Roman" w:hAnsi="Times New Roman"/>
          <w:sz w:val="24"/>
          <w:szCs w:val="24"/>
        </w:rPr>
        <w:t xml:space="preserve"> focussed specifically on</w:t>
      </w:r>
      <w:r>
        <w:rPr>
          <w:rFonts w:ascii="Times New Roman" w:hAnsi="Times New Roman"/>
          <w:sz w:val="24"/>
          <w:szCs w:val="24"/>
        </w:rPr>
        <w:t xml:space="preserve"> reducing Australian internet users’ exposure to horrific material that promotes, incites or instructs in terrorist acts or violent crimes.</w:t>
      </w:r>
    </w:p>
    <w:p w14:paraId="03A1BEEB" w14:textId="77777777" w:rsidR="00E10903" w:rsidRDefault="00E10903" w:rsidP="00E10903">
      <w:pPr>
        <w:tabs>
          <w:tab w:val="left" w:pos="1701"/>
        </w:tabs>
        <w:rPr>
          <w:rFonts w:ascii="Times New Roman" w:hAnsi="Times New Roman"/>
          <w:sz w:val="24"/>
          <w:szCs w:val="24"/>
        </w:rPr>
      </w:pPr>
    </w:p>
    <w:p w14:paraId="6F25FD22" w14:textId="3BCF32E6" w:rsidR="00E10903" w:rsidRDefault="00E10903" w:rsidP="00E10903">
      <w:pPr>
        <w:tabs>
          <w:tab w:val="left" w:pos="1701"/>
        </w:tabs>
        <w:rPr>
          <w:rFonts w:ascii="Times New Roman" w:hAnsi="Times New Roman"/>
          <w:sz w:val="24"/>
          <w:szCs w:val="24"/>
        </w:rPr>
      </w:pPr>
      <w:r>
        <w:rPr>
          <w:rFonts w:ascii="Times New Roman" w:hAnsi="Times New Roman"/>
          <w:sz w:val="24"/>
          <w:szCs w:val="24"/>
        </w:rPr>
        <w:t>The type of content that the eSafety Commissioner will engage with in relation to terrorist acts or violent crime is material that “promotes, incites, or instructs in”</w:t>
      </w:r>
      <w:r w:rsidR="00CB4BF3">
        <w:rPr>
          <w:rFonts w:ascii="Times New Roman" w:hAnsi="Times New Roman"/>
          <w:sz w:val="24"/>
          <w:szCs w:val="24"/>
        </w:rPr>
        <w:t xml:space="preserve"> those acts or crimes</w:t>
      </w:r>
      <w:r>
        <w:rPr>
          <w:rFonts w:ascii="Times New Roman" w:hAnsi="Times New Roman"/>
          <w:sz w:val="24"/>
          <w:szCs w:val="24"/>
        </w:rPr>
        <w:t>. This recognises that content showing horrific actions may be depicted for legitimate purposes, such as in documentary or academic work</w:t>
      </w:r>
      <w:r w:rsidR="00776C6F">
        <w:rPr>
          <w:rFonts w:ascii="Times New Roman" w:hAnsi="Times New Roman"/>
          <w:sz w:val="24"/>
          <w:szCs w:val="24"/>
        </w:rPr>
        <w:t xml:space="preserve">. However, the </w:t>
      </w:r>
      <w:r>
        <w:rPr>
          <w:rFonts w:ascii="Times New Roman" w:hAnsi="Times New Roman"/>
          <w:sz w:val="24"/>
          <w:szCs w:val="24"/>
        </w:rPr>
        <w:t>promotion, i</w:t>
      </w:r>
      <w:r w:rsidR="00776C6F">
        <w:rPr>
          <w:rFonts w:ascii="Times New Roman" w:hAnsi="Times New Roman"/>
          <w:sz w:val="24"/>
          <w:szCs w:val="24"/>
        </w:rPr>
        <w:t xml:space="preserve">ncitement or instruction in these types of acts or crimes is materially different and should not be considered acceptable. </w:t>
      </w:r>
    </w:p>
    <w:p w14:paraId="1F6CF14C" w14:textId="77777777" w:rsidR="00E10903" w:rsidRDefault="00E10903" w:rsidP="00E10903">
      <w:pPr>
        <w:tabs>
          <w:tab w:val="left" w:pos="1701"/>
        </w:tabs>
        <w:rPr>
          <w:rFonts w:ascii="Times New Roman" w:hAnsi="Times New Roman"/>
          <w:sz w:val="24"/>
          <w:szCs w:val="24"/>
        </w:rPr>
      </w:pPr>
    </w:p>
    <w:p w14:paraId="3171B279" w14:textId="69415AD3" w:rsidR="00E10903" w:rsidRPr="00EE4D4D" w:rsidRDefault="00776C6F" w:rsidP="00E10903">
      <w:pPr>
        <w:tabs>
          <w:tab w:val="left" w:pos="1701"/>
        </w:tabs>
        <w:rPr>
          <w:rFonts w:ascii="Times New Roman" w:hAnsi="Times New Roman"/>
          <w:sz w:val="24"/>
          <w:szCs w:val="24"/>
        </w:rPr>
      </w:pPr>
      <w:r>
        <w:rPr>
          <w:rFonts w:ascii="Times New Roman" w:hAnsi="Times New Roman"/>
          <w:sz w:val="24"/>
          <w:szCs w:val="24"/>
        </w:rPr>
        <w:lastRenderedPageBreak/>
        <w:t>The</w:t>
      </w:r>
      <w:r w:rsidR="00E10903">
        <w:rPr>
          <w:rFonts w:ascii="Times New Roman" w:hAnsi="Times New Roman"/>
          <w:sz w:val="24"/>
          <w:szCs w:val="24"/>
        </w:rPr>
        <w:t xml:space="preserve"> new function </w:t>
      </w:r>
      <w:r>
        <w:rPr>
          <w:rFonts w:ascii="Times New Roman" w:hAnsi="Times New Roman"/>
          <w:sz w:val="24"/>
          <w:szCs w:val="24"/>
        </w:rPr>
        <w:t xml:space="preserve">specified in </w:t>
      </w:r>
      <w:r w:rsidR="00E10903">
        <w:rPr>
          <w:rFonts w:ascii="Times New Roman" w:hAnsi="Times New Roman"/>
          <w:sz w:val="24"/>
          <w:szCs w:val="24"/>
        </w:rPr>
        <w:t xml:space="preserve">this instrument recognises that the eSafety Commissioner’s role in educating Australians, promoting online safety and reducing exposure </w:t>
      </w:r>
      <w:r>
        <w:rPr>
          <w:rFonts w:ascii="Times New Roman" w:hAnsi="Times New Roman"/>
          <w:sz w:val="24"/>
          <w:szCs w:val="24"/>
        </w:rPr>
        <w:t>to</w:t>
      </w:r>
      <w:r w:rsidR="00E10903">
        <w:rPr>
          <w:rFonts w:ascii="Times New Roman" w:hAnsi="Times New Roman"/>
          <w:sz w:val="24"/>
          <w:szCs w:val="24"/>
        </w:rPr>
        <w:t xml:space="preserve"> harmful online material</w:t>
      </w:r>
      <w:r>
        <w:rPr>
          <w:rFonts w:ascii="Times New Roman" w:hAnsi="Times New Roman"/>
          <w:sz w:val="24"/>
          <w:szCs w:val="24"/>
        </w:rPr>
        <w:t>,</w:t>
      </w:r>
      <w:r w:rsidR="00E10903">
        <w:rPr>
          <w:rFonts w:ascii="Times New Roman" w:hAnsi="Times New Roman"/>
          <w:sz w:val="24"/>
          <w:szCs w:val="24"/>
        </w:rPr>
        <w:t xml:space="preserve"> should extend to terrorist and violent criminal content due to the risk that this material poses to Australian internet users.</w:t>
      </w:r>
    </w:p>
    <w:p w14:paraId="71D898D5" w14:textId="77777777" w:rsidR="00E10903" w:rsidRDefault="00E10903" w:rsidP="00E10903">
      <w:pPr>
        <w:tabs>
          <w:tab w:val="left" w:pos="1701"/>
        </w:tabs>
        <w:rPr>
          <w:rFonts w:ascii="Times New Roman" w:hAnsi="Times New Roman"/>
          <w:sz w:val="24"/>
          <w:szCs w:val="24"/>
        </w:rPr>
      </w:pPr>
    </w:p>
    <w:p w14:paraId="1D6C0B28" w14:textId="4A3700B7" w:rsidR="00E10903" w:rsidRDefault="00E10903" w:rsidP="00E10903">
      <w:pPr>
        <w:tabs>
          <w:tab w:val="left" w:pos="1701"/>
        </w:tabs>
        <w:rPr>
          <w:rFonts w:ascii="Times New Roman" w:hAnsi="Times New Roman"/>
          <w:sz w:val="24"/>
          <w:szCs w:val="24"/>
        </w:rPr>
      </w:pPr>
      <w:r>
        <w:rPr>
          <w:rFonts w:ascii="Times New Roman" w:hAnsi="Times New Roman"/>
          <w:sz w:val="24"/>
          <w:szCs w:val="24"/>
        </w:rPr>
        <w:t xml:space="preserve">This broad role of the eSafety Commissioner is reflected under Subdivision H of Division 474 of the </w:t>
      </w:r>
      <w:r>
        <w:rPr>
          <w:rFonts w:ascii="Times New Roman" w:hAnsi="Times New Roman"/>
          <w:i/>
          <w:sz w:val="24"/>
          <w:szCs w:val="24"/>
        </w:rPr>
        <w:t>Criminal Code</w:t>
      </w:r>
      <w:r w:rsidR="00776C6F">
        <w:rPr>
          <w:rFonts w:ascii="Times New Roman" w:hAnsi="Times New Roman"/>
          <w:sz w:val="24"/>
          <w:szCs w:val="24"/>
        </w:rPr>
        <w:t>,</w:t>
      </w:r>
      <w:r w:rsidR="00CB4BF3">
        <w:rPr>
          <w:rFonts w:ascii="Times New Roman" w:hAnsi="Times New Roman"/>
          <w:sz w:val="24"/>
          <w:szCs w:val="24"/>
        </w:rPr>
        <w:t xml:space="preserve"> </w:t>
      </w:r>
      <w:r>
        <w:rPr>
          <w:rFonts w:ascii="Times New Roman" w:hAnsi="Times New Roman"/>
          <w:sz w:val="24"/>
          <w:szCs w:val="24"/>
        </w:rPr>
        <w:t xml:space="preserve">which empowers the eSafety Commissioner to issue notices in relation to content and hosting services that host abhorrent violent material.  </w:t>
      </w:r>
    </w:p>
    <w:p w14:paraId="54F4C709" w14:textId="77777777" w:rsidR="00E10903" w:rsidRDefault="00E10903" w:rsidP="00E10903">
      <w:pPr>
        <w:tabs>
          <w:tab w:val="left" w:pos="1701"/>
        </w:tabs>
        <w:rPr>
          <w:rFonts w:ascii="Times New Roman" w:hAnsi="Times New Roman"/>
          <w:sz w:val="24"/>
          <w:szCs w:val="24"/>
        </w:rPr>
      </w:pPr>
    </w:p>
    <w:p w14:paraId="4D848560" w14:textId="5312CDAF" w:rsidR="00E10903" w:rsidRDefault="00E10903" w:rsidP="00E10903">
      <w:pPr>
        <w:tabs>
          <w:tab w:val="left" w:pos="1701"/>
        </w:tabs>
        <w:rPr>
          <w:rFonts w:ascii="Times New Roman" w:hAnsi="Times New Roman"/>
          <w:sz w:val="24"/>
          <w:szCs w:val="24"/>
        </w:rPr>
      </w:pPr>
      <w:r>
        <w:rPr>
          <w:rFonts w:ascii="Times New Roman" w:hAnsi="Times New Roman"/>
          <w:sz w:val="24"/>
          <w:szCs w:val="24"/>
        </w:rPr>
        <w:t xml:space="preserve">The eSafety Commissioner was also a member of the Taskforce to Combat Terrorist and </w:t>
      </w:r>
      <w:r w:rsidR="00776C6F">
        <w:rPr>
          <w:rFonts w:ascii="Times New Roman" w:hAnsi="Times New Roman"/>
          <w:sz w:val="24"/>
          <w:szCs w:val="24"/>
        </w:rPr>
        <w:t xml:space="preserve">Extreme </w:t>
      </w:r>
      <w:r w:rsidR="00457150">
        <w:rPr>
          <w:rFonts w:ascii="Times New Roman" w:hAnsi="Times New Roman"/>
          <w:sz w:val="24"/>
          <w:szCs w:val="24"/>
        </w:rPr>
        <w:t xml:space="preserve">Violent </w:t>
      </w:r>
      <w:r>
        <w:rPr>
          <w:rFonts w:ascii="Times New Roman" w:hAnsi="Times New Roman"/>
          <w:sz w:val="24"/>
          <w:szCs w:val="24"/>
        </w:rPr>
        <w:t xml:space="preserve">Material Online that was established by the Prime Minister to </w:t>
      </w:r>
      <w:r>
        <w:rPr>
          <w:rFonts w:ascii="Times New Roman" w:hAnsi="Times New Roman"/>
          <w:sz w:val="24"/>
          <w:szCs w:val="24"/>
        </w:rPr>
        <w:lastRenderedPageBreak/>
        <w:t>explore ave</w:t>
      </w:r>
      <w:r w:rsidR="00776C6F">
        <w:rPr>
          <w:rFonts w:ascii="Times New Roman" w:hAnsi="Times New Roman"/>
          <w:sz w:val="24"/>
          <w:szCs w:val="24"/>
        </w:rPr>
        <w:t>nues for collaboration between i</w:t>
      </w:r>
      <w:r>
        <w:rPr>
          <w:rFonts w:ascii="Times New Roman" w:hAnsi="Times New Roman"/>
          <w:sz w:val="24"/>
          <w:szCs w:val="24"/>
        </w:rPr>
        <w:t>ndustry and Government to prevent the upload and dissemination of this type of material.</w:t>
      </w:r>
    </w:p>
    <w:p w14:paraId="6FFD9D4C" w14:textId="77777777" w:rsidR="00E10903" w:rsidRDefault="00E10903" w:rsidP="00E10903">
      <w:pPr>
        <w:tabs>
          <w:tab w:val="left" w:pos="1701"/>
        </w:tabs>
        <w:rPr>
          <w:rFonts w:ascii="Times New Roman" w:hAnsi="Times New Roman"/>
          <w:sz w:val="24"/>
          <w:szCs w:val="24"/>
        </w:rPr>
      </w:pPr>
    </w:p>
    <w:p w14:paraId="6F885C40" w14:textId="7186406C" w:rsidR="00E10903" w:rsidRPr="00A63899" w:rsidRDefault="00E10903" w:rsidP="00E10903">
      <w:pPr>
        <w:tabs>
          <w:tab w:val="left" w:pos="1701"/>
        </w:tabs>
        <w:rPr>
          <w:rFonts w:ascii="Times New Roman" w:hAnsi="Times New Roman"/>
          <w:sz w:val="24"/>
          <w:szCs w:val="24"/>
        </w:rPr>
      </w:pPr>
      <w:r>
        <w:rPr>
          <w:rFonts w:ascii="Times New Roman" w:hAnsi="Times New Roman"/>
          <w:sz w:val="24"/>
          <w:szCs w:val="24"/>
        </w:rPr>
        <w:t>This instrument will allow the eSafety Commissioner to exercise powers under relevant legislation to take action</w:t>
      </w:r>
      <w:r w:rsidR="00776C6F">
        <w:rPr>
          <w:rFonts w:ascii="Times New Roman" w:hAnsi="Times New Roman"/>
          <w:sz w:val="24"/>
          <w:szCs w:val="24"/>
        </w:rPr>
        <w:t>,</w:t>
      </w:r>
      <w:r>
        <w:rPr>
          <w:rFonts w:ascii="Times New Roman" w:hAnsi="Times New Roman"/>
          <w:sz w:val="24"/>
          <w:szCs w:val="24"/>
        </w:rPr>
        <w:t xml:space="preserve"> where required</w:t>
      </w:r>
      <w:r w:rsidR="00776C6F">
        <w:rPr>
          <w:rFonts w:ascii="Times New Roman" w:hAnsi="Times New Roman"/>
          <w:sz w:val="24"/>
          <w:szCs w:val="24"/>
        </w:rPr>
        <w:t>,</w:t>
      </w:r>
      <w:r>
        <w:rPr>
          <w:rFonts w:ascii="Times New Roman" w:hAnsi="Times New Roman"/>
          <w:sz w:val="24"/>
          <w:szCs w:val="24"/>
        </w:rPr>
        <w:t xml:space="preserve"> to </w:t>
      </w:r>
      <w:r w:rsidR="00776C6F">
        <w:rPr>
          <w:rFonts w:ascii="Times New Roman" w:hAnsi="Times New Roman"/>
          <w:sz w:val="24"/>
          <w:szCs w:val="24"/>
        </w:rPr>
        <w:t>reduce</w:t>
      </w:r>
      <w:r>
        <w:rPr>
          <w:rFonts w:ascii="Times New Roman" w:hAnsi="Times New Roman"/>
          <w:sz w:val="24"/>
          <w:szCs w:val="24"/>
        </w:rPr>
        <w:t xml:space="preserve"> Australian internet users’ exposure to material that promotes, instructs or incites in matters of terrorist acts or violent crimes.</w:t>
      </w:r>
    </w:p>
    <w:p w14:paraId="5D47F5F7" w14:textId="77777777" w:rsidR="00E10903" w:rsidRDefault="00E10903" w:rsidP="00E10903">
      <w:pPr>
        <w:pStyle w:val="ParaNumbering"/>
        <w:tabs>
          <w:tab w:val="clear" w:pos="360"/>
          <w:tab w:val="clear" w:pos="567"/>
        </w:tabs>
        <w:spacing w:after="0" w:line="240" w:lineRule="auto"/>
        <w:rPr>
          <w:i/>
          <w:szCs w:val="24"/>
        </w:rPr>
      </w:pPr>
    </w:p>
    <w:p w14:paraId="2CB3E22B" w14:textId="77777777" w:rsidR="00E10903" w:rsidRPr="00CD2A76" w:rsidRDefault="00E10903" w:rsidP="00E10903">
      <w:pPr>
        <w:pStyle w:val="ParaNumbering"/>
        <w:tabs>
          <w:tab w:val="clear" w:pos="360"/>
          <w:tab w:val="clear" w:pos="567"/>
        </w:tabs>
        <w:spacing w:after="0" w:line="240" w:lineRule="auto"/>
        <w:rPr>
          <w:b/>
          <w:szCs w:val="24"/>
        </w:rPr>
      </w:pPr>
      <w:r>
        <w:rPr>
          <w:b/>
          <w:szCs w:val="24"/>
        </w:rPr>
        <w:t>Regulation Impact Statement</w:t>
      </w:r>
    </w:p>
    <w:p w14:paraId="0BF85282" w14:textId="77777777" w:rsidR="00E10903" w:rsidRDefault="00E10903" w:rsidP="00E10903">
      <w:pPr>
        <w:rPr>
          <w:rFonts w:ascii="Times New Roman" w:hAnsi="Times New Roman"/>
          <w:iCs/>
          <w:sz w:val="24"/>
          <w:szCs w:val="24"/>
          <w:highlight w:val="yellow"/>
        </w:rPr>
      </w:pPr>
    </w:p>
    <w:p w14:paraId="5081F242" w14:textId="77777777" w:rsidR="00E10903" w:rsidRPr="00224D7B" w:rsidRDefault="00E10903" w:rsidP="00E10903">
      <w:pPr>
        <w:rPr>
          <w:rFonts w:ascii="Times New Roman" w:hAnsi="Times New Roman"/>
          <w:iCs/>
          <w:sz w:val="24"/>
          <w:szCs w:val="24"/>
        </w:rPr>
      </w:pPr>
      <w:r w:rsidRPr="0036187D">
        <w:rPr>
          <w:rFonts w:ascii="Times New Roman" w:hAnsi="Times New Roman"/>
          <w:iCs/>
          <w:sz w:val="24"/>
          <w:szCs w:val="24"/>
        </w:rPr>
        <w:t>The Office of Best Practice Regulation has been consulted and a Regulatory Impact Assessment is not required (OBPR number: 25221)</w:t>
      </w:r>
    </w:p>
    <w:p w14:paraId="2437AE30" w14:textId="77777777" w:rsidR="00E10903" w:rsidRDefault="00E10903" w:rsidP="00E10903">
      <w:pPr>
        <w:pStyle w:val="ParaNumbering"/>
        <w:tabs>
          <w:tab w:val="clear" w:pos="360"/>
          <w:tab w:val="clear" w:pos="567"/>
        </w:tabs>
        <w:spacing w:after="0" w:line="240" w:lineRule="auto"/>
        <w:rPr>
          <w:szCs w:val="24"/>
        </w:rPr>
      </w:pPr>
    </w:p>
    <w:p w14:paraId="0722239C" w14:textId="77777777" w:rsidR="00E10903" w:rsidRPr="00EE4D4D" w:rsidRDefault="00E10903" w:rsidP="00E10903">
      <w:pPr>
        <w:rPr>
          <w:rFonts w:ascii="Times New Roman" w:hAnsi="Times New Roman"/>
          <w:b/>
          <w:bCs/>
          <w:sz w:val="24"/>
          <w:szCs w:val="24"/>
        </w:rPr>
      </w:pPr>
      <w:r w:rsidRPr="00EE4D4D">
        <w:rPr>
          <w:rFonts w:ascii="Times New Roman" w:hAnsi="Times New Roman"/>
          <w:b/>
          <w:bCs/>
          <w:sz w:val="24"/>
          <w:szCs w:val="24"/>
        </w:rPr>
        <w:t>Consultation</w:t>
      </w:r>
    </w:p>
    <w:p w14:paraId="43BCC5AE" w14:textId="77777777" w:rsidR="00E10903" w:rsidRPr="00EE4D4D" w:rsidRDefault="00E10903" w:rsidP="00E10903">
      <w:pPr>
        <w:rPr>
          <w:rFonts w:ascii="Times New Roman" w:hAnsi="Times New Roman"/>
          <w:bCs/>
          <w:sz w:val="24"/>
          <w:szCs w:val="24"/>
        </w:rPr>
      </w:pPr>
    </w:p>
    <w:p w14:paraId="3BF86BEB" w14:textId="77777777" w:rsidR="00E10903" w:rsidRPr="00EE4D4D" w:rsidRDefault="00E10903" w:rsidP="00E10903">
      <w:pPr>
        <w:rPr>
          <w:rFonts w:ascii="Times New Roman" w:hAnsi="Times New Roman"/>
          <w:sz w:val="24"/>
          <w:szCs w:val="24"/>
        </w:rPr>
      </w:pPr>
      <w:r w:rsidRPr="00EE4D4D">
        <w:rPr>
          <w:rFonts w:ascii="Times New Roman" w:hAnsi="Times New Roman"/>
          <w:sz w:val="24"/>
          <w:szCs w:val="24"/>
        </w:rPr>
        <w:lastRenderedPageBreak/>
        <w:t xml:space="preserve">In accordance with section 17 of the </w:t>
      </w:r>
      <w:r w:rsidRPr="00EE4D4D">
        <w:rPr>
          <w:rFonts w:ascii="Times New Roman" w:hAnsi="Times New Roman"/>
          <w:i/>
          <w:iCs/>
          <w:sz w:val="24"/>
          <w:szCs w:val="24"/>
        </w:rPr>
        <w:t>Legislation Act 2003</w:t>
      </w:r>
      <w:r w:rsidRPr="00EE4D4D">
        <w:rPr>
          <w:rFonts w:ascii="Times New Roman" w:hAnsi="Times New Roman"/>
          <w:sz w:val="24"/>
          <w:szCs w:val="24"/>
        </w:rPr>
        <w:t>, consultation has taken place with the following:</w:t>
      </w:r>
    </w:p>
    <w:p w14:paraId="4450E9B1" w14:textId="77777777" w:rsidR="00E10903" w:rsidRPr="00EE4D4D" w:rsidRDefault="00E10903" w:rsidP="00776C6F">
      <w:pPr>
        <w:pStyle w:val="ListParagraph"/>
        <w:numPr>
          <w:ilvl w:val="0"/>
          <w:numId w:val="19"/>
        </w:numPr>
        <w:spacing w:before="120"/>
        <w:ind w:left="357" w:hanging="357"/>
        <w:contextualSpacing w:val="0"/>
        <w:rPr>
          <w:szCs w:val="24"/>
        </w:rPr>
      </w:pPr>
      <w:r w:rsidRPr="00EE4D4D">
        <w:rPr>
          <w:szCs w:val="24"/>
        </w:rPr>
        <w:t>the Office of the eSafety Commissioner</w:t>
      </w:r>
    </w:p>
    <w:p w14:paraId="6F22048A" w14:textId="77777777" w:rsidR="00E10903" w:rsidRPr="00EE4D4D" w:rsidRDefault="00E10903" w:rsidP="00776C6F">
      <w:pPr>
        <w:pStyle w:val="ListParagraph"/>
        <w:numPr>
          <w:ilvl w:val="0"/>
          <w:numId w:val="19"/>
        </w:numPr>
        <w:spacing w:before="120"/>
        <w:ind w:left="357" w:hanging="357"/>
        <w:contextualSpacing w:val="0"/>
        <w:rPr>
          <w:szCs w:val="24"/>
        </w:rPr>
      </w:pPr>
      <w:r w:rsidRPr="00EE4D4D">
        <w:rPr>
          <w:szCs w:val="24"/>
        </w:rPr>
        <w:t>The Australian Federal Police</w:t>
      </w:r>
    </w:p>
    <w:p w14:paraId="071508CA" w14:textId="31D142B5" w:rsidR="00E10903" w:rsidRPr="00EE4D4D" w:rsidRDefault="00E10903" w:rsidP="00776C6F">
      <w:pPr>
        <w:pStyle w:val="ListParagraph"/>
        <w:numPr>
          <w:ilvl w:val="0"/>
          <w:numId w:val="19"/>
        </w:numPr>
        <w:spacing w:before="120"/>
        <w:ind w:left="357" w:hanging="357"/>
        <w:contextualSpacing w:val="0"/>
        <w:rPr>
          <w:szCs w:val="24"/>
        </w:rPr>
      </w:pPr>
      <w:r w:rsidRPr="00EE4D4D">
        <w:rPr>
          <w:szCs w:val="24"/>
        </w:rPr>
        <w:t>Communications Alliance (on behalf of internet service providers)</w:t>
      </w:r>
      <w:r w:rsidR="00776C6F">
        <w:rPr>
          <w:szCs w:val="24"/>
        </w:rPr>
        <w:t>.</w:t>
      </w:r>
    </w:p>
    <w:p w14:paraId="4CFEDB2A" w14:textId="77777777" w:rsidR="00E10903" w:rsidRDefault="00E10903" w:rsidP="00E10903">
      <w:pPr>
        <w:pStyle w:val="ParaNumbering"/>
        <w:tabs>
          <w:tab w:val="clear" w:pos="360"/>
          <w:tab w:val="clear" w:pos="567"/>
        </w:tabs>
        <w:spacing w:after="0" w:line="240" w:lineRule="auto"/>
        <w:rPr>
          <w:szCs w:val="24"/>
        </w:rPr>
      </w:pPr>
    </w:p>
    <w:p w14:paraId="682AB36C" w14:textId="77777777" w:rsidR="00E10903" w:rsidRPr="00CD2A76" w:rsidRDefault="00E10903" w:rsidP="00E10903">
      <w:pPr>
        <w:pStyle w:val="ParaNumbering"/>
        <w:rPr>
          <w:b/>
          <w:szCs w:val="24"/>
        </w:rPr>
      </w:pPr>
      <w:r w:rsidRPr="00CD2A76">
        <w:rPr>
          <w:b/>
          <w:szCs w:val="24"/>
        </w:rPr>
        <w:t>Statement of c</w:t>
      </w:r>
      <w:r>
        <w:rPr>
          <w:b/>
          <w:szCs w:val="24"/>
        </w:rPr>
        <w:t xml:space="preserve">ompatibility with human rights </w:t>
      </w:r>
    </w:p>
    <w:p w14:paraId="217FB07D" w14:textId="04D09EB6" w:rsidR="00E10903" w:rsidRPr="00776C6F" w:rsidRDefault="00E10903" w:rsidP="00776C6F">
      <w:pPr>
        <w:pStyle w:val="ParaNumbering"/>
        <w:rPr>
          <w:szCs w:val="24"/>
        </w:rPr>
      </w:pPr>
      <w:r w:rsidRPr="00CD2A76">
        <w:rPr>
          <w:szCs w:val="24"/>
        </w:rPr>
        <w:t xml:space="preserve">Subsection 9(1) of the </w:t>
      </w:r>
      <w:r w:rsidRPr="00CD2A76">
        <w:rPr>
          <w:i/>
          <w:iCs/>
          <w:szCs w:val="24"/>
        </w:rPr>
        <w:t>Human Rights (Parliamentary Scrutiny) Act 2011</w:t>
      </w:r>
      <w:r w:rsidRPr="00CD2A76">
        <w:rPr>
          <w:szCs w:val="24"/>
        </w:rPr>
        <w:t xml:space="preserve"> requires the rule-maker in relation to a legislative instrument to which section 42 (disallowance) of the </w:t>
      </w:r>
      <w:r w:rsidRPr="003116C0">
        <w:rPr>
          <w:i/>
          <w:szCs w:val="24"/>
        </w:rPr>
        <w:t xml:space="preserve">Legislation Act </w:t>
      </w:r>
      <w:r w:rsidR="003116C0" w:rsidRPr="003116C0">
        <w:rPr>
          <w:i/>
          <w:szCs w:val="24"/>
        </w:rPr>
        <w:t>2003</w:t>
      </w:r>
      <w:r w:rsidR="003116C0">
        <w:rPr>
          <w:szCs w:val="24"/>
        </w:rPr>
        <w:t xml:space="preserve"> </w:t>
      </w:r>
      <w:r w:rsidRPr="00CD2A76">
        <w:rPr>
          <w:szCs w:val="24"/>
        </w:rPr>
        <w:t xml:space="preserve">applies to cause a statement of compatibility to be prepared in respect of that legislative instrument. A statement of compatibility is set out at </w:t>
      </w:r>
      <w:r>
        <w:rPr>
          <w:b/>
          <w:bCs/>
          <w:szCs w:val="24"/>
        </w:rPr>
        <w:t>Attachment B</w:t>
      </w:r>
      <w:r w:rsidRPr="00CD2A76">
        <w:rPr>
          <w:szCs w:val="24"/>
        </w:rPr>
        <w:t>.</w:t>
      </w:r>
    </w:p>
    <w:p w14:paraId="059FD3CA" w14:textId="44A17CB6" w:rsidR="00E10903" w:rsidRPr="00CD2A76" w:rsidRDefault="00E10903" w:rsidP="00E10903">
      <w:pPr>
        <w:pStyle w:val="ParaNumbering"/>
        <w:tabs>
          <w:tab w:val="clear" w:pos="360"/>
          <w:tab w:val="clear" w:pos="567"/>
        </w:tabs>
        <w:spacing w:after="0" w:line="240" w:lineRule="auto"/>
        <w:rPr>
          <w:b/>
          <w:szCs w:val="24"/>
        </w:rPr>
      </w:pPr>
      <w:r>
        <w:rPr>
          <w:b/>
          <w:szCs w:val="24"/>
        </w:rPr>
        <w:t xml:space="preserve">Legislative </w:t>
      </w:r>
      <w:r w:rsidR="00AB097F">
        <w:rPr>
          <w:b/>
          <w:szCs w:val="24"/>
        </w:rPr>
        <w:t>Authority</w:t>
      </w:r>
    </w:p>
    <w:p w14:paraId="5F8CB1FD" w14:textId="77777777" w:rsidR="00E10903" w:rsidRDefault="00E10903" w:rsidP="00E10903">
      <w:pPr>
        <w:pStyle w:val="ParaNumbering"/>
        <w:tabs>
          <w:tab w:val="clear" w:pos="360"/>
          <w:tab w:val="clear" w:pos="567"/>
        </w:tabs>
        <w:spacing w:after="0" w:line="240" w:lineRule="auto"/>
        <w:rPr>
          <w:szCs w:val="24"/>
        </w:rPr>
      </w:pPr>
    </w:p>
    <w:p w14:paraId="41480BF7" w14:textId="40FD49CC" w:rsidR="00E10903" w:rsidRDefault="00AB097F" w:rsidP="00E10903">
      <w:pPr>
        <w:tabs>
          <w:tab w:val="left" w:pos="1701"/>
        </w:tabs>
        <w:rPr>
          <w:rFonts w:ascii="Times New Roman" w:hAnsi="Times New Roman"/>
          <w:sz w:val="24"/>
          <w:szCs w:val="24"/>
        </w:rPr>
      </w:pPr>
      <w:r>
        <w:rPr>
          <w:rFonts w:ascii="Times New Roman" w:hAnsi="Times New Roman"/>
          <w:sz w:val="24"/>
          <w:szCs w:val="24"/>
        </w:rPr>
        <w:t xml:space="preserve">The Minister has the power under subsection 108(1) of the </w:t>
      </w:r>
      <w:r w:rsidR="00E10903">
        <w:rPr>
          <w:rFonts w:ascii="Times New Roman" w:hAnsi="Times New Roman"/>
          <w:i/>
          <w:sz w:val="24"/>
          <w:szCs w:val="24"/>
        </w:rPr>
        <w:t>Enhancing Online Safety Act 2015</w:t>
      </w:r>
      <w:r w:rsidR="00E10903">
        <w:rPr>
          <w:rFonts w:ascii="Times New Roman" w:hAnsi="Times New Roman"/>
          <w:sz w:val="24"/>
          <w:szCs w:val="24"/>
        </w:rPr>
        <w:t xml:space="preserve"> (</w:t>
      </w:r>
      <w:r w:rsidR="00E10903" w:rsidRPr="00C82EC5">
        <w:rPr>
          <w:rFonts w:ascii="Times New Roman" w:hAnsi="Times New Roman"/>
          <w:sz w:val="24"/>
          <w:szCs w:val="24"/>
        </w:rPr>
        <w:t>Act</w:t>
      </w:r>
      <w:r w:rsidR="00E10903">
        <w:rPr>
          <w:rFonts w:ascii="Times New Roman" w:hAnsi="Times New Roman"/>
          <w:sz w:val="24"/>
          <w:szCs w:val="24"/>
        </w:rPr>
        <w:t xml:space="preserve">) </w:t>
      </w:r>
      <w:r w:rsidR="00C82EC5">
        <w:rPr>
          <w:rFonts w:ascii="Times New Roman" w:hAnsi="Times New Roman"/>
          <w:sz w:val="24"/>
          <w:szCs w:val="24"/>
        </w:rPr>
        <w:t>to make a rules prescribing matters required or permitted by the Act to be prescr</w:t>
      </w:r>
      <w:r w:rsidR="00776C6F">
        <w:rPr>
          <w:rFonts w:ascii="Times New Roman" w:hAnsi="Times New Roman"/>
          <w:sz w:val="24"/>
          <w:szCs w:val="24"/>
        </w:rPr>
        <w:t xml:space="preserve">ibed in legislative rules. </w:t>
      </w:r>
      <w:r w:rsidR="00C82EC5">
        <w:rPr>
          <w:rFonts w:ascii="Times New Roman" w:hAnsi="Times New Roman"/>
          <w:sz w:val="24"/>
          <w:szCs w:val="24"/>
        </w:rPr>
        <w:t xml:space="preserve">Paragraph 15(1)(r) </w:t>
      </w:r>
      <w:r w:rsidR="00E10903">
        <w:rPr>
          <w:rFonts w:ascii="Times New Roman" w:hAnsi="Times New Roman"/>
          <w:sz w:val="24"/>
          <w:szCs w:val="24"/>
        </w:rPr>
        <w:t>provides that the functions of the eSafety Commission are any such functions that are specified in the legislative rules.</w:t>
      </w:r>
    </w:p>
    <w:p w14:paraId="55E7DDE4" w14:textId="77777777" w:rsidR="00E10903" w:rsidRDefault="00E10903" w:rsidP="00E10903">
      <w:pPr>
        <w:pStyle w:val="ParaNumbering"/>
        <w:tabs>
          <w:tab w:val="clear" w:pos="360"/>
          <w:tab w:val="clear" w:pos="567"/>
        </w:tabs>
        <w:spacing w:after="0" w:line="240" w:lineRule="auto"/>
        <w:rPr>
          <w:szCs w:val="24"/>
        </w:rPr>
      </w:pPr>
    </w:p>
    <w:p w14:paraId="3B384640" w14:textId="77777777" w:rsidR="00E10903" w:rsidRPr="00CD2A76" w:rsidRDefault="00E10903" w:rsidP="00E10903">
      <w:pPr>
        <w:pStyle w:val="ParaNumbering"/>
        <w:tabs>
          <w:tab w:val="clear" w:pos="360"/>
          <w:tab w:val="clear" w:pos="567"/>
        </w:tabs>
        <w:spacing w:after="0" w:line="240" w:lineRule="auto"/>
        <w:rPr>
          <w:b/>
          <w:szCs w:val="24"/>
        </w:rPr>
      </w:pPr>
      <w:r>
        <w:rPr>
          <w:b/>
          <w:szCs w:val="24"/>
        </w:rPr>
        <w:t>Commencement</w:t>
      </w:r>
    </w:p>
    <w:p w14:paraId="78EBD798" w14:textId="77777777" w:rsidR="00E10903" w:rsidRPr="002F29DE" w:rsidRDefault="00E10903" w:rsidP="00E10903">
      <w:pPr>
        <w:pStyle w:val="ParaNumbering"/>
        <w:tabs>
          <w:tab w:val="clear" w:pos="360"/>
          <w:tab w:val="clear" w:pos="567"/>
        </w:tabs>
        <w:spacing w:after="0" w:line="240" w:lineRule="auto"/>
        <w:rPr>
          <w:bCs/>
          <w:szCs w:val="24"/>
          <w:highlight w:val="green"/>
        </w:rPr>
      </w:pPr>
    </w:p>
    <w:p w14:paraId="0ABAD3F7" w14:textId="77777777" w:rsidR="00E10903" w:rsidRPr="00224D7B" w:rsidRDefault="00E10903" w:rsidP="00E10903">
      <w:pPr>
        <w:pStyle w:val="ParaNumbering"/>
        <w:tabs>
          <w:tab w:val="clear" w:pos="360"/>
          <w:tab w:val="clear" w:pos="567"/>
        </w:tabs>
        <w:spacing w:after="0" w:line="240" w:lineRule="auto"/>
        <w:rPr>
          <w:szCs w:val="24"/>
        </w:rPr>
      </w:pPr>
      <w:r w:rsidRPr="00EE4D4D">
        <w:rPr>
          <w:szCs w:val="24"/>
        </w:rPr>
        <w:t>The Regulations are a legislative instrument for the purposes of the</w:t>
      </w:r>
      <w:r w:rsidRPr="00EE4D4D">
        <w:rPr>
          <w:i/>
          <w:szCs w:val="24"/>
        </w:rPr>
        <w:t xml:space="preserve"> Legislation Act 2003.  </w:t>
      </w:r>
      <w:r w:rsidRPr="00EE4D4D">
        <w:rPr>
          <w:szCs w:val="24"/>
        </w:rPr>
        <w:t>The Regulations commence on the day after they are registered on the Federal Register of Legislation.</w:t>
      </w:r>
      <w:r w:rsidRPr="00224D7B">
        <w:rPr>
          <w:szCs w:val="24"/>
        </w:rPr>
        <w:t xml:space="preserve">  </w:t>
      </w:r>
    </w:p>
    <w:p w14:paraId="3C625404" w14:textId="77777777" w:rsidR="00E10903" w:rsidRPr="00224D7B" w:rsidRDefault="00E10903" w:rsidP="00E10903">
      <w:pPr>
        <w:rPr>
          <w:rFonts w:ascii="Times New Roman" w:eastAsia="Times New Roman" w:hAnsi="Times New Roman"/>
          <w:sz w:val="24"/>
          <w:szCs w:val="24"/>
          <w:lang w:eastAsia="en-US"/>
        </w:rPr>
      </w:pPr>
    </w:p>
    <w:p w14:paraId="233DFA84" w14:textId="77777777" w:rsidR="00E10903" w:rsidRPr="00224D7B" w:rsidRDefault="00E10903" w:rsidP="00E10903">
      <w:pPr>
        <w:rPr>
          <w:rFonts w:ascii="Times New Roman" w:hAnsi="Times New Roman"/>
          <w:sz w:val="24"/>
          <w:szCs w:val="24"/>
        </w:rPr>
      </w:pPr>
    </w:p>
    <w:p w14:paraId="06582BE7" w14:textId="77777777" w:rsidR="00E10903" w:rsidRPr="00224D7B" w:rsidRDefault="00E10903" w:rsidP="00E10903">
      <w:pPr>
        <w:rPr>
          <w:rFonts w:ascii="Times New Roman" w:hAnsi="Times New Roman"/>
          <w:b/>
          <w:bCs/>
          <w:sz w:val="24"/>
          <w:szCs w:val="24"/>
          <w:u w:val="single"/>
        </w:rPr>
        <w:sectPr w:rsidR="00E10903" w:rsidRPr="00224D7B" w:rsidSect="000C4AD3">
          <w:headerReference w:type="default" r:id="rId11"/>
          <w:footerReference w:type="default" r:id="rId12"/>
          <w:pgSz w:w="11906" w:h="16838"/>
          <w:pgMar w:top="1440" w:right="1440" w:bottom="1440" w:left="1440" w:header="708" w:footer="708" w:gutter="0"/>
          <w:cols w:space="708"/>
          <w:titlePg/>
          <w:docGrid w:linePitch="360"/>
        </w:sectPr>
      </w:pPr>
    </w:p>
    <w:p w14:paraId="7F98F4BC" w14:textId="77777777" w:rsidR="00E10903" w:rsidRPr="00224D7B" w:rsidRDefault="00E10903" w:rsidP="00E10903">
      <w:pPr>
        <w:rPr>
          <w:rFonts w:ascii="Times New Roman" w:hAnsi="Times New Roman"/>
          <w:b/>
          <w:bCs/>
          <w:sz w:val="24"/>
          <w:szCs w:val="24"/>
          <w:u w:val="single"/>
        </w:rPr>
      </w:pPr>
      <w:r w:rsidRPr="00224D7B">
        <w:rPr>
          <w:rFonts w:ascii="Times New Roman" w:hAnsi="Times New Roman"/>
          <w:b/>
          <w:bCs/>
          <w:sz w:val="24"/>
          <w:szCs w:val="24"/>
          <w:u w:val="single"/>
        </w:rPr>
        <w:lastRenderedPageBreak/>
        <w:t xml:space="preserve">Details of </w:t>
      </w:r>
      <w:r w:rsidRPr="002F29DE">
        <w:rPr>
          <w:rFonts w:ascii="Times New Roman" w:hAnsi="Times New Roman"/>
          <w:b/>
          <w:bCs/>
          <w:sz w:val="24"/>
          <w:szCs w:val="24"/>
          <w:u w:val="single"/>
        </w:rPr>
        <w:t>the</w:t>
      </w:r>
      <w:r w:rsidRPr="0084386A">
        <w:t xml:space="preserve"> </w:t>
      </w:r>
      <w:r w:rsidRPr="0084386A">
        <w:rPr>
          <w:rFonts w:ascii="Times New Roman" w:hAnsi="Times New Roman"/>
          <w:b/>
          <w:bCs/>
          <w:sz w:val="24"/>
          <w:szCs w:val="24"/>
          <w:u w:val="single"/>
        </w:rPr>
        <w:t>Enhancing Online Safety (Protecting Australians from Terrorist or Violent Criminal Material) Rule 2019</w:t>
      </w:r>
      <w:r>
        <w:rPr>
          <w:rFonts w:ascii="Times New Roman" w:hAnsi="Times New Roman"/>
          <w:b/>
          <w:bCs/>
          <w:sz w:val="24"/>
          <w:szCs w:val="24"/>
          <w:u w:val="single"/>
        </w:rPr>
        <w:t xml:space="preserve"> </w:t>
      </w:r>
      <w:r w:rsidRPr="002F29DE">
        <w:rPr>
          <w:rFonts w:ascii="Times New Roman" w:hAnsi="Times New Roman"/>
          <w:b/>
          <w:bCs/>
          <w:sz w:val="24"/>
          <w:szCs w:val="24"/>
          <w:u w:val="single"/>
        </w:rPr>
        <w:t xml:space="preserve"> </w:t>
      </w:r>
    </w:p>
    <w:p w14:paraId="29F1DCDD" w14:textId="77777777" w:rsidR="00E10903" w:rsidRPr="00224D7B" w:rsidRDefault="00E10903" w:rsidP="00E10903">
      <w:pPr>
        <w:ind w:right="-46"/>
        <w:rPr>
          <w:rFonts w:ascii="Times New Roman" w:hAnsi="Times New Roman"/>
          <w:sz w:val="24"/>
          <w:szCs w:val="24"/>
        </w:rPr>
      </w:pPr>
    </w:p>
    <w:p w14:paraId="3EB2DAD5" w14:textId="77777777" w:rsidR="00E10903" w:rsidRPr="00224D7B" w:rsidRDefault="00E10903" w:rsidP="00E10903">
      <w:pPr>
        <w:rPr>
          <w:rFonts w:ascii="Times New Roman" w:hAnsi="Times New Roman"/>
          <w:b/>
          <w:sz w:val="24"/>
          <w:szCs w:val="24"/>
        </w:rPr>
      </w:pPr>
      <w:r w:rsidRPr="00224D7B">
        <w:rPr>
          <w:rFonts w:ascii="Times New Roman" w:hAnsi="Times New Roman"/>
          <w:b/>
          <w:sz w:val="24"/>
          <w:szCs w:val="24"/>
        </w:rPr>
        <w:t xml:space="preserve">Section 1 – Name </w:t>
      </w:r>
    </w:p>
    <w:p w14:paraId="6E820155" w14:textId="77777777" w:rsidR="00E10903" w:rsidRPr="00224D7B" w:rsidRDefault="00E10903" w:rsidP="00E10903">
      <w:pPr>
        <w:rPr>
          <w:rFonts w:ascii="Times New Roman" w:hAnsi="Times New Roman"/>
          <w:sz w:val="24"/>
          <w:szCs w:val="24"/>
        </w:rPr>
      </w:pPr>
    </w:p>
    <w:p w14:paraId="0C79FF8F" w14:textId="69EB785A" w:rsidR="00E10903" w:rsidRPr="00224D7B" w:rsidRDefault="00E10903" w:rsidP="00E10903">
      <w:pPr>
        <w:rPr>
          <w:rFonts w:ascii="Times New Roman" w:hAnsi="Times New Roman"/>
          <w:sz w:val="24"/>
          <w:szCs w:val="24"/>
        </w:rPr>
      </w:pPr>
      <w:r w:rsidRPr="00224D7B">
        <w:rPr>
          <w:rFonts w:ascii="Times New Roman" w:hAnsi="Times New Roman"/>
          <w:sz w:val="24"/>
          <w:szCs w:val="24"/>
        </w:rPr>
        <w:t xml:space="preserve">This section provides that the title of the </w:t>
      </w:r>
      <w:r w:rsidR="003116C0">
        <w:rPr>
          <w:rFonts w:ascii="Times New Roman" w:hAnsi="Times New Roman"/>
          <w:sz w:val="24"/>
          <w:szCs w:val="24"/>
        </w:rPr>
        <w:t>Rule</w:t>
      </w:r>
      <w:r w:rsidRPr="00224D7B">
        <w:rPr>
          <w:rFonts w:ascii="Times New Roman" w:hAnsi="Times New Roman"/>
          <w:sz w:val="24"/>
          <w:szCs w:val="24"/>
        </w:rPr>
        <w:t xml:space="preserve"> is the </w:t>
      </w:r>
      <w:r w:rsidRPr="009D74EE">
        <w:rPr>
          <w:rFonts w:ascii="Times New Roman" w:hAnsi="Times New Roman"/>
          <w:i/>
          <w:sz w:val="24"/>
          <w:szCs w:val="24"/>
        </w:rPr>
        <w:t>Enhancing Online Safety (Protecting Australians from Terrorist or Violent Criminal Material) Legislative Rule 2019</w:t>
      </w:r>
      <w:r>
        <w:rPr>
          <w:rFonts w:ascii="Times New Roman" w:hAnsi="Times New Roman"/>
          <w:i/>
          <w:sz w:val="24"/>
          <w:szCs w:val="24"/>
        </w:rPr>
        <w:t>.</w:t>
      </w:r>
    </w:p>
    <w:p w14:paraId="3F4DD728" w14:textId="77777777" w:rsidR="00E10903" w:rsidRPr="00224D7B" w:rsidRDefault="00E10903" w:rsidP="00E10903">
      <w:pPr>
        <w:rPr>
          <w:rFonts w:ascii="Times New Roman" w:hAnsi="Times New Roman"/>
          <w:sz w:val="24"/>
          <w:szCs w:val="24"/>
        </w:rPr>
      </w:pPr>
    </w:p>
    <w:p w14:paraId="2843FAF1" w14:textId="77777777" w:rsidR="00E10903" w:rsidRPr="009D74EE" w:rsidRDefault="00E10903" w:rsidP="00E10903">
      <w:pPr>
        <w:rPr>
          <w:rFonts w:ascii="Times New Roman" w:hAnsi="Times New Roman"/>
          <w:b/>
          <w:sz w:val="24"/>
          <w:szCs w:val="24"/>
        </w:rPr>
      </w:pPr>
      <w:r w:rsidRPr="009D74EE">
        <w:rPr>
          <w:rFonts w:ascii="Times New Roman" w:hAnsi="Times New Roman"/>
          <w:b/>
          <w:sz w:val="24"/>
          <w:szCs w:val="24"/>
        </w:rPr>
        <w:t xml:space="preserve">Section 2 – Commencement </w:t>
      </w:r>
    </w:p>
    <w:p w14:paraId="52FEA81F" w14:textId="77777777" w:rsidR="00E10903" w:rsidRPr="009D74EE" w:rsidRDefault="00E10903" w:rsidP="00E10903">
      <w:pPr>
        <w:rPr>
          <w:rFonts w:ascii="Times New Roman" w:hAnsi="Times New Roman"/>
          <w:sz w:val="24"/>
          <w:szCs w:val="24"/>
        </w:rPr>
      </w:pPr>
    </w:p>
    <w:p w14:paraId="0E848C6D" w14:textId="26E4CDF0" w:rsidR="00E10903" w:rsidRPr="00224D7B" w:rsidRDefault="00E10903" w:rsidP="00E10903">
      <w:pPr>
        <w:rPr>
          <w:rFonts w:ascii="Times New Roman" w:hAnsi="Times New Roman"/>
          <w:sz w:val="24"/>
          <w:szCs w:val="24"/>
        </w:rPr>
      </w:pPr>
      <w:r w:rsidRPr="009D74EE">
        <w:rPr>
          <w:rFonts w:ascii="Times New Roman" w:hAnsi="Times New Roman"/>
          <w:sz w:val="24"/>
          <w:szCs w:val="24"/>
        </w:rPr>
        <w:t xml:space="preserve">This section </w:t>
      </w:r>
      <w:r w:rsidR="003116C0">
        <w:rPr>
          <w:rFonts w:ascii="Times New Roman" w:hAnsi="Times New Roman"/>
          <w:sz w:val="24"/>
          <w:szCs w:val="24"/>
        </w:rPr>
        <w:t>provides that this</w:t>
      </w:r>
      <w:r w:rsidRPr="009D74EE">
        <w:rPr>
          <w:rFonts w:ascii="Times New Roman" w:hAnsi="Times New Roman"/>
          <w:sz w:val="24"/>
          <w:szCs w:val="24"/>
        </w:rPr>
        <w:t xml:space="preserve"> </w:t>
      </w:r>
      <w:r w:rsidR="003116C0">
        <w:rPr>
          <w:rFonts w:ascii="Times New Roman" w:hAnsi="Times New Roman"/>
          <w:sz w:val="24"/>
          <w:szCs w:val="24"/>
        </w:rPr>
        <w:t xml:space="preserve">instrument </w:t>
      </w:r>
      <w:r w:rsidRPr="009D74EE">
        <w:rPr>
          <w:rFonts w:ascii="Times New Roman" w:hAnsi="Times New Roman"/>
          <w:sz w:val="24"/>
          <w:szCs w:val="24"/>
        </w:rPr>
        <w:t>commence</w:t>
      </w:r>
      <w:r w:rsidR="003116C0">
        <w:rPr>
          <w:rFonts w:ascii="Times New Roman" w:hAnsi="Times New Roman"/>
          <w:sz w:val="24"/>
          <w:szCs w:val="24"/>
        </w:rPr>
        <w:t>s</w:t>
      </w:r>
      <w:r w:rsidRPr="009D74EE">
        <w:rPr>
          <w:rFonts w:ascii="Times New Roman" w:hAnsi="Times New Roman"/>
          <w:sz w:val="24"/>
          <w:szCs w:val="24"/>
        </w:rPr>
        <w:t xml:space="preserve"> on the day after </w:t>
      </w:r>
      <w:r w:rsidR="003116C0">
        <w:rPr>
          <w:rFonts w:ascii="Times New Roman" w:hAnsi="Times New Roman"/>
          <w:sz w:val="24"/>
          <w:szCs w:val="24"/>
        </w:rPr>
        <w:t xml:space="preserve">it is </w:t>
      </w:r>
      <w:r w:rsidRPr="009D74EE">
        <w:rPr>
          <w:rFonts w:ascii="Times New Roman" w:hAnsi="Times New Roman"/>
          <w:sz w:val="24"/>
          <w:szCs w:val="24"/>
        </w:rPr>
        <w:t>registered on the Federal Register of Legislation.</w:t>
      </w:r>
    </w:p>
    <w:p w14:paraId="0E0BD8F0" w14:textId="77777777" w:rsidR="00E10903" w:rsidRPr="00224D7B" w:rsidRDefault="00E10903" w:rsidP="00E10903">
      <w:pPr>
        <w:rPr>
          <w:rFonts w:ascii="Times New Roman" w:hAnsi="Times New Roman"/>
          <w:sz w:val="24"/>
          <w:szCs w:val="24"/>
        </w:rPr>
      </w:pPr>
    </w:p>
    <w:p w14:paraId="778E3086" w14:textId="77777777" w:rsidR="00E10903" w:rsidRPr="00224D7B" w:rsidRDefault="00E10903" w:rsidP="00E10903">
      <w:pPr>
        <w:rPr>
          <w:rFonts w:ascii="Times New Roman" w:hAnsi="Times New Roman"/>
          <w:b/>
          <w:i/>
          <w:sz w:val="24"/>
          <w:szCs w:val="24"/>
        </w:rPr>
      </w:pPr>
      <w:r w:rsidRPr="00224D7B">
        <w:rPr>
          <w:rFonts w:ascii="Times New Roman" w:hAnsi="Times New Roman"/>
          <w:b/>
          <w:sz w:val="24"/>
          <w:szCs w:val="24"/>
        </w:rPr>
        <w:t>Section 3 – Authority</w:t>
      </w:r>
      <w:r w:rsidRPr="00224D7B">
        <w:rPr>
          <w:rFonts w:ascii="Times New Roman" w:hAnsi="Times New Roman"/>
          <w:b/>
          <w:i/>
          <w:sz w:val="24"/>
          <w:szCs w:val="24"/>
        </w:rPr>
        <w:t xml:space="preserve"> </w:t>
      </w:r>
    </w:p>
    <w:p w14:paraId="24E86D82" w14:textId="77777777" w:rsidR="00E10903" w:rsidRPr="00224D7B" w:rsidRDefault="00E10903" w:rsidP="00E10903">
      <w:pPr>
        <w:rPr>
          <w:rFonts w:ascii="Times New Roman" w:hAnsi="Times New Roman"/>
          <w:sz w:val="24"/>
          <w:szCs w:val="24"/>
        </w:rPr>
      </w:pPr>
    </w:p>
    <w:p w14:paraId="03BDCC34" w14:textId="73914A45" w:rsidR="00E10903" w:rsidRDefault="00E10903" w:rsidP="00E10903">
      <w:pPr>
        <w:rPr>
          <w:rFonts w:ascii="Times New Roman" w:hAnsi="Times New Roman"/>
          <w:i/>
          <w:sz w:val="24"/>
          <w:szCs w:val="24"/>
        </w:rPr>
      </w:pPr>
      <w:r w:rsidRPr="00224D7B">
        <w:rPr>
          <w:rFonts w:ascii="Times New Roman" w:hAnsi="Times New Roman"/>
          <w:sz w:val="24"/>
          <w:szCs w:val="24"/>
        </w:rPr>
        <w:lastRenderedPageBreak/>
        <w:t>This section provides that</w:t>
      </w:r>
      <w:r w:rsidR="003116C0">
        <w:rPr>
          <w:rFonts w:ascii="Times New Roman" w:hAnsi="Times New Roman"/>
          <w:sz w:val="24"/>
          <w:szCs w:val="24"/>
        </w:rPr>
        <w:t xml:space="preserve"> this</w:t>
      </w:r>
      <w:r>
        <w:rPr>
          <w:rFonts w:ascii="Times New Roman" w:hAnsi="Times New Roman"/>
          <w:sz w:val="24"/>
          <w:szCs w:val="24"/>
        </w:rPr>
        <w:t xml:space="preserve"> instrument is made</w:t>
      </w:r>
      <w:r w:rsidRPr="00224D7B">
        <w:rPr>
          <w:rFonts w:ascii="Times New Roman" w:hAnsi="Times New Roman"/>
          <w:sz w:val="24"/>
          <w:szCs w:val="24"/>
        </w:rPr>
        <w:t xml:space="preserve"> under</w:t>
      </w:r>
      <w:r>
        <w:rPr>
          <w:rFonts w:ascii="Times New Roman" w:hAnsi="Times New Roman"/>
          <w:sz w:val="24"/>
          <w:szCs w:val="24"/>
        </w:rPr>
        <w:t xml:space="preserve"> subsection 108(1) of</w:t>
      </w:r>
      <w:r w:rsidRPr="00224D7B">
        <w:rPr>
          <w:rFonts w:ascii="Times New Roman" w:hAnsi="Times New Roman"/>
          <w:sz w:val="24"/>
          <w:szCs w:val="24"/>
        </w:rPr>
        <w:t xml:space="preserve"> the </w:t>
      </w:r>
      <w:r>
        <w:rPr>
          <w:rFonts w:ascii="Times New Roman" w:hAnsi="Times New Roman"/>
          <w:i/>
          <w:sz w:val="24"/>
          <w:szCs w:val="24"/>
        </w:rPr>
        <w:t>Enhancing Online Safety Act 2015</w:t>
      </w:r>
    </w:p>
    <w:p w14:paraId="234F8E4E" w14:textId="77777777" w:rsidR="00E10903" w:rsidRDefault="00E10903" w:rsidP="00E10903">
      <w:pPr>
        <w:rPr>
          <w:rFonts w:ascii="Times New Roman" w:hAnsi="Times New Roman"/>
          <w:i/>
          <w:sz w:val="24"/>
          <w:szCs w:val="24"/>
        </w:rPr>
      </w:pPr>
    </w:p>
    <w:p w14:paraId="3E130EA4" w14:textId="5E58A489" w:rsidR="00E10903" w:rsidRPr="00224D7B" w:rsidRDefault="00E10903" w:rsidP="00E10903">
      <w:pPr>
        <w:rPr>
          <w:rFonts w:ascii="Times New Roman" w:hAnsi="Times New Roman"/>
          <w:b/>
          <w:i/>
          <w:sz w:val="24"/>
          <w:szCs w:val="24"/>
        </w:rPr>
      </w:pPr>
      <w:r w:rsidRPr="00224D7B">
        <w:rPr>
          <w:rFonts w:ascii="Times New Roman" w:hAnsi="Times New Roman"/>
          <w:b/>
          <w:sz w:val="24"/>
          <w:szCs w:val="24"/>
        </w:rPr>
        <w:t xml:space="preserve">Section 4 – </w:t>
      </w:r>
      <w:r w:rsidR="008A252B">
        <w:rPr>
          <w:rFonts w:ascii="Times New Roman" w:hAnsi="Times New Roman"/>
          <w:b/>
          <w:sz w:val="24"/>
          <w:szCs w:val="24"/>
        </w:rPr>
        <w:t>Definitions</w:t>
      </w:r>
      <w:r w:rsidRPr="00224D7B">
        <w:rPr>
          <w:rFonts w:ascii="Times New Roman" w:hAnsi="Times New Roman"/>
          <w:b/>
          <w:i/>
          <w:sz w:val="24"/>
          <w:szCs w:val="24"/>
        </w:rPr>
        <w:t xml:space="preserve"> </w:t>
      </w:r>
    </w:p>
    <w:p w14:paraId="7C258E47" w14:textId="77777777" w:rsidR="00E10903" w:rsidRDefault="00E10903" w:rsidP="00E10903">
      <w:pPr>
        <w:rPr>
          <w:rFonts w:ascii="Times New Roman" w:hAnsi="Times New Roman"/>
          <w:sz w:val="24"/>
          <w:szCs w:val="24"/>
        </w:rPr>
      </w:pPr>
    </w:p>
    <w:p w14:paraId="47D03ECA" w14:textId="77777777" w:rsidR="00E10903" w:rsidRDefault="00E10903" w:rsidP="00E10903">
      <w:pPr>
        <w:rPr>
          <w:rFonts w:ascii="Times New Roman" w:hAnsi="Times New Roman"/>
          <w:sz w:val="24"/>
          <w:szCs w:val="24"/>
        </w:rPr>
      </w:pPr>
      <w:r>
        <w:rPr>
          <w:rFonts w:ascii="Times New Roman" w:hAnsi="Times New Roman"/>
          <w:sz w:val="24"/>
          <w:szCs w:val="24"/>
        </w:rPr>
        <w:t>This section provides the definitions for the purposes of this instrument.</w:t>
      </w:r>
    </w:p>
    <w:p w14:paraId="1B05B51C" w14:textId="77777777" w:rsidR="00E10903" w:rsidRDefault="00E10903" w:rsidP="00E10903">
      <w:pPr>
        <w:rPr>
          <w:rFonts w:ascii="Times New Roman" w:hAnsi="Times New Roman"/>
          <w:sz w:val="24"/>
          <w:szCs w:val="24"/>
        </w:rPr>
      </w:pPr>
    </w:p>
    <w:p w14:paraId="4501B1F6" w14:textId="77777777" w:rsidR="00E10903" w:rsidRDefault="00E10903" w:rsidP="00E10903">
      <w:pPr>
        <w:rPr>
          <w:rFonts w:ascii="Times New Roman" w:hAnsi="Times New Roman"/>
          <w:sz w:val="24"/>
          <w:szCs w:val="24"/>
        </w:rPr>
      </w:pPr>
      <w:r>
        <w:rPr>
          <w:rFonts w:ascii="Times New Roman" w:hAnsi="Times New Roman"/>
          <w:b/>
          <w:i/>
          <w:sz w:val="24"/>
          <w:szCs w:val="24"/>
        </w:rPr>
        <w:t xml:space="preserve">Act </w:t>
      </w:r>
      <w:r>
        <w:rPr>
          <w:rFonts w:ascii="Times New Roman" w:hAnsi="Times New Roman"/>
          <w:sz w:val="24"/>
          <w:szCs w:val="24"/>
        </w:rPr>
        <w:t xml:space="preserve">means </w:t>
      </w:r>
      <w:r>
        <w:rPr>
          <w:rFonts w:ascii="Times New Roman" w:hAnsi="Times New Roman"/>
          <w:i/>
          <w:sz w:val="24"/>
          <w:szCs w:val="24"/>
        </w:rPr>
        <w:t>Enhancing Online Safety Act 2015</w:t>
      </w:r>
    </w:p>
    <w:p w14:paraId="6D150C72" w14:textId="77777777" w:rsidR="00E10903" w:rsidRDefault="00E10903" w:rsidP="00E10903">
      <w:pPr>
        <w:rPr>
          <w:rFonts w:ascii="Times New Roman" w:hAnsi="Times New Roman"/>
          <w:sz w:val="24"/>
          <w:szCs w:val="24"/>
        </w:rPr>
      </w:pPr>
    </w:p>
    <w:p w14:paraId="5181F696" w14:textId="77777777" w:rsidR="003116C0" w:rsidRDefault="00E10903" w:rsidP="00E10903">
      <w:pPr>
        <w:rPr>
          <w:rFonts w:ascii="Times New Roman" w:hAnsi="Times New Roman"/>
          <w:sz w:val="24"/>
          <w:szCs w:val="24"/>
        </w:rPr>
      </w:pPr>
      <w:r>
        <w:rPr>
          <w:rFonts w:ascii="Times New Roman" w:hAnsi="Times New Roman"/>
          <w:b/>
          <w:i/>
          <w:sz w:val="24"/>
          <w:szCs w:val="24"/>
        </w:rPr>
        <w:t>Terrorist act</w:t>
      </w:r>
      <w:r>
        <w:rPr>
          <w:rFonts w:ascii="Times New Roman" w:hAnsi="Times New Roman"/>
          <w:b/>
          <w:sz w:val="24"/>
          <w:szCs w:val="24"/>
        </w:rPr>
        <w:t xml:space="preserve"> </w:t>
      </w:r>
      <w:r w:rsidRPr="009D74EE">
        <w:rPr>
          <w:rFonts w:ascii="Times New Roman" w:hAnsi="Times New Roman"/>
          <w:sz w:val="24"/>
          <w:szCs w:val="24"/>
        </w:rPr>
        <w:t>has the same meaning</w:t>
      </w:r>
      <w:r>
        <w:rPr>
          <w:rFonts w:ascii="Times New Roman" w:hAnsi="Times New Roman"/>
          <w:sz w:val="24"/>
          <w:szCs w:val="24"/>
        </w:rPr>
        <w:t xml:space="preserve"> as in Part 5.3 of the </w:t>
      </w:r>
      <w:r>
        <w:rPr>
          <w:rFonts w:ascii="Times New Roman" w:hAnsi="Times New Roman"/>
          <w:i/>
          <w:sz w:val="24"/>
          <w:szCs w:val="24"/>
        </w:rPr>
        <w:t>Criminal Code</w:t>
      </w:r>
      <w:r w:rsidR="008A252B">
        <w:rPr>
          <w:rFonts w:ascii="Times New Roman" w:hAnsi="Times New Roman"/>
          <w:i/>
          <w:sz w:val="24"/>
          <w:szCs w:val="24"/>
        </w:rPr>
        <w:t xml:space="preserve"> </w:t>
      </w:r>
      <w:r w:rsidR="008A252B" w:rsidRPr="008A252B">
        <w:rPr>
          <w:rFonts w:ascii="Times New Roman" w:hAnsi="Times New Roman"/>
          <w:sz w:val="24"/>
          <w:szCs w:val="24"/>
        </w:rPr>
        <w:t>(see section 100.1)</w:t>
      </w:r>
      <w:r>
        <w:rPr>
          <w:rFonts w:ascii="Times New Roman" w:hAnsi="Times New Roman"/>
          <w:sz w:val="24"/>
          <w:szCs w:val="24"/>
        </w:rPr>
        <w:t>. At the time this instrument</w:t>
      </w:r>
      <w:r w:rsidR="008A252B">
        <w:rPr>
          <w:rFonts w:ascii="Times New Roman" w:hAnsi="Times New Roman"/>
          <w:sz w:val="24"/>
          <w:szCs w:val="24"/>
        </w:rPr>
        <w:t xml:space="preserve"> was made</w:t>
      </w:r>
      <w:r>
        <w:rPr>
          <w:rFonts w:ascii="Times New Roman" w:hAnsi="Times New Roman"/>
          <w:sz w:val="24"/>
          <w:szCs w:val="24"/>
        </w:rPr>
        <w:t>, ‘terrorist act’ mean</w:t>
      </w:r>
      <w:r w:rsidR="008A252B">
        <w:rPr>
          <w:rFonts w:ascii="Times New Roman" w:hAnsi="Times New Roman"/>
          <w:sz w:val="24"/>
          <w:szCs w:val="24"/>
        </w:rPr>
        <w:t>t</w:t>
      </w:r>
      <w:r>
        <w:rPr>
          <w:rFonts w:ascii="Times New Roman" w:hAnsi="Times New Roman"/>
          <w:sz w:val="24"/>
          <w:szCs w:val="24"/>
        </w:rPr>
        <w:t xml:space="preserve"> </w:t>
      </w:r>
      <w:r w:rsidR="008A252B">
        <w:rPr>
          <w:rFonts w:ascii="Times New Roman" w:hAnsi="Times New Roman"/>
          <w:sz w:val="24"/>
          <w:szCs w:val="24"/>
        </w:rPr>
        <w:t xml:space="preserve">any of the series of actions listed in subsection 100.1(2) of the </w:t>
      </w:r>
      <w:r w:rsidR="008A252B" w:rsidRPr="003116C0">
        <w:rPr>
          <w:rFonts w:ascii="Times New Roman" w:hAnsi="Times New Roman"/>
          <w:i/>
          <w:sz w:val="24"/>
          <w:szCs w:val="24"/>
        </w:rPr>
        <w:t>Criminal Code</w:t>
      </w:r>
      <w:r w:rsidR="008A252B">
        <w:rPr>
          <w:rFonts w:ascii="Times New Roman" w:hAnsi="Times New Roman"/>
          <w:sz w:val="24"/>
          <w:szCs w:val="24"/>
        </w:rPr>
        <w:t xml:space="preserve">, or threats of those actions, where the action </w:t>
      </w:r>
      <w:r w:rsidRPr="003965E2">
        <w:rPr>
          <w:rFonts w:ascii="Times New Roman" w:hAnsi="Times New Roman"/>
          <w:sz w:val="24"/>
          <w:szCs w:val="24"/>
        </w:rPr>
        <w:t>is done or the threat is made with the intention of advancing a political, reli</w:t>
      </w:r>
      <w:r>
        <w:rPr>
          <w:rFonts w:ascii="Times New Roman" w:hAnsi="Times New Roman"/>
          <w:sz w:val="24"/>
          <w:szCs w:val="24"/>
        </w:rPr>
        <w:t xml:space="preserve">gious or ideological cause; and </w:t>
      </w:r>
      <w:r w:rsidRPr="003965E2">
        <w:rPr>
          <w:rFonts w:ascii="Times New Roman" w:hAnsi="Times New Roman"/>
          <w:sz w:val="24"/>
          <w:szCs w:val="24"/>
        </w:rPr>
        <w:t xml:space="preserve">the action is done or </w:t>
      </w:r>
      <w:r w:rsidRPr="003965E2">
        <w:rPr>
          <w:rFonts w:ascii="Times New Roman" w:hAnsi="Times New Roman"/>
          <w:sz w:val="24"/>
          <w:szCs w:val="24"/>
        </w:rPr>
        <w:lastRenderedPageBreak/>
        <w:t>the threat is made with the inte</w:t>
      </w:r>
      <w:r>
        <w:rPr>
          <w:rFonts w:ascii="Times New Roman" w:hAnsi="Times New Roman"/>
          <w:sz w:val="24"/>
          <w:szCs w:val="24"/>
        </w:rPr>
        <w:t>ntion of c</w:t>
      </w:r>
      <w:r w:rsidRPr="003965E2">
        <w:rPr>
          <w:rFonts w:ascii="Times New Roman" w:hAnsi="Times New Roman"/>
          <w:sz w:val="24"/>
          <w:szCs w:val="24"/>
        </w:rPr>
        <w:t>oercing, or influencing by intimidation, the government of the Commonwealth or a State, Territory or foreign country, or of part of a State, T</w:t>
      </w:r>
      <w:r>
        <w:rPr>
          <w:rFonts w:ascii="Times New Roman" w:hAnsi="Times New Roman"/>
          <w:sz w:val="24"/>
          <w:szCs w:val="24"/>
        </w:rPr>
        <w:t xml:space="preserve">erritory or foreign country; or </w:t>
      </w:r>
      <w:r w:rsidRPr="003965E2">
        <w:rPr>
          <w:rFonts w:ascii="Times New Roman" w:hAnsi="Times New Roman"/>
          <w:sz w:val="24"/>
          <w:szCs w:val="24"/>
        </w:rPr>
        <w:t>intimidating the public or a section of the public.</w:t>
      </w:r>
      <w:r w:rsidR="003116C0">
        <w:rPr>
          <w:rFonts w:ascii="Times New Roman" w:hAnsi="Times New Roman"/>
          <w:sz w:val="24"/>
          <w:szCs w:val="24"/>
        </w:rPr>
        <w:t xml:space="preserve"> </w:t>
      </w:r>
    </w:p>
    <w:p w14:paraId="38D668F1" w14:textId="77777777" w:rsidR="003116C0" w:rsidRDefault="003116C0" w:rsidP="00E10903">
      <w:pPr>
        <w:rPr>
          <w:rFonts w:ascii="Times New Roman" w:hAnsi="Times New Roman"/>
          <w:sz w:val="24"/>
          <w:szCs w:val="24"/>
        </w:rPr>
      </w:pPr>
    </w:p>
    <w:p w14:paraId="5B8B68B3" w14:textId="6B9E7409" w:rsidR="00E10903" w:rsidRDefault="008A252B" w:rsidP="00E10903">
      <w:pPr>
        <w:rPr>
          <w:rFonts w:ascii="Times New Roman" w:hAnsi="Times New Roman"/>
          <w:sz w:val="24"/>
          <w:szCs w:val="24"/>
        </w:rPr>
      </w:pPr>
      <w:r>
        <w:rPr>
          <w:rFonts w:ascii="Times New Roman" w:hAnsi="Times New Roman"/>
          <w:sz w:val="24"/>
          <w:szCs w:val="24"/>
        </w:rPr>
        <w:t xml:space="preserve">The </w:t>
      </w:r>
      <w:r w:rsidR="00E10903">
        <w:rPr>
          <w:rFonts w:ascii="Times New Roman" w:hAnsi="Times New Roman"/>
          <w:sz w:val="24"/>
          <w:szCs w:val="24"/>
        </w:rPr>
        <w:t>action</w:t>
      </w:r>
      <w:r>
        <w:rPr>
          <w:rFonts w:ascii="Times New Roman" w:hAnsi="Times New Roman"/>
          <w:sz w:val="24"/>
          <w:szCs w:val="24"/>
        </w:rPr>
        <w:t>s listed in subsection 100.1(2) include those causing</w:t>
      </w:r>
      <w:r w:rsidR="00E10903">
        <w:rPr>
          <w:rFonts w:ascii="Times New Roman" w:hAnsi="Times New Roman"/>
          <w:sz w:val="24"/>
          <w:szCs w:val="24"/>
        </w:rPr>
        <w:t xml:space="preserve"> serious harm</w:t>
      </w:r>
      <w:r>
        <w:rPr>
          <w:rFonts w:ascii="Times New Roman" w:hAnsi="Times New Roman"/>
          <w:sz w:val="24"/>
          <w:szCs w:val="24"/>
        </w:rPr>
        <w:t xml:space="preserve"> to persons or property</w:t>
      </w:r>
      <w:r w:rsidR="00E10903">
        <w:rPr>
          <w:rFonts w:ascii="Times New Roman" w:hAnsi="Times New Roman"/>
          <w:sz w:val="24"/>
          <w:szCs w:val="24"/>
        </w:rPr>
        <w:t>, or serious risk of harm to a person</w:t>
      </w:r>
      <w:r>
        <w:rPr>
          <w:rFonts w:ascii="Times New Roman" w:hAnsi="Times New Roman"/>
          <w:sz w:val="24"/>
          <w:szCs w:val="24"/>
        </w:rPr>
        <w:t>, to health and safety</w:t>
      </w:r>
      <w:r w:rsidR="00E10903">
        <w:rPr>
          <w:rFonts w:ascii="Times New Roman" w:hAnsi="Times New Roman"/>
          <w:sz w:val="24"/>
          <w:szCs w:val="24"/>
        </w:rPr>
        <w:t xml:space="preserve"> or various critical infrastructure as described in greater detail in the </w:t>
      </w:r>
      <w:r w:rsidR="00E10903">
        <w:rPr>
          <w:rFonts w:ascii="Times New Roman" w:hAnsi="Times New Roman"/>
          <w:i/>
          <w:sz w:val="24"/>
          <w:szCs w:val="24"/>
        </w:rPr>
        <w:t>Criminal Code</w:t>
      </w:r>
      <w:r w:rsidR="00E10903">
        <w:rPr>
          <w:rFonts w:ascii="Times New Roman" w:hAnsi="Times New Roman"/>
          <w:sz w:val="24"/>
          <w:szCs w:val="24"/>
        </w:rPr>
        <w:t>.</w:t>
      </w:r>
      <w:r>
        <w:rPr>
          <w:rFonts w:ascii="Times New Roman" w:hAnsi="Times New Roman"/>
          <w:sz w:val="24"/>
          <w:szCs w:val="24"/>
        </w:rPr>
        <w:t xml:space="preserve"> However, the definition excludes, in subsection 100.1(3) of the </w:t>
      </w:r>
      <w:r w:rsidRPr="008A252B">
        <w:rPr>
          <w:rFonts w:ascii="Times New Roman" w:hAnsi="Times New Roman"/>
          <w:i/>
          <w:sz w:val="24"/>
          <w:szCs w:val="24"/>
        </w:rPr>
        <w:t>Criminal Code,</w:t>
      </w:r>
      <w:r>
        <w:rPr>
          <w:rFonts w:ascii="Times New Roman" w:hAnsi="Times New Roman"/>
          <w:sz w:val="24"/>
          <w:szCs w:val="24"/>
        </w:rPr>
        <w:t xml:space="preserve"> certain actions taken for advocacy, protest, dissent, industrial action where there was no intent to cause harm etc.</w:t>
      </w:r>
    </w:p>
    <w:p w14:paraId="0E3C7B77" w14:textId="77777777" w:rsidR="00E10903" w:rsidRDefault="00E10903" w:rsidP="00E10903">
      <w:pPr>
        <w:rPr>
          <w:rFonts w:ascii="Times New Roman" w:hAnsi="Times New Roman"/>
          <w:sz w:val="24"/>
          <w:szCs w:val="24"/>
        </w:rPr>
      </w:pPr>
    </w:p>
    <w:p w14:paraId="41592EF1" w14:textId="560443C3" w:rsidR="00E10903" w:rsidRPr="003965E2" w:rsidRDefault="00E10903" w:rsidP="00E10903">
      <w:pPr>
        <w:rPr>
          <w:rFonts w:ascii="Times New Roman" w:hAnsi="Times New Roman"/>
          <w:sz w:val="24"/>
          <w:szCs w:val="24"/>
        </w:rPr>
      </w:pPr>
      <w:r>
        <w:rPr>
          <w:rFonts w:ascii="Times New Roman" w:hAnsi="Times New Roman"/>
          <w:b/>
          <w:i/>
          <w:sz w:val="24"/>
          <w:szCs w:val="24"/>
        </w:rPr>
        <w:t xml:space="preserve">Violent Crime </w:t>
      </w:r>
      <w:r>
        <w:rPr>
          <w:rFonts w:ascii="Times New Roman" w:hAnsi="Times New Roman"/>
          <w:sz w:val="24"/>
          <w:szCs w:val="24"/>
        </w:rPr>
        <w:t xml:space="preserve">has the same meaning as abhorrent violent conduct under Subdivision H of Division 474 of the </w:t>
      </w:r>
      <w:r>
        <w:rPr>
          <w:rFonts w:ascii="Times New Roman" w:hAnsi="Times New Roman"/>
          <w:i/>
          <w:sz w:val="24"/>
          <w:szCs w:val="24"/>
        </w:rPr>
        <w:t>Criminal Code</w:t>
      </w:r>
      <w:r>
        <w:rPr>
          <w:rFonts w:ascii="Times New Roman" w:hAnsi="Times New Roman"/>
          <w:sz w:val="24"/>
          <w:szCs w:val="24"/>
        </w:rPr>
        <w:t>. At the time this instrument</w:t>
      </w:r>
      <w:r w:rsidR="007135C3">
        <w:rPr>
          <w:rFonts w:ascii="Times New Roman" w:hAnsi="Times New Roman"/>
          <w:sz w:val="24"/>
          <w:szCs w:val="24"/>
        </w:rPr>
        <w:t xml:space="preserve"> was made</w:t>
      </w:r>
      <w:r>
        <w:rPr>
          <w:rFonts w:ascii="Times New Roman" w:hAnsi="Times New Roman"/>
          <w:sz w:val="24"/>
          <w:szCs w:val="24"/>
        </w:rPr>
        <w:t xml:space="preserve">, a person engages in abhorrent violent conduct if the person engages in a terrorist act; or murders another person; or attempts to </w:t>
      </w:r>
      <w:r>
        <w:rPr>
          <w:rFonts w:ascii="Times New Roman" w:hAnsi="Times New Roman"/>
          <w:sz w:val="24"/>
          <w:szCs w:val="24"/>
        </w:rPr>
        <w:lastRenderedPageBreak/>
        <w:t>murder another person; or tortures another person; or rapes another person; or kidnaps another person.</w:t>
      </w:r>
    </w:p>
    <w:p w14:paraId="156A9B8F" w14:textId="77777777" w:rsidR="00E10903" w:rsidRPr="00224D7B" w:rsidRDefault="00E10903" w:rsidP="00E10903">
      <w:pPr>
        <w:rPr>
          <w:rFonts w:ascii="Times New Roman" w:hAnsi="Times New Roman"/>
          <w:sz w:val="24"/>
          <w:szCs w:val="24"/>
        </w:rPr>
      </w:pPr>
    </w:p>
    <w:p w14:paraId="35DE85C8" w14:textId="77777777" w:rsidR="00E10903" w:rsidRPr="00224D7B" w:rsidRDefault="00E10903" w:rsidP="00E10903">
      <w:pPr>
        <w:rPr>
          <w:rFonts w:ascii="Times New Roman" w:hAnsi="Times New Roman"/>
          <w:b/>
          <w:i/>
          <w:sz w:val="24"/>
          <w:szCs w:val="24"/>
        </w:rPr>
      </w:pPr>
      <w:r>
        <w:rPr>
          <w:rFonts w:ascii="Times New Roman" w:hAnsi="Times New Roman"/>
          <w:b/>
          <w:sz w:val="24"/>
          <w:szCs w:val="24"/>
        </w:rPr>
        <w:t>Section 5</w:t>
      </w:r>
      <w:r w:rsidRPr="00224D7B">
        <w:rPr>
          <w:rFonts w:ascii="Times New Roman" w:hAnsi="Times New Roman"/>
          <w:b/>
          <w:sz w:val="24"/>
          <w:szCs w:val="24"/>
        </w:rPr>
        <w:t xml:space="preserve"> – </w:t>
      </w:r>
      <w:r>
        <w:rPr>
          <w:rFonts w:ascii="Times New Roman" w:hAnsi="Times New Roman"/>
          <w:b/>
          <w:sz w:val="24"/>
          <w:szCs w:val="24"/>
        </w:rPr>
        <w:t>Conferral of additional function</w:t>
      </w:r>
    </w:p>
    <w:p w14:paraId="34BF126A" w14:textId="77777777" w:rsidR="00E10903" w:rsidRPr="00224D7B" w:rsidRDefault="00E10903" w:rsidP="00E10903">
      <w:pPr>
        <w:rPr>
          <w:rFonts w:ascii="Times New Roman" w:hAnsi="Times New Roman"/>
          <w:sz w:val="24"/>
          <w:szCs w:val="24"/>
        </w:rPr>
      </w:pPr>
    </w:p>
    <w:p w14:paraId="21322E4C" w14:textId="72049EF9" w:rsidR="00E10903" w:rsidRDefault="003116C0" w:rsidP="00E10903">
      <w:pPr>
        <w:pStyle w:val="Generalexplanation"/>
        <w:numPr>
          <w:ilvl w:val="0"/>
          <w:numId w:val="0"/>
        </w:numPr>
        <w:spacing w:after="0"/>
        <w:rPr>
          <w:color w:val="auto"/>
        </w:rPr>
      </w:pPr>
      <w:r>
        <w:rPr>
          <w:color w:val="auto"/>
        </w:rPr>
        <w:t>This s</w:t>
      </w:r>
      <w:r w:rsidR="00E10903">
        <w:rPr>
          <w:color w:val="auto"/>
        </w:rPr>
        <w:t xml:space="preserve">ection sets out that that, for the </w:t>
      </w:r>
      <w:r w:rsidR="00E10903" w:rsidRPr="0036187D">
        <w:rPr>
          <w:color w:val="auto"/>
        </w:rPr>
        <w:t>purposes of paragraph 15(1)(r) of the Act, a function of the Commissioner is to promote online safety for Australians by protecting Australians from access or exposure to material that promotes, incites, or instructs in, t</w:t>
      </w:r>
      <w:r w:rsidR="00E10903">
        <w:rPr>
          <w:color w:val="auto"/>
        </w:rPr>
        <w:t>errorist acts or violent crimes.</w:t>
      </w:r>
    </w:p>
    <w:p w14:paraId="1D26DF85" w14:textId="77777777" w:rsidR="00E10903" w:rsidRDefault="00E10903" w:rsidP="00E10903">
      <w:pPr>
        <w:pStyle w:val="Generalexplanation"/>
        <w:numPr>
          <w:ilvl w:val="0"/>
          <w:numId w:val="0"/>
        </w:numPr>
        <w:spacing w:after="0"/>
        <w:rPr>
          <w:color w:val="auto"/>
        </w:rPr>
      </w:pPr>
    </w:p>
    <w:p w14:paraId="7759B6D9" w14:textId="6491F7D9" w:rsidR="00E10903" w:rsidRDefault="00E10903" w:rsidP="00E10903">
      <w:pPr>
        <w:pStyle w:val="Generalexplanation"/>
        <w:numPr>
          <w:ilvl w:val="0"/>
          <w:numId w:val="0"/>
        </w:numPr>
        <w:spacing w:after="0"/>
        <w:rPr>
          <w:color w:val="auto"/>
        </w:rPr>
      </w:pPr>
      <w:r>
        <w:rPr>
          <w:color w:val="auto"/>
        </w:rPr>
        <w:t xml:space="preserve">This section considers the incitement, instruction and promotion of terrorist acts or violent crimes. It is </w:t>
      </w:r>
      <w:r w:rsidR="00913DD8">
        <w:rPr>
          <w:color w:val="auto"/>
        </w:rPr>
        <w:t xml:space="preserve">generally </w:t>
      </w:r>
      <w:r>
        <w:rPr>
          <w:color w:val="auto"/>
        </w:rPr>
        <w:t xml:space="preserve">accepted that this nature of material is not acceptable to Australian society. This function will </w:t>
      </w:r>
      <w:r w:rsidR="003116C0">
        <w:rPr>
          <w:color w:val="auto"/>
        </w:rPr>
        <w:t>enable</w:t>
      </w:r>
      <w:r>
        <w:rPr>
          <w:color w:val="auto"/>
        </w:rPr>
        <w:t xml:space="preserve"> the eSafety Commissioner to continue to engage in </w:t>
      </w:r>
      <w:r w:rsidR="00913DD8">
        <w:rPr>
          <w:color w:val="auto"/>
        </w:rPr>
        <w:t>the</w:t>
      </w:r>
      <w:r>
        <w:rPr>
          <w:color w:val="auto"/>
        </w:rPr>
        <w:t xml:space="preserve"> </w:t>
      </w:r>
      <w:r>
        <w:rPr>
          <w:color w:val="auto"/>
        </w:rPr>
        <w:lastRenderedPageBreak/>
        <w:t xml:space="preserve">primary function </w:t>
      </w:r>
      <w:r w:rsidR="00913DD8">
        <w:rPr>
          <w:color w:val="auto"/>
        </w:rPr>
        <w:t>of</w:t>
      </w:r>
      <w:r>
        <w:rPr>
          <w:color w:val="auto"/>
        </w:rPr>
        <w:t xml:space="preserve"> protecting Australians online</w:t>
      </w:r>
      <w:r w:rsidR="00913DD8">
        <w:rPr>
          <w:color w:val="auto"/>
        </w:rPr>
        <w:t>, particularly</w:t>
      </w:r>
      <w:r>
        <w:rPr>
          <w:color w:val="auto"/>
        </w:rPr>
        <w:t xml:space="preserve"> </w:t>
      </w:r>
      <w:r w:rsidR="003116C0">
        <w:rPr>
          <w:color w:val="auto"/>
        </w:rPr>
        <w:t>with</w:t>
      </w:r>
      <w:r w:rsidR="00913DD8">
        <w:rPr>
          <w:color w:val="auto"/>
        </w:rPr>
        <w:t xml:space="preserve"> </w:t>
      </w:r>
      <w:r>
        <w:rPr>
          <w:color w:val="auto"/>
        </w:rPr>
        <w:t>respect</w:t>
      </w:r>
      <w:r w:rsidR="003116C0">
        <w:rPr>
          <w:color w:val="auto"/>
        </w:rPr>
        <w:t xml:space="preserve"> to</w:t>
      </w:r>
      <w:r w:rsidR="00913DD8">
        <w:rPr>
          <w:color w:val="auto"/>
        </w:rPr>
        <w:t xml:space="preserve"> protecting Australians from</w:t>
      </w:r>
      <w:r>
        <w:rPr>
          <w:color w:val="auto"/>
        </w:rPr>
        <w:t xml:space="preserve"> violent criminal or terrorist material. </w:t>
      </w:r>
    </w:p>
    <w:p w14:paraId="47C89240" w14:textId="77777777" w:rsidR="00E10903" w:rsidRDefault="00E10903" w:rsidP="00E10903">
      <w:pPr>
        <w:pStyle w:val="Generalexplanation"/>
        <w:numPr>
          <w:ilvl w:val="0"/>
          <w:numId w:val="0"/>
        </w:numPr>
        <w:spacing w:after="0"/>
        <w:rPr>
          <w:color w:val="auto"/>
        </w:rPr>
      </w:pPr>
    </w:p>
    <w:p w14:paraId="2C7D051C" w14:textId="77777777" w:rsidR="0036187D" w:rsidRPr="00A75679" w:rsidRDefault="0036187D" w:rsidP="00633A31">
      <w:pPr>
        <w:pStyle w:val="Generalexplanation"/>
        <w:numPr>
          <w:ilvl w:val="0"/>
          <w:numId w:val="0"/>
        </w:numPr>
        <w:spacing w:after="0"/>
        <w:rPr>
          <w:color w:val="auto"/>
        </w:rPr>
        <w:sectPr w:rsidR="0036187D" w:rsidRPr="00A75679" w:rsidSect="000C4AD3">
          <w:headerReference w:type="even" r:id="rId13"/>
          <w:headerReference w:type="default" r:id="rId14"/>
          <w:headerReference w:type="first" r:id="rId15"/>
          <w:pgSz w:w="11906" w:h="16838"/>
          <w:pgMar w:top="1440" w:right="1440" w:bottom="1440" w:left="1440" w:header="708" w:footer="708" w:gutter="0"/>
          <w:pgNumType w:start="1"/>
          <w:cols w:space="708"/>
          <w:titlePg/>
          <w:docGrid w:linePitch="360"/>
        </w:sectPr>
      </w:pPr>
    </w:p>
    <w:p w14:paraId="5339C3D6" w14:textId="77777777" w:rsidR="00863643" w:rsidRDefault="00863643" w:rsidP="00863643">
      <w:pPr>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Statement of Compatibility with Human Rights</w:t>
      </w:r>
    </w:p>
    <w:p w14:paraId="6A1AB937" w14:textId="77777777" w:rsidR="00863643" w:rsidRDefault="00863643" w:rsidP="00863643">
      <w:pPr>
        <w:pStyle w:val="paranumbering0"/>
        <w:spacing w:before="0" w:beforeAutospacing="0" w:after="0" w:afterAutospacing="0"/>
      </w:pPr>
    </w:p>
    <w:p w14:paraId="1E404FF8" w14:textId="77777777" w:rsidR="00863643" w:rsidRDefault="00863643" w:rsidP="00863643">
      <w:pPr>
        <w:pStyle w:val="paranumbering0"/>
        <w:spacing w:before="0" w:beforeAutospacing="0" w:after="0" w:afterAutospacing="0"/>
      </w:pPr>
      <w:r>
        <w:t xml:space="preserve">Prepared in accordance with Part 3 of the </w:t>
      </w:r>
      <w:r>
        <w:rPr>
          <w:i/>
        </w:rPr>
        <w:t>Human Rights (Parliamentary Scrutiny) Act 2011</w:t>
      </w:r>
    </w:p>
    <w:p w14:paraId="2448A088" w14:textId="77777777" w:rsidR="00863643" w:rsidRDefault="00863643" w:rsidP="00863643">
      <w:pPr>
        <w:pStyle w:val="paranumbering0"/>
        <w:spacing w:before="0" w:beforeAutospacing="0" w:after="0" w:afterAutospacing="0"/>
      </w:pPr>
    </w:p>
    <w:p w14:paraId="1143472B" w14:textId="372D8EA4" w:rsidR="00863643" w:rsidRDefault="00863643" w:rsidP="00863643">
      <w:pPr>
        <w:pStyle w:val="paranumbering0"/>
        <w:spacing w:before="0" w:beforeAutospacing="0" w:after="0" w:afterAutospacing="0"/>
        <w:rPr>
          <w:b/>
          <w:i/>
        </w:rPr>
      </w:pPr>
      <w:r>
        <w:rPr>
          <w:b/>
          <w:i/>
        </w:rPr>
        <w:t>Enhancing Online Safety (Protecting Australians from Terrorist or Violent Criminal Material) Rule 2019</w:t>
      </w:r>
    </w:p>
    <w:p w14:paraId="5D0DF437" w14:textId="77777777" w:rsidR="00863643" w:rsidRDefault="00863643" w:rsidP="00863643">
      <w:pPr>
        <w:pStyle w:val="paranumbering0"/>
        <w:spacing w:before="0" w:beforeAutospacing="0" w:after="0" w:afterAutospacing="0"/>
      </w:pPr>
    </w:p>
    <w:p w14:paraId="7B5ED9A3" w14:textId="77777777" w:rsidR="00863643" w:rsidRDefault="00863643" w:rsidP="00863643">
      <w:pPr>
        <w:pStyle w:val="paranumbering0"/>
        <w:spacing w:before="0" w:beforeAutospacing="0" w:after="0" w:afterAutospacing="0"/>
      </w:pPr>
      <w:r>
        <w:t xml:space="preserve">This Disallowable Legislative Instrument is compatible with the human rights and freedoms recognised or declared in the international instruments listed in section 3 of the </w:t>
      </w:r>
      <w:r>
        <w:rPr>
          <w:i/>
        </w:rPr>
        <w:t xml:space="preserve">Human Rights (Parliamentary Scrutiny) Act 2011. </w:t>
      </w:r>
    </w:p>
    <w:p w14:paraId="00D0457E" w14:textId="77777777" w:rsidR="00863643" w:rsidRDefault="00863643" w:rsidP="00863643">
      <w:pPr>
        <w:pStyle w:val="paranumbering0"/>
        <w:spacing w:before="0" w:beforeAutospacing="0" w:after="0" w:afterAutospacing="0"/>
      </w:pPr>
    </w:p>
    <w:p w14:paraId="5106AF3D" w14:textId="77777777" w:rsidR="00863643" w:rsidRDefault="00863643" w:rsidP="00863643">
      <w:pPr>
        <w:pStyle w:val="paranumbering0"/>
        <w:spacing w:before="0" w:beforeAutospacing="0" w:after="0" w:afterAutospacing="0"/>
        <w:rPr>
          <w:b/>
        </w:rPr>
      </w:pPr>
      <w:r>
        <w:rPr>
          <w:b/>
        </w:rPr>
        <w:t>Overview of the Legislative Instrument</w:t>
      </w:r>
    </w:p>
    <w:p w14:paraId="087DA768" w14:textId="77777777" w:rsidR="00863643" w:rsidRDefault="00863643" w:rsidP="00863643">
      <w:pPr>
        <w:pStyle w:val="paranumbering0"/>
        <w:spacing w:before="0" w:beforeAutospacing="0" w:after="0" w:afterAutospacing="0"/>
      </w:pPr>
    </w:p>
    <w:p w14:paraId="74144F21" w14:textId="77777777" w:rsidR="00913DD8" w:rsidRDefault="00913DD8" w:rsidP="00913DD8">
      <w:pPr>
        <w:tabs>
          <w:tab w:val="left" w:pos="1701"/>
        </w:tabs>
        <w:rPr>
          <w:rFonts w:ascii="Times New Roman" w:hAnsi="Times New Roman"/>
          <w:sz w:val="24"/>
          <w:szCs w:val="24"/>
        </w:rPr>
      </w:pPr>
      <w:r>
        <w:rPr>
          <w:rFonts w:ascii="Times New Roman" w:hAnsi="Times New Roman"/>
          <w:sz w:val="24"/>
          <w:szCs w:val="24"/>
        </w:rPr>
        <w:t xml:space="preserve">The new function of the eSafety Commissioner created by this instrument is to promote online safety for Australians </w:t>
      </w:r>
      <w:r>
        <w:rPr>
          <w:rFonts w:ascii="Times New Roman" w:hAnsi="Times New Roman"/>
          <w:sz w:val="24"/>
          <w:szCs w:val="24"/>
        </w:rPr>
        <w:lastRenderedPageBreak/>
        <w:t xml:space="preserve">by protecting Australians from access or exposure to material that promotes, incites or instructs in, </w:t>
      </w:r>
      <w:r w:rsidRPr="00BC316D">
        <w:rPr>
          <w:rFonts w:ascii="Times New Roman" w:hAnsi="Times New Roman"/>
          <w:sz w:val="24"/>
          <w:szCs w:val="24"/>
        </w:rPr>
        <w:t>terrorist acts or violent crimes</w:t>
      </w:r>
      <w:r>
        <w:rPr>
          <w:rFonts w:ascii="Times New Roman" w:hAnsi="Times New Roman"/>
          <w:sz w:val="24"/>
          <w:szCs w:val="24"/>
        </w:rPr>
        <w:t>.</w:t>
      </w:r>
    </w:p>
    <w:p w14:paraId="4A2CA2A5" w14:textId="77777777" w:rsidR="00913DD8" w:rsidRDefault="00913DD8" w:rsidP="00913DD8">
      <w:pPr>
        <w:tabs>
          <w:tab w:val="left" w:pos="1701"/>
        </w:tabs>
        <w:rPr>
          <w:rFonts w:ascii="Times New Roman" w:hAnsi="Times New Roman"/>
          <w:sz w:val="24"/>
          <w:szCs w:val="24"/>
        </w:rPr>
      </w:pPr>
    </w:p>
    <w:p w14:paraId="2D685EF2" w14:textId="187DECC0" w:rsidR="00913DD8" w:rsidRDefault="00913DD8" w:rsidP="00913DD8">
      <w:pPr>
        <w:tabs>
          <w:tab w:val="left" w:pos="1701"/>
        </w:tabs>
        <w:rPr>
          <w:rFonts w:ascii="Times New Roman" w:hAnsi="Times New Roman"/>
          <w:sz w:val="24"/>
          <w:szCs w:val="24"/>
        </w:rPr>
      </w:pPr>
      <w:r>
        <w:rPr>
          <w:rFonts w:ascii="Times New Roman" w:hAnsi="Times New Roman"/>
          <w:sz w:val="24"/>
          <w:szCs w:val="24"/>
        </w:rPr>
        <w:t>The horrific Christchurch terror attack</w:t>
      </w:r>
      <w:r w:rsidR="00AF23F0">
        <w:rPr>
          <w:rFonts w:ascii="Times New Roman" w:hAnsi="Times New Roman"/>
          <w:sz w:val="24"/>
          <w:szCs w:val="24"/>
        </w:rPr>
        <w:t>s</w:t>
      </w:r>
      <w:r>
        <w:rPr>
          <w:rFonts w:ascii="Times New Roman" w:hAnsi="Times New Roman"/>
          <w:sz w:val="24"/>
          <w:szCs w:val="24"/>
        </w:rPr>
        <w:t>, and the subsequent viral dissemination of the perpetrator’s video and manifesto</w:t>
      </w:r>
      <w:r w:rsidR="00AF23F0">
        <w:rPr>
          <w:rFonts w:ascii="Times New Roman" w:hAnsi="Times New Roman"/>
          <w:sz w:val="24"/>
          <w:szCs w:val="24"/>
        </w:rPr>
        <w:t>,</w:t>
      </w:r>
      <w:r>
        <w:rPr>
          <w:rFonts w:ascii="Times New Roman" w:hAnsi="Times New Roman"/>
          <w:sz w:val="24"/>
          <w:szCs w:val="24"/>
        </w:rPr>
        <w:t xml:space="preserve"> demonstrated that there is a risk posed to Australian internet users by material involving terrorist acts or violent crime. </w:t>
      </w:r>
    </w:p>
    <w:p w14:paraId="180F3CF0" w14:textId="77777777" w:rsidR="00913DD8" w:rsidRDefault="00913DD8" w:rsidP="00913DD8">
      <w:pPr>
        <w:tabs>
          <w:tab w:val="left" w:pos="1701"/>
        </w:tabs>
        <w:rPr>
          <w:rFonts w:ascii="Times New Roman" w:hAnsi="Times New Roman"/>
          <w:sz w:val="24"/>
          <w:szCs w:val="24"/>
        </w:rPr>
      </w:pPr>
    </w:p>
    <w:p w14:paraId="1BA1808E" w14:textId="219B394A" w:rsidR="00913DD8" w:rsidRDefault="00913DD8" w:rsidP="00913DD8">
      <w:pPr>
        <w:tabs>
          <w:tab w:val="left" w:pos="1701"/>
        </w:tabs>
        <w:rPr>
          <w:rFonts w:ascii="Times New Roman" w:hAnsi="Times New Roman"/>
          <w:sz w:val="24"/>
          <w:szCs w:val="24"/>
        </w:rPr>
      </w:pPr>
      <w:r>
        <w:rPr>
          <w:rFonts w:ascii="Times New Roman" w:hAnsi="Times New Roman"/>
          <w:sz w:val="24"/>
          <w:szCs w:val="24"/>
        </w:rPr>
        <w:t xml:space="preserve">Under the </w:t>
      </w:r>
      <w:r w:rsidRPr="00D00489">
        <w:rPr>
          <w:rFonts w:ascii="Times New Roman" w:hAnsi="Times New Roman"/>
          <w:i/>
          <w:sz w:val="24"/>
          <w:szCs w:val="24"/>
        </w:rPr>
        <w:t>National</w:t>
      </w:r>
      <w:r>
        <w:rPr>
          <w:rFonts w:ascii="Times New Roman" w:hAnsi="Times New Roman"/>
          <w:sz w:val="24"/>
          <w:szCs w:val="24"/>
        </w:rPr>
        <w:t xml:space="preserve"> </w:t>
      </w:r>
      <w:r>
        <w:rPr>
          <w:rFonts w:ascii="Times New Roman" w:hAnsi="Times New Roman"/>
          <w:i/>
          <w:sz w:val="24"/>
          <w:szCs w:val="24"/>
        </w:rPr>
        <w:t xml:space="preserve">Classification Code </w:t>
      </w:r>
      <w:r w:rsidRPr="00D00489">
        <w:rPr>
          <w:rFonts w:ascii="Times New Roman" w:hAnsi="Times New Roman"/>
          <w:sz w:val="24"/>
          <w:szCs w:val="24"/>
        </w:rPr>
        <w:t>made in 2005</w:t>
      </w:r>
      <w:r>
        <w:rPr>
          <w:rFonts w:ascii="Times New Roman" w:hAnsi="Times New Roman"/>
          <w:sz w:val="24"/>
          <w:szCs w:val="24"/>
        </w:rPr>
        <w:t xml:space="preserve">, the Classification Board is required to classify material, including publications, films and computer games that “promote, incite or instruct in matters of crime or violence” as RC (refused classification). Where material is classified RC, it is prohibited for that material to be exhibited, sold or hired in Australia. The eSafety Commissioner has existing powers under Schedules 5 and 7 to the </w:t>
      </w:r>
      <w:r>
        <w:rPr>
          <w:rFonts w:ascii="Times New Roman" w:hAnsi="Times New Roman"/>
          <w:i/>
          <w:sz w:val="24"/>
          <w:szCs w:val="24"/>
        </w:rPr>
        <w:t xml:space="preserve">Broadcasting </w:t>
      </w:r>
      <w:r>
        <w:rPr>
          <w:rFonts w:ascii="Times New Roman" w:hAnsi="Times New Roman"/>
          <w:i/>
          <w:sz w:val="24"/>
          <w:szCs w:val="24"/>
        </w:rPr>
        <w:lastRenderedPageBreak/>
        <w:t xml:space="preserve">Services Act 1992 </w:t>
      </w:r>
      <w:r>
        <w:rPr>
          <w:rFonts w:ascii="Times New Roman" w:hAnsi="Times New Roman"/>
          <w:sz w:val="24"/>
          <w:szCs w:val="24"/>
        </w:rPr>
        <w:t>regarding material that has been classified RC. However, many offshore sites are reckless, or even malicious</w:t>
      </w:r>
      <w:r w:rsidR="00AF23F0">
        <w:rPr>
          <w:rFonts w:ascii="Times New Roman" w:hAnsi="Times New Roman"/>
          <w:sz w:val="24"/>
          <w:szCs w:val="24"/>
        </w:rPr>
        <w:t>,</w:t>
      </w:r>
      <w:r>
        <w:rPr>
          <w:rFonts w:ascii="Times New Roman" w:hAnsi="Times New Roman"/>
          <w:sz w:val="24"/>
          <w:szCs w:val="24"/>
        </w:rPr>
        <w:t xml:space="preserve"> in exposing Australian internet users to content that has been classified RC due to the abhorrent nature of that material.</w:t>
      </w:r>
    </w:p>
    <w:p w14:paraId="1DCD985C" w14:textId="77777777" w:rsidR="00913DD8" w:rsidRDefault="00913DD8" w:rsidP="00913DD8">
      <w:pPr>
        <w:tabs>
          <w:tab w:val="left" w:pos="1701"/>
        </w:tabs>
        <w:rPr>
          <w:rFonts w:ascii="Times New Roman" w:hAnsi="Times New Roman"/>
          <w:sz w:val="24"/>
          <w:szCs w:val="24"/>
        </w:rPr>
      </w:pPr>
    </w:p>
    <w:p w14:paraId="11B5A3AD" w14:textId="77777777" w:rsidR="00AF23F0" w:rsidRDefault="00AF23F0" w:rsidP="00AF23F0">
      <w:pPr>
        <w:tabs>
          <w:tab w:val="left" w:pos="1701"/>
        </w:tabs>
        <w:rPr>
          <w:rFonts w:ascii="Times New Roman" w:hAnsi="Times New Roman"/>
          <w:sz w:val="24"/>
          <w:szCs w:val="24"/>
        </w:rPr>
      </w:pPr>
      <w:r>
        <w:rPr>
          <w:rFonts w:ascii="Times New Roman" w:hAnsi="Times New Roman"/>
          <w:sz w:val="24"/>
          <w:szCs w:val="24"/>
        </w:rPr>
        <w:t>The new function provided for by this instrument reflects the intention that the eSafety Commissioner have a further role focussed specifically on reducing Australian internet users’ exposure to horrific material that promotes, incites or instructs in terrorist acts or violent crimes.</w:t>
      </w:r>
    </w:p>
    <w:p w14:paraId="0054DEAC" w14:textId="77777777" w:rsidR="00AF23F0" w:rsidRDefault="00AF23F0" w:rsidP="00AF23F0">
      <w:pPr>
        <w:tabs>
          <w:tab w:val="left" w:pos="1701"/>
        </w:tabs>
        <w:rPr>
          <w:rFonts w:ascii="Times New Roman" w:hAnsi="Times New Roman"/>
          <w:sz w:val="24"/>
          <w:szCs w:val="24"/>
        </w:rPr>
      </w:pPr>
    </w:p>
    <w:p w14:paraId="52EF1026" w14:textId="77777777" w:rsidR="00AF23F0" w:rsidRDefault="00AF23F0" w:rsidP="00AF23F0">
      <w:pPr>
        <w:tabs>
          <w:tab w:val="left" w:pos="1701"/>
        </w:tabs>
        <w:rPr>
          <w:rFonts w:ascii="Times New Roman" w:hAnsi="Times New Roman"/>
          <w:sz w:val="24"/>
          <w:szCs w:val="24"/>
        </w:rPr>
      </w:pPr>
      <w:r>
        <w:rPr>
          <w:rFonts w:ascii="Times New Roman" w:hAnsi="Times New Roman"/>
          <w:sz w:val="24"/>
          <w:szCs w:val="24"/>
        </w:rPr>
        <w:t xml:space="preserve">The type of content that the eSafety Commissioner will engage with in relation to terrorist acts or violent crime is material that “promotes, incites, or instructs in” those acts or crimes. This recognises that content showing horrific actions may be depicted for legitimate purposes, such as in documentary or academic work. However, the promotion, incitement or instruction in these types of acts or crimes is materially different and should not be considered acceptable. </w:t>
      </w:r>
    </w:p>
    <w:p w14:paraId="2B42281D" w14:textId="77777777" w:rsidR="00913DD8" w:rsidRDefault="00913DD8" w:rsidP="00913DD8">
      <w:pPr>
        <w:tabs>
          <w:tab w:val="left" w:pos="1701"/>
        </w:tabs>
        <w:rPr>
          <w:rFonts w:ascii="Times New Roman" w:hAnsi="Times New Roman"/>
          <w:sz w:val="24"/>
          <w:szCs w:val="24"/>
        </w:rPr>
      </w:pPr>
    </w:p>
    <w:p w14:paraId="47DAC1DD" w14:textId="77777777" w:rsidR="00AF23F0" w:rsidRDefault="00AF23F0" w:rsidP="00AF23F0">
      <w:pPr>
        <w:tabs>
          <w:tab w:val="left" w:pos="1701"/>
        </w:tabs>
        <w:rPr>
          <w:rFonts w:ascii="Times New Roman" w:hAnsi="Times New Roman"/>
          <w:sz w:val="24"/>
          <w:szCs w:val="24"/>
        </w:rPr>
      </w:pPr>
      <w:r>
        <w:rPr>
          <w:rFonts w:ascii="Times New Roman" w:hAnsi="Times New Roman"/>
          <w:sz w:val="24"/>
          <w:szCs w:val="24"/>
        </w:rPr>
        <w:t xml:space="preserve">The type of content that the eSafety Commissioner will engage with in relation to terrorist acts or violent crime is material that “promotes, incites, or instructs in” those acts or crimes. This recognises that content showing horrific actions may be depicted for legitimate purposes, such as in documentary or academic work. However, the promotion, incitement or instruction in these types of acts or crimes is materially different and should not be considered acceptable. </w:t>
      </w:r>
    </w:p>
    <w:p w14:paraId="2E4C0A69" w14:textId="77777777" w:rsidR="00AF23F0" w:rsidRDefault="00AF23F0" w:rsidP="00AF23F0">
      <w:pPr>
        <w:tabs>
          <w:tab w:val="left" w:pos="1701"/>
        </w:tabs>
        <w:rPr>
          <w:rFonts w:ascii="Times New Roman" w:hAnsi="Times New Roman"/>
          <w:sz w:val="24"/>
          <w:szCs w:val="24"/>
        </w:rPr>
      </w:pPr>
    </w:p>
    <w:p w14:paraId="363830CB" w14:textId="77777777" w:rsidR="00AF23F0" w:rsidRPr="00EE4D4D" w:rsidRDefault="00AF23F0" w:rsidP="00AF23F0">
      <w:pPr>
        <w:tabs>
          <w:tab w:val="left" w:pos="1701"/>
        </w:tabs>
        <w:rPr>
          <w:rFonts w:ascii="Times New Roman" w:hAnsi="Times New Roman"/>
          <w:sz w:val="24"/>
          <w:szCs w:val="24"/>
        </w:rPr>
      </w:pPr>
      <w:r>
        <w:rPr>
          <w:rFonts w:ascii="Times New Roman" w:hAnsi="Times New Roman"/>
          <w:sz w:val="24"/>
          <w:szCs w:val="24"/>
        </w:rPr>
        <w:t>The new function specified in this instrument recognises that the eSafety Commissioner’s role in educating Australians, promoting online safety and reducing exposure to harmful online material, should extend to terrorist and violent criminal content due to the risk that this material poses to Australian internet users.</w:t>
      </w:r>
    </w:p>
    <w:p w14:paraId="4568D340" w14:textId="77777777" w:rsidR="00614B1E" w:rsidRDefault="00614B1E" w:rsidP="00614B1E">
      <w:pPr>
        <w:tabs>
          <w:tab w:val="left" w:pos="1701"/>
        </w:tabs>
        <w:rPr>
          <w:rFonts w:ascii="Times New Roman" w:hAnsi="Times New Roman"/>
          <w:sz w:val="24"/>
          <w:szCs w:val="24"/>
        </w:rPr>
      </w:pPr>
    </w:p>
    <w:p w14:paraId="7B155CA5" w14:textId="77777777" w:rsidR="00AF23F0" w:rsidRDefault="00AF23F0" w:rsidP="00AF23F0">
      <w:pPr>
        <w:tabs>
          <w:tab w:val="left" w:pos="1701"/>
        </w:tabs>
        <w:rPr>
          <w:rFonts w:ascii="Times New Roman" w:hAnsi="Times New Roman"/>
          <w:sz w:val="24"/>
          <w:szCs w:val="24"/>
        </w:rPr>
      </w:pPr>
      <w:r>
        <w:rPr>
          <w:rFonts w:ascii="Times New Roman" w:hAnsi="Times New Roman"/>
          <w:sz w:val="24"/>
          <w:szCs w:val="24"/>
        </w:rPr>
        <w:t>The eSafety Commissioner was also a member of the Taskforce to Combat Terrorist and Extreme Violent Material Online that was established by the Prime Minister to explore avenues for collaboration between industry and Government to prevent the upload and dissemination of this type of material.</w:t>
      </w:r>
    </w:p>
    <w:p w14:paraId="7D900FA9" w14:textId="77777777" w:rsidR="00AF23F0" w:rsidRDefault="00AF23F0" w:rsidP="00AF23F0">
      <w:pPr>
        <w:tabs>
          <w:tab w:val="left" w:pos="1701"/>
        </w:tabs>
        <w:rPr>
          <w:rFonts w:ascii="Times New Roman" w:hAnsi="Times New Roman"/>
          <w:sz w:val="24"/>
          <w:szCs w:val="24"/>
        </w:rPr>
      </w:pPr>
    </w:p>
    <w:p w14:paraId="1AB5D1FD" w14:textId="77777777" w:rsidR="00AF23F0" w:rsidRPr="00A63899" w:rsidRDefault="00AF23F0" w:rsidP="00AF23F0">
      <w:pPr>
        <w:tabs>
          <w:tab w:val="left" w:pos="1701"/>
        </w:tabs>
        <w:rPr>
          <w:rFonts w:ascii="Times New Roman" w:hAnsi="Times New Roman"/>
          <w:sz w:val="24"/>
          <w:szCs w:val="24"/>
        </w:rPr>
      </w:pPr>
      <w:r>
        <w:rPr>
          <w:rFonts w:ascii="Times New Roman" w:hAnsi="Times New Roman"/>
          <w:sz w:val="24"/>
          <w:szCs w:val="24"/>
        </w:rPr>
        <w:t>This instrument will allow the eSafety Commissioner to exercise powers under relevant legislation to take action, where required, to reduce Australian internet users’ exposure to material that promotes, instructs or incites in matters of terrorist acts or violent crimes.</w:t>
      </w:r>
    </w:p>
    <w:p w14:paraId="65FA0391" w14:textId="77777777" w:rsidR="00863643" w:rsidRDefault="00863643" w:rsidP="00863643">
      <w:pPr>
        <w:rPr>
          <w:rFonts w:ascii="Times New Roman" w:hAnsi="Times New Roman"/>
          <w:sz w:val="24"/>
          <w:szCs w:val="24"/>
        </w:rPr>
      </w:pPr>
    </w:p>
    <w:p w14:paraId="4367D147" w14:textId="77777777" w:rsidR="00863643" w:rsidRDefault="00863643" w:rsidP="00863643">
      <w:pPr>
        <w:rPr>
          <w:rFonts w:ascii="Times New Roman" w:hAnsi="Times New Roman"/>
          <w:b/>
          <w:sz w:val="24"/>
          <w:szCs w:val="24"/>
        </w:rPr>
      </w:pPr>
      <w:r>
        <w:rPr>
          <w:rFonts w:ascii="Times New Roman" w:hAnsi="Times New Roman"/>
          <w:b/>
          <w:sz w:val="24"/>
          <w:szCs w:val="24"/>
        </w:rPr>
        <w:t>Human rights implications</w:t>
      </w:r>
    </w:p>
    <w:p w14:paraId="00D47773" w14:textId="77777777" w:rsidR="00863643" w:rsidRDefault="00863643" w:rsidP="00863643">
      <w:pPr>
        <w:rPr>
          <w:rFonts w:ascii="Times New Roman" w:hAnsi="Times New Roman"/>
          <w:sz w:val="24"/>
          <w:szCs w:val="24"/>
        </w:rPr>
      </w:pPr>
    </w:p>
    <w:p w14:paraId="71F72468" w14:textId="77777777" w:rsidR="00863643" w:rsidRDefault="00863643" w:rsidP="00863643">
      <w:pPr>
        <w:rPr>
          <w:rFonts w:ascii="Times New Roman" w:hAnsi="Times New Roman"/>
          <w:sz w:val="24"/>
          <w:szCs w:val="24"/>
          <w:u w:val="single"/>
        </w:rPr>
      </w:pPr>
      <w:r>
        <w:rPr>
          <w:rFonts w:ascii="Times New Roman" w:hAnsi="Times New Roman"/>
          <w:sz w:val="24"/>
          <w:szCs w:val="24"/>
          <w:u w:val="single"/>
        </w:rPr>
        <w:t>Freedom of opinion and expression</w:t>
      </w:r>
    </w:p>
    <w:p w14:paraId="313C9B60" w14:textId="77777777" w:rsidR="00863643" w:rsidRDefault="00863643" w:rsidP="00863643">
      <w:pPr>
        <w:rPr>
          <w:rFonts w:ascii="Times New Roman" w:hAnsi="Times New Roman"/>
          <w:sz w:val="24"/>
          <w:szCs w:val="24"/>
        </w:rPr>
      </w:pPr>
    </w:p>
    <w:p w14:paraId="7D217EF9" w14:textId="77777777" w:rsidR="00863643" w:rsidRDefault="00863643" w:rsidP="00863643">
      <w:pPr>
        <w:rPr>
          <w:rFonts w:ascii="Times New Roman" w:hAnsi="Times New Roman"/>
          <w:sz w:val="24"/>
          <w:szCs w:val="24"/>
        </w:rPr>
      </w:pPr>
      <w:r>
        <w:rPr>
          <w:rFonts w:ascii="Times New Roman" w:hAnsi="Times New Roman"/>
          <w:sz w:val="24"/>
          <w:szCs w:val="24"/>
        </w:rPr>
        <w:lastRenderedPageBreak/>
        <w:t xml:space="preserve">This instrument engages the right to freedom of opinion and expression in article 19 of the </w:t>
      </w:r>
      <w:r>
        <w:rPr>
          <w:rFonts w:ascii="Times New Roman" w:hAnsi="Times New Roman"/>
          <w:i/>
          <w:sz w:val="24"/>
          <w:szCs w:val="24"/>
        </w:rPr>
        <w:t>International Covenant on Civil and Political Rights</w:t>
      </w:r>
      <w:r>
        <w:rPr>
          <w:rFonts w:ascii="Times New Roman" w:hAnsi="Times New Roman"/>
          <w:sz w:val="24"/>
          <w:szCs w:val="24"/>
        </w:rPr>
        <w:t xml:space="preserve"> (</w:t>
      </w:r>
      <w:r>
        <w:rPr>
          <w:rFonts w:ascii="Times New Roman" w:hAnsi="Times New Roman"/>
          <w:b/>
          <w:sz w:val="24"/>
          <w:szCs w:val="24"/>
        </w:rPr>
        <w:t>ICCPR</w:t>
      </w:r>
      <w:r>
        <w:rPr>
          <w:rFonts w:ascii="Times New Roman" w:hAnsi="Times New Roman"/>
          <w:sz w:val="24"/>
          <w:szCs w:val="24"/>
        </w:rPr>
        <w:t>).</w:t>
      </w:r>
    </w:p>
    <w:p w14:paraId="09111324" w14:textId="77777777" w:rsidR="00863643" w:rsidRDefault="00863643" w:rsidP="00863643">
      <w:pPr>
        <w:rPr>
          <w:rFonts w:ascii="Times New Roman" w:hAnsi="Times New Roman"/>
          <w:sz w:val="24"/>
          <w:szCs w:val="24"/>
        </w:rPr>
      </w:pPr>
    </w:p>
    <w:p w14:paraId="6F180924" w14:textId="77777777" w:rsidR="00863643" w:rsidRDefault="00863643" w:rsidP="00863643">
      <w:pPr>
        <w:rPr>
          <w:rFonts w:ascii="Times New Roman" w:hAnsi="Times New Roman"/>
          <w:sz w:val="24"/>
          <w:szCs w:val="24"/>
        </w:rPr>
      </w:pPr>
      <w:r>
        <w:rPr>
          <w:rFonts w:ascii="Times New Roman" w:hAnsi="Times New Roman"/>
          <w:sz w:val="24"/>
          <w:szCs w:val="24"/>
        </w:rPr>
        <w:t xml:space="preserve">Article 19 of the ICCPR states that a fundamental right is the right “to seek, receive and impart information or ideas of all kinds, regardless of frontiers, either orally, in writing or in print, in the form of art, or through any other media of his choice”. </w:t>
      </w:r>
    </w:p>
    <w:p w14:paraId="0823ABB5" w14:textId="77777777" w:rsidR="00863643" w:rsidRDefault="00863643" w:rsidP="00863643">
      <w:pPr>
        <w:rPr>
          <w:rFonts w:ascii="Times New Roman" w:hAnsi="Times New Roman"/>
          <w:sz w:val="24"/>
          <w:szCs w:val="24"/>
        </w:rPr>
      </w:pPr>
    </w:p>
    <w:p w14:paraId="5B7EFB85" w14:textId="77777777" w:rsidR="00863643" w:rsidRDefault="00863643" w:rsidP="00863643">
      <w:pPr>
        <w:rPr>
          <w:rFonts w:ascii="Times New Roman" w:hAnsi="Times New Roman"/>
          <w:sz w:val="24"/>
          <w:szCs w:val="24"/>
        </w:rPr>
      </w:pPr>
      <w:r>
        <w:rPr>
          <w:rFonts w:ascii="Times New Roman" w:hAnsi="Times New Roman"/>
          <w:sz w:val="24"/>
          <w:szCs w:val="24"/>
        </w:rPr>
        <w:t xml:space="preserve">The right to freedom of opinion and expression is not absolute. Article 19(3) states that this freedom may be subject to special duties and responsibilities. A restriction may occur where it is provided by law and is relevantly necessary for the respect of the rights or reputations of others; or for the protection of national security, public order, or public health or morals. </w:t>
      </w:r>
    </w:p>
    <w:p w14:paraId="31840312" w14:textId="77777777" w:rsidR="00863643" w:rsidRDefault="00863643" w:rsidP="00863643">
      <w:pPr>
        <w:pStyle w:val="subsection"/>
        <w:tabs>
          <w:tab w:val="left" w:pos="720"/>
        </w:tabs>
        <w:ind w:left="0" w:firstLine="0"/>
        <w:rPr>
          <w:sz w:val="24"/>
          <w:szCs w:val="24"/>
        </w:rPr>
      </w:pPr>
      <w:r>
        <w:rPr>
          <w:sz w:val="24"/>
          <w:szCs w:val="24"/>
        </w:rPr>
        <w:t xml:space="preserve">The proposed instrument would enable the eSafety Commissioner to “promote online safety for Australians by </w:t>
      </w:r>
      <w:r>
        <w:rPr>
          <w:sz w:val="24"/>
          <w:szCs w:val="24"/>
        </w:rPr>
        <w:lastRenderedPageBreak/>
        <w:t>protecting Australians from access or exposure to material that depicts, promotes, incites, or instructs in, terrorist acts or violent crimes”.  In doing so, the instrument would limit the right to freedom of opinion and expression of internet service providers to host or share material that promotes, incites, or instructs in, terrorist acts or violent crimes.</w:t>
      </w:r>
    </w:p>
    <w:p w14:paraId="307696A4" w14:textId="77777777" w:rsidR="00863643" w:rsidRDefault="00863643" w:rsidP="00863643">
      <w:pPr>
        <w:rPr>
          <w:rFonts w:ascii="Times New Roman" w:hAnsi="Times New Roman"/>
          <w:sz w:val="24"/>
          <w:szCs w:val="24"/>
        </w:rPr>
      </w:pPr>
    </w:p>
    <w:p w14:paraId="507DE7E5" w14:textId="1086E4E3" w:rsidR="00863643" w:rsidRDefault="00863643" w:rsidP="00863643">
      <w:pPr>
        <w:rPr>
          <w:rFonts w:ascii="Times New Roman" w:hAnsi="Times New Roman"/>
          <w:sz w:val="24"/>
          <w:szCs w:val="24"/>
        </w:rPr>
      </w:pPr>
      <w:r>
        <w:rPr>
          <w:rFonts w:ascii="Times New Roman" w:hAnsi="Times New Roman"/>
          <w:sz w:val="24"/>
          <w:szCs w:val="24"/>
        </w:rPr>
        <w:t xml:space="preserve">To the extent that this instrument limits Article 19 of the ICCPR, it does so for the legitimate purpose of prohibiting online material that may incite crime, violence or mass panic, and to protect Australians from material that </w:t>
      </w:r>
      <w:r w:rsidR="00AF23F0">
        <w:rPr>
          <w:rFonts w:ascii="Times New Roman" w:hAnsi="Times New Roman"/>
          <w:sz w:val="24"/>
          <w:szCs w:val="24"/>
        </w:rPr>
        <w:t xml:space="preserve">is likely to be harmful and </w:t>
      </w:r>
      <w:r>
        <w:rPr>
          <w:rFonts w:ascii="Times New Roman" w:hAnsi="Times New Roman"/>
          <w:sz w:val="24"/>
          <w:szCs w:val="24"/>
        </w:rPr>
        <w:t xml:space="preserve">offensive to public morals. </w:t>
      </w:r>
    </w:p>
    <w:p w14:paraId="09361FA0" w14:textId="77777777" w:rsidR="00863643" w:rsidRDefault="00863643" w:rsidP="00863643">
      <w:pPr>
        <w:rPr>
          <w:rFonts w:ascii="Times New Roman" w:hAnsi="Times New Roman"/>
          <w:sz w:val="24"/>
          <w:szCs w:val="24"/>
        </w:rPr>
      </w:pPr>
    </w:p>
    <w:p w14:paraId="7C67F205" w14:textId="77777777" w:rsidR="00863643" w:rsidRDefault="00863643" w:rsidP="00863643">
      <w:pPr>
        <w:rPr>
          <w:rFonts w:ascii="Times New Roman" w:hAnsi="Times New Roman"/>
          <w:sz w:val="24"/>
          <w:szCs w:val="24"/>
          <w:u w:val="single"/>
        </w:rPr>
      </w:pPr>
      <w:r>
        <w:rPr>
          <w:rFonts w:ascii="Times New Roman" w:hAnsi="Times New Roman"/>
          <w:sz w:val="24"/>
          <w:szCs w:val="24"/>
          <w:u w:val="single"/>
        </w:rPr>
        <w:t>Right to protection from national, racial, or religious hatred</w:t>
      </w:r>
    </w:p>
    <w:p w14:paraId="3ABCB329" w14:textId="77777777" w:rsidR="00863643" w:rsidRDefault="00863643" w:rsidP="00863643">
      <w:pPr>
        <w:rPr>
          <w:rFonts w:ascii="Times New Roman" w:hAnsi="Times New Roman"/>
          <w:sz w:val="24"/>
          <w:szCs w:val="24"/>
          <w:u w:val="single"/>
        </w:rPr>
      </w:pPr>
    </w:p>
    <w:p w14:paraId="743203C8" w14:textId="2DF0BC8F" w:rsidR="00863643" w:rsidRDefault="00863643" w:rsidP="00863643">
      <w:pPr>
        <w:rPr>
          <w:rFonts w:ascii="Times New Roman" w:hAnsi="Times New Roman"/>
          <w:sz w:val="24"/>
          <w:szCs w:val="24"/>
        </w:rPr>
      </w:pPr>
      <w:r>
        <w:rPr>
          <w:rFonts w:ascii="Times New Roman" w:hAnsi="Times New Roman"/>
          <w:sz w:val="24"/>
          <w:szCs w:val="24"/>
        </w:rPr>
        <w:t xml:space="preserve">Article 20(2) of the ICCPR contains mandatory limitations on freedom of expression. It provides that any advocacy </w:t>
      </w:r>
      <w:r>
        <w:rPr>
          <w:rFonts w:ascii="Times New Roman" w:hAnsi="Times New Roman"/>
          <w:sz w:val="24"/>
          <w:szCs w:val="24"/>
        </w:rPr>
        <w:lastRenderedPageBreak/>
        <w:t>of national, racial or religious hatred that constitutes incitement</w:t>
      </w:r>
      <w:r w:rsidR="00E70FD8">
        <w:rPr>
          <w:rFonts w:ascii="Times New Roman" w:hAnsi="Times New Roman"/>
          <w:sz w:val="24"/>
          <w:szCs w:val="24"/>
        </w:rPr>
        <w:t xml:space="preserve"> to discrimination, hostility or</w:t>
      </w:r>
      <w:r>
        <w:rPr>
          <w:rFonts w:ascii="Times New Roman" w:hAnsi="Times New Roman"/>
          <w:sz w:val="24"/>
          <w:szCs w:val="24"/>
        </w:rPr>
        <w:t xml:space="preserve"> violence shall be prohibited by law. </w:t>
      </w:r>
    </w:p>
    <w:p w14:paraId="3DC81255" w14:textId="77777777" w:rsidR="00863643" w:rsidRDefault="00863643" w:rsidP="00863643">
      <w:pPr>
        <w:rPr>
          <w:rFonts w:ascii="Times New Roman" w:hAnsi="Times New Roman"/>
          <w:sz w:val="24"/>
          <w:szCs w:val="24"/>
        </w:rPr>
      </w:pPr>
    </w:p>
    <w:p w14:paraId="3F741854" w14:textId="5EA0E637" w:rsidR="00863643" w:rsidRDefault="00863643" w:rsidP="00863643">
      <w:pPr>
        <w:rPr>
          <w:rFonts w:ascii="Times New Roman" w:hAnsi="Times New Roman"/>
          <w:sz w:val="24"/>
          <w:szCs w:val="24"/>
        </w:rPr>
      </w:pPr>
      <w:r>
        <w:rPr>
          <w:rFonts w:ascii="Times New Roman" w:hAnsi="Times New Roman"/>
          <w:sz w:val="24"/>
          <w:szCs w:val="24"/>
        </w:rPr>
        <w:t xml:space="preserve">This instrument provides the eSafety Commissioner with a function to promote </w:t>
      </w:r>
      <w:r w:rsidR="00E70FD8">
        <w:rPr>
          <w:rFonts w:ascii="Times New Roman" w:hAnsi="Times New Roman"/>
          <w:sz w:val="24"/>
          <w:szCs w:val="24"/>
        </w:rPr>
        <w:t>online</w:t>
      </w:r>
      <w:r>
        <w:rPr>
          <w:rFonts w:ascii="Times New Roman" w:hAnsi="Times New Roman"/>
          <w:sz w:val="24"/>
          <w:szCs w:val="24"/>
        </w:rPr>
        <w:t xml:space="preserve"> safety by protecting Australians from access or exposure to material that promotes, incites, or instructs in, terrorist acts or violent crime. </w:t>
      </w:r>
    </w:p>
    <w:p w14:paraId="63D61300" w14:textId="77777777" w:rsidR="00863643" w:rsidRDefault="00863643" w:rsidP="00863643">
      <w:pPr>
        <w:rPr>
          <w:rFonts w:ascii="Times New Roman" w:hAnsi="Times New Roman"/>
          <w:sz w:val="24"/>
          <w:szCs w:val="24"/>
        </w:rPr>
      </w:pPr>
    </w:p>
    <w:p w14:paraId="73EED396" w14:textId="7C1F37FD" w:rsidR="00863643" w:rsidRDefault="00863643" w:rsidP="00863643">
      <w:pPr>
        <w:rPr>
          <w:rFonts w:ascii="Times New Roman" w:hAnsi="Times New Roman"/>
          <w:sz w:val="24"/>
          <w:szCs w:val="24"/>
        </w:rPr>
      </w:pPr>
      <w:r>
        <w:rPr>
          <w:rFonts w:ascii="Times New Roman" w:hAnsi="Times New Roman"/>
          <w:sz w:val="24"/>
          <w:szCs w:val="24"/>
        </w:rPr>
        <w:t>Australia has anti-discr</w:t>
      </w:r>
      <w:r w:rsidR="00AF23F0">
        <w:rPr>
          <w:rFonts w:ascii="Times New Roman" w:hAnsi="Times New Roman"/>
          <w:sz w:val="24"/>
          <w:szCs w:val="24"/>
        </w:rPr>
        <w:t xml:space="preserve">imination legislation in place. However, </w:t>
      </w:r>
      <w:r>
        <w:rPr>
          <w:rFonts w:ascii="Times New Roman" w:hAnsi="Times New Roman"/>
          <w:sz w:val="24"/>
          <w:szCs w:val="24"/>
        </w:rPr>
        <w:t xml:space="preserve">online actors who disseminate material advocating, inciting or promoting violent crime or terrorism are often anonymous or </w:t>
      </w:r>
      <w:r w:rsidR="00E70FD8">
        <w:rPr>
          <w:rFonts w:ascii="Times New Roman" w:hAnsi="Times New Roman"/>
          <w:sz w:val="24"/>
          <w:szCs w:val="24"/>
        </w:rPr>
        <w:t>operating</w:t>
      </w:r>
      <w:r>
        <w:rPr>
          <w:rFonts w:ascii="Times New Roman" w:hAnsi="Times New Roman"/>
          <w:sz w:val="24"/>
          <w:szCs w:val="24"/>
        </w:rPr>
        <w:t xml:space="preserve"> outsi</w:t>
      </w:r>
      <w:r w:rsidR="00E70FD8">
        <w:rPr>
          <w:rFonts w:ascii="Times New Roman" w:hAnsi="Times New Roman"/>
          <w:sz w:val="24"/>
          <w:szCs w:val="24"/>
        </w:rPr>
        <w:t>de Australia</w:t>
      </w:r>
      <w:r>
        <w:rPr>
          <w:rFonts w:ascii="Times New Roman" w:hAnsi="Times New Roman"/>
          <w:sz w:val="24"/>
          <w:szCs w:val="24"/>
        </w:rPr>
        <w:t xml:space="preserve">. This material </w:t>
      </w:r>
      <w:r w:rsidR="00F455A3">
        <w:rPr>
          <w:rFonts w:ascii="Times New Roman" w:hAnsi="Times New Roman"/>
          <w:sz w:val="24"/>
          <w:szCs w:val="24"/>
        </w:rPr>
        <w:t>commonly includes content that</w:t>
      </w:r>
      <w:r>
        <w:rPr>
          <w:rFonts w:ascii="Times New Roman" w:hAnsi="Times New Roman"/>
          <w:sz w:val="24"/>
          <w:szCs w:val="24"/>
        </w:rPr>
        <w:t xml:space="preserve"> contains national, racial or religious hat</w:t>
      </w:r>
      <w:r w:rsidR="00F455A3">
        <w:rPr>
          <w:rFonts w:ascii="Times New Roman" w:hAnsi="Times New Roman"/>
          <w:sz w:val="24"/>
          <w:szCs w:val="24"/>
        </w:rPr>
        <w:t xml:space="preserve">red seeking to incite violence – </w:t>
      </w:r>
      <w:r>
        <w:rPr>
          <w:rFonts w:ascii="Times New Roman" w:hAnsi="Times New Roman"/>
          <w:sz w:val="24"/>
          <w:szCs w:val="24"/>
        </w:rPr>
        <w:t>especially in relation to radical terrorist or extremist content.</w:t>
      </w:r>
      <w:r w:rsidR="00F455A3">
        <w:rPr>
          <w:rFonts w:ascii="Times New Roman" w:hAnsi="Times New Roman"/>
          <w:sz w:val="24"/>
          <w:szCs w:val="24"/>
        </w:rPr>
        <w:t xml:space="preserve"> </w:t>
      </w:r>
      <w:bookmarkStart w:id="0" w:name="_GoBack"/>
      <w:bookmarkEnd w:id="0"/>
      <w:r>
        <w:rPr>
          <w:rFonts w:ascii="Times New Roman" w:hAnsi="Times New Roman"/>
          <w:sz w:val="24"/>
          <w:szCs w:val="24"/>
        </w:rPr>
        <w:t xml:space="preserve">This instrument is compatible with Article 20 of the ICCPR, as it prohibits advocacy of national, racial or religious hatred that constitutes incitement to discrimination, hostility or violence. </w:t>
      </w:r>
    </w:p>
    <w:p w14:paraId="2C3819E7" w14:textId="77777777" w:rsidR="00863643" w:rsidRDefault="00863643" w:rsidP="00863643">
      <w:pPr>
        <w:rPr>
          <w:rFonts w:ascii="Times New Roman" w:hAnsi="Times New Roman"/>
          <w:sz w:val="24"/>
          <w:szCs w:val="24"/>
        </w:rPr>
      </w:pPr>
      <w:r>
        <w:rPr>
          <w:rFonts w:ascii="Times New Roman" w:hAnsi="Times New Roman"/>
          <w:sz w:val="24"/>
          <w:szCs w:val="24"/>
        </w:rPr>
        <w:t xml:space="preserve"> </w:t>
      </w:r>
    </w:p>
    <w:p w14:paraId="7F4688DB" w14:textId="77777777" w:rsidR="00863643" w:rsidRDefault="00863643" w:rsidP="00863643">
      <w:pPr>
        <w:rPr>
          <w:rFonts w:ascii="Times New Roman" w:hAnsi="Times New Roman"/>
          <w:b/>
          <w:sz w:val="24"/>
          <w:szCs w:val="24"/>
        </w:rPr>
      </w:pPr>
      <w:r>
        <w:rPr>
          <w:rFonts w:ascii="Times New Roman" w:hAnsi="Times New Roman"/>
          <w:b/>
          <w:sz w:val="24"/>
          <w:szCs w:val="24"/>
        </w:rPr>
        <w:t>Conclusion</w:t>
      </w:r>
    </w:p>
    <w:p w14:paraId="4FFD46DF" w14:textId="77777777" w:rsidR="00863643" w:rsidRDefault="00863643" w:rsidP="00863643">
      <w:pPr>
        <w:rPr>
          <w:rFonts w:ascii="Times New Roman" w:hAnsi="Times New Roman"/>
          <w:b/>
          <w:sz w:val="24"/>
          <w:szCs w:val="24"/>
        </w:rPr>
      </w:pPr>
    </w:p>
    <w:p w14:paraId="4294C908" w14:textId="7E71A020" w:rsidR="00863643" w:rsidRDefault="00863643" w:rsidP="00863643">
      <w:pPr>
        <w:rPr>
          <w:rFonts w:ascii="Times New Roman" w:hAnsi="Times New Roman"/>
          <w:sz w:val="24"/>
          <w:szCs w:val="24"/>
        </w:rPr>
      </w:pPr>
      <w:r>
        <w:rPr>
          <w:rFonts w:ascii="Times New Roman" w:hAnsi="Times New Roman"/>
          <w:sz w:val="24"/>
          <w:szCs w:val="24"/>
        </w:rPr>
        <w:t>To the extent that this instrument limits human rights, it does so in a way that is necessary and proportiona</w:t>
      </w:r>
      <w:r w:rsidR="00E70FD8">
        <w:rPr>
          <w:rFonts w:ascii="Times New Roman" w:hAnsi="Times New Roman"/>
          <w:sz w:val="24"/>
          <w:szCs w:val="24"/>
        </w:rPr>
        <w:t>te</w:t>
      </w:r>
      <w:r>
        <w:rPr>
          <w:rFonts w:ascii="Times New Roman" w:hAnsi="Times New Roman"/>
          <w:sz w:val="24"/>
          <w:szCs w:val="24"/>
        </w:rPr>
        <w:t xml:space="preserve"> to promot</w:t>
      </w:r>
      <w:r w:rsidR="00E70FD8">
        <w:rPr>
          <w:rFonts w:ascii="Times New Roman" w:hAnsi="Times New Roman"/>
          <w:sz w:val="24"/>
          <w:szCs w:val="24"/>
        </w:rPr>
        <w:t>ing</w:t>
      </w:r>
      <w:r>
        <w:rPr>
          <w:rFonts w:ascii="Times New Roman" w:hAnsi="Times New Roman"/>
          <w:sz w:val="24"/>
          <w:szCs w:val="24"/>
        </w:rPr>
        <w:t xml:space="preserve"> public order, protect public morals and preserve competing rights.</w:t>
      </w:r>
    </w:p>
    <w:p w14:paraId="60F10096" w14:textId="77777777" w:rsidR="00863643" w:rsidRDefault="00863643" w:rsidP="00863643">
      <w:pPr>
        <w:rPr>
          <w:rFonts w:ascii="Times New Roman" w:hAnsi="Times New Roman"/>
          <w:sz w:val="24"/>
          <w:szCs w:val="24"/>
        </w:rPr>
      </w:pPr>
    </w:p>
    <w:p w14:paraId="18B05BAD" w14:textId="77777777" w:rsidR="00863643" w:rsidRDefault="00863643" w:rsidP="00863643">
      <w:pPr>
        <w:rPr>
          <w:rFonts w:ascii="Times New Roman" w:hAnsi="Times New Roman"/>
          <w:sz w:val="24"/>
          <w:szCs w:val="24"/>
        </w:rPr>
      </w:pPr>
    </w:p>
    <w:p w14:paraId="40B9C5E1" w14:textId="77777777" w:rsidR="00863643" w:rsidRDefault="00863643" w:rsidP="00863643">
      <w:pPr>
        <w:pStyle w:val="paranumbering0"/>
        <w:spacing w:before="0" w:beforeAutospacing="0" w:after="0" w:afterAutospacing="0"/>
        <w:jc w:val="center"/>
      </w:pPr>
    </w:p>
    <w:p w14:paraId="31E90DE6" w14:textId="77777777" w:rsidR="00863643" w:rsidRDefault="00863643" w:rsidP="00863643">
      <w:pPr>
        <w:pStyle w:val="paranumbering0"/>
        <w:spacing w:before="0" w:beforeAutospacing="0" w:after="0" w:afterAutospacing="0"/>
        <w:jc w:val="center"/>
      </w:pPr>
    </w:p>
    <w:p w14:paraId="54C6FD21" w14:textId="77777777" w:rsidR="00863643" w:rsidRDefault="00863643" w:rsidP="00863643">
      <w:pPr>
        <w:pStyle w:val="paranumbering0"/>
        <w:spacing w:before="0" w:beforeAutospacing="0" w:after="0" w:afterAutospacing="0"/>
        <w:jc w:val="center"/>
      </w:pPr>
    </w:p>
    <w:p w14:paraId="70E9CD40" w14:textId="77777777" w:rsidR="00863643" w:rsidRDefault="00863643" w:rsidP="00863643">
      <w:pPr>
        <w:pStyle w:val="paranumbering0"/>
        <w:spacing w:before="0" w:beforeAutospacing="0" w:after="0" w:afterAutospacing="0"/>
        <w:jc w:val="center"/>
      </w:pPr>
    </w:p>
    <w:p w14:paraId="54741087" w14:textId="77777777" w:rsidR="00863643" w:rsidRDefault="00863643" w:rsidP="00863643">
      <w:pPr>
        <w:pStyle w:val="paranumbering0"/>
        <w:spacing w:before="0" w:beforeAutospacing="0" w:after="0" w:afterAutospacing="0"/>
        <w:jc w:val="center"/>
        <w:rPr>
          <w:b/>
        </w:rPr>
      </w:pPr>
      <w:r>
        <w:rPr>
          <w:b/>
        </w:rPr>
        <w:t>The Hon Paul Fletcher MP</w:t>
      </w:r>
    </w:p>
    <w:p w14:paraId="03AAE3B0" w14:textId="77777777" w:rsidR="00863643" w:rsidRDefault="00863643" w:rsidP="00863643">
      <w:pPr>
        <w:pStyle w:val="paranumbering0"/>
        <w:spacing w:before="0" w:beforeAutospacing="0" w:after="0" w:afterAutospacing="0"/>
        <w:jc w:val="center"/>
      </w:pPr>
      <w:r>
        <w:rPr>
          <w:b/>
        </w:rPr>
        <w:t>Minister for Communications, Cyber safety and the Arts</w:t>
      </w:r>
    </w:p>
    <w:p w14:paraId="4DED85D8" w14:textId="77777777" w:rsidR="00863643" w:rsidRDefault="00863643" w:rsidP="00863643"/>
    <w:p w14:paraId="2C347E12" w14:textId="77777777" w:rsidR="007365EA" w:rsidRPr="00A75679" w:rsidRDefault="007365EA" w:rsidP="00863643">
      <w:pPr>
        <w:jc w:val="center"/>
      </w:pPr>
    </w:p>
    <w:sectPr w:rsidR="007365EA" w:rsidRPr="00A75679"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58FA" w14:textId="77777777" w:rsidR="008B3B9B" w:rsidRDefault="008B3B9B" w:rsidP="004D7595">
      <w:r>
        <w:separator/>
      </w:r>
    </w:p>
  </w:endnote>
  <w:endnote w:type="continuationSeparator" w:id="0">
    <w:p w14:paraId="3430454A" w14:textId="77777777" w:rsidR="008B3B9B" w:rsidRDefault="008B3B9B" w:rsidP="004D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6536" w14:textId="77777777" w:rsidR="00E10903" w:rsidRDefault="00E10903">
    <w:pPr>
      <w:pStyle w:val="Footer"/>
      <w:jc w:val="center"/>
    </w:pPr>
  </w:p>
  <w:p w14:paraId="2177A741" w14:textId="77777777" w:rsidR="00E10903" w:rsidRDefault="00E10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3917" w14:textId="77777777" w:rsidR="008B3B9B" w:rsidRDefault="008B3B9B" w:rsidP="004D7595">
      <w:r>
        <w:separator/>
      </w:r>
    </w:p>
  </w:footnote>
  <w:footnote w:type="continuationSeparator" w:id="0">
    <w:p w14:paraId="2F671F3E" w14:textId="77777777" w:rsidR="008B3B9B" w:rsidRDefault="008B3B9B" w:rsidP="004D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DF0F" w14:textId="77777777" w:rsidR="00E10903" w:rsidRPr="000C4AD3" w:rsidRDefault="00E10903">
    <w:pPr>
      <w:pStyle w:val="Header"/>
      <w:jc w:val="center"/>
      <w:rPr>
        <w:rFonts w:ascii="Times New Roman" w:hAnsi="Times New Roman"/>
      </w:rPr>
    </w:pPr>
  </w:p>
  <w:sdt>
    <w:sdtPr>
      <w:id w:val="-1696693146"/>
      <w:docPartObj>
        <w:docPartGallery w:val="Page Numbers (Top of Page)"/>
        <w:docPartUnique/>
      </w:docPartObj>
    </w:sdtPr>
    <w:sdtEndPr>
      <w:rPr>
        <w:rFonts w:ascii="Times New Roman" w:hAnsi="Times New Roman"/>
      </w:rPr>
    </w:sdtEndPr>
    <w:sdtContent>
      <w:p w14:paraId="543820C8" w14:textId="77777777" w:rsidR="00E10903" w:rsidRPr="000C4AD3" w:rsidRDefault="00E10903">
        <w:pPr>
          <w:pStyle w:val="Header"/>
          <w:jc w:val="center"/>
          <w:rPr>
            <w:rFonts w:ascii="Times New Roman" w:hAnsi="Times New Roman"/>
          </w:rPr>
        </w:pPr>
        <w:r w:rsidRPr="000C4AD3">
          <w:rPr>
            <w:rFonts w:ascii="Times New Roman" w:hAnsi="Times New Roman"/>
          </w:rPr>
          <w:t>2</w:t>
        </w:r>
      </w:p>
    </w:sdtContent>
  </w:sdt>
  <w:p w14:paraId="084E8CCC" w14:textId="77777777" w:rsidR="00E10903" w:rsidRPr="00C26073" w:rsidRDefault="00E10903" w:rsidP="00C26073">
    <w:pPr>
      <w:pStyle w:val="Header"/>
      <w:jc w:val="right"/>
      <w:rPr>
        <w:rFonts w:ascii="Times New Roman" w:hAnsi="Times New Roman"/>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6C4E" w14:textId="77777777" w:rsidR="00E55905" w:rsidRDefault="00E55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FA555" w14:textId="13D0D8D5" w:rsidR="00930F59" w:rsidRPr="00930F59" w:rsidRDefault="00F455A3">
    <w:pPr>
      <w:pStyle w:val="Header"/>
      <w:jc w:val="center"/>
      <w:rPr>
        <w:rFonts w:ascii="Times New Roman" w:hAnsi="Times New Roman"/>
      </w:rPr>
    </w:pPr>
    <w:sdt>
      <w:sdtPr>
        <w:id w:val="-287665915"/>
        <w:docPartObj>
          <w:docPartGallery w:val="Page Numbers (Top of Page)"/>
          <w:docPartUnique/>
        </w:docPartObj>
      </w:sdtPr>
      <w:sdtEndPr>
        <w:rPr>
          <w:rFonts w:ascii="Times New Roman" w:hAnsi="Times New Roman"/>
          <w:noProof/>
        </w:rPr>
      </w:sdtEndPr>
      <w:sdtContent>
        <w:r w:rsidR="00930F59" w:rsidRPr="00930F59">
          <w:rPr>
            <w:rFonts w:ascii="Times New Roman" w:hAnsi="Times New Roman"/>
          </w:rPr>
          <w:fldChar w:fldCharType="begin"/>
        </w:r>
        <w:r w:rsidR="00930F59" w:rsidRPr="00930F59">
          <w:rPr>
            <w:rFonts w:ascii="Times New Roman" w:hAnsi="Times New Roman"/>
          </w:rPr>
          <w:instrText xml:space="preserve"> PAGE   \* MERGEFORMAT </w:instrText>
        </w:r>
        <w:r w:rsidR="00930F59" w:rsidRPr="00930F59">
          <w:rPr>
            <w:rFonts w:ascii="Times New Roman" w:hAnsi="Times New Roman"/>
          </w:rPr>
          <w:fldChar w:fldCharType="separate"/>
        </w:r>
        <w:r w:rsidR="00AF23F0">
          <w:rPr>
            <w:rFonts w:ascii="Times New Roman" w:hAnsi="Times New Roman"/>
            <w:noProof/>
          </w:rPr>
          <w:t>2</w:t>
        </w:r>
        <w:r w:rsidR="00930F59" w:rsidRPr="00930F59">
          <w:rPr>
            <w:rFonts w:ascii="Times New Roman" w:hAnsi="Times New Roman"/>
            <w:noProof/>
          </w:rPr>
          <w:fldChar w:fldCharType="end"/>
        </w:r>
      </w:sdtContent>
    </w:sdt>
  </w:p>
  <w:p w14:paraId="4CA6A072" w14:textId="77777777" w:rsidR="00930F59" w:rsidRPr="00C26073" w:rsidRDefault="00930F59" w:rsidP="00C26073">
    <w:pPr>
      <w:pStyle w:val="Header"/>
      <w:jc w:val="right"/>
      <w:rPr>
        <w:rFonts w:ascii="Times New Roman" w:hAnsi="Times New Roman"/>
        <w:b/>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7442" w14:textId="77777777" w:rsidR="000C4AD3" w:rsidRPr="000C4AD3" w:rsidRDefault="000C4AD3" w:rsidP="000C4AD3">
    <w:pPr>
      <w:pStyle w:val="Header"/>
      <w:jc w:val="right"/>
      <w:rPr>
        <w:rFonts w:ascii="Times New Roman" w:hAnsi="Times New Roman"/>
        <w:b/>
        <w:u w:val="single"/>
      </w:rPr>
    </w:pPr>
    <w:r>
      <w:rPr>
        <w:rFonts w:ascii="Times New Roman" w:hAnsi="Times New Roman"/>
        <w:b/>
        <w:u w:val="single"/>
      </w:rPr>
      <w:t>Attachment 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2A34E" w14:textId="77777777" w:rsidR="00E55905" w:rsidRDefault="00E559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BDFB7" w14:textId="1EA6350D" w:rsidR="00930F59" w:rsidRPr="00930F59" w:rsidRDefault="00F455A3">
    <w:pPr>
      <w:pStyle w:val="Header"/>
      <w:jc w:val="center"/>
      <w:rPr>
        <w:rFonts w:ascii="Times New Roman" w:hAnsi="Times New Roman"/>
      </w:rPr>
    </w:pPr>
    <w:sdt>
      <w:sdtPr>
        <w:id w:val="-1968956317"/>
        <w:docPartObj>
          <w:docPartGallery w:val="Page Numbers (Top of Page)"/>
          <w:docPartUnique/>
        </w:docPartObj>
      </w:sdtPr>
      <w:sdtEndPr>
        <w:rPr>
          <w:rFonts w:ascii="Times New Roman" w:hAnsi="Times New Roman"/>
          <w:noProof/>
        </w:rPr>
      </w:sdtEndPr>
      <w:sdtContent>
        <w:r w:rsidR="00930F59" w:rsidRPr="00930F59">
          <w:rPr>
            <w:rFonts w:ascii="Times New Roman" w:hAnsi="Times New Roman"/>
          </w:rPr>
          <w:fldChar w:fldCharType="begin"/>
        </w:r>
        <w:r w:rsidR="00930F59" w:rsidRPr="00930F59">
          <w:rPr>
            <w:rFonts w:ascii="Times New Roman" w:hAnsi="Times New Roman"/>
          </w:rPr>
          <w:instrText xml:space="preserve"> PAGE   \* MERGEFORMAT </w:instrText>
        </w:r>
        <w:r w:rsidR="00930F59" w:rsidRPr="00930F59">
          <w:rPr>
            <w:rFonts w:ascii="Times New Roman" w:hAnsi="Times New Roman"/>
          </w:rPr>
          <w:fldChar w:fldCharType="separate"/>
        </w:r>
        <w:r>
          <w:rPr>
            <w:rFonts w:ascii="Times New Roman" w:hAnsi="Times New Roman"/>
            <w:noProof/>
          </w:rPr>
          <w:t>3</w:t>
        </w:r>
        <w:r w:rsidR="00930F59" w:rsidRPr="00930F59">
          <w:rPr>
            <w:rFonts w:ascii="Times New Roman" w:hAnsi="Times New Roman"/>
            <w:noProof/>
          </w:rPr>
          <w:fldChar w:fldCharType="end"/>
        </w:r>
      </w:sdtContent>
    </w:sdt>
  </w:p>
  <w:p w14:paraId="43E24D11" w14:textId="77777777" w:rsidR="00445CFB" w:rsidRPr="00445CFB" w:rsidRDefault="00445CFB" w:rsidP="00445C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56CB" w14:textId="77777777" w:rsidR="00A53256" w:rsidRPr="00D03AEB" w:rsidRDefault="00002DAC" w:rsidP="004D676F">
    <w:pPr>
      <w:pStyle w:val="Header"/>
      <w:jc w:val="right"/>
      <w:rPr>
        <w:rFonts w:ascii="Times New Roman" w:hAnsi="Times New Roman"/>
        <w:b/>
        <w:u w:val="single"/>
      </w:rPr>
    </w:pPr>
    <w:r w:rsidRPr="00D03AEB">
      <w:rPr>
        <w:rFonts w:ascii="Times New Roman" w:hAnsi="Times New Roman"/>
        <w:b/>
        <w:u w:val="single"/>
      </w:rPr>
      <w:t>Attachment B</w:t>
    </w:r>
  </w:p>
  <w:p w14:paraId="5E5E6457" w14:textId="77777777" w:rsidR="00A53256" w:rsidRDefault="00F455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081"/>
    <w:multiLevelType w:val="hybridMultilevel"/>
    <w:tmpl w:val="FA3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A0212"/>
    <w:multiLevelType w:val="hybridMultilevel"/>
    <w:tmpl w:val="4C0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614FC"/>
    <w:multiLevelType w:val="hybridMultilevel"/>
    <w:tmpl w:val="7038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805029"/>
    <w:multiLevelType w:val="hybridMultilevel"/>
    <w:tmpl w:val="EBE8D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292FAB"/>
    <w:multiLevelType w:val="multilevel"/>
    <w:tmpl w:val="187A8502"/>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7"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27E95134"/>
    <w:multiLevelType w:val="hybridMultilevel"/>
    <w:tmpl w:val="DF880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7F691E"/>
    <w:multiLevelType w:val="hybridMultilevel"/>
    <w:tmpl w:val="E474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81249D"/>
    <w:multiLevelType w:val="hybridMultilevel"/>
    <w:tmpl w:val="AFE09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EC0271"/>
    <w:multiLevelType w:val="hybridMultilevel"/>
    <w:tmpl w:val="8E0495DA"/>
    <w:lvl w:ilvl="0" w:tplc="0C090001">
      <w:start w:val="1"/>
      <w:numFmt w:val="bullet"/>
      <w:lvlText w:val=""/>
      <w:lvlJc w:val="left"/>
      <w:pPr>
        <w:ind w:left="972" w:hanging="612"/>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B4575"/>
    <w:multiLevelType w:val="multilevel"/>
    <w:tmpl w:val="B9385130"/>
    <w:lvl w:ilvl="0">
      <w:start w:val="1"/>
      <w:numFmt w:val="decimal"/>
      <w:pStyle w:val="Heading1Cab1"/>
      <w:lvlText w:val="%1"/>
      <w:lvlJc w:val="left"/>
      <w:pPr>
        <w:ind w:left="360" w:hanging="360"/>
      </w:pPr>
      <w:rPr>
        <w:rFonts w:hint="default"/>
        <w:sz w:val="28"/>
      </w:rPr>
    </w:lvl>
    <w:lvl w:ilvl="1">
      <w:start w:val="1"/>
      <w:numFmt w:val="decimal"/>
      <w:pStyle w:val="CAB-NumberedParagraph"/>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6E33459"/>
    <w:multiLevelType w:val="hybridMultilevel"/>
    <w:tmpl w:val="F5E62F90"/>
    <w:lvl w:ilvl="0" w:tplc="0C09000F">
      <w:start w:val="1"/>
      <w:numFmt w:val="decimal"/>
      <w:lvlText w:val="%1."/>
      <w:lvlJc w:val="left"/>
      <w:pPr>
        <w:ind w:left="720" w:hanging="360"/>
      </w:pPr>
    </w:lvl>
    <w:lvl w:ilvl="1" w:tplc="F7E01006">
      <w:start w:val="1"/>
      <w:numFmt w:val="lowerLetter"/>
      <w:pStyle w:val="Heading"/>
      <w:lvlText w:val="%2."/>
      <w:lvlJc w:val="left"/>
      <w:pPr>
        <w:ind w:left="360" w:hanging="360"/>
      </w:pPr>
      <w:rPr>
        <w:i w:val="0"/>
        <w:sz w:val="22"/>
        <w:szCs w:val="22"/>
      </w:r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CB3882"/>
    <w:multiLevelType w:val="multilevel"/>
    <w:tmpl w:val="98AA18D2"/>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BEF2292"/>
    <w:multiLevelType w:val="hybridMultilevel"/>
    <w:tmpl w:val="D970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8C74E7"/>
    <w:multiLevelType w:val="hybridMultilevel"/>
    <w:tmpl w:val="49B63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A3CE8"/>
    <w:multiLevelType w:val="hybridMultilevel"/>
    <w:tmpl w:val="A86E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C266DB"/>
    <w:multiLevelType w:val="multilevel"/>
    <w:tmpl w:val="98AA18D2"/>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EFF0749"/>
    <w:multiLevelType w:val="multilevel"/>
    <w:tmpl w:val="9E301618"/>
    <w:lvl w:ilvl="0">
      <w:numFmt w:val="bullet"/>
      <w:lvlText w:val=""/>
      <w:lvlJc w:val="left"/>
      <w:pPr>
        <w:ind w:left="720" w:hanging="363"/>
      </w:pPr>
      <w:rPr>
        <w:rFonts w:ascii="Symbol" w:hAnsi="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7E87505A"/>
    <w:multiLevelType w:val="multilevel"/>
    <w:tmpl w:val="C7DCED30"/>
    <w:lvl w:ilvl="0">
      <w:start w:val="1"/>
      <w:numFmt w:val="bullet"/>
      <w:lvlText w:val=""/>
      <w:lvlJc w:val="left"/>
      <w:pPr>
        <w:ind w:left="720" w:hanging="363"/>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F1D4829"/>
    <w:multiLevelType w:val="hybridMultilevel"/>
    <w:tmpl w:val="45262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3"/>
  </w:num>
  <w:num w:numId="5">
    <w:abstractNumId w:val="6"/>
  </w:num>
  <w:num w:numId="6">
    <w:abstractNumId w:val="1"/>
  </w:num>
  <w:num w:numId="7">
    <w:abstractNumId w:val="2"/>
  </w:num>
  <w:num w:numId="8">
    <w:abstractNumId w:val="9"/>
  </w:num>
  <w:num w:numId="9">
    <w:abstractNumId w:val="8"/>
  </w:num>
  <w:num w:numId="10">
    <w:abstractNumId w:val="21"/>
  </w:num>
  <w:num w:numId="11">
    <w:abstractNumId w:val="10"/>
  </w:num>
  <w:num w:numId="12">
    <w:abstractNumId w:val="5"/>
  </w:num>
  <w:num w:numId="13">
    <w:abstractNumId w:val="14"/>
  </w:num>
  <w:num w:numId="14">
    <w:abstractNumId w:val="18"/>
  </w:num>
  <w:num w:numId="15">
    <w:abstractNumId w:val="19"/>
  </w:num>
  <w:num w:numId="16">
    <w:abstractNumId w:val="11"/>
  </w:num>
  <w:num w:numId="17">
    <w:abstractNumId w:val="12"/>
  </w:num>
  <w:num w:numId="18">
    <w:abstractNumId w:val="20"/>
  </w:num>
  <w:num w:numId="19">
    <w:abstractNumId w:val="4"/>
  </w:num>
  <w:num w:numId="20">
    <w:abstractNumId w:val="15"/>
  </w:num>
  <w:num w:numId="21">
    <w:abstractNumId w:val="17"/>
  </w:num>
  <w:num w:numId="2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88"/>
    <w:rsid w:val="00002DAC"/>
    <w:rsid w:val="00014BCC"/>
    <w:rsid w:val="000215F6"/>
    <w:rsid w:val="00032CE6"/>
    <w:rsid w:val="00032E8A"/>
    <w:rsid w:val="000330D7"/>
    <w:rsid w:val="00037856"/>
    <w:rsid w:val="00043718"/>
    <w:rsid w:val="00045544"/>
    <w:rsid w:val="00055CB0"/>
    <w:rsid w:val="000633C2"/>
    <w:rsid w:val="00063671"/>
    <w:rsid w:val="00080C71"/>
    <w:rsid w:val="0008569D"/>
    <w:rsid w:val="00085D80"/>
    <w:rsid w:val="000949C3"/>
    <w:rsid w:val="000C01C8"/>
    <w:rsid w:val="000C3803"/>
    <w:rsid w:val="000C3CDA"/>
    <w:rsid w:val="000C4AD3"/>
    <w:rsid w:val="000E6D72"/>
    <w:rsid w:val="0010578D"/>
    <w:rsid w:val="00123F1D"/>
    <w:rsid w:val="00126C63"/>
    <w:rsid w:val="00134751"/>
    <w:rsid w:val="001428EF"/>
    <w:rsid w:val="00146E57"/>
    <w:rsid w:val="001517FD"/>
    <w:rsid w:val="00152E4C"/>
    <w:rsid w:val="00161688"/>
    <w:rsid w:val="00164BE0"/>
    <w:rsid w:val="00166DDA"/>
    <w:rsid w:val="00190C56"/>
    <w:rsid w:val="001A232C"/>
    <w:rsid w:val="001A528C"/>
    <w:rsid w:val="001B33EE"/>
    <w:rsid w:val="001B4372"/>
    <w:rsid w:val="001B76AD"/>
    <w:rsid w:val="001C3737"/>
    <w:rsid w:val="001F22F8"/>
    <w:rsid w:val="001F4643"/>
    <w:rsid w:val="00206B7E"/>
    <w:rsid w:val="00212607"/>
    <w:rsid w:val="0021699E"/>
    <w:rsid w:val="00224D7B"/>
    <w:rsid w:val="002310AA"/>
    <w:rsid w:val="0023341A"/>
    <w:rsid w:val="00237580"/>
    <w:rsid w:val="00243790"/>
    <w:rsid w:val="00251C3F"/>
    <w:rsid w:val="002521DD"/>
    <w:rsid w:val="002532C0"/>
    <w:rsid w:val="00263184"/>
    <w:rsid w:val="002635F6"/>
    <w:rsid w:val="00271341"/>
    <w:rsid w:val="00277EE7"/>
    <w:rsid w:val="002A4C09"/>
    <w:rsid w:val="002B0E59"/>
    <w:rsid w:val="002B7281"/>
    <w:rsid w:val="002C239F"/>
    <w:rsid w:val="002D0CC1"/>
    <w:rsid w:val="002D13CA"/>
    <w:rsid w:val="002E22A5"/>
    <w:rsid w:val="002F1F6A"/>
    <w:rsid w:val="002F29DE"/>
    <w:rsid w:val="002F2AF4"/>
    <w:rsid w:val="003116C0"/>
    <w:rsid w:val="00312AB7"/>
    <w:rsid w:val="00323994"/>
    <w:rsid w:val="00326C1F"/>
    <w:rsid w:val="00327106"/>
    <w:rsid w:val="00331E9B"/>
    <w:rsid w:val="0033279A"/>
    <w:rsid w:val="00354D1B"/>
    <w:rsid w:val="00355AA5"/>
    <w:rsid w:val="0036187D"/>
    <w:rsid w:val="00377C4E"/>
    <w:rsid w:val="003965E2"/>
    <w:rsid w:val="003B085D"/>
    <w:rsid w:val="003B18EA"/>
    <w:rsid w:val="003C3CC7"/>
    <w:rsid w:val="003C64BE"/>
    <w:rsid w:val="003D124E"/>
    <w:rsid w:val="003D4097"/>
    <w:rsid w:val="003F1457"/>
    <w:rsid w:val="003F63B6"/>
    <w:rsid w:val="00445CFB"/>
    <w:rsid w:val="004512F1"/>
    <w:rsid w:val="004568E1"/>
    <w:rsid w:val="00457150"/>
    <w:rsid w:val="0046203A"/>
    <w:rsid w:val="004670A8"/>
    <w:rsid w:val="00471B4C"/>
    <w:rsid w:val="00472738"/>
    <w:rsid w:val="00483398"/>
    <w:rsid w:val="0048748E"/>
    <w:rsid w:val="00487822"/>
    <w:rsid w:val="0049467C"/>
    <w:rsid w:val="004B6715"/>
    <w:rsid w:val="004C1F0A"/>
    <w:rsid w:val="004C35D5"/>
    <w:rsid w:val="004C7195"/>
    <w:rsid w:val="004D3614"/>
    <w:rsid w:val="004D7595"/>
    <w:rsid w:val="004E088D"/>
    <w:rsid w:val="004E5E62"/>
    <w:rsid w:val="004E6853"/>
    <w:rsid w:val="004F6D2B"/>
    <w:rsid w:val="004F77A4"/>
    <w:rsid w:val="005051CD"/>
    <w:rsid w:val="005210E1"/>
    <w:rsid w:val="00533D8D"/>
    <w:rsid w:val="00536D2D"/>
    <w:rsid w:val="0055675D"/>
    <w:rsid w:val="00570E61"/>
    <w:rsid w:val="00593602"/>
    <w:rsid w:val="005958D2"/>
    <w:rsid w:val="00596DB7"/>
    <w:rsid w:val="005B6F68"/>
    <w:rsid w:val="005D2AA8"/>
    <w:rsid w:val="005E3510"/>
    <w:rsid w:val="005E3707"/>
    <w:rsid w:val="005F0098"/>
    <w:rsid w:val="005F580D"/>
    <w:rsid w:val="005F7181"/>
    <w:rsid w:val="006103BC"/>
    <w:rsid w:val="00614B1E"/>
    <w:rsid w:val="00615918"/>
    <w:rsid w:val="00615DBC"/>
    <w:rsid w:val="00633A31"/>
    <w:rsid w:val="00634FF8"/>
    <w:rsid w:val="0064216F"/>
    <w:rsid w:val="00644B9D"/>
    <w:rsid w:val="006624B1"/>
    <w:rsid w:val="00663E31"/>
    <w:rsid w:val="0066767B"/>
    <w:rsid w:val="0068239F"/>
    <w:rsid w:val="006864B7"/>
    <w:rsid w:val="006976A0"/>
    <w:rsid w:val="006A2520"/>
    <w:rsid w:val="006B0128"/>
    <w:rsid w:val="006B0239"/>
    <w:rsid w:val="006C1455"/>
    <w:rsid w:val="006C40C8"/>
    <w:rsid w:val="006D0491"/>
    <w:rsid w:val="006D6AA1"/>
    <w:rsid w:val="006E0BB5"/>
    <w:rsid w:val="006E1FB9"/>
    <w:rsid w:val="0071330A"/>
    <w:rsid w:val="007135C3"/>
    <w:rsid w:val="007205D1"/>
    <w:rsid w:val="00725321"/>
    <w:rsid w:val="007365EA"/>
    <w:rsid w:val="00741531"/>
    <w:rsid w:val="00741C88"/>
    <w:rsid w:val="0074508C"/>
    <w:rsid w:val="007504C8"/>
    <w:rsid w:val="007622CE"/>
    <w:rsid w:val="0076271F"/>
    <w:rsid w:val="007672B5"/>
    <w:rsid w:val="00775EC3"/>
    <w:rsid w:val="00776C6F"/>
    <w:rsid w:val="0078100C"/>
    <w:rsid w:val="00787DFB"/>
    <w:rsid w:val="00791806"/>
    <w:rsid w:val="0079707C"/>
    <w:rsid w:val="007B18F4"/>
    <w:rsid w:val="007B6563"/>
    <w:rsid w:val="007D1076"/>
    <w:rsid w:val="007F75FF"/>
    <w:rsid w:val="008015AB"/>
    <w:rsid w:val="00804130"/>
    <w:rsid w:val="0080606B"/>
    <w:rsid w:val="00822914"/>
    <w:rsid w:val="00822E1A"/>
    <w:rsid w:val="0082619E"/>
    <w:rsid w:val="0084386A"/>
    <w:rsid w:val="0085491A"/>
    <w:rsid w:val="00857259"/>
    <w:rsid w:val="00857DA1"/>
    <w:rsid w:val="00863643"/>
    <w:rsid w:val="00863D78"/>
    <w:rsid w:val="00892F37"/>
    <w:rsid w:val="008A252B"/>
    <w:rsid w:val="008A6620"/>
    <w:rsid w:val="008B03A3"/>
    <w:rsid w:val="008B3B9B"/>
    <w:rsid w:val="008B4B8A"/>
    <w:rsid w:val="008C0D2A"/>
    <w:rsid w:val="008C1942"/>
    <w:rsid w:val="008C2521"/>
    <w:rsid w:val="008C2591"/>
    <w:rsid w:val="008C3C3D"/>
    <w:rsid w:val="008C628C"/>
    <w:rsid w:val="008D62A4"/>
    <w:rsid w:val="008E1569"/>
    <w:rsid w:val="008E3C2D"/>
    <w:rsid w:val="008E3E07"/>
    <w:rsid w:val="00913DB0"/>
    <w:rsid w:val="00913DD8"/>
    <w:rsid w:val="00915C92"/>
    <w:rsid w:val="0091728B"/>
    <w:rsid w:val="00930F59"/>
    <w:rsid w:val="00940356"/>
    <w:rsid w:val="00961AFF"/>
    <w:rsid w:val="00964125"/>
    <w:rsid w:val="00967BE5"/>
    <w:rsid w:val="00972BA3"/>
    <w:rsid w:val="00973FAF"/>
    <w:rsid w:val="00980586"/>
    <w:rsid w:val="00982DF9"/>
    <w:rsid w:val="00983B63"/>
    <w:rsid w:val="00990E46"/>
    <w:rsid w:val="0099201E"/>
    <w:rsid w:val="009A0A24"/>
    <w:rsid w:val="009C0E22"/>
    <w:rsid w:val="009D0B2A"/>
    <w:rsid w:val="009D74EE"/>
    <w:rsid w:val="009D7582"/>
    <w:rsid w:val="009E143E"/>
    <w:rsid w:val="009F4671"/>
    <w:rsid w:val="009F498B"/>
    <w:rsid w:val="00A21C60"/>
    <w:rsid w:val="00A4241E"/>
    <w:rsid w:val="00A44C17"/>
    <w:rsid w:val="00A63899"/>
    <w:rsid w:val="00A63B44"/>
    <w:rsid w:val="00A73D7B"/>
    <w:rsid w:val="00A75679"/>
    <w:rsid w:val="00A77BDE"/>
    <w:rsid w:val="00A8601E"/>
    <w:rsid w:val="00A8718F"/>
    <w:rsid w:val="00A87A46"/>
    <w:rsid w:val="00A949A3"/>
    <w:rsid w:val="00AA5916"/>
    <w:rsid w:val="00AA7CAE"/>
    <w:rsid w:val="00AB097F"/>
    <w:rsid w:val="00AB4E1D"/>
    <w:rsid w:val="00AB5AA2"/>
    <w:rsid w:val="00AC24EC"/>
    <w:rsid w:val="00AC3085"/>
    <w:rsid w:val="00AD0D62"/>
    <w:rsid w:val="00AD182B"/>
    <w:rsid w:val="00AD2B97"/>
    <w:rsid w:val="00AE6B93"/>
    <w:rsid w:val="00AF23F0"/>
    <w:rsid w:val="00AF3F6E"/>
    <w:rsid w:val="00B34F49"/>
    <w:rsid w:val="00B3747C"/>
    <w:rsid w:val="00B41D3D"/>
    <w:rsid w:val="00B508D4"/>
    <w:rsid w:val="00B521A4"/>
    <w:rsid w:val="00B661F7"/>
    <w:rsid w:val="00B666EE"/>
    <w:rsid w:val="00B676C9"/>
    <w:rsid w:val="00B7412F"/>
    <w:rsid w:val="00B77761"/>
    <w:rsid w:val="00B834B9"/>
    <w:rsid w:val="00BA299B"/>
    <w:rsid w:val="00BB1CD0"/>
    <w:rsid w:val="00BB4E3F"/>
    <w:rsid w:val="00BB7641"/>
    <w:rsid w:val="00BC6C69"/>
    <w:rsid w:val="00BD180F"/>
    <w:rsid w:val="00BE3184"/>
    <w:rsid w:val="00BE3FB4"/>
    <w:rsid w:val="00BF424C"/>
    <w:rsid w:val="00C0094A"/>
    <w:rsid w:val="00C26073"/>
    <w:rsid w:val="00C26D09"/>
    <w:rsid w:val="00C27DD2"/>
    <w:rsid w:val="00C3365F"/>
    <w:rsid w:val="00C376B0"/>
    <w:rsid w:val="00C4298E"/>
    <w:rsid w:val="00C44B6D"/>
    <w:rsid w:val="00C61245"/>
    <w:rsid w:val="00C61B71"/>
    <w:rsid w:val="00C635DC"/>
    <w:rsid w:val="00C731DC"/>
    <w:rsid w:val="00C75F46"/>
    <w:rsid w:val="00C76342"/>
    <w:rsid w:val="00C8169B"/>
    <w:rsid w:val="00C82EC5"/>
    <w:rsid w:val="00C96F69"/>
    <w:rsid w:val="00CA0485"/>
    <w:rsid w:val="00CA3478"/>
    <w:rsid w:val="00CA7FE3"/>
    <w:rsid w:val="00CB2C82"/>
    <w:rsid w:val="00CB4BF3"/>
    <w:rsid w:val="00CB6732"/>
    <w:rsid w:val="00CD2A76"/>
    <w:rsid w:val="00CD43F0"/>
    <w:rsid w:val="00CD473C"/>
    <w:rsid w:val="00CD6FCF"/>
    <w:rsid w:val="00CE022F"/>
    <w:rsid w:val="00CF0DDE"/>
    <w:rsid w:val="00CF2BF3"/>
    <w:rsid w:val="00CF3D6F"/>
    <w:rsid w:val="00CF6A26"/>
    <w:rsid w:val="00D00489"/>
    <w:rsid w:val="00D019A3"/>
    <w:rsid w:val="00D03AEB"/>
    <w:rsid w:val="00D11373"/>
    <w:rsid w:val="00D25839"/>
    <w:rsid w:val="00D32C8C"/>
    <w:rsid w:val="00D449F1"/>
    <w:rsid w:val="00D504AD"/>
    <w:rsid w:val="00D53D6E"/>
    <w:rsid w:val="00D57834"/>
    <w:rsid w:val="00D61D19"/>
    <w:rsid w:val="00D6727C"/>
    <w:rsid w:val="00D73F6E"/>
    <w:rsid w:val="00D75770"/>
    <w:rsid w:val="00D82915"/>
    <w:rsid w:val="00D8480C"/>
    <w:rsid w:val="00D91771"/>
    <w:rsid w:val="00D93E73"/>
    <w:rsid w:val="00D940C5"/>
    <w:rsid w:val="00DC5976"/>
    <w:rsid w:val="00DD1011"/>
    <w:rsid w:val="00DE1618"/>
    <w:rsid w:val="00DF5DE5"/>
    <w:rsid w:val="00DF7688"/>
    <w:rsid w:val="00E023C3"/>
    <w:rsid w:val="00E03949"/>
    <w:rsid w:val="00E10903"/>
    <w:rsid w:val="00E111DB"/>
    <w:rsid w:val="00E24FF8"/>
    <w:rsid w:val="00E3400D"/>
    <w:rsid w:val="00E37FD7"/>
    <w:rsid w:val="00E55905"/>
    <w:rsid w:val="00E56C80"/>
    <w:rsid w:val="00E70FD8"/>
    <w:rsid w:val="00E825CE"/>
    <w:rsid w:val="00E83569"/>
    <w:rsid w:val="00EB11FB"/>
    <w:rsid w:val="00EB42E4"/>
    <w:rsid w:val="00EC1E02"/>
    <w:rsid w:val="00EC27C6"/>
    <w:rsid w:val="00ED431A"/>
    <w:rsid w:val="00EE4D4D"/>
    <w:rsid w:val="00EE6D8E"/>
    <w:rsid w:val="00EF0F57"/>
    <w:rsid w:val="00EF3692"/>
    <w:rsid w:val="00EF4E7F"/>
    <w:rsid w:val="00F039BB"/>
    <w:rsid w:val="00F205F0"/>
    <w:rsid w:val="00F3456D"/>
    <w:rsid w:val="00F411B6"/>
    <w:rsid w:val="00F455A3"/>
    <w:rsid w:val="00F5432B"/>
    <w:rsid w:val="00F556B3"/>
    <w:rsid w:val="00F65E9D"/>
    <w:rsid w:val="00F84E7E"/>
    <w:rsid w:val="00F87F90"/>
    <w:rsid w:val="00F91191"/>
    <w:rsid w:val="00F96417"/>
    <w:rsid w:val="00FA4712"/>
    <w:rsid w:val="00FA665F"/>
    <w:rsid w:val="00FB0A8A"/>
    <w:rsid w:val="00FB0D14"/>
    <w:rsid w:val="00FB6593"/>
    <w:rsid w:val="00FB7169"/>
    <w:rsid w:val="00FC1514"/>
    <w:rsid w:val="00FC4ADE"/>
    <w:rsid w:val="00FD490A"/>
    <w:rsid w:val="00FE50D0"/>
    <w:rsid w:val="00FE6FB7"/>
    <w:rsid w:val="00FE7326"/>
    <w:rsid w:val="00FF0CF8"/>
    <w:rsid w:val="00FF3921"/>
    <w:rsid w:val="00FF5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895579"/>
  <w15:docId w15:val="{17D8CDCA-F44C-49F7-8B15-430DC70C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95"/>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bering">
    <w:name w:val="Para Numbering"/>
    <w:basedOn w:val="Normal"/>
    <w:rsid w:val="004D7595"/>
    <w:pPr>
      <w:tabs>
        <w:tab w:val="num" w:pos="360"/>
        <w:tab w:val="left" w:pos="567"/>
      </w:tabs>
      <w:spacing w:after="240" w:line="240" w:lineRule="atLeast"/>
    </w:pPr>
    <w:rPr>
      <w:rFonts w:ascii="Times New Roman" w:eastAsia="Times New Roman" w:hAnsi="Times New Roman"/>
      <w:sz w:val="24"/>
      <w:szCs w:val="20"/>
      <w:lang w:eastAsia="en-US"/>
    </w:rPr>
  </w:style>
  <w:style w:type="paragraph" w:styleId="Header">
    <w:name w:val="header"/>
    <w:basedOn w:val="Normal"/>
    <w:link w:val="HeaderChar"/>
    <w:uiPriority w:val="99"/>
    <w:unhideWhenUsed/>
    <w:rsid w:val="004D7595"/>
    <w:pPr>
      <w:tabs>
        <w:tab w:val="center" w:pos="4513"/>
        <w:tab w:val="right" w:pos="9026"/>
      </w:tabs>
    </w:pPr>
  </w:style>
  <w:style w:type="character" w:customStyle="1" w:styleId="HeaderChar">
    <w:name w:val="Header Char"/>
    <w:basedOn w:val="DefaultParagraphFont"/>
    <w:link w:val="Header"/>
    <w:uiPriority w:val="99"/>
    <w:rsid w:val="004D7595"/>
    <w:rPr>
      <w:rFonts w:ascii="Calibri" w:eastAsia="Calibri" w:hAnsi="Calibri" w:cs="Times New Roman"/>
      <w:lang w:eastAsia="en-AU"/>
    </w:rPr>
  </w:style>
  <w:style w:type="paragraph" w:styleId="Footer">
    <w:name w:val="footer"/>
    <w:basedOn w:val="Normal"/>
    <w:link w:val="FooterChar"/>
    <w:uiPriority w:val="99"/>
    <w:unhideWhenUsed/>
    <w:rsid w:val="004D7595"/>
    <w:pPr>
      <w:tabs>
        <w:tab w:val="center" w:pos="4513"/>
        <w:tab w:val="right" w:pos="9026"/>
      </w:tabs>
    </w:pPr>
  </w:style>
  <w:style w:type="character" w:customStyle="1" w:styleId="FooterChar">
    <w:name w:val="Footer Char"/>
    <w:basedOn w:val="DefaultParagraphFont"/>
    <w:link w:val="Footer"/>
    <w:uiPriority w:val="99"/>
    <w:rsid w:val="004D7595"/>
    <w:rPr>
      <w:rFonts w:ascii="Calibri" w:eastAsia="Calibri" w:hAnsi="Calibri" w:cs="Times New Roman"/>
      <w:lang w:eastAsia="en-AU"/>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2A4C09"/>
    <w:pPr>
      <w:ind w:left="720"/>
      <w:contextualSpacing/>
    </w:pPr>
    <w:rPr>
      <w:rFonts w:ascii="Times New Roman" w:eastAsiaTheme="minorHAnsi" w:hAnsi="Times New Roman" w:cstheme="minorBidi"/>
      <w:color w:val="000000" w:themeColor="text1"/>
      <w:sz w:val="24"/>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2A4C09"/>
    <w:rPr>
      <w:rFonts w:ascii="Times New Roman" w:hAnsi="Times New Roman"/>
      <w:color w:val="000000" w:themeColor="text1"/>
      <w:sz w:val="24"/>
    </w:rPr>
  </w:style>
  <w:style w:type="paragraph" w:customStyle="1" w:styleId="paranumbering0">
    <w:name w:val="paranumbering"/>
    <w:basedOn w:val="Normal"/>
    <w:uiPriority w:val="99"/>
    <w:rsid w:val="002A4C09"/>
    <w:pPr>
      <w:spacing w:before="100" w:beforeAutospacing="1" w:after="100" w:afterAutospacing="1"/>
    </w:pPr>
    <w:rPr>
      <w:rFonts w:ascii="Times New Roman" w:eastAsiaTheme="minorHAnsi" w:hAnsi="Times New Roman"/>
      <w:sz w:val="24"/>
      <w:szCs w:val="24"/>
    </w:rPr>
  </w:style>
  <w:style w:type="paragraph" w:customStyle="1" w:styleId="BodyText1">
    <w:name w:val="Body Text1"/>
    <w:basedOn w:val="Normal"/>
    <w:link w:val="BodyText1Char"/>
    <w:qFormat/>
    <w:rsid w:val="00D25839"/>
    <w:pPr>
      <w:spacing w:after="200" w:line="276" w:lineRule="auto"/>
    </w:pPr>
    <w:rPr>
      <w:rFonts w:ascii="Times New Roman" w:eastAsiaTheme="minorHAnsi" w:hAnsi="Times New Roman" w:cstheme="minorBidi"/>
      <w:sz w:val="24"/>
      <w:lang w:eastAsia="en-US"/>
    </w:rPr>
  </w:style>
  <w:style w:type="character" w:customStyle="1" w:styleId="BodyText1Char">
    <w:name w:val="Body Text1 Char"/>
    <w:basedOn w:val="DefaultParagraphFont"/>
    <w:link w:val="BodyText1"/>
    <w:rsid w:val="00D25839"/>
    <w:rPr>
      <w:rFonts w:ascii="Times New Roman" w:hAnsi="Times New Roman"/>
      <w:sz w:val="24"/>
    </w:rPr>
  </w:style>
  <w:style w:type="paragraph" w:customStyle="1" w:styleId="Generalexplanation">
    <w:name w:val="General explanation"/>
    <w:basedOn w:val="Normal"/>
    <w:link w:val="GeneralexplanationChar"/>
    <w:qFormat/>
    <w:rsid w:val="00D25839"/>
    <w:pPr>
      <w:numPr>
        <w:ilvl w:val="2"/>
        <w:numId w:val="2"/>
      </w:numPr>
      <w:spacing w:after="120"/>
    </w:pPr>
    <w:rPr>
      <w:rFonts w:ascii="Times New Roman" w:eastAsiaTheme="minorHAnsi" w:hAnsi="Times New Roman"/>
      <w:color w:val="FF0000"/>
      <w:sz w:val="24"/>
      <w:szCs w:val="24"/>
      <w:lang w:eastAsia="en-US"/>
    </w:rPr>
  </w:style>
  <w:style w:type="character" w:customStyle="1" w:styleId="GeneralexplanationChar">
    <w:name w:val="General explanation Char"/>
    <w:basedOn w:val="DefaultParagraphFont"/>
    <w:link w:val="Generalexplanation"/>
    <w:rsid w:val="00D25839"/>
    <w:rPr>
      <w:rFonts w:ascii="Times New Roman" w:hAnsi="Times New Roman" w:cs="Times New Roman"/>
      <w:color w:val="FF0000"/>
      <w:sz w:val="24"/>
      <w:szCs w:val="24"/>
    </w:rPr>
  </w:style>
  <w:style w:type="paragraph" w:customStyle="1" w:styleId="Heading">
    <w:name w:val="Heading"/>
    <w:basedOn w:val="Normal"/>
    <w:link w:val="HeadingChar"/>
    <w:qFormat/>
    <w:rsid w:val="00D25839"/>
    <w:pPr>
      <w:numPr>
        <w:ilvl w:val="1"/>
        <w:numId w:val="2"/>
      </w:numPr>
      <w:spacing w:after="200"/>
    </w:pPr>
    <w:rPr>
      <w:rFonts w:ascii="Times New Roman" w:eastAsiaTheme="minorHAnsi" w:hAnsi="Times New Roman"/>
      <w:sz w:val="24"/>
      <w:szCs w:val="24"/>
      <w:u w:val="single"/>
      <w:lang w:eastAsia="en-US"/>
    </w:rPr>
  </w:style>
  <w:style w:type="character" w:customStyle="1" w:styleId="HeadingChar">
    <w:name w:val="Heading Char"/>
    <w:basedOn w:val="DefaultParagraphFont"/>
    <w:link w:val="Heading"/>
    <w:rsid w:val="00D25839"/>
    <w:rPr>
      <w:rFonts w:ascii="Times New Roman" w:hAnsi="Times New Roman" w:cs="Times New Roman"/>
      <w:sz w:val="24"/>
      <w:szCs w:val="24"/>
      <w:u w:val="single"/>
    </w:rPr>
  </w:style>
  <w:style w:type="character" w:styleId="Hyperlink">
    <w:name w:val="Hyperlink"/>
    <w:basedOn w:val="DefaultParagraphFont"/>
    <w:rsid w:val="00D25839"/>
    <w:rPr>
      <w:color w:val="0563C1" w:themeColor="hyperlink"/>
      <w:u w:val="single"/>
    </w:rPr>
  </w:style>
  <w:style w:type="paragraph" w:customStyle="1" w:styleId="Tips">
    <w:name w:val="Tips"/>
    <w:basedOn w:val="BodyText1"/>
    <w:link w:val="TipsChar"/>
    <w:qFormat/>
    <w:rsid w:val="007205D1"/>
    <w:pPr>
      <w:numPr>
        <w:numId w:val="3"/>
      </w:numPr>
      <w:spacing w:after="120" w:line="240" w:lineRule="auto"/>
    </w:pPr>
    <w:rPr>
      <w:rFonts w:cs="Times New Roman"/>
      <w:color w:val="7030A0"/>
      <w:szCs w:val="24"/>
    </w:rPr>
  </w:style>
  <w:style w:type="character" w:customStyle="1" w:styleId="TipsChar">
    <w:name w:val="Tips Char"/>
    <w:basedOn w:val="BodyText1Char"/>
    <w:link w:val="Tips"/>
    <w:rsid w:val="007205D1"/>
    <w:rPr>
      <w:rFonts w:ascii="Times New Roman" w:hAnsi="Times New Roman" w:cs="Times New Roman"/>
      <w:color w:val="7030A0"/>
      <w:sz w:val="24"/>
      <w:szCs w:val="24"/>
    </w:rPr>
  </w:style>
  <w:style w:type="character" w:styleId="CommentReference">
    <w:name w:val="annotation reference"/>
    <w:basedOn w:val="DefaultParagraphFont"/>
    <w:uiPriority w:val="99"/>
    <w:semiHidden/>
    <w:unhideWhenUsed/>
    <w:rsid w:val="00002DAC"/>
    <w:rPr>
      <w:sz w:val="16"/>
      <w:szCs w:val="16"/>
    </w:rPr>
  </w:style>
  <w:style w:type="paragraph" w:styleId="CommentText">
    <w:name w:val="annotation text"/>
    <w:basedOn w:val="Normal"/>
    <w:link w:val="CommentTextChar"/>
    <w:uiPriority w:val="99"/>
    <w:semiHidden/>
    <w:unhideWhenUsed/>
    <w:rsid w:val="00002DAC"/>
    <w:rPr>
      <w:sz w:val="20"/>
      <w:szCs w:val="20"/>
    </w:rPr>
  </w:style>
  <w:style w:type="character" w:customStyle="1" w:styleId="CommentTextChar">
    <w:name w:val="Comment Text Char"/>
    <w:basedOn w:val="DefaultParagraphFont"/>
    <w:link w:val="CommentText"/>
    <w:uiPriority w:val="99"/>
    <w:semiHidden/>
    <w:rsid w:val="00002DAC"/>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02DAC"/>
    <w:rPr>
      <w:b/>
      <w:bCs/>
    </w:rPr>
  </w:style>
  <w:style w:type="character" w:customStyle="1" w:styleId="CommentSubjectChar">
    <w:name w:val="Comment Subject Char"/>
    <w:basedOn w:val="CommentTextChar"/>
    <w:link w:val="CommentSubject"/>
    <w:uiPriority w:val="99"/>
    <w:semiHidden/>
    <w:rsid w:val="00002DAC"/>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002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AC"/>
    <w:rPr>
      <w:rFonts w:ascii="Segoe UI" w:eastAsia="Calibri" w:hAnsi="Segoe UI" w:cs="Segoe UI"/>
      <w:sz w:val="18"/>
      <w:szCs w:val="18"/>
      <w:lang w:eastAsia="en-AU"/>
    </w:rPr>
  </w:style>
  <w:style w:type="paragraph" w:customStyle="1" w:styleId="Examples">
    <w:name w:val="Examples"/>
    <w:basedOn w:val="BodyText1"/>
    <w:link w:val="ExamplesChar"/>
    <w:qFormat/>
    <w:rsid w:val="005B6F68"/>
    <w:pPr>
      <w:numPr>
        <w:numId w:val="4"/>
      </w:numPr>
      <w:spacing w:after="120" w:line="240" w:lineRule="auto"/>
    </w:pPr>
    <w:rPr>
      <w:rFonts w:cs="Times New Roman"/>
      <w:color w:val="00B050"/>
      <w:szCs w:val="24"/>
    </w:rPr>
  </w:style>
  <w:style w:type="character" w:customStyle="1" w:styleId="ExamplesChar">
    <w:name w:val="Examples Char"/>
    <w:basedOn w:val="BodyText1Char"/>
    <w:link w:val="Examples"/>
    <w:rsid w:val="005B6F68"/>
    <w:rPr>
      <w:rFonts w:ascii="Times New Roman" w:hAnsi="Times New Roman" w:cs="Times New Roman"/>
      <w:color w:val="00B050"/>
      <w:sz w:val="24"/>
      <w:szCs w:val="24"/>
    </w:rPr>
  </w:style>
  <w:style w:type="paragraph" w:customStyle="1" w:styleId="NumberLevel1">
    <w:name w:val="Number Level 1"/>
    <w:aliases w:val="N1,hea Level 1"/>
    <w:basedOn w:val="Normal"/>
    <w:link w:val="NumberLevel1Char"/>
    <w:qFormat/>
    <w:rsid w:val="00BB4E3F"/>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BB4E3F"/>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BB4E3F"/>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qFormat/>
    <w:rsid w:val="00BB4E3F"/>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BB4E3F"/>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BB4E3F"/>
    <w:pPr>
      <w:numPr>
        <w:ilvl w:val="5"/>
      </w:numPr>
    </w:pPr>
  </w:style>
  <w:style w:type="paragraph" w:customStyle="1" w:styleId="NumberLevel7">
    <w:name w:val="Number Level 7"/>
    <w:basedOn w:val="NumberLevel6"/>
    <w:rsid w:val="00BB4E3F"/>
    <w:pPr>
      <w:numPr>
        <w:ilvl w:val="6"/>
      </w:numPr>
    </w:pPr>
  </w:style>
  <w:style w:type="paragraph" w:customStyle="1" w:styleId="NumberLevel8">
    <w:name w:val="Number Level 8"/>
    <w:basedOn w:val="NumberLevel7"/>
    <w:rsid w:val="00BB4E3F"/>
    <w:pPr>
      <w:numPr>
        <w:ilvl w:val="7"/>
      </w:numPr>
    </w:pPr>
  </w:style>
  <w:style w:type="paragraph" w:customStyle="1" w:styleId="NumberLevel9">
    <w:name w:val="Number Level 9"/>
    <w:basedOn w:val="NumberLevel8"/>
    <w:rsid w:val="00BB4E3F"/>
    <w:pPr>
      <w:numPr>
        <w:ilvl w:val="8"/>
      </w:numPr>
    </w:pPr>
  </w:style>
  <w:style w:type="character" w:customStyle="1" w:styleId="NumberLevel1Char">
    <w:name w:val="Number Level 1 Char"/>
    <w:aliases w:val="N1 Char"/>
    <w:basedOn w:val="DefaultParagraphFont"/>
    <w:link w:val="NumberLevel1"/>
    <w:locked/>
    <w:rsid w:val="00BB4E3F"/>
    <w:rPr>
      <w:rFonts w:ascii="Arial" w:eastAsia="Times New Roman" w:hAnsi="Arial" w:cs="Arial"/>
      <w:lang w:eastAsia="en-AU"/>
    </w:rPr>
  </w:style>
  <w:style w:type="character" w:styleId="FollowedHyperlink">
    <w:name w:val="FollowedHyperlink"/>
    <w:basedOn w:val="DefaultParagraphFont"/>
    <w:uiPriority w:val="99"/>
    <w:semiHidden/>
    <w:unhideWhenUsed/>
    <w:rsid w:val="00663E31"/>
    <w:rPr>
      <w:color w:val="954F72" w:themeColor="followedHyperlink"/>
      <w:u w:val="single"/>
    </w:rPr>
  </w:style>
  <w:style w:type="paragraph" w:styleId="ListBullet">
    <w:name w:val="List Bullet"/>
    <w:basedOn w:val="Normal"/>
    <w:uiPriority w:val="99"/>
    <w:unhideWhenUsed/>
    <w:rsid w:val="00741C88"/>
    <w:pPr>
      <w:tabs>
        <w:tab w:val="num" w:pos="360"/>
      </w:tabs>
      <w:spacing w:after="200" w:line="360" w:lineRule="auto"/>
      <w:ind w:left="360" w:hanging="360"/>
      <w:contextualSpacing/>
    </w:pPr>
    <w:rPr>
      <w:rFonts w:ascii="Arial" w:hAnsi="Arial" w:cs="Arial"/>
      <w:w w:val="105"/>
      <w:kern w:val="40"/>
      <w:lang w:eastAsia="en-US"/>
    </w:rPr>
  </w:style>
  <w:style w:type="paragraph" w:customStyle="1" w:styleId="Default">
    <w:name w:val="Default"/>
    <w:rsid w:val="00741C88"/>
    <w:pPr>
      <w:autoSpaceDE w:val="0"/>
      <w:autoSpaceDN w:val="0"/>
      <w:adjustRightInd w:val="0"/>
      <w:spacing w:after="0" w:line="240" w:lineRule="auto"/>
    </w:pPr>
    <w:rPr>
      <w:rFonts w:ascii="Arial" w:hAnsi="Arial" w:cs="Arial"/>
      <w:color w:val="000000"/>
      <w:sz w:val="24"/>
      <w:szCs w:val="24"/>
    </w:rPr>
  </w:style>
  <w:style w:type="paragraph" w:customStyle="1" w:styleId="Heading1Cab1">
    <w:name w:val="Heading 1 Cab1"/>
    <w:next w:val="BodyText"/>
    <w:uiPriority w:val="4"/>
    <w:qFormat/>
    <w:rsid w:val="008D62A4"/>
    <w:pPr>
      <w:keepNext/>
      <w:keepLines/>
      <w:numPr>
        <w:numId w:val="17"/>
      </w:numPr>
      <w:tabs>
        <w:tab w:val="num" w:pos="360"/>
        <w:tab w:val="left" w:pos="567"/>
      </w:tabs>
      <w:spacing w:before="240" w:after="200" w:line="240" w:lineRule="auto"/>
      <w:ind w:left="0" w:firstLine="0"/>
      <w:outlineLvl w:val="0"/>
    </w:pPr>
    <w:rPr>
      <w:rFonts w:ascii="Arial" w:eastAsia="MS PGothic" w:hAnsi="Arial" w:cs="Times New Roman"/>
      <w:b/>
      <w:bCs/>
      <w:color w:val="003865"/>
      <w:sz w:val="32"/>
      <w:szCs w:val="28"/>
    </w:rPr>
  </w:style>
  <w:style w:type="paragraph" w:customStyle="1" w:styleId="CAB-NumberedParagraph">
    <w:name w:val="CAB - Numbered Paragraph"/>
    <w:basedOn w:val="Normal"/>
    <w:uiPriority w:val="98"/>
    <w:rsid w:val="008D62A4"/>
    <w:pPr>
      <w:numPr>
        <w:ilvl w:val="1"/>
        <w:numId w:val="17"/>
      </w:numPr>
      <w:spacing w:after="200" w:line="276" w:lineRule="auto"/>
    </w:pPr>
    <w:rPr>
      <w:rFonts w:ascii="Arial" w:eastAsiaTheme="minorHAnsi" w:hAnsi="Arial" w:cstheme="minorBidi"/>
      <w:lang w:eastAsia="en-US"/>
    </w:rPr>
  </w:style>
  <w:style w:type="paragraph" w:styleId="BodyText">
    <w:name w:val="Body Text"/>
    <w:basedOn w:val="Normal"/>
    <w:link w:val="BodyTextChar"/>
    <w:uiPriority w:val="99"/>
    <w:semiHidden/>
    <w:unhideWhenUsed/>
    <w:rsid w:val="008D62A4"/>
    <w:pPr>
      <w:spacing w:after="120"/>
    </w:pPr>
  </w:style>
  <w:style w:type="character" w:customStyle="1" w:styleId="BodyTextChar">
    <w:name w:val="Body Text Char"/>
    <w:basedOn w:val="DefaultParagraphFont"/>
    <w:link w:val="BodyText"/>
    <w:uiPriority w:val="99"/>
    <w:semiHidden/>
    <w:rsid w:val="008D62A4"/>
    <w:rPr>
      <w:rFonts w:ascii="Calibri" w:eastAsia="Calibri" w:hAnsi="Calibri" w:cs="Times New Roman"/>
      <w:lang w:eastAsia="en-AU"/>
    </w:rPr>
  </w:style>
  <w:style w:type="paragraph" w:styleId="NormalWeb">
    <w:name w:val="Normal (Web)"/>
    <w:basedOn w:val="Normal"/>
    <w:uiPriority w:val="99"/>
    <w:unhideWhenUsed/>
    <w:rsid w:val="00BC6C69"/>
    <w:pPr>
      <w:spacing w:before="100" w:beforeAutospacing="1" w:after="100" w:afterAutospacing="1"/>
    </w:pPr>
    <w:rPr>
      <w:rFonts w:ascii="Times New Roman" w:eastAsia="Times New Roman" w:hAnsi="Times New Roman"/>
      <w:sz w:val="24"/>
      <w:szCs w:val="24"/>
    </w:rPr>
  </w:style>
  <w:style w:type="character" w:customStyle="1" w:styleId="subsectionChar">
    <w:name w:val="subsection Char"/>
    <w:aliases w:val="ss Char"/>
    <w:basedOn w:val="DefaultParagraphFont"/>
    <w:link w:val="subsection"/>
    <w:locked/>
    <w:rsid w:val="00863643"/>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863643"/>
    <w:pPr>
      <w:tabs>
        <w:tab w:val="right" w:pos="1021"/>
      </w:tabs>
      <w:spacing w:before="180"/>
      <w:ind w:left="1134" w:hanging="1134"/>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6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2D4A895A4AC4FB429A2A94FE01DE0" ma:contentTypeVersion="0" ma:contentTypeDescription="Create a new document." ma:contentTypeScope="" ma:versionID="20aa4e6b13797025fa3cf6c0f56a1b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C53B-F57A-42E0-9A2C-D13F8D68D90C}">
  <ds:schemaRefs>
    <ds:schemaRef ds:uri="http://schemas.microsoft.com/sharepoint/v3/contenttype/forms"/>
  </ds:schemaRefs>
</ds:datastoreItem>
</file>

<file path=customXml/itemProps2.xml><?xml version="1.0" encoding="utf-8"?>
<ds:datastoreItem xmlns:ds="http://schemas.openxmlformats.org/officeDocument/2006/customXml" ds:itemID="{71538473-A38A-4CD3-A215-4F738E110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58E0EB-F7EC-4E1F-8DE7-C43A631F2E2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A591F7AD-ABD3-4E1E-AE67-C107777E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A3804117.dotm</Template>
  <TotalTime>30</TotalTime>
  <Pages>7</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ms19000463 Attachment D - Enhancing Online Safety -Protecting Australians from Terrorist or Violent Criminal Material- Le.docx</vt:lpstr>
    </vt:vector>
  </TitlesOfParts>
  <Company>Department of Finance</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ms19000463 Attachment D - Enhancing Online Safety -Protecting Australians from Terrorist or Violent Criminal Material- Le.docx</dc:title>
  <dc:creator>Hudson, Heath</dc:creator>
  <cp:lastModifiedBy>Penprase, James</cp:lastModifiedBy>
  <cp:revision>4</cp:revision>
  <cp:lastPrinted>2019-02-04T08:15:00Z</cp:lastPrinted>
  <dcterms:created xsi:type="dcterms:W3CDTF">2019-06-24T03:55:00Z</dcterms:created>
  <dcterms:modified xsi:type="dcterms:W3CDTF">2019-06-24T09:46:00Z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0x0101004C92D4A895A4AC4FB429A2A94FE01DE0</vt:lpwstr>
  </property>
  <property fmtid="{D5CDD505-2E9C-101B-9397-08002B2CF9AE}" pid="3" name="TrimRevisionNumber">
    <vt:i4>3</vt:i4>
  </property>
</Properties>
</file>