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72" w:rsidRPr="00625284" w:rsidRDefault="00AE7F72" w:rsidP="00AE7F72">
      <w:pPr>
        <w:jc w:val="center"/>
        <w:rPr>
          <w:rFonts w:ascii="Times New Roman" w:hAnsi="Times New Roman"/>
          <w:b/>
          <w:bCs/>
          <w:szCs w:val="24"/>
          <w:u w:val="single"/>
        </w:rPr>
      </w:pPr>
      <w:r w:rsidRPr="00625284">
        <w:rPr>
          <w:rFonts w:ascii="Times New Roman" w:hAnsi="Times New Roman"/>
          <w:b/>
          <w:bCs/>
          <w:szCs w:val="24"/>
          <w:u w:val="single"/>
        </w:rPr>
        <w:t>EXPLANATORY STATEMENT</w:t>
      </w:r>
    </w:p>
    <w:p w:rsidR="00AE7F72" w:rsidRPr="00A35596" w:rsidRDefault="00AE7F72" w:rsidP="00AE7F72">
      <w:pPr>
        <w:jc w:val="center"/>
        <w:rPr>
          <w:b/>
          <w:sz w:val="22"/>
          <w:szCs w:val="22"/>
        </w:rPr>
      </w:pPr>
    </w:p>
    <w:p w:rsidR="00AE7F72" w:rsidRPr="00625284" w:rsidRDefault="00AE7F72" w:rsidP="00AE7F72">
      <w:pPr>
        <w:jc w:val="center"/>
        <w:rPr>
          <w:rFonts w:ascii="Times New Roman" w:hAnsi="Times New Roman"/>
          <w:bCs/>
          <w:i/>
          <w:iCs/>
          <w:szCs w:val="24"/>
        </w:rPr>
      </w:pPr>
      <w:r w:rsidRPr="00625284">
        <w:rPr>
          <w:rFonts w:ascii="Times New Roman" w:hAnsi="Times New Roman"/>
          <w:bCs/>
          <w:i/>
          <w:iCs/>
          <w:szCs w:val="24"/>
        </w:rPr>
        <w:t>Therapeutic Goods Act 1989</w:t>
      </w:r>
    </w:p>
    <w:p w:rsidR="00AE7F72" w:rsidRPr="00A35596" w:rsidRDefault="00AE7F72" w:rsidP="00AE7F72">
      <w:pPr>
        <w:jc w:val="center"/>
        <w:rPr>
          <w:sz w:val="22"/>
          <w:szCs w:val="22"/>
          <w:u w:val="single"/>
        </w:rPr>
      </w:pPr>
    </w:p>
    <w:p w:rsidR="00AE7F72" w:rsidRPr="00625284" w:rsidRDefault="00AE7F72" w:rsidP="00AE7F72">
      <w:pPr>
        <w:jc w:val="center"/>
        <w:rPr>
          <w:rFonts w:ascii="Times New Roman" w:hAnsi="Times New Roman"/>
          <w:i/>
          <w:szCs w:val="24"/>
        </w:rPr>
      </w:pPr>
      <w:r w:rsidRPr="00625284">
        <w:rPr>
          <w:rFonts w:ascii="Times New Roman" w:hAnsi="Times New Roman"/>
          <w:i/>
          <w:szCs w:val="24"/>
        </w:rPr>
        <w:t>The</w:t>
      </w:r>
      <w:r>
        <w:rPr>
          <w:rFonts w:ascii="Times New Roman" w:hAnsi="Times New Roman"/>
          <w:i/>
          <w:szCs w:val="24"/>
        </w:rPr>
        <w:t>rapeutic Goods Amendment (Excluded Goods) Determination</w:t>
      </w:r>
      <w:r w:rsidRPr="00625284">
        <w:rPr>
          <w:rFonts w:ascii="Times New Roman" w:hAnsi="Times New Roman"/>
          <w:i/>
          <w:szCs w:val="24"/>
        </w:rPr>
        <w:t xml:space="preserve"> </w:t>
      </w:r>
      <w:r>
        <w:rPr>
          <w:rFonts w:ascii="Times New Roman" w:hAnsi="Times New Roman"/>
          <w:i/>
          <w:szCs w:val="24"/>
        </w:rPr>
        <w:t xml:space="preserve">(No. 2) </w:t>
      </w:r>
      <w:r w:rsidRPr="00625284">
        <w:rPr>
          <w:rFonts w:ascii="Times New Roman" w:hAnsi="Times New Roman"/>
          <w:i/>
          <w:szCs w:val="24"/>
        </w:rPr>
        <w:t>2019</w:t>
      </w:r>
    </w:p>
    <w:p w:rsidR="00AE7F72" w:rsidRPr="00A35596" w:rsidRDefault="00AE7F72" w:rsidP="00AE7F72">
      <w:pPr>
        <w:jc w:val="center"/>
        <w:rPr>
          <w:b/>
          <w:sz w:val="22"/>
          <w:szCs w:val="22"/>
        </w:rPr>
      </w:pPr>
    </w:p>
    <w:p w:rsidR="00AE7F72" w:rsidRPr="00CF219B" w:rsidRDefault="00AE7F72" w:rsidP="00AE7F7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w:t>
      </w:r>
      <w:r>
        <w:rPr>
          <w:rFonts w:ascii="Times New Roman" w:hAnsi="Times New Roman"/>
          <w:sz w:val="22"/>
          <w:szCs w:val="22"/>
        </w:rPr>
        <w:t xml:space="preserve"> </w:t>
      </w:r>
      <w:r w:rsidRPr="00CF219B">
        <w:rPr>
          <w:rFonts w:ascii="Times New Roman" w:hAnsi="Times New Roman"/>
          <w:sz w:val="22"/>
          <w:szCs w:val="22"/>
        </w:rPr>
        <w:t xml:space="preserve">The Act is administered by the Therapeutic Goods Administration (“the TGA”) within the </w:t>
      </w:r>
      <w:r>
        <w:rPr>
          <w:rFonts w:ascii="Times New Roman" w:hAnsi="Times New Roman"/>
          <w:sz w:val="22"/>
          <w:szCs w:val="22"/>
        </w:rPr>
        <w:t xml:space="preserve">Commonwealth </w:t>
      </w:r>
      <w:r w:rsidRPr="00CF219B">
        <w:rPr>
          <w:rFonts w:ascii="Times New Roman" w:hAnsi="Times New Roman"/>
          <w:sz w:val="22"/>
          <w:szCs w:val="22"/>
        </w:rPr>
        <w:t>Department of Health.</w:t>
      </w:r>
    </w:p>
    <w:p w:rsidR="00AE7F72" w:rsidRPr="00CF219B"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Subsection </w:t>
      </w:r>
      <w:proofErr w:type="gramStart"/>
      <w:r>
        <w:rPr>
          <w:rFonts w:ascii="Times New Roman" w:hAnsi="Times New Roman"/>
          <w:sz w:val="22"/>
          <w:szCs w:val="22"/>
        </w:rPr>
        <w:t>7AA(</w:t>
      </w:r>
      <w:proofErr w:type="gramEnd"/>
      <w:r>
        <w:rPr>
          <w:rFonts w:ascii="Times New Roman" w:hAnsi="Times New Roman"/>
          <w:sz w:val="22"/>
          <w:szCs w:val="22"/>
        </w:rPr>
        <w:t>1) of the Act provides that the Minister may, by legislative instrument, determine that specified goods (other than goods declared to be therapeutic goods under an order in force under section 7 of the Act) are excluded goods for the purposes of the Act. Subsection 7AA(2) of the Act provides that the Minster may, by legislative instrument determine that specified goods (other than goods declared to be therapeutic goods under an order in force under section 7 of the Act) are excluded goods for the purposes of the Act when used, advertised or presented for supply in a specified manner.</w:t>
      </w:r>
    </w:p>
    <w:p w:rsidR="00AE7F72"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Th</w:t>
      </w:r>
      <w:r>
        <w:rPr>
          <w:rFonts w:ascii="Times New Roman" w:hAnsi="Times New Roman"/>
          <w:i/>
          <w:sz w:val="22"/>
          <w:szCs w:val="22"/>
        </w:rPr>
        <w:t xml:space="preserve">erapeutic Goods (Excluded Goods) Determination </w:t>
      </w:r>
      <w:r w:rsidRPr="00F93DF3">
        <w:rPr>
          <w:rFonts w:ascii="Times New Roman" w:hAnsi="Times New Roman"/>
          <w:i/>
          <w:sz w:val="22"/>
          <w:szCs w:val="22"/>
        </w:rPr>
        <w:t>2018</w:t>
      </w:r>
      <w:r>
        <w:rPr>
          <w:rFonts w:ascii="Times New Roman" w:hAnsi="Times New Roman"/>
          <w:sz w:val="22"/>
          <w:szCs w:val="22"/>
        </w:rPr>
        <w:t xml:space="preserve"> (“the Principal Determination”) is made under subsections </w:t>
      </w:r>
      <w:proofErr w:type="gramStart"/>
      <w:r>
        <w:rPr>
          <w:rFonts w:ascii="Times New Roman" w:hAnsi="Times New Roman"/>
          <w:sz w:val="22"/>
          <w:szCs w:val="22"/>
        </w:rPr>
        <w:t>7AA(</w:t>
      </w:r>
      <w:proofErr w:type="gramEnd"/>
      <w:r>
        <w:rPr>
          <w:rFonts w:ascii="Times New Roman" w:hAnsi="Times New Roman"/>
          <w:sz w:val="22"/>
          <w:szCs w:val="22"/>
        </w:rPr>
        <w:t>1) and 7AA(2) of the Act. The Principal Determination determines specified goods to be excluded goods for the purposes of the Act; and specified goods to be excluded goods for the purposes of the Act when used, advertised or presented for supply in a specified manner.</w:t>
      </w:r>
    </w:p>
    <w:p w:rsidR="00AE7F72"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Pr>
          <w:rFonts w:ascii="Times New Roman" w:hAnsi="Times New Roman"/>
          <w:i/>
          <w:sz w:val="22"/>
          <w:szCs w:val="22"/>
        </w:rPr>
        <w:t>Therapeutic Goods Amendment (Excluded Goods) Determination</w:t>
      </w:r>
      <w:r w:rsidRPr="00F93DF3">
        <w:rPr>
          <w:rFonts w:ascii="Times New Roman" w:hAnsi="Times New Roman"/>
          <w:i/>
          <w:sz w:val="22"/>
          <w:szCs w:val="22"/>
        </w:rPr>
        <w:t xml:space="preserve"> </w:t>
      </w:r>
      <w:r>
        <w:rPr>
          <w:rFonts w:ascii="Times New Roman" w:hAnsi="Times New Roman"/>
          <w:i/>
          <w:sz w:val="22"/>
          <w:szCs w:val="22"/>
        </w:rPr>
        <w:t xml:space="preserve">(No. 2) </w:t>
      </w:r>
      <w:r w:rsidRPr="00F93DF3">
        <w:rPr>
          <w:rFonts w:ascii="Times New Roman" w:hAnsi="Times New Roman"/>
          <w:i/>
          <w:sz w:val="22"/>
          <w:szCs w:val="22"/>
        </w:rPr>
        <w:t xml:space="preserve">2019 </w:t>
      </w:r>
      <w:r>
        <w:rPr>
          <w:rFonts w:ascii="Times New Roman" w:hAnsi="Times New Roman"/>
          <w:sz w:val="22"/>
          <w:szCs w:val="22"/>
        </w:rPr>
        <w:t xml:space="preserve">(“the Amendment </w:t>
      </w:r>
      <w:r w:rsidRPr="005F1EE1">
        <w:rPr>
          <w:rFonts w:ascii="Times New Roman" w:hAnsi="Times New Roman"/>
          <w:sz w:val="22"/>
          <w:szCs w:val="22"/>
        </w:rPr>
        <w:t xml:space="preserve">Determination”) is made under subsection </w:t>
      </w:r>
      <w:proofErr w:type="gramStart"/>
      <w:r w:rsidRPr="005F1EE1">
        <w:rPr>
          <w:rFonts w:ascii="Times New Roman" w:hAnsi="Times New Roman"/>
          <w:sz w:val="22"/>
          <w:szCs w:val="22"/>
        </w:rPr>
        <w:t>7AA(</w:t>
      </w:r>
      <w:proofErr w:type="gramEnd"/>
      <w:r w:rsidRPr="005F1EE1">
        <w:rPr>
          <w:rFonts w:ascii="Times New Roman" w:hAnsi="Times New Roman"/>
          <w:sz w:val="22"/>
          <w:szCs w:val="22"/>
        </w:rPr>
        <w:t>1) of the Act. The purpose of the Amendment Determination is to amend the Principal Determination to specify fluoridated reticulated drinking water to be excluded goods for the purposes of the Act. The effect of this provision is to exclude fluoridated reticulated drinking water from the operation of the Act.</w:t>
      </w:r>
    </w:p>
    <w:p w:rsidR="00AE7F72"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Water fluoridation is the process of adjusting the amount of fluoride in drinking water to levels which the NHMRC supports Australian states and territories to provide. Fluoride is a chemical ion of the element fluorine and is a </w:t>
      </w:r>
      <w:r w:rsidRPr="00A460E6">
        <w:rPr>
          <w:rFonts w:ascii="Times New Roman" w:hAnsi="Times New Roman"/>
          <w:i/>
          <w:sz w:val="22"/>
          <w:szCs w:val="22"/>
        </w:rPr>
        <w:t>naturally occurring</w:t>
      </w:r>
      <w:r>
        <w:rPr>
          <w:rFonts w:ascii="Times New Roman" w:hAnsi="Times New Roman"/>
          <w:sz w:val="22"/>
          <w:szCs w:val="22"/>
        </w:rPr>
        <w:t xml:space="preserve"> component of mineral salts found in rocks, soil, natural water resources, plants and animals. That water is not only used for drinking – primarily to satisfy thirst – it is also used in washing, bathing, flushing the toilet and bathing.</w:t>
      </w:r>
    </w:p>
    <w:p w:rsidR="00AE7F72" w:rsidRDefault="00AE7F72" w:rsidP="00AE7F72">
      <w:pPr>
        <w:autoSpaceDE w:val="0"/>
        <w:autoSpaceDN w:val="0"/>
        <w:adjustRightInd w:val="0"/>
        <w:rPr>
          <w:rFonts w:ascii="Times New Roman" w:hAnsi="Times New Roman"/>
          <w:sz w:val="22"/>
          <w:szCs w:val="22"/>
        </w:rPr>
      </w:pPr>
    </w:p>
    <w:p w:rsidR="00AE7F72" w:rsidRPr="005F1EE1"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Reticulated drinking water is used in its commonly understood sense in the Australian community, drinking water that is distributed by pipes whether that is a network of pipes or a single pipeline (as opposed, for example, to well water).</w:t>
      </w:r>
    </w:p>
    <w:p w:rsidR="00AE7F72" w:rsidRPr="005F1EE1"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sidRPr="005F1EE1">
        <w:rPr>
          <w:rFonts w:ascii="Times New Roman" w:hAnsi="Times New Roman"/>
          <w:sz w:val="22"/>
          <w:szCs w:val="22"/>
        </w:rPr>
        <w:t>The Amendment Determination confirms that the regulation of fluoridated reticulated drinking water is a matter for the states and territories.</w:t>
      </w:r>
    </w:p>
    <w:p w:rsidR="00AE7F72" w:rsidRDefault="00AE7F72" w:rsidP="00AE7F72">
      <w:pPr>
        <w:autoSpaceDE w:val="0"/>
        <w:autoSpaceDN w:val="0"/>
        <w:adjustRightInd w:val="0"/>
        <w:rPr>
          <w:rFonts w:ascii="Times New Roman" w:hAnsi="Times New Roman"/>
          <w:sz w:val="22"/>
          <w:szCs w:val="22"/>
        </w:rPr>
      </w:pPr>
    </w:p>
    <w:p w:rsidR="00AE7F72" w:rsidRPr="006514E0" w:rsidRDefault="00AE7F72" w:rsidP="00AE7F72">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Before making a determination under </w:t>
      </w:r>
      <w:r>
        <w:rPr>
          <w:rFonts w:ascii="Times New Roman" w:hAnsi="Times New Roman"/>
          <w:sz w:val="22"/>
          <w:szCs w:val="22"/>
        </w:rPr>
        <w:t>sub</w:t>
      </w:r>
      <w:r w:rsidRPr="00CB3EFF">
        <w:rPr>
          <w:rFonts w:ascii="Times New Roman" w:hAnsi="Times New Roman"/>
          <w:sz w:val="22"/>
          <w:szCs w:val="22"/>
        </w:rPr>
        <w:t xml:space="preserve">section </w:t>
      </w:r>
      <w:proofErr w:type="gramStart"/>
      <w:r w:rsidRPr="00CB3EFF">
        <w:rPr>
          <w:rFonts w:ascii="Times New Roman" w:hAnsi="Times New Roman"/>
          <w:sz w:val="22"/>
          <w:szCs w:val="22"/>
        </w:rPr>
        <w:t>7AA</w:t>
      </w:r>
      <w:r>
        <w:rPr>
          <w:rFonts w:ascii="Times New Roman" w:hAnsi="Times New Roman"/>
          <w:sz w:val="22"/>
          <w:szCs w:val="22"/>
        </w:rPr>
        <w:t>(</w:t>
      </w:r>
      <w:proofErr w:type="gramEnd"/>
      <w:r>
        <w:rPr>
          <w:rFonts w:ascii="Times New Roman" w:hAnsi="Times New Roman"/>
          <w:sz w:val="22"/>
          <w:szCs w:val="22"/>
        </w:rPr>
        <w:t>1) or subsection 7AA(2)</w:t>
      </w:r>
      <w:r w:rsidRPr="00CB3EFF">
        <w:rPr>
          <w:rFonts w:ascii="Times New Roman" w:hAnsi="Times New Roman"/>
          <w:sz w:val="22"/>
          <w:szCs w:val="22"/>
        </w:rPr>
        <w:t xml:space="preserve">, the Minister </w:t>
      </w:r>
      <w:r>
        <w:rPr>
          <w:rFonts w:ascii="Times New Roman" w:hAnsi="Times New Roman"/>
          <w:sz w:val="22"/>
          <w:szCs w:val="22"/>
        </w:rPr>
        <w:t>or his delegate must</w:t>
      </w:r>
      <w:r w:rsidRPr="00CB3EFF">
        <w:rPr>
          <w:rFonts w:ascii="Times New Roman" w:hAnsi="Times New Roman"/>
          <w:sz w:val="22"/>
          <w:szCs w:val="22"/>
        </w:rPr>
        <w:t xml:space="preserve"> have regard to certain </w:t>
      </w:r>
      <w:r w:rsidRPr="006514E0">
        <w:rPr>
          <w:rFonts w:ascii="Times New Roman" w:hAnsi="Times New Roman"/>
          <w:sz w:val="22"/>
          <w:szCs w:val="22"/>
        </w:rPr>
        <w:t>matters specified in subsection 7AA(3). Those matters are:</w:t>
      </w:r>
    </w:p>
    <w:p w:rsidR="00AE7F72" w:rsidRPr="006514E0" w:rsidRDefault="00AE7F72" w:rsidP="00AE7F72">
      <w:pPr>
        <w:pStyle w:val="ListParagraph"/>
        <w:numPr>
          <w:ilvl w:val="0"/>
          <w:numId w:val="18"/>
        </w:numPr>
        <w:spacing w:before="120"/>
        <w:contextualSpacing w:val="0"/>
        <w:rPr>
          <w:rFonts w:ascii="Times New Roman" w:hAnsi="Times New Roman"/>
          <w:sz w:val="22"/>
          <w:szCs w:val="22"/>
        </w:rPr>
      </w:pPr>
      <w:r w:rsidRPr="006514E0">
        <w:rPr>
          <w:rFonts w:ascii="Times New Roman" w:hAnsi="Times New Roman"/>
          <w:sz w:val="22"/>
          <w:szCs w:val="22"/>
        </w:rPr>
        <w:t>whether it is likely that the specified goods might harm the health of members of the public if not regulated under the Act;</w:t>
      </w:r>
    </w:p>
    <w:p w:rsidR="00AE7F72" w:rsidRPr="006514E0" w:rsidRDefault="00AE7F72" w:rsidP="00AE7F72">
      <w:pPr>
        <w:pStyle w:val="ListParagraph"/>
        <w:numPr>
          <w:ilvl w:val="0"/>
          <w:numId w:val="18"/>
        </w:numPr>
        <w:spacing w:before="120"/>
        <w:contextualSpacing w:val="0"/>
        <w:rPr>
          <w:rFonts w:ascii="Times New Roman" w:hAnsi="Times New Roman"/>
          <w:sz w:val="22"/>
          <w:szCs w:val="22"/>
        </w:rPr>
      </w:pPr>
      <w:r w:rsidRPr="006514E0">
        <w:rPr>
          <w:rFonts w:ascii="Times New Roman" w:hAnsi="Times New Roman"/>
          <w:sz w:val="22"/>
          <w:szCs w:val="22"/>
        </w:rPr>
        <w:t>whether it is appropriate in all the circumstances to apply the national system of controls established by the Act (as mentioned above) to regulate the specified goods; and</w:t>
      </w:r>
    </w:p>
    <w:p w:rsidR="00AE7F72" w:rsidRPr="006514E0" w:rsidRDefault="00AE7F72" w:rsidP="00AE7F72">
      <w:pPr>
        <w:pStyle w:val="ListParagraph"/>
        <w:numPr>
          <w:ilvl w:val="0"/>
          <w:numId w:val="18"/>
        </w:numPr>
        <w:spacing w:before="120"/>
        <w:contextualSpacing w:val="0"/>
        <w:rPr>
          <w:rFonts w:ascii="Times New Roman" w:hAnsi="Times New Roman"/>
          <w:sz w:val="22"/>
          <w:szCs w:val="22"/>
        </w:rPr>
      </w:pPr>
      <w:proofErr w:type="gramStart"/>
      <w:r w:rsidRPr="006514E0">
        <w:rPr>
          <w:rFonts w:ascii="Times New Roman" w:hAnsi="Times New Roman"/>
          <w:sz w:val="22"/>
          <w:szCs w:val="22"/>
        </w:rPr>
        <w:t>whether</w:t>
      </w:r>
      <w:proofErr w:type="gramEnd"/>
      <w:r w:rsidRPr="006514E0">
        <w:rPr>
          <w:rFonts w:ascii="Times New Roman" w:hAnsi="Times New Roman"/>
          <w:sz w:val="22"/>
          <w:szCs w:val="22"/>
        </w:rPr>
        <w:t xml:space="preserve"> the kinds of risks that members of the public might be exposed to from the specified goods could be more appropriately dealt with under another regulatory scheme.</w:t>
      </w:r>
    </w:p>
    <w:p w:rsidR="00AE7F72" w:rsidRPr="006514E0"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sidRPr="006514E0">
        <w:rPr>
          <w:rFonts w:ascii="Times New Roman" w:hAnsi="Times New Roman"/>
          <w:sz w:val="22"/>
          <w:szCs w:val="22"/>
        </w:rPr>
        <w:lastRenderedPageBreak/>
        <w:t xml:space="preserve">In addition, the Minister may have regard to any other matter that the Minister or his delegate considers relevant (subsection </w:t>
      </w:r>
      <w:proofErr w:type="gramStart"/>
      <w:r w:rsidRPr="006514E0">
        <w:rPr>
          <w:rFonts w:ascii="Times New Roman" w:hAnsi="Times New Roman"/>
          <w:sz w:val="22"/>
          <w:szCs w:val="22"/>
        </w:rPr>
        <w:t>7AA(</w:t>
      </w:r>
      <w:proofErr w:type="gramEnd"/>
      <w:r w:rsidRPr="006514E0">
        <w:rPr>
          <w:rFonts w:ascii="Times New Roman" w:hAnsi="Times New Roman"/>
          <w:sz w:val="22"/>
          <w:szCs w:val="22"/>
        </w:rPr>
        <w:t xml:space="preserve">4) refers). In making this Amendment Determination, the delegate considered each of the matters specified in subsection </w:t>
      </w:r>
      <w:proofErr w:type="gramStart"/>
      <w:r w:rsidRPr="006514E0">
        <w:rPr>
          <w:rFonts w:ascii="Times New Roman" w:hAnsi="Times New Roman"/>
          <w:sz w:val="22"/>
          <w:szCs w:val="22"/>
        </w:rPr>
        <w:t>7AA(</w:t>
      </w:r>
      <w:proofErr w:type="gramEnd"/>
      <w:r w:rsidRPr="006514E0">
        <w:rPr>
          <w:rFonts w:ascii="Times New Roman" w:hAnsi="Times New Roman"/>
          <w:sz w:val="22"/>
          <w:szCs w:val="22"/>
        </w:rPr>
        <w:t xml:space="preserve">3) of the Act. </w:t>
      </w:r>
    </w:p>
    <w:p w:rsidR="00AE7F72"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The Public Statement on water fluoridation of the National Health and Medical Research Council (NHMRC), Australia’s leading expert body promoting the development and maintenance of public health and clinical standards and responsible for providing the Australian community with health advice based on the best available science, is clear evidence that it is not likely that fluoridated reticulated drinking water will harm members of the public if not regulated as a therapeutic good. </w:t>
      </w:r>
    </w:p>
    <w:p w:rsidR="00AE7F72"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First, the NHMRC includes in that statement its conclusion that</w:t>
      </w:r>
      <w:r w:rsidRPr="006514E0">
        <w:rPr>
          <w:rFonts w:ascii="Times New Roman" w:hAnsi="Times New Roman"/>
          <w:sz w:val="22"/>
          <w:szCs w:val="22"/>
        </w:rPr>
        <w:t xml:space="preserve"> there is </w:t>
      </w:r>
      <w:r>
        <w:rPr>
          <w:rFonts w:ascii="Times New Roman" w:hAnsi="Times New Roman"/>
          <w:sz w:val="22"/>
          <w:szCs w:val="22"/>
        </w:rPr>
        <w:t xml:space="preserve">reliable evidence that there is </w:t>
      </w:r>
      <w:r w:rsidRPr="006C0199">
        <w:rPr>
          <w:rFonts w:ascii="Times New Roman" w:hAnsi="Times New Roman"/>
          <w:i/>
          <w:sz w:val="22"/>
          <w:szCs w:val="22"/>
        </w:rPr>
        <w:t>no</w:t>
      </w:r>
      <w:r>
        <w:rPr>
          <w:rFonts w:ascii="Times New Roman" w:hAnsi="Times New Roman"/>
          <w:sz w:val="22"/>
          <w:szCs w:val="22"/>
        </w:rPr>
        <w:t xml:space="preserve"> association between the specified goods with cancer, Down </w:t>
      </w:r>
      <w:proofErr w:type="gramStart"/>
      <w:r>
        <w:rPr>
          <w:rFonts w:ascii="Times New Roman" w:hAnsi="Times New Roman"/>
          <w:sz w:val="22"/>
          <w:szCs w:val="22"/>
        </w:rPr>
        <w:t>Syndrome</w:t>
      </w:r>
      <w:proofErr w:type="gramEnd"/>
      <w:r>
        <w:rPr>
          <w:rFonts w:ascii="Times New Roman" w:hAnsi="Times New Roman"/>
          <w:sz w:val="22"/>
          <w:szCs w:val="22"/>
        </w:rPr>
        <w:t xml:space="preserve">, cognitive dysfunction, lowered intelligence or hip fracture. </w:t>
      </w:r>
    </w:p>
    <w:p w:rsidR="00AE7F72" w:rsidRDefault="00AE7F72" w:rsidP="00AE7F72">
      <w:pPr>
        <w:autoSpaceDE w:val="0"/>
        <w:autoSpaceDN w:val="0"/>
        <w:adjustRightInd w:val="0"/>
        <w:rPr>
          <w:rFonts w:ascii="Times New Roman" w:hAnsi="Times New Roman"/>
          <w:sz w:val="22"/>
          <w:szCs w:val="22"/>
        </w:rPr>
      </w:pPr>
    </w:p>
    <w:p w:rsidR="00AE7F72" w:rsidRPr="006514E0"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Second, the NHMRC also found that there is </w:t>
      </w:r>
      <w:r w:rsidRPr="006C0199">
        <w:rPr>
          <w:rFonts w:ascii="Times New Roman" w:hAnsi="Times New Roman"/>
          <w:i/>
          <w:sz w:val="22"/>
          <w:szCs w:val="22"/>
        </w:rPr>
        <w:t>no</w:t>
      </w:r>
      <w:r w:rsidRPr="006514E0">
        <w:rPr>
          <w:rFonts w:ascii="Times New Roman" w:hAnsi="Times New Roman"/>
          <w:sz w:val="22"/>
          <w:szCs w:val="22"/>
        </w:rPr>
        <w:t xml:space="preserve"> reliable evidence </w:t>
      </w:r>
      <w:r>
        <w:rPr>
          <w:rFonts w:ascii="Times New Roman" w:hAnsi="Times New Roman"/>
          <w:sz w:val="22"/>
          <w:szCs w:val="22"/>
        </w:rPr>
        <w:t xml:space="preserve">of an </w:t>
      </w:r>
      <w:r w:rsidRPr="006514E0">
        <w:rPr>
          <w:rFonts w:ascii="Times New Roman" w:hAnsi="Times New Roman"/>
          <w:sz w:val="22"/>
          <w:szCs w:val="22"/>
        </w:rPr>
        <w:t xml:space="preserve">association between the specified goods </w:t>
      </w:r>
      <w:r>
        <w:rPr>
          <w:rFonts w:ascii="Times New Roman" w:hAnsi="Times New Roman"/>
          <w:sz w:val="22"/>
          <w:szCs w:val="22"/>
        </w:rPr>
        <w:t>and other health conditions such as chronic kidney disease, kidney stones, hardening of the arteries, high blood pressure, low birth weight, all-cause mortality, musculoskeletal pain, osteoporosis, skeletal fluorosis, thyroid problems or self-reported ailments such as gastric discomfort, headache and insomnia. The NHMRC notes that it uses the term ‘no reliable evidence’ when there is a lack of confidence that the evidence reviewed is relevant to Australia or valid to accept any association between community water fluoridation and human health outcomes. Confidence in the body of evidence can be affected by several issues including the small number of studies, the study designs, the low quality of the studies and the lack of control for possible confounding factors, Confounding factors can include lack of consideration of fluoride from sources, socioeconomic status and exposure to other chemicals such as iodine or lead.</w:t>
      </w:r>
    </w:p>
    <w:p w:rsidR="00AE7F72" w:rsidRPr="006514E0" w:rsidRDefault="00AE7F72" w:rsidP="00AE7F72">
      <w:pPr>
        <w:autoSpaceDE w:val="0"/>
        <w:autoSpaceDN w:val="0"/>
        <w:adjustRightInd w:val="0"/>
        <w:rPr>
          <w:rFonts w:ascii="Times New Roman" w:hAnsi="Times New Roman"/>
          <w:sz w:val="22"/>
          <w:szCs w:val="22"/>
        </w:rPr>
      </w:pPr>
    </w:p>
    <w:p w:rsidR="00AE7F72" w:rsidRPr="0033755E"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As also explained by the NHMRC, state and territory water authorities add fluoride to community water supplies using strict controls typically set out in the current regulatory frameworks used in each Australian state and territory (see table 2 of the </w:t>
      </w:r>
      <w:r>
        <w:rPr>
          <w:rFonts w:ascii="Times New Roman" w:hAnsi="Times New Roman"/>
          <w:i/>
          <w:sz w:val="22"/>
          <w:szCs w:val="22"/>
        </w:rPr>
        <w:t>Water Fluoridation and Human Health in Australia: Questions and Answers</w:t>
      </w:r>
      <w:r>
        <w:rPr>
          <w:rFonts w:ascii="Times New Roman" w:hAnsi="Times New Roman"/>
          <w:sz w:val="22"/>
          <w:szCs w:val="22"/>
        </w:rPr>
        <w:t xml:space="preserve"> published by the NHMRC). This includes controls on the quality and purity of chemicals used in accordance with </w:t>
      </w:r>
      <w:r>
        <w:rPr>
          <w:rFonts w:ascii="Times New Roman" w:hAnsi="Times New Roman"/>
          <w:i/>
          <w:sz w:val="22"/>
          <w:szCs w:val="22"/>
        </w:rPr>
        <w:t xml:space="preserve">Australian Drinking Water </w:t>
      </w:r>
      <w:r w:rsidRPr="003A7681">
        <w:rPr>
          <w:rFonts w:ascii="Times New Roman" w:hAnsi="Times New Roman"/>
          <w:i/>
          <w:sz w:val="22"/>
          <w:szCs w:val="22"/>
        </w:rPr>
        <w:t>Guidelines</w:t>
      </w:r>
      <w:r>
        <w:rPr>
          <w:rFonts w:ascii="Times New Roman" w:hAnsi="Times New Roman"/>
          <w:sz w:val="22"/>
          <w:szCs w:val="22"/>
        </w:rPr>
        <w:t>. T</w:t>
      </w:r>
      <w:r w:rsidRPr="006514E0" w:rsidDel="008B4044">
        <w:rPr>
          <w:rFonts w:ascii="Times New Roman" w:hAnsi="Times New Roman"/>
          <w:sz w:val="22"/>
          <w:szCs w:val="22"/>
        </w:rPr>
        <w:t xml:space="preserve">he </w:t>
      </w:r>
      <w:r>
        <w:rPr>
          <w:rFonts w:ascii="Times New Roman" w:hAnsi="Times New Roman"/>
          <w:sz w:val="22"/>
          <w:szCs w:val="22"/>
        </w:rPr>
        <w:t xml:space="preserve">controls in place under the </w:t>
      </w:r>
      <w:r w:rsidRPr="006514E0" w:rsidDel="008B4044">
        <w:rPr>
          <w:rFonts w:ascii="Times New Roman" w:hAnsi="Times New Roman"/>
          <w:sz w:val="22"/>
          <w:szCs w:val="22"/>
        </w:rPr>
        <w:t>relevant state and territory regulatory schemes regarding the fluoridation of water are appropriate</w:t>
      </w:r>
      <w:r>
        <w:rPr>
          <w:rFonts w:ascii="Times New Roman" w:hAnsi="Times New Roman"/>
          <w:sz w:val="22"/>
          <w:szCs w:val="22"/>
        </w:rPr>
        <w:t xml:space="preserve">. It follows that it is not </w:t>
      </w:r>
      <w:r w:rsidRPr="006514E0">
        <w:rPr>
          <w:rFonts w:ascii="Times New Roman" w:hAnsi="Times New Roman"/>
          <w:sz w:val="22"/>
          <w:szCs w:val="22"/>
        </w:rPr>
        <w:t xml:space="preserve">appropriate to apply the national system of controls established by the Act to regulate </w:t>
      </w:r>
      <w:r>
        <w:rPr>
          <w:rFonts w:ascii="Times New Roman" w:hAnsi="Times New Roman"/>
          <w:sz w:val="22"/>
          <w:szCs w:val="22"/>
        </w:rPr>
        <w:t>fluoridated reticulated drinking water.</w:t>
      </w:r>
    </w:p>
    <w:p w:rsidR="00AE7F72"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These considerations are consistent with </w:t>
      </w:r>
      <w:r w:rsidRPr="006514E0">
        <w:rPr>
          <w:rFonts w:ascii="Times New Roman" w:hAnsi="Times New Roman"/>
          <w:sz w:val="22"/>
          <w:szCs w:val="22"/>
        </w:rPr>
        <w:t xml:space="preserve">the </w:t>
      </w:r>
      <w:r>
        <w:rPr>
          <w:rFonts w:ascii="Times New Roman" w:hAnsi="Times New Roman"/>
          <w:sz w:val="22"/>
          <w:szCs w:val="22"/>
        </w:rPr>
        <w:t xml:space="preserve">statement on the </w:t>
      </w:r>
      <w:r w:rsidRPr="006514E0">
        <w:rPr>
          <w:rFonts w:ascii="Times New Roman" w:hAnsi="Times New Roman"/>
          <w:sz w:val="22"/>
          <w:szCs w:val="22"/>
        </w:rPr>
        <w:t xml:space="preserve">TGA’s website </w:t>
      </w:r>
      <w:r>
        <w:rPr>
          <w:rFonts w:ascii="Times New Roman" w:hAnsi="Times New Roman"/>
          <w:sz w:val="22"/>
          <w:szCs w:val="22"/>
        </w:rPr>
        <w:t>published in 2014</w:t>
      </w:r>
      <w:r w:rsidRPr="006514E0">
        <w:rPr>
          <w:rFonts w:ascii="Times New Roman" w:hAnsi="Times New Roman"/>
          <w:sz w:val="22"/>
          <w:szCs w:val="22"/>
        </w:rPr>
        <w:t xml:space="preserve">. </w:t>
      </w:r>
      <w:r>
        <w:rPr>
          <w:rFonts w:ascii="Times New Roman" w:hAnsi="Times New Roman"/>
          <w:sz w:val="22"/>
          <w:szCs w:val="22"/>
        </w:rPr>
        <w:t>Consistent with the delegate’s conclusion in the previous paragraph, t</w:t>
      </w:r>
      <w:r w:rsidRPr="006514E0">
        <w:rPr>
          <w:rFonts w:ascii="Times New Roman" w:hAnsi="Times New Roman"/>
          <w:sz w:val="22"/>
          <w:szCs w:val="22"/>
        </w:rPr>
        <w:t xml:space="preserve">he </w:t>
      </w:r>
      <w:r>
        <w:rPr>
          <w:rFonts w:ascii="Times New Roman" w:hAnsi="Times New Roman"/>
          <w:sz w:val="22"/>
          <w:szCs w:val="22"/>
        </w:rPr>
        <w:t xml:space="preserve">TGA’s </w:t>
      </w:r>
      <w:r w:rsidRPr="006514E0">
        <w:rPr>
          <w:rFonts w:ascii="Times New Roman" w:hAnsi="Times New Roman"/>
          <w:sz w:val="22"/>
          <w:szCs w:val="22"/>
        </w:rPr>
        <w:t xml:space="preserve">statement recognises that water </w:t>
      </w:r>
      <w:r>
        <w:rPr>
          <w:rFonts w:ascii="Times New Roman" w:hAnsi="Times New Roman"/>
          <w:sz w:val="22"/>
          <w:szCs w:val="22"/>
        </w:rPr>
        <w:t xml:space="preserve">fluoridation </w:t>
      </w:r>
      <w:r w:rsidRPr="006514E0">
        <w:rPr>
          <w:rFonts w:ascii="Times New Roman" w:hAnsi="Times New Roman"/>
          <w:sz w:val="22"/>
          <w:szCs w:val="22"/>
        </w:rPr>
        <w:t>is a matter to be regulated by the states and territories.</w:t>
      </w:r>
      <w:r>
        <w:rPr>
          <w:rFonts w:ascii="Times New Roman" w:hAnsi="Times New Roman"/>
          <w:sz w:val="22"/>
          <w:szCs w:val="22"/>
        </w:rPr>
        <w:t xml:space="preserve"> </w:t>
      </w:r>
    </w:p>
    <w:p w:rsidR="00AE7F72" w:rsidRDefault="00AE7F72" w:rsidP="00AE7F72">
      <w:pPr>
        <w:autoSpaceDE w:val="0"/>
        <w:autoSpaceDN w:val="0"/>
        <w:adjustRightInd w:val="0"/>
        <w:rPr>
          <w:rFonts w:ascii="Times New Roman" w:hAnsi="Times New Roman"/>
          <w:sz w:val="22"/>
          <w:szCs w:val="22"/>
        </w:rPr>
      </w:pPr>
    </w:p>
    <w:p w:rsidR="00AE7F72" w:rsidRPr="006514E0"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These frameworks were in place as early as 1957, all before the Act was enacted. There is no indication in the Act’s terms that it was intended to apply to the specified goods. It is difficult to imagine that the Parliament intended to bring such fundamentally important and widely used goods as fluoridated reticulated drinking water within the scope of the Act. It is not consistent with the objects of the Act for a good with several uses additional to drinking for it to be regulated as a therapeutic good.</w:t>
      </w:r>
    </w:p>
    <w:p w:rsidR="00AE7F72" w:rsidRPr="006514E0" w:rsidRDefault="00AE7F72" w:rsidP="00AE7F72">
      <w:pPr>
        <w:autoSpaceDE w:val="0"/>
        <w:autoSpaceDN w:val="0"/>
        <w:adjustRightInd w:val="0"/>
        <w:rPr>
          <w:rFonts w:ascii="Times New Roman" w:hAnsi="Times New Roman"/>
          <w:sz w:val="22"/>
          <w:szCs w:val="22"/>
        </w:rPr>
      </w:pPr>
    </w:p>
    <w:p w:rsidR="00AE7F72" w:rsidRPr="006514E0" w:rsidRDefault="00AE7F72" w:rsidP="00AE7F72">
      <w:pPr>
        <w:autoSpaceDE w:val="0"/>
        <w:autoSpaceDN w:val="0"/>
        <w:adjustRightInd w:val="0"/>
        <w:rPr>
          <w:rFonts w:ascii="Times New Roman" w:hAnsi="Times New Roman"/>
          <w:sz w:val="22"/>
          <w:szCs w:val="22"/>
        </w:rPr>
      </w:pPr>
      <w:r w:rsidRPr="006514E0">
        <w:rPr>
          <w:rFonts w:ascii="Times New Roman" w:hAnsi="Times New Roman"/>
          <w:sz w:val="22"/>
          <w:szCs w:val="22"/>
        </w:rPr>
        <w:t xml:space="preserve">Despite this position, </w:t>
      </w:r>
      <w:r>
        <w:rPr>
          <w:rFonts w:ascii="Times New Roman" w:hAnsi="Times New Roman"/>
          <w:sz w:val="22"/>
          <w:szCs w:val="22"/>
        </w:rPr>
        <w:t xml:space="preserve">noting </w:t>
      </w:r>
      <w:r w:rsidRPr="006514E0">
        <w:rPr>
          <w:rFonts w:ascii="Times New Roman" w:hAnsi="Times New Roman"/>
          <w:sz w:val="22"/>
          <w:szCs w:val="22"/>
        </w:rPr>
        <w:t xml:space="preserve">recent conflicting external views on the matter, </w:t>
      </w:r>
      <w:r>
        <w:rPr>
          <w:rFonts w:ascii="Times New Roman" w:hAnsi="Times New Roman"/>
          <w:sz w:val="22"/>
          <w:szCs w:val="22"/>
        </w:rPr>
        <w:t xml:space="preserve">it is apparent that there is clear public </w:t>
      </w:r>
      <w:r w:rsidRPr="006514E0">
        <w:rPr>
          <w:rFonts w:ascii="Times New Roman" w:hAnsi="Times New Roman"/>
          <w:sz w:val="22"/>
          <w:szCs w:val="22"/>
        </w:rPr>
        <w:t xml:space="preserve">benefit </w:t>
      </w:r>
      <w:r>
        <w:rPr>
          <w:rFonts w:ascii="Times New Roman" w:hAnsi="Times New Roman"/>
          <w:sz w:val="22"/>
          <w:szCs w:val="22"/>
        </w:rPr>
        <w:t xml:space="preserve">in this Amendment Determination </w:t>
      </w:r>
      <w:r w:rsidRPr="006514E0">
        <w:rPr>
          <w:rFonts w:ascii="Times New Roman" w:hAnsi="Times New Roman"/>
          <w:sz w:val="22"/>
          <w:szCs w:val="22"/>
        </w:rPr>
        <w:t>express</w:t>
      </w:r>
      <w:r>
        <w:rPr>
          <w:rFonts w:ascii="Times New Roman" w:hAnsi="Times New Roman"/>
          <w:sz w:val="22"/>
          <w:szCs w:val="22"/>
        </w:rPr>
        <w:t>ly excluding fluoridated reticulated drinking water from being regulated under the Act</w:t>
      </w:r>
      <w:r w:rsidRPr="006514E0">
        <w:rPr>
          <w:rFonts w:ascii="Times New Roman" w:hAnsi="Times New Roman"/>
          <w:sz w:val="22"/>
          <w:szCs w:val="22"/>
        </w:rPr>
        <w:t xml:space="preserve">. </w:t>
      </w:r>
      <w:r>
        <w:rPr>
          <w:rFonts w:ascii="Times New Roman" w:hAnsi="Times New Roman"/>
          <w:sz w:val="22"/>
          <w:szCs w:val="22"/>
        </w:rPr>
        <w:t>T</w:t>
      </w:r>
      <w:r w:rsidRPr="006514E0">
        <w:rPr>
          <w:rFonts w:ascii="Times New Roman" w:hAnsi="Times New Roman"/>
          <w:sz w:val="22"/>
          <w:szCs w:val="22"/>
        </w:rPr>
        <w:t>he Amendment Determination provides necessary certainty</w:t>
      </w:r>
      <w:r>
        <w:rPr>
          <w:rFonts w:ascii="Times New Roman" w:hAnsi="Times New Roman"/>
          <w:sz w:val="22"/>
          <w:szCs w:val="22"/>
        </w:rPr>
        <w:t xml:space="preserve"> that fluoridated reticulated drinking water is excluded from being regulated as a therapeutic good.</w:t>
      </w:r>
    </w:p>
    <w:p w:rsidR="00AE7F72" w:rsidRPr="006514E0" w:rsidRDefault="00AE7F72" w:rsidP="00AE7F72">
      <w:pPr>
        <w:autoSpaceDE w:val="0"/>
        <w:autoSpaceDN w:val="0"/>
        <w:adjustRightInd w:val="0"/>
        <w:rPr>
          <w:rFonts w:ascii="Times New Roman" w:hAnsi="Times New Roman"/>
          <w:sz w:val="22"/>
          <w:szCs w:val="22"/>
        </w:rPr>
      </w:pPr>
    </w:p>
    <w:p w:rsidR="00AE7F72" w:rsidRPr="006514E0" w:rsidRDefault="00AE7F72" w:rsidP="00AE7F72">
      <w:pPr>
        <w:autoSpaceDE w:val="0"/>
        <w:autoSpaceDN w:val="0"/>
        <w:adjustRightInd w:val="0"/>
        <w:rPr>
          <w:rFonts w:ascii="Times New Roman" w:hAnsi="Times New Roman"/>
          <w:sz w:val="22"/>
          <w:szCs w:val="22"/>
        </w:rPr>
      </w:pPr>
      <w:r w:rsidRPr="006514E0">
        <w:rPr>
          <w:rFonts w:ascii="Times New Roman" w:hAnsi="Times New Roman"/>
          <w:sz w:val="22"/>
          <w:szCs w:val="22"/>
        </w:rPr>
        <w:t>Consistent with subsection 13(3) of the </w:t>
      </w:r>
      <w:r w:rsidRPr="006514E0">
        <w:rPr>
          <w:rFonts w:ascii="Times New Roman" w:hAnsi="Times New Roman"/>
          <w:i/>
          <w:sz w:val="22"/>
          <w:szCs w:val="22"/>
        </w:rPr>
        <w:t>Legislation Act 2003</w:t>
      </w:r>
      <w:r w:rsidRPr="006514E0">
        <w:rPr>
          <w:rFonts w:ascii="Times New Roman" w:hAnsi="Times New Roman"/>
          <w:sz w:val="22"/>
          <w:szCs w:val="22"/>
        </w:rPr>
        <w:t xml:space="preserve">, a determination made under section 7AA of the Act may be made with reference to a class or classes of goods. For the purpose of the Amendment Determination, the class of specified goods is characterised as fluoridated reticulated drinking water. This expression is intended to have broad application, and applies in relation to </w:t>
      </w:r>
      <w:r w:rsidRPr="006514E0">
        <w:rPr>
          <w:rFonts w:ascii="Times New Roman" w:hAnsi="Times New Roman"/>
          <w:sz w:val="22"/>
          <w:szCs w:val="22"/>
        </w:rPr>
        <w:lastRenderedPageBreak/>
        <w:t>drinking water that contains fluoride, whether or not the fluoride is present as a consequence of manufacture or natural occurrence and subsequently tested, treated or modified accordingly.</w:t>
      </w:r>
    </w:p>
    <w:p w:rsidR="00AE7F72" w:rsidRPr="006514E0" w:rsidRDefault="00AE7F72" w:rsidP="00AE7F72">
      <w:pPr>
        <w:autoSpaceDE w:val="0"/>
        <w:autoSpaceDN w:val="0"/>
        <w:adjustRightInd w:val="0"/>
        <w:rPr>
          <w:rFonts w:ascii="Times New Roman" w:hAnsi="Times New Roman"/>
          <w:sz w:val="22"/>
          <w:szCs w:val="22"/>
        </w:rPr>
      </w:pPr>
    </w:p>
    <w:p w:rsidR="00AE7F72" w:rsidRPr="006514E0" w:rsidRDefault="00AE7F72" w:rsidP="00AE7F72">
      <w:pPr>
        <w:autoSpaceDE w:val="0"/>
        <w:autoSpaceDN w:val="0"/>
        <w:adjustRightInd w:val="0"/>
        <w:rPr>
          <w:rFonts w:ascii="Times New Roman" w:hAnsi="Times New Roman"/>
          <w:sz w:val="22"/>
          <w:szCs w:val="22"/>
        </w:rPr>
      </w:pPr>
      <w:r w:rsidRPr="006514E0">
        <w:rPr>
          <w:rFonts w:ascii="Times New Roman" w:hAnsi="Times New Roman"/>
          <w:sz w:val="22"/>
          <w:szCs w:val="22"/>
        </w:rPr>
        <w:t>The specified goods are described with reference to reticulation in general terms, on account of such water being reticulated within each of the states and territories for the purposes of testing, treatment and, otherwise, supply. Fluoridated reticulated drinking water may or may not also be the subject of further storage or transportation prior to being supplied to the consumer.</w:t>
      </w:r>
    </w:p>
    <w:p w:rsidR="00AE7F72" w:rsidRPr="006514E0" w:rsidRDefault="00AE7F72" w:rsidP="00AE7F72">
      <w:pPr>
        <w:autoSpaceDE w:val="0"/>
        <w:autoSpaceDN w:val="0"/>
        <w:adjustRightInd w:val="0"/>
        <w:rPr>
          <w:rFonts w:ascii="Times New Roman" w:hAnsi="Times New Roman"/>
          <w:sz w:val="22"/>
          <w:szCs w:val="22"/>
        </w:rPr>
      </w:pPr>
    </w:p>
    <w:p w:rsidR="00AE7F72" w:rsidRPr="00CF219B" w:rsidRDefault="00AE7F72" w:rsidP="00AE7F72">
      <w:pPr>
        <w:rPr>
          <w:rFonts w:ascii="Times New Roman" w:hAnsi="Times New Roman"/>
          <w:b/>
          <w:sz w:val="22"/>
          <w:szCs w:val="22"/>
        </w:rPr>
      </w:pPr>
      <w:r w:rsidRPr="006514E0">
        <w:rPr>
          <w:rFonts w:ascii="Times New Roman" w:hAnsi="Times New Roman"/>
          <w:b/>
          <w:sz w:val="22"/>
          <w:szCs w:val="22"/>
        </w:rPr>
        <w:t>Consultation</w:t>
      </w:r>
    </w:p>
    <w:p w:rsidR="00AE7F72" w:rsidRPr="00CF219B" w:rsidRDefault="00AE7F72" w:rsidP="00AE7F72">
      <w:pPr>
        <w:rPr>
          <w:rFonts w:ascii="Times New Roman" w:hAnsi="Times New Roman"/>
          <w:sz w:val="22"/>
          <w:szCs w:val="22"/>
        </w:rPr>
      </w:pPr>
    </w:p>
    <w:p w:rsidR="00AE7F72" w:rsidRDefault="00AE7F72" w:rsidP="00AE7F72">
      <w:pPr>
        <w:rPr>
          <w:rFonts w:ascii="Times New Roman" w:hAnsi="Times New Roman"/>
          <w:sz w:val="22"/>
          <w:szCs w:val="22"/>
        </w:rPr>
      </w:pPr>
      <w:r>
        <w:rPr>
          <w:rFonts w:ascii="Times New Roman" w:hAnsi="Times New Roman"/>
          <w:sz w:val="22"/>
          <w:szCs w:val="22"/>
        </w:rPr>
        <w:t>The Office of Best Practice Regulation (OBPR) advised that a</w:t>
      </w:r>
      <w:r w:rsidRPr="00CF219B">
        <w:rPr>
          <w:rFonts w:ascii="Times New Roman" w:hAnsi="Times New Roman"/>
          <w:sz w:val="22"/>
          <w:szCs w:val="22"/>
        </w:rPr>
        <w:t xml:space="preserve"> regulation impact statement was not required </w:t>
      </w:r>
      <w:r>
        <w:rPr>
          <w:rFonts w:ascii="Times New Roman" w:hAnsi="Times New Roman"/>
          <w:sz w:val="22"/>
          <w:szCs w:val="22"/>
        </w:rPr>
        <w:t xml:space="preserve">in relation to the Amendment Determination, and would not be required unless the measure reflected in this instrument changed significantly </w:t>
      </w:r>
      <w:r w:rsidRPr="00473C2E">
        <w:rPr>
          <w:rFonts w:ascii="Times New Roman" w:hAnsi="Times New Roman"/>
          <w:sz w:val="22"/>
          <w:szCs w:val="22"/>
        </w:rPr>
        <w:t>(OBPR reference:</w:t>
      </w:r>
      <w:r>
        <w:rPr>
          <w:rFonts w:ascii="Times New Roman" w:hAnsi="Times New Roman"/>
          <w:sz w:val="22"/>
          <w:szCs w:val="22"/>
        </w:rPr>
        <w:t xml:space="preserve"> </w:t>
      </w:r>
      <w:r w:rsidRPr="00C21FF2">
        <w:rPr>
          <w:rFonts w:ascii="Times New Roman" w:hAnsi="Times New Roman"/>
          <w:sz w:val="22"/>
          <w:szCs w:val="22"/>
        </w:rPr>
        <w:t>25295</w:t>
      </w:r>
      <w:r w:rsidRPr="00473C2E">
        <w:rPr>
          <w:rFonts w:ascii="Times New Roman" w:hAnsi="Times New Roman"/>
          <w:sz w:val="22"/>
          <w:szCs w:val="22"/>
        </w:rPr>
        <w:t>).</w:t>
      </w:r>
    </w:p>
    <w:p w:rsidR="00AE7F72" w:rsidRDefault="00AE7F72" w:rsidP="00AE7F72">
      <w:pPr>
        <w:rPr>
          <w:rFonts w:ascii="Times New Roman" w:hAnsi="Times New Roman"/>
          <w:sz w:val="22"/>
          <w:szCs w:val="22"/>
        </w:rPr>
      </w:pPr>
    </w:p>
    <w:p w:rsidR="00AE7F72" w:rsidRDefault="00AE7F72" w:rsidP="00AE7F72">
      <w:pPr>
        <w:rPr>
          <w:rFonts w:ascii="Times New Roman" w:hAnsi="Times New Roman"/>
          <w:sz w:val="22"/>
          <w:szCs w:val="22"/>
        </w:rPr>
      </w:pPr>
      <w:r>
        <w:rPr>
          <w:rFonts w:ascii="Times New Roman" w:hAnsi="Times New Roman"/>
          <w:sz w:val="22"/>
          <w:szCs w:val="22"/>
        </w:rPr>
        <w:t xml:space="preserve">The TGA consulted </w:t>
      </w:r>
      <w:r w:rsidRPr="005F1EE1">
        <w:rPr>
          <w:rFonts w:ascii="Times New Roman" w:hAnsi="Times New Roman"/>
          <w:sz w:val="22"/>
          <w:szCs w:val="22"/>
        </w:rPr>
        <w:t>the Environmental Health Standing Committee (“</w:t>
      </w:r>
      <w:proofErr w:type="spellStart"/>
      <w:r w:rsidRPr="005F1EE1">
        <w:rPr>
          <w:rFonts w:ascii="Times New Roman" w:hAnsi="Times New Roman"/>
          <w:sz w:val="22"/>
          <w:szCs w:val="22"/>
        </w:rPr>
        <w:t>enHealth</w:t>
      </w:r>
      <w:proofErr w:type="spellEnd"/>
      <w:r w:rsidRPr="00697C62">
        <w:rPr>
          <w:rFonts w:ascii="Times New Roman" w:hAnsi="Times New Roman"/>
          <w:sz w:val="22"/>
          <w:szCs w:val="22"/>
        </w:rPr>
        <w:t>”)</w:t>
      </w:r>
      <w:r>
        <w:rPr>
          <w:rFonts w:ascii="Times New Roman" w:hAnsi="Times New Roman"/>
          <w:sz w:val="22"/>
          <w:szCs w:val="22"/>
        </w:rPr>
        <w:t>,</w:t>
      </w:r>
      <w:r w:rsidRPr="00697C62">
        <w:rPr>
          <w:rFonts w:ascii="Times New Roman" w:hAnsi="Times New Roman"/>
          <w:sz w:val="22"/>
          <w:szCs w:val="22"/>
        </w:rPr>
        <w:t xml:space="preserve"> and </w:t>
      </w:r>
      <w:r>
        <w:rPr>
          <w:rFonts w:ascii="Times New Roman" w:hAnsi="Times New Roman"/>
          <w:sz w:val="22"/>
          <w:szCs w:val="22"/>
        </w:rPr>
        <w:t>the</w:t>
      </w:r>
      <w:r w:rsidRPr="00697C62">
        <w:rPr>
          <w:rFonts w:ascii="Times New Roman" w:hAnsi="Times New Roman"/>
          <w:sz w:val="22"/>
          <w:szCs w:val="22"/>
        </w:rPr>
        <w:t xml:space="preserve"> relevant subcommittee known as the Water Quality Expert Reference Panel</w:t>
      </w:r>
      <w:r>
        <w:rPr>
          <w:rFonts w:ascii="Times New Roman" w:hAnsi="Times New Roman"/>
          <w:sz w:val="22"/>
          <w:szCs w:val="22"/>
        </w:rPr>
        <w:t>,</w:t>
      </w:r>
      <w:r w:rsidRPr="00697C62">
        <w:rPr>
          <w:rFonts w:ascii="Times New Roman" w:hAnsi="Times New Roman"/>
          <w:sz w:val="22"/>
          <w:szCs w:val="22"/>
        </w:rPr>
        <w:t xml:space="preserve"> regarding the proposal for the Minister or his del</w:t>
      </w:r>
      <w:r>
        <w:rPr>
          <w:rFonts w:ascii="Times New Roman" w:hAnsi="Times New Roman"/>
          <w:sz w:val="22"/>
          <w:szCs w:val="22"/>
        </w:rPr>
        <w:t>egate</w:t>
      </w:r>
      <w:r w:rsidRPr="00697C62">
        <w:rPr>
          <w:rFonts w:ascii="Times New Roman" w:hAnsi="Times New Roman"/>
          <w:sz w:val="22"/>
          <w:szCs w:val="22"/>
        </w:rPr>
        <w:t xml:space="preserve"> to determine </w:t>
      </w:r>
      <w:r>
        <w:rPr>
          <w:rFonts w:ascii="Times New Roman" w:hAnsi="Times New Roman"/>
          <w:sz w:val="22"/>
          <w:szCs w:val="22"/>
        </w:rPr>
        <w:t xml:space="preserve">under subsection 7AA(1) of the Act that </w:t>
      </w:r>
      <w:r w:rsidRPr="00697C62">
        <w:rPr>
          <w:rFonts w:ascii="Times New Roman" w:hAnsi="Times New Roman"/>
          <w:sz w:val="22"/>
          <w:szCs w:val="22"/>
        </w:rPr>
        <w:t xml:space="preserve">fluoridated reticulated drinking water </w:t>
      </w:r>
      <w:r>
        <w:rPr>
          <w:rFonts w:ascii="Times New Roman" w:hAnsi="Times New Roman"/>
          <w:sz w:val="22"/>
          <w:szCs w:val="22"/>
        </w:rPr>
        <w:t xml:space="preserve">are </w:t>
      </w:r>
      <w:r w:rsidRPr="00697C62">
        <w:rPr>
          <w:rFonts w:ascii="Times New Roman" w:hAnsi="Times New Roman"/>
          <w:sz w:val="22"/>
          <w:szCs w:val="22"/>
        </w:rPr>
        <w:t>excluded goods for the purposes of the Act. The committees comprise members of the Commonwealth, state and territory governments</w:t>
      </w:r>
      <w:r>
        <w:rPr>
          <w:rFonts w:ascii="Times New Roman" w:hAnsi="Times New Roman"/>
          <w:sz w:val="22"/>
          <w:szCs w:val="22"/>
        </w:rPr>
        <w:t xml:space="preserve"> with responsibility for environmental health and water </w:t>
      </w:r>
      <w:r w:rsidRPr="005F1EE1">
        <w:rPr>
          <w:rFonts w:ascii="Times New Roman" w:hAnsi="Times New Roman"/>
          <w:sz w:val="22"/>
          <w:szCs w:val="22"/>
        </w:rPr>
        <w:t>quality matters. The committees provided their support for the measure.</w:t>
      </w:r>
    </w:p>
    <w:p w:rsidR="00AE7F72"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Details of the </w:t>
      </w:r>
      <w:r>
        <w:rPr>
          <w:rFonts w:ascii="Times New Roman" w:hAnsi="Times New Roman"/>
          <w:sz w:val="22"/>
          <w:szCs w:val="22"/>
        </w:rPr>
        <w:t>Amendment Determination</w:t>
      </w:r>
      <w:r w:rsidRPr="00CF219B">
        <w:rPr>
          <w:rFonts w:ascii="Times New Roman" w:hAnsi="Times New Roman"/>
          <w:sz w:val="22"/>
          <w:szCs w:val="22"/>
        </w:rPr>
        <w:t xml:space="preserve"> are set out in </w:t>
      </w:r>
      <w:r w:rsidRPr="000810B4">
        <w:rPr>
          <w:rFonts w:ascii="Times New Roman" w:hAnsi="Times New Roman"/>
          <w:b/>
          <w:sz w:val="22"/>
          <w:szCs w:val="22"/>
        </w:rPr>
        <w:t>Attachment A.</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Pr>
          <w:rFonts w:ascii="Times New Roman" w:hAnsi="Times New Roman"/>
          <w:sz w:val="22"/>
          <w:szCs w:val="22"/>
        </w:rPr>
        <w:t>Amendment Determination</w:t>
      </w:r>
      <w:r w:rsidRPr="00CF219B">
        <w:rPr>
          <w:rFonts w:ascii="Times New Roman" w:hAnsi="Times New Roman"/>
          <w:sz w:val="22"/>
          <w:szCs w:val="22"/>
        </w:rPr>
        <w:t xml:space="preserve"> is 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Pr>
          <w:rFonts w:ascii="Times New Roman" w:hAnsi="Times New Roman"/>
          <w:sz w:val="22"/>
          <w:szCs w:val="22"/>
        </w:rPr>
        <w:t>Amendment Determination</w:t>
      </w:r>
      <w:r w:rsidRPr="00CF219B">
        <w:rPr>
          <w:rFonts w:ascii="Times New Roman" w:hAnsi="Times New Roman"/>
          <w:sz w:val="22"/>
          <w:szCs w:val="22"/>
        </w:rPr>
        <w:t xml:space="preserve"> is a disallowable legislative instrument</w:t>
      </w:r>
      <w:r w:rsidRPr="00CF219B">
        <w:rPr>
          <w:rFonts w:ascii="Times New Roman" w:hAnsi="Times New Roman"/>
          <w:i/>
          <w:sz w:val="22"/>
          <w:szCs w:val="22"/>
        </w:rPr>
        <w:t xml:space="preserve"> </w:t>
      </w:r>
      <w:r w:rsidRPr="00CF219B">
        <w:rPr>
          <w:rFonts w:ascii="Times New Roman" w:hAnsi="Times New Roman"/>
          <w:sz w:val="22"/>
          <w:szCs w:val="22"/>
        </w:rPr>
        <w:t xml:space="preserve">for the purposes of the </w:t>
      </w:r>
      <w:r w:rsidRPr="00CF219B">
        <w:rPr>
          <w:rFonts w:ascii="Times New Roman" w:hAnsi="Times New Roman"/>
          <w:i/>
          <w:sz w:val="22"/>
          <w:szCs w:val="22"/>
        </w:rPr>
        <w:t xml:space="preserve">Legislation Act 2003 </w:t>
      </w:r>
      <w:r w:rsidRPr="00CF219B">
        <w:rPr>
          <w:rFonts w:ascii="Times New Roman" w:hAnsi="Times New Roman"/>
          <w:sz w:val="22"/>
          <w:szCs w:val="22"/>
        </w:rPr>
        <w:t xml:space="preserve">and commences on the day after </w:t>
      </w:r>
      <w:r>
        <w:rPr>
          <w:rFonts w:ascii="Times New Roman" w:hAnsi="Times New Roman"/>
          <w:sz w:val="22"/>
          <w:szCs w:val="22"/>
        </w:rPr>
        <w:t>it is registered</w:t>
      </w:r>
      <w:r w:rsidRPr="00CF219B">
        <w:rPr>
          <w:rFonts w:ascii="Times New Roman" w:hAnsi="Times New Roman"/>
          <w:sz w:val="22"/>
          <w:szCs w:val="22"/>
        </w:rPr>
        <w:t xml:space="preserve"> on the Federal Register of Legislation.</w:t>
      </w:r>
    </w:p>
    <w:p w:rsidR="00AE7F72" w:rsidRPr="00CF219B" w:rsidRDefault="00AE7F72" w:rsidP="00AE7F72">
      <w:pPr>
        <w:rPr>
          <w:rFonts w:ascii="Times New Roman" w:hAnsi="Times New Roman"/>
          <w:sz w:val="22"/>
          <w:szCs w:val="22"/>
        </w:rPr>
      </w:pPr>
      <w:r w:rsidRPr="00CF219B">
        <w:rPr>
          <w:rFonts w:ascii="Times New Roman" w:hAnsi="Times New Roman"/>
          <w:b/>
          <w:bCs/>
          <w:sz w:val="22"/>
          <w:szCs w:val="22"/>
        </w:rPr>
        <w:br w:type="page"/>
      </w:r>
    </w:p>
    <w:p w:rsidR="00AE7F72" w:rsidRPr="00CF219B" w:rsidRDefault="00AE7F72" w:rsidP="00AE7F72">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rsidR="00AE7F72" w:rsidRPr="00CF219B" w:rsidRDefault="00AE7F72" w:rsidP="00AE7F72">
      <w:pPr>
        <w:rPr>
          <w:rFonts w:ascii="Times New Roman" w:hAnsi="Times New Roman"/>
          <w:b/>
          <w:bCs/>
          <w:sz w:val="22"/>
          <w:szCs w:val="22"/>
        </w:rPr>
      </w:pPr>
    </w:p>
    <w:p w:rsidR="00AE7F72" w:rsidRPr="00805651" w:rsidRDefault="00AE7F72" w:rsidP="00AE7F72">
      <w:pPr>
        <w:rPr>
          <w:rFonts w:ascii="Times New Roman" w:hAnsi="Times New Roman"/>
          <w:szCs w:val="24"/>
        </w:rPr>
      </w:pPr>
      <w:r w:rsidRPr="00CF219B">
        <w:rPr>
          <w:rFonts w:ascii="Times New Roman" w:hAnsi="Times New Roman"/>
          <w:b/>
          <w:bCs/>
          <w:sz w:val="22"/>
          <w:szCs w:val="22"/>
        </w:rPr>
        <w:t xml:space="preserve">Details of the </w:t>
      </w:r>
      <w:r w:rsidRPr="00567F49">
        <w:rPr>
          <w:rFonts w:ascii="Times New Roman" w:hAnsi="Times New Roman"/>
          <w:b/>
          <w:i/>
          <w:sz w:val="22"/>
          <w:szCs w:val="22"/>
        </w:rPr>
        <w:t xml:space="preserve">Therapeutic Goods Amendment (Excluded Goods) Determination </w:t>
      </w:r>
      <w:r>
        <w:rPr>
          <w:rFonts w:ascii="Times New Roman" w:hAnsi="Times New Roman"/>
          <w:b/>
          <w:i/>
          <w:sz w:val="22"/>
          <w:szCs w:val="22"/>
        </w:rPr>
        <w:t xml:space="preserve">(No. 2) </w:t>
      </w:r>
      <w:r w:rsidRPr="00567F49">
        <w:rPr>
          <w:rFonts w:ascii="Times New Roman" w:hAnsi="Times New Roman"/>
          <w:b/>
          <w:i/>
          <w:sz w:val="22"/>
          <w:szCs w:val="22"/>
        </w:rPr>
        <w:t>2019</w:t>
      </w:r>
    </w:p>
    <w:p w:rsidR="00AE7F72" w:rsidRPr="00CF219B" w:rsidRDefault="00AE7F72" w:rsidP="00AE7F72">
      <w:pPr>
        <w:rPr>
          <w:rFonts w:ascii="Times New Roman" w:hAnsi="Times New Roman"/>
          <w:b/>
          <w:bCs/>
          <w:i/>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1 – Name</w:t>
      </w:r>
    </w:p>
    <w:p w:rsidR="00AE7F72" w:rsidRPr="00CF219B" w:rsidRDefault="00AE7F72" w:rsidP="00AE7F72">
      <w:pPr>
        <w:rPr>
          <w:rFonts w:ascii="Times New Roman" w:hAnsi="Times New Roman"/>
          <w:b/>
          <w:bCs/>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This section provides that the name of the instrument is the </w:t>
      </w:r>
      <w:r>
        <w:rPr>
          <w:rFonts w:ascii="Times New Roman" w:hAnsi="Times New Roman"/>
          <w:i/>
          <w:sz w:val="22"/>
          <w:szCs w:val="22"/>
        </w:rPr>
        <w:t>Therapeutic Goods Amendment (Excluded Goods) Determination</w:t>
      </w:r>
      <w:r w:rsidRPr="00F93DF3">
        <w:rPr>
          <w:rFonts w:ascii="Times New Roman" w:hAnsi="Times New Roman"/>
          <w:i/>
          <w:sz w:val="22"/>
          <w:szCs w:val="22"/>
        </w:rPr>
        <w:t xml:space="preserve"> </w:t>
      </w:r>
      <w:r>
        <w:rPr>
          <w:rFonts w:ascii="Times New Roman" w:hAnsi="Times New Roman"/>
          <w:i/>
          <w:sz w:val="22"/>
          <w:szCs w:val="22"/>
        </w:rPr>
        <w:t xml:space="preserve">(No. 2) </w:t>
      </w:r>
      <w:r w:rsidRPr="00F93DF3">
        <w:rPr>
          <w:rFonts w:ascii="Times New Roman" w:hAnsi="Times New Roman"/>
          <w:i/>
          <w:sz w:val="22"/>
          <w:szCs w:val="22"/>
        </w:rPr>
        <w:t xml:space="preserve">2019 </w:t>
      </w:r>
      <w:r>
        <w:t>(“the Amendment Determination”)</w:t>
      </w:r>
      <w:r w:rsidRPr="00CF219B">
        <w:rPr>
          <w:rFonts w:ascii="Times New Roman" w:hAnsi="Times New Roman"/>
          <w:sz w:val="22"/>
          <w:szCs w:val="22"/>
        </w:rPr>
        <w:t>.</w:t>
      </w:r>
    </w:p>
    <w:p w:rsidR="00AE7F72" w:rsidRPr="00CF219B" w:rsidRDefault="00AE7F72" w:rsidP="00AE7F72">
      <w:pPr>
        <w:rPr>
          <w:rFonts w:ascii="Times New Roman" w:hAnsi="Times New Roman"/>
          <w:bCs/>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2 – Commencement</w:t>
      </w:r>
    </w:p>
    <w:p w:rsidR="00AE7F72" w:rsidRPr="00CF219B" w:rsidRDefault="00AE7F72" w:rsidP="00AE7F72">
      <w:pPr>
        <w:rPr>
          <w:rFonts w:ascii="Times New Roman" w:hAnsi="Times New Roman"/>
          <w:bCs/>
          <w:sz w:val="22"/>
          <w:szCs w:val="22"/>
        </w:rPr>
      </w:pPr>
    </w:p>
    <w:p w:rsidR="00AE7F72" w:rsidRPr="00CF219B"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w:t>
      </w:r>
      <w:r>
        <w:rPr>
          <w:rFonts w:ascii="Times New Roman" w:hAnsi="Times New Roman"/>
          <w:bCs/>
          <w:sz w:val="22"/>
          <w:szCs w:val="22"/>
        </w:rPr>
        <w:t>Amendment Determination</w:t>
      </w:r>
      <w:r w:rsidRPr="00CF219B">
        <w:rPr>
          <w:rFonts w:ascii="Times New Roman" w:hAnsi="Times New Roman"/>
          <w:bCs/>
          <w:sz w:val="22"/>
          <w:szCs w:val="22"/>
        </w:rPr>
        <w:t xml:space="preserve"> commences</w:t>
      </w:r>
      <w:r>
        <w:rPr>
          <w:rFonts w:ascii="Times New Roman" w:hAnsi="Times New Roman"/>
          <w:bCs/>
          <w:sz w:val="22"/>
          <w:szCs w:val="22"/>
        </w:rPr>
        <w:t xml:space="preserve"> on</w:t>
      </w:r>
      <w:r w:rsidRPr="00CF219B">
        <w:rPr>
          <w:rFonts w:ascii="Times New Roman" w:hAnsi="Times New Roman"/>
          <w:bCs/>
          <w:sz w:val="22"/>
          <w:szCs w:val="22"/>
        </w:rPr>
        <w:t xml:space="preserve"> the day after it is registered on the Federal Register of Legislation.</w:t>
      </w:r>
    </w:p>
    <w:p w:rsidR="00AE7F72" w:rsidRPr="00CF219B" w:rsidRDefault="00AE7F72" w:rsidP="00AE7F72">
      <w:pPr>
        <w:rPr>
          <w:rFonts w:ascii="Times New Roman" w:hAnsi="Times New Roman"/>
          <w:bCs/>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3 – Authority</w:t>
      </w:r>
    </w:p>
    <w:p w:rsidR="00AE7F72" w:rsidRPr="00CF219B" w:rsidRDefault="00AE7F72" w:rsidP="00AE7F72">
      <w:pPr>
        <w:rPr>
          <w:rFonts w:ascii="Times New Roman" w:hAnsi="Times New Roman"/>
          <w:b/>
          <w:bCs/>
          <w:sz w:val="22"/>
          <w:szCs w:val="22"/>
        </w:rPr>
      </w:pPr>
    </w:p>
    <w:p w:rsidR="00AE7F72" w:rsidRPr="00C27868"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Pr>
          <w:rFonts w:ascii="Times New Roman" w:hAnsi="Times New Roman"/>
          <w:bCs/>
          <w:sz w:val="22"/>
          <w:szCs w:val="22"/>
        </w:rPr>
        <w:t>Amendment Determination</w:t>
      </w:r>
      <w:r w:rsidRPr="00CF219B">
        <w:rPr>
          <w:rFonts w:ascii="Times New Roman" w:hAnsi="Times New Roman"/>
          <w:bCs/>
          <w:sz w:val="22"/>
          <w:szCs w:val="22"/>
        </w:rPr>
        <w:t xml:space="preserve"> </w:t>
      </w:r>
      <w:r>
        <w:rPr>
          <w:rFonts w:ascii="Times New Roman" w:hAnsi="Times New Roman"/>
          <w:bCs/>
          <w:sz w:val="22"/>
          <w:szCs w:val="22"/>
        </w:rPr>
        <w:t>is sub</w:t>
      </w:r>
      <w:r w:rsidRPr="00CF219B">
        <w:rPr>
          <w:rFonts w:ascii="Times New Roman" w:hAnsi="Times New Roman"/>
          <w:bCs/>
          <w:sz w:val="22"/>
          <w:szCs w:val="22"/>
        </w:rPr>
        <w:t xml:space="preserve">section </w:t>
      </w:r>
      <w:proofErr w:type="gramStart"/>
      <w:r>
        <w:rPr>
          <w:rFonts w:ascii="Times New Roman" w:hAnsi="Times New Roman"/>
          <w:bCs/>
          <w:sz w:val="22"/>
          <w:szCs w:val="22"/>
        </w:rPr>
        <w:t>7AA(</w:t>
      </w:r>
      <w:proofErr w:type="gramEnd"/>
      <w:r>
        <w:rPr>
          <w:rFonts w:ascii="Times New Roman" w:hAnsi="Times New Roman"/>
          <w:bCs/>
          <w:sz w:val="22"/>
          <w:szCs w:val="22"/>
        </w:rPr>
        <w:t>1)</w:t>
      </w:r>
      <w:r w:rsidRPr="00CF219B">
        <w:rPr>
          <w:rFonts w:ascii="Times New Roman" w:hAnsi="Times New Roman"/>
          <w:bCs/>
          <w:sz w:val="22"/>
          <w:szCs w:val="22"/>
        </w:rPr>
        <w:t xml:space="preserve"> 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27868">
        <w:rPr>
          <w:rFonts w:ascii="Times New Roman" w:hAnsi="Times New Roman"/>
          <w:bCs/>
          <w:sz w:val="22"/>
          <w:szCs w:val="22"/>
        </w:rPr>
        <w:t>”).</w:t>
      </w:r>
    </w:p>
    <w:p w:rsidR="00AE7F72" w:rsidRDefault="00AE7F72" w:rsidP="00AE7F72">
      <w:pPr>
        <w:rPr>
          <w:rFonts w:ascii="Times New Roman" w:hAnsi="Times New Roman"/>
          <w:bCs/>
          <w:sz w:val="22"/>
          <w:szCs w:val="22"/>
        </w:rPr>
      </w:pPr>
    </w:p>
    <w:p w:rsidR="00AE7F72" w:rsidRDefault="00AE7F72" w:rsidP="00AE7F72">
      <w:pPr>
        <w:rPr>
          <w:rFonts w:ascii="Times New Roman" w:hAnsi="Times New Roman"/>
          <w:bCs/>
          <w:sz w:val="22"/>
          <w:szCs w:val="22"/>
        </w:rPr>
      </w:pPr>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rsidR="00AE7F72" w:rsidRPr="00CF219B" w:rsidRDefault="00AE7F72" w:rsidP="00AE7F72">
      <w:pPr>
        <w:rPr>
          <w:rFonts w:ascii="Times New Roman" w:hAnsi="Times New Roman"/>
          <w:bCs/>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 xml:space="preserve">Section 4 – </w:t>
      </w:r>
      <w:r>
        <w:rPr>
          <w:rFonts w:ascii="Times New Roman" w:hAnsi="Times New Roman"/>
          <w:b/>
          <w:bCs/>
          <w:sz w:val="22"/>
          <w:szCs w:val="22"/>
        </w:rPr>
        <w:t>Schedules</w:t>
      </w:r>
    </w:p>
    <w:p w:rsidR="00AE7F72" w:rsidRPr="00BE7572" w:rsidRDefault="00AE7F72" w:rsidP="00AE7F72">
      <w:pPr>
        <w:rPr>
          <w:rFonts w:ascii="Times New Roman" w:hAnsi="Times New Roman"/>
          <w:bCs/>
          <w:sz w:val="22"/>
          <w:szCs w:val="22"/>
        </w:rPr>
      </w:pPr>
    </w:p>
    <w:p w:rsidR="00AE7F72" w:rsidRDefault="00AE7F72" w:rsidP="00AE7F72">
      <w:pPr>
        <w:rPr>
          <w:rFonts w:ascii="Times New Roman" w:hAnsi="Times New Roman"/>
          <w:bCs/>
          <w:sz w:val="22"/>
          <w:szCs w:val="22"/>
        </w:rPr>
      </w:pPr>
      <w:r>
        <w:rPr>
          <w:rFonts w:ascii="Times New Roman" w:hAnsi="Times New Roman"/>
          <w:bCs/>
          <w:sz w:val="22"/>
          <w:szCs w:val="22"/>
        </w:rPr>
        <w:t>This section provides that each instrument that is specified in a Schedule to the Amendment Determination</w:t>
      </w:r>
      <w:r w:rsidRPr="00CF219B">
        <w:rPr>
          <w:rFonts w:ascii="Times New Roman" w:hAnsi="Times New Roman"/>
          <w:bCs/>
          <w:sz w:val="22"/>
          <w:szCs w:val="22"/>
        </w:rPr>
        <w:t xml:space="preserve"> </w:t>
      </w:r>
      <w:r>
        <w:rPr>
          <w:rFonts w:ascii="Times New Roman" w:hAnsi="Times New Roman"/>
          <w:bCs/>
          <w:sz w:val="22"/>
          <w:szCs w:val="22"/>
        </w:rPr>
        <w:t>is amended or repealed as set out in the applicable items in the Schedule concerned, and that any other item in a Schedule to the instrument has effect according to its terms.</w:t>
      </w:r>
    </w:p>
    <w:p w:rsidR="00AE7F72" w:rsidRPr="00CF219B" w:rsidRDefault="00AE7F72" w:rsidP="00AE7F72">
      <w:pPr>
        <w:rPr>
          <w:rFonts w:ascii="Times New Roman" w:hAnsi="Times New Roman"/>
          <w:bCs/>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w:t>
      </w:r>
      <w:r>
        <w:rPr>
          <w:rFonts w:ascii="Times New Roman" w:hAnsi="Times New Roman"/>
          <w:b/>
          <w:bCs/>
          <w:sz w:val="22"/>
          <w:szCs w:val="22"/>
        </w:rPr>
        <w:sym w:font="Symbol" w:char="F0BE"/>
      </w:r>
      <w:r>
        <w:rPr>
          <w:rFonts w:ascii="Times New Roman" w:hAnsi="Times New Roman"/>
          <w:b/>
          <w:bCs/>
          <w:sz w:val="22"/>
          <w:szCs w:val="22"/>
        </w:rPr>
        <w:t>Amendments</w:t>
      </w:r>
    </w:p>
    <w:p w:rsidR="00AE7F72" w:rsidRPr="00CF219B" w:rsidRDefault="00AE7F72" w:rsidP="00AE7F72">
      <w:pPr>
        <w:rPr>
          <w:rFonts w:ascii="Times New Roman" w:hAnsi="Times New Roman"/>
          <w:b/>
          <w:bCs/>
          <w:sz w:val="22"/>
          <w:szCs w:val="22"/>
        </w:rPr>
      </w:pPr>
    </w:p>
    <w:p w:rsidR="00AE7F72" w:rsidRPr="004E2798" w:rsidRDefault="00AE7F72" w:rsidP="00AE7F72">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amends the </w:t>
      </w:r>
      <w:r w:rsidRPr="00F93DF3">
        <w:rPr>
          <w:rFonts w:ascii="Times New Roman" w:hAnsi="Times New Roman"/>
          <w:i/>
          <w:sz w:val="22"/>
          <w:szCs w:val="22"/>
        </w:rPr>
        <w:t>Th</w:t>
      </w:r>
      <w:r>
        <w:rPr>
          <w:rFonts w:ascii="Times New Roman" w:hAnsi="Times New Roman"/>
          <w:i/>
          <w:sz w:val="22"/>
          <w:szCs w:val="22"/>
        </w:rPr>
        <w:t xml:space="preserve">erapeutic Goods (Excluded Goods) Determination </w:t>
      </w:r>
      <w:r w:rsidRPr="00F93DF3">
        <w:rPr>
          <w:rFonts w:ascii="Times New Roman" w:hAnsi="Times New Roman"/>
          <w:i/>
          <w:sz w:val="22"/>
          <w:szCs w:val="22"/>
        </w:rPr>
        <w:t>2018</w:t>
      </w:r>
      <w:r>
        <w:rPr>
          <w:rFonts w:ascii="Times New Roman" w:hAnsi="Times New Roman"/>
          <w:i/>
          <w:sz w:val="22"/>
          <w:szCs w:val="22"/>
        </w:rPr>
        <w:t xml:space="preserve"> </w:t>
      </w:r>
      <w:r w:rsidRPr="009F309F">
        <w:rPr>
          <w:rFonts w:ascii="Times New Roman" w:hAnsi="Times New Roman"/>
          <w:sz w:val="22"/>
          <w:szCs w:val="22"/>
        </w:rPr>
        <w:t>(</w:t>
      </w:r>
      <w:r>
        <w:rPr>
          <w:rFonts w:ascii="Times New Roman" w:hAnsi="Times New Roman"/>
          <w:sz w:val="22"/>
          <w:szCs w:val="22"/>
        </w:rPr>
        <w:t>“</w:t>
      </w:r>
      <w:r w:rsidRPr="009F309F">
        <w:rPr>
          <w:rFonts w:ascii="Times New Roman" w:hAnsi="Times New Roman"/>
          <w:sz w:val="22"/>
          <w:szCs w:val="22"/>
        </w:rPr>
        <w:t>the</w:t>
      </w:r>
      <w:r>
        <w:rPr>
          <w:rFonts w:ascii="Times New Roman" w:hAnsi="Times New Roman"/>
          <w:sz w:val="22"/>
          <w:szCs w:val="22"/>
        </w:rPr>
        <w:t xml:space="preserve"> Principal</w:t>
      </w:r>
      <w:r>
        <w:rPr>
          <w:rFonts w:ascii="Times New Roman" w:hAnsi="Times New Roman"/>
          <w:i/>
          <w:sz w:val="22"/>
          <w:szCs w:val="22"/>
        </w:rPr>
        <w:t xml:space="preserve"> </w:t>
      </w:r>
      <w:r w:rsidRPr="009F309F">
        <w:rPr>
          <w:rFonts w:ascii="Times New Roman" w:hAnsi="Times New Roman"/>
          <w:sz w:val="22"/>
          <w:szCs w:val="22"/>
        </w:rPr>
        <w:t>Determination”)</w:t>
      </w:r>
      <w:r w:rsidRPr="004E2798">
        <w:rPr>
          <w:rFonts w:ascii="Times New Roman" w:hAnsi="Times New Roman"/>
          <w:bCs/>
          <w:sz w:val="22"/>
          <w:szCs w:val="22"/>
        </w:rPr>
        <w:t>.</w:t>
      </w:r>
    </w:p>
    <w:p w:rsidR="00AE7F72" w:rsidRPr="00CF219B" w:rsidRDefault="00AE7F72" w:rsidP="00AE7F72">
      <w:pPr>
        <w:rPr>
          <w:rFonts w:ascii="Times New Roman" w:hAnsi="Times New Roman"/>
          <w:bCs/>
          <w:sz w:val="22"/>
          <w:szCs w:val="22"/>
        </w:rPr>
      </w:pPr>
    </w:p>
    <w:p w:rsidR="00AE7F72" w:rsidRDefault="00AE7F72" w:rsidP="00AE7F72">
      <w:pPr>
        <w:rPr>
          <w:rFonts w:ascii="Times New Roman" w:hAnsi="Times New Roman"/>
          <w:bCs/>
          <w:sz w:val="22"/>
          <w:szCs w:val="22"/>
        </w:rPr>
      </w:pPr>
      <w:r>
        <w:rPr>
          <w:rFonts w:ascii="Times New Roman" w:hAnsi="Times New Roman"/>
          <w:bCs/>
          <w:sz w:val="22"/>
          <w:szCs w:val="22"/>
        </w:rPr>
        <w:t>Item 1 of Schedule 1 inserts a new item 7A into the table in Schedule 1 to the Principal Determination specifying fluoridated reticulated drinking water. The effect of this insertion is that those goods are determined to be excluded goods for the purposes of the Act.</w:t>
      </w:r>
    </w:p>
    <w:p w:rsidR="00AE7F72" w:rsidRDefault="00AE7F72" w:rsidP="00AE7F72">
      <w:pPr>
        <w:rPr>
          <w:rFonts w:ascii="Times New Roman" w:hAnsi="Times New Roman"/>
          <w:bCs/>
          <w:sz w:val="22"/>
          <w:szCs w:val="22"/>
        </w:rPr>
      </w:pPr>
    </w:p>
    <w:p w:rsidR="00AE7F72" w:rsidRPr="00CF219B" w:rsidRDefault="00AE7F72" w:rsidP="00AE7F72">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rsidR="00AE7F72" w:rsidRPr="00064CC7" w:rsidRDefault="00AE7F72" w:rsidP="00AE7F72">
      <w:pPr>
        <w:shd w:val="clear" w:color="auto" w:fill="FFFFFF"/>
        <w:spacing w:before="100" w:beforeAutospacing="1" w:after="120"/>
        <w:jc w:val="center"/>
        <w:rPr>
          <w:rFonts w:ascii="Times New Roman" w:hAnsi="Times New Roman"/>
          <w:b/>
          <w:bCs/>
          <w:szCs w:val="24"/>
        </w:rPr>
      </w:pPr>
      <w:r w:rsidRPr="00064CC7">
        <w:rPr>
          <w:rFonts w:ascii="Times New Roman" w:hAnsi="Times New Roman"/>
          <w:b/>
          <w:bCs/>
          <w:szCs w:val="24"/>
        </w:rPr>
        <w:t>Statement of Compatibility with Human Rights</w:t>
      </w:r>
    </w:p>
    <w:p w:rsidR="00AE7F72" w:rsidRPr="008860FC" w:rsidRDefault="00AE7F72" w:rsidP="00AE7F72">
      <w:pPr>
        <w:shd w:val="clear" w:color="auto" w:fill="FFFFFF"/>
        <w:spacing w:before="100" w:beforeAutospacing="1"/>
        <w:ind w:right="-142"/>
      </w:pPr>
      <w:proofErr w:type="gramStart"/>
      <w:r w:rsidRPr="008860FC">
        <w:t>Prepared in accordance with Part 3 of the</w:t>
      </w:r>
      <w:r w:rsidRPr="008860FC">
        <w:rPr>
          <w:iCs/>
        </w:rPr>
        <w:t xml:space="preserve"> </w:t>
      </w:r>
      <w:r w:rsidRPr="008860FC">
        <w:rPr>
          <w:i/>
          <w:iCs/>
        </w:rPr>
        <w:t>Human Rights (Parliamentary Scrutiny) Act 2011</w:t>
      </w:r>
      <w:r w:rsidRPr="008860FC">
        <w:t>.</w:t>
      </w:r>
      <w:proofErr w:type="gramEnd"/>
    </w:p>
    <w:p w:rsidR="00AE7F72" w:rsidRDefault="00AE7F72" w:rsidP="00AE7F72">
      <w:pPr>
        <w:spacing w:before="60"/>
        <w:jc w:val="center"/>
        <w:rPr>
          <w:rFonts w:ascii="Times New Roman" w:hAnsi="Times New Roman"/>
          <w:b/>
          <w:i/>
          <w:sz w:val="22"/>
          <w:szCs w:val="22"/>
        </w:rPr>
      </w:pPr>
    </w:p>
    <w:p w:rsidR="00AE7F72" w:rsidRPr="008860FC" w:rsidRDefault="00AE7F72" w:rsidP="00AE7F72">
      <w:pPr>
        <w:jc w:val="center"/>
        <w:rPr>
          <w:rFonts w:ascii="Times New Roman" w:hAnsi="Times New Roman"/>
          <w:b/>
          <w:sz w:val="22"/>
          <w:szCs w:val="22"/>
        </w:rPr>
      </w:pPr>
      <w:r w:rsidRPr="008860FC">
        <w:rPr>
          <w:rFonts w:ascii="Times New Roman" w:hAnsi="Times New Roman"/>
          <w:b/>
          <w:i/>
          <w:sz w:val="22"/>
          <w:szCs w:val="22"/>
        </w:rPr>
        <w:t xml:space="preserve">Therapeutic Goods Amendment (Excluded Goods) Determination </w:t>
      </w:r>
      <w:r>
        <w:rPr>
          <w:rFonts w:ascii="Times New Roman" w:hAnsi="Times New Roman"/>
          <w:b/>
          <w:i/>
          <w:sz w:val="22"/>
          <w:szCs w:val="22"/>
        </w:rPr>
        <w:t xml:space="preserve">(No. 2) </w:t>
      </w:r>
      <w:r w:rsidRPr="008860FC">
        <w:rPr>
          <w:rFonts w:ascii="Times New Roman" w:hAnsi="Times New Roman"/>
          <w:b/>
          <w:i/>
          <w:sz w:val="22"/>
          <w:szCs w:val="22"/>
        </w:rPr>
        <w:t>2019</w:t>
      </w:r>
    </w:p>
    <w:p w:rsidR="00AE7F72"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Overview of legislative instrument</w:t>
      </w:r>
    </w:p>
    <w:p w:rsidR="00AE7F72" w:rsidRPr="00CF219B" w:rsidRDefault="00AE7F72" w:rsidP="00AE7F72">
      <w:pPr>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Pr>
          <w:rFonts w:ascii="Times New Roman" w:hAnsi="Times New Roman"/>
          <w:i/>
          <w:sz w:val="22"/>
          <w:szCs w:val="22"/>
        </w:rPr>
        <w:t>Therapeutic Goods Amendment (Excluded Goods) Determination</w:t>
      </w:r>
      <w:r w:rsidRPr="00F93DF3">
        <w:rPr>
          <w:rFonts w:ascii="Times New Roman" w:hAnsi="Times New Roman"/>
          <w:i/>
          <w:sz w:val="22"/>
          <w:szCs w:val="22"/>
        </w:rPr>
        <w:t xml:space="preserve"> </w:t>
      </w:r>
      <w:r>
        <w:rPr>
          <w:rFonts w:ascii="Times New Roman" w:hAnsi="Times New Roman"/>
          <w:i/>
          <w:sz w:val="22"/>
          <w:szCs w:val="22"/>
        </w:rPr>
        <w:t xml:space="preserve">(No. 2) </w:t>
      </w:r>
      <w:r w:rsidRPr="00F93DF3">
        <w:rPr>
          <w:rFonts w:ascii="Times New Roman" w:hAnsi="Times New Roman"/>
          <w:i/>
          <w:sz w:val="22"/>
          <w:szCs w:val="22"/>
        </w:rPr>
        <w:t xml:space="preserve">2019 </w:t>
      </w:r>
      <w:r>
        <w:t>(“the amendment instrument”)</w:t>
      </w:r>
      <w:r>
        <w:rPr>
          <w:rFonts w:ascii="Times New Roman" w:hAnsi="Times New Roman"/>
          <w:sz w:val="22"/>
          <w:szCs w:val="22"/>
        </w:rPr>
        <w:t xml:space="preserve"> is made under subsection </w:t>
      </w:r>
      <w:proofErr w:type="gramStart"/>
      <w:r>
        <w:rPr>
          <w:rFonts w:ascii="Times New Roman" w:hAnsi="Times New Roman"/>
          <w:sz w:val="22"/>
          <w:szCs w:val="22"/>
        </w:rPr>
        <w:t>7AA(</w:t>
      </w:r>
      <w:proofErr w:type="gramEnd"/>
      <w:r>
        <w:rPr>
          <w:rFonts w:ascii="Times New Roman" w:hAnsi="Times New Roman"/>
          <w:sz w:val="22"/>
          <w:szCs w:val="22"/>
        </w:rPr>
        <w:t xml:space="preserve">1) </w:t>
      </w:r>
      <w:r w:rsidRPr="00CF219B">
        <w:rPr>
          <w:rFonts w:ascii="Times New Roman" w:hAnsi="Times New Roman"/>
          <w:sz w:val="22"/>
          <w:szCs w:val="22"/>
        </w:rPr>
        <w:t xml:space="preserve">of the </w:t>
      </w:r>
      <w:r w:rsidRPr="00CF219B">
        <w:rPr>
          <w:rFonts w:ascii="Times New Roman" w:hAnsi="Times New Roman"/>
          <w:i/>
          <w:sz w:val="22"/>
          <w:szCs w:val="22"/>
        </w:rPr>
        <w:t xml:space="preserve">Therapeutic Goods Act 1989 </w:t>
      </w:r>
      <w:r w:rsidRPr="00CF219B">
        <w:rPr>
          <w:rFonts w:ascii="Times New Roman" w:hAnsi="Times New Roman"/>
          <w:sz w:val="22"/>
          <w:szCs w:val="22"/>
        </w:rPr>
        <w:t>(“the Act”).</w:t>
      </w:r>
      <w:r>
        <w:rPr>
          <w:rFonts w:ascii="Times New Roman" w:hAnsi="Times New Roman"/>
          <w:sz w:val="22"/>
          <w:szCs w:val="22"/>
        </w:rPr>
        <w:t xml:space="preserve"> </w:t>
      </w:r>
      <w:r w:rsidRPr="00CF219B">
        <w:rPr>
          <w:rFonts w:ascii="Times New Roman" w:hAnsi="Times New Roman"/>
          <w:sz w:val="22"/>
          <w:szCs w:val="22"/>
        </w:rPr>
        <w:t>The purpose of the</w:t>
      </w:r>
      <w:r>
        <w:rPr>
          <w:rFonts w:ascii="Times New Roman" w:hAnsi="Times New Roman"/>
          <w:sz w:val="22"/>
          <w:szCs w:val="22"/>
        </w:rPr>
        <w:t xml:space="preserve"> instrument is to amend the </w:t>
      </w:r>
      <w:r w:rsidRPr="00F93DF3">
        <w:rPr>
          <w:rFonts w:ascii="Times New Roman" w:hAnsi="Times New Roman"/>
          <w:i/>
          <w:sz w:val="22"/>
          <w:szCs w:val="22"/>
        </w:rPr>
        <w:t>Th</w:t>
      </w:r>
      <w:r>
        <w:rPr>
          <w:rFonts w:ascii="Times New Roman" w:hAnsi="Times New Roman"/>
          <w:i/>
          <w:sz w:val="22"/>
          <w:szCs w:val="22"/>
        </w:rPr>
        <w:t xml:space="preserve">erapeutic Goods (Excluded Goods) Determination </w:t>
      </w:r>
      <w:r w:rsidRPr="00F93DF3">
        <w:rPr>
          <w:rFonts w:ascii="Times New Roman" w:hAnsi="Times New Roman"/>
          <w:i/>
          <w:sz w:val="22"/>
          <w:szCs w:val="22"/>
        </w:rPr>
        <w:t>2018</w:t>
      </w:r>
      <w:r>
        <w:rPr>
          <w:rFonts w:ascii="Times New Roman" w:hAnsi="Times New Roman"/>
          <w:sz w:val="22"/>
          <w:szCs w:val="22"/>
        </w:rPr>
        <w:t xml:space="preserve"> (“the principal instrument”) by specifying fluoridated reticulated drinking water to be excluded goods for the purposes of the Act.</w:t>
      </w:r>
      <w:r w:rsidRPr="00011FA0">
        <w:rPr>
          <w:rFonts w:ascii="Times New Roman" w:hAnsi="Times New Roman"/>
          <w:sz w:val="22"/>
          <w:szCs w:val="22"/>
        </w:rPr>
        <w:t xml:space="preserve"> </w:t>
      </w:r>
      <w:r w:rsidRPr="00CB3EFF">
        <w:rPr>
          <w:rFonts w:ascii="Times New Roman" w:hAnsi="Times New Roman"/>
          <w:sz w:val="22"/>
          <w:szCs w:val="22"/>
        </w:rPr>
        <w:t xml:space="preserve">The effect of this provision is to exclude </w:t>
      </w:r>
      <w:r>
        <w:rPr>
          <w:rFonts w:ascii="Times New Roman" w:hAnsi="Times New Roman"/>
          <w:sz w:val="22"/>
          <w:szCs w:val="22"/>
        </w:rPr>
        <w:t xml:space="preserve">fluoridated reticulated drinking water </w:t>
      </w:r>
      <w:r w:rsidRPr="00CB3EFF">
        <w:rPr>
          <w:rFonts w:ascii="Times New Roman" w:hAnsi="Times New Roman"/>
          <w:sz w:val="22"/>
          <w:szCs w:val="22"/>
        </w:rPr>
        <w:t>from the operation of the Act</w:t>
      </w:r>
      <w:r>
        <w:rPr>
          <w:rFonts w:ascii="Times New Roman" w:hAnsi="Times New Roman"/>
          <w:sz w:val="22"/>
          <w:szCs w:val="22"/>
        </w:rPr>
        <w:t>.</w:t>
      </w:r>
    </w:p>
    <w:p w:rsidR="00AE7F72"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The amendment instrument underscores the long-standing position of the Therapeutic Goods Administration (“TGA”) on the regulation of fluoridated reticulated drinking water, and confirms that the regulation of fluoridated reticulated drinking water is a matter for the states and territories</w:t>
      </w:r>
      <w:r w:rsidRPr="00CB3EFF">
        <w:rPr>
          <w:rFonts w:ascii="Times New Roman" w:hAnsi="Times New Roman"/>
          <w:sz w:val="22"/>
          <w:szCs w:val="22"/>
        </w:rPr>
        <w:t>.</w:t>
      </w:r>
    </w:p>
    <w:p w:rsidR="00AE7F72" w:rsidRDefault="00AE7F72" w:rsidP="00AE7F72">
      <w:pPr>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Indeed, the relevant state and territory regulatory schemes regarding the fluoridation of water are appropriate in the circumstances. The national system of controls established by the Act to regulate therapeutic goods does not apply, and should not apply, in relation fluoridated reticulated drinking water. Further, consistent with the current National Health and Medical Research Council Public Statement on water fluoridation, there is no reliable evidence that the specified goods pose any health risks to the public.</w:t>
      </w:r>
    </w:p>
    <w:p w:rsidR="00AE7F72"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These considerations are consistent with </w:t>
      </w:r>
      <w:r w:rsidRPr="006514E0">
        <w:rPr>
          <w:rFonts w:ascii="Times New Roman" w:hAnsi="Times New Roman"/>
          <w:sz w:val="22"/>
          <w:szCs w:val="22"/>
        </w:rPr>
        <w:t xml:space="preserve">the </w:t>
      </w:r>
      <w:r>
        <w:rPr>
          <w:rFonts w:ascii="Times New Roman" w:hAnsi="Times New Roman"/>
          <w:sz w:val="22"/>
          <w:szCs w:val="22"/>
        </w:rPr>
        <w:t xml:space="preserve">statement on the </w:t>
      </w:r>
      <w:r w:rsidRPr="006514E0">
        <w:rPr>
          <w:rFonts w:ascii="Times New Roman" w:hAnsi="Times New Roman"/>
          <w:sz w:val="22"/>
          <w:szCs w:val="22"/>
        </w:rPr>
        <w:t xml:space="preserve">TGA’s website </w:t>
      </w:r>
      <w:r>
        <w:rPr>
          <w:rFonts w:ascii="Times New Roman" w:hAnsi="Times New Roman"/>
          <w:sz w:val="22"/>
          <w:szCs w:val="22"/>
        </w:rPr>
        <w:t>published in 2014</w:t>
      </w:r>
      <w:r w:rsidRPr="006514E0">
        <w:rPr>
          <w:rFonts w:ascii="Times New Roman" w:hAnsi="Times New Roman"/>
          <w:sz w:val="22"/>
          <w:szCs w:val="22"/>
        </w:rPr>
        <w:t xml:space="preserve">. </w:t>
      </w:r>
      <w:r>
        <w:rPr>
          <w:rFonts w:ascii="Times New Roman" w:hAnsi="Times New Roman"/>
          <w:sz w:val="22"/>
          <w:szCs w:val="22"/>
        </w:rPr>
        <w:t>Consistent with the delegate’s conclusion in the previous paragraph, t</w:t>
      </w:r>
      <w:r w:rsidRPr="006514E0">
        <w:rPr>
          <w:rFonts w:ascii="Times New Roman" w:hAnsi="Times New Roman"/>
          <w:sz w:val="22"/>
          <w:szCs w:val="22"/>
        </w:rPr>
        <w:t xml:space="preserve">he </w:t>
      </w:r>
      <w:r>
        <w:rPr>
          <w:rFonts w:ascii="Times New Roman" w:hAnsi="Times New Roman"/>
          <w:sz w:val="22"/>
          <w:szCs w:val="22"/>
        </w:rPr>
        <w:t xml:space="preserve">TGA’s </w:t>
      </w:r>
      <w:r w:rsidRPr="006514E0">
        <w:rPr>
          <w:rFonts w:ascii="Times New Roman" w:hAnsi="Times New Roman"/>
          <w:sz w:val="22"/>
          <w:szCs w:val="22"/>
        </w:rPr>
        <w:t xml:space="preserve">statement recognises that water </w:t>
      </w:r>
      <w:r>
        <w:rPr>
          <w:rFonts w:ascii="Times New Roman" w:hAnsi="Times New Roman"/>
          <w:sz w:val="22"/>
          <w:szCs w:val="22"/>
        </w:rPr>
        <w:t xml:space="preserve">fluoridation </w:t>
      </w:r>
      <w:r w:rsidRPr="006514E0">
        <w:rPr>
          <w:rFonts w:ascii="Times New Roman" w:hAnsi="Times New Roman"/>
          <w:sz w:val="22"/>
          <w:szCs w:val="22"/>
        </w:rPr>
        <w:t>is a matter to be regulated by the states and territories</w:t>
      </w:r>
      <w:r>
        <w:rPr>
          <w:rFonts w:ascii="Times New Roman" w:hAnsi="Times New Roman"/>
          <w:sz w:val="22"/>
          <w:szCs w:val="22"/>
        </w:rPr>
        <w:t>.</w:t>
      </w:r>
    </w:p>
    <w:p w:rsidR="00AE7F72" w:rsidRDefault="00AE7F72" w:rsidP="00AE7F72">
      <w:pPr>
        <w:autoSpaceDE w:val="0"/>
        <w:autoSpaceDN w:val="0"/>
        <w:adjustRightInd w:val="0"/>
        <w:rPr>
          <w:rFonts w:ascii="Times New Roman" w:hAnsi="Times New Roman"/>
          <w:sz w:val="22"/>
          <w:szCs w:val="22"/>
        </w:rPr>
      </w:pPr>
    </w:p>
    <w:p w:rsidR="00AE7F72" w:rsidRDefault="00AE7F72" w:rsidP="00AE7F72">
      <w:pPr>
        <w:rPr>
          <w:rFonts w:ascii="Times New Roman" w:hAnsi="Times New Roman"/>
          <w:sz w:val="22"/>
          <w:szCs w:val="22"/>
        </w:rPr>
      </w:pPr>
      <w:r>
        <w:rPr>
          <w:rFonts w:ascii="Times New Roman" w:hAnsi="Times New Roman"/>
          <w:sz w:val="22"/>
          <w:szCs w:val="22"/>
        </w:rPr>
        <w:t>As such, the amendment instrument simply clarifies that the regulation of fluoridated reticulated drinking water is a matter for the states and territories</w:t>
      </w:r>
      <w:r w:rsidRPr="00CB3EFF">
        <w:rPr>
          <w:rFonts w:ascii="Times New Roman" w:hAnsi="Times New Roman"/>
          <w:sz w:val="22"/>
          <w:szCs w:val="22"/>
        </w:rPr>
        <w:t>.</w:t>
      </w:r>
    </w:p>
    <w:p w:rsidR="00AE7F72" w:rsidRDefault="00AE7F72" w:rsidP="00AE7F72">
      <w:pPr>
        <w:autoSpaceDE w:val="0"/>
        <w:autoSpaceDN w:val="0"/>
        <w:adjustRightInd w:val="0"/>
        <w:rPr>
          <w:rFonts w:ascii="Times New Roman" w:hAnsi="Times New Roman"/>
          <w:sz w:val="22"/>
          <w:szCs w:val="22"/>
        </w:rPr>
      </w:pPr>
    </w:p>
    <w:p w:rsidR="00AE7F72" w:rsidRPr="00CF219B" w:rsidRDefault="00AE7F72" w:rsidP="00AE7F72">
      <w:pPr>
        <w:keepNext/>
        <w:rPr>
          <w:rFonts w:ascii="Times New Roman" w:hAnsi="Times New Roman"/>
          <w:b/>
          <w:sz w:val="22"/>
          <w:szCs w:val="22"/>
        </w:rPr>
      </w:pPr>
      <w:r w:rsidRPr="00CF219B">
        <w:rPr>
          <w:rFonts w:ascii="Times New Roman" w:hAnsi="Times New Roman"/>
          <w:b/>
          <w:sz w:val="22"/>
          <w:szCs w:val="22"/>
        </w:rPr>
        <w:t>Human rights implications</w:t>
      </w:r>
      <w:bookmarkStart w:id="0" w:name="_GoBack"/>
      <w:bookmarkEnd w:id="0"/>
    </w:p>
    <w:p w:rsidR="00AE7F72" w:rsidRPr="00CF219B" w:rsidRDefault="00AE7F72" w:rsidP="00AE7F72">
      <w:pPr>
        <w:keepNext/>
        <w:rPr>
          <w:rFonts w:ascii="Times New Roman" w:hAnsi="Times New Roman"/>
          <w:sz w:val="22"/>
          <w:szCs w:val="22"/>
        </w:rPr>
      </w:pPr>
    </w:p>
    <w:p w:rsidR="00AE7F72" w:rsidRDefault="00AE7F72" w:rsidP="00AE7F72">
      <w:pPr>
        <w:rPr>
          <w:rFonts w:ascii="Times New Roman" w:hAnsi="Times New Roman"/>
          <w:sz w:val="22"/>
          <w:szCs w:val="22"/>
        </w:rPr>
      </w:pPr>
      <w:r>
        <w:rPr>
          <w:rFonts w:ascii="Times New Roman" w:hAnsi="Times New Roman"/>
          <w:sz w:val="22"/>
          <w:szCs w:val="22"/>
        </w:rPr>
        <w:t>As the instrument does not introduce any changes to the principal instrument other than to implement the clarifying measure outlined above, it would not appear to engage any of the applicable rights or freedoms</w:t>
      </w:r>
      <w:r w:rsidRPr="00CF219B">
        <w:rPr>
          <w:rFonts w:ascii="Times New Roman" w:hAnsi="Times New Roman"/>
          <w:sz w:val="22"/>
          <w:szCs w:val="22"/>
        </w:rPr>
        <w:t>.</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Conclusion</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Pr>
          <w:rFonts w:ascii="Times New Roman" w:hAnsi="Times New Roman"/>
          <w:sz w:val="22"/>
          <w:szCs w:val="22"/>
        </w:rPr>
        <w:t xml:space="preserve">The </w:t>
      </w:r>
      <w:r w:rsidRPr="00CF219B">
        <w:rPr>
          <w:rFonts w:ascii="Times New Roman" w:hAnsi="Times New Roman"/>
          <w:sz w:val="22"/>
          <w:szCs w:val="22"/>
        </w:rPr>
        <w:t xml:space="preserve">instrument is compatible with human rights because it </w:t>
      </w:r>
      <w:r>
        <w:rPr>
          <w:rFonts w:ascii="Times New Roman" w:hAnsi="Times New Roman"/>
          <w:sz w:val="22"/>
          <w:szCs w:val="22"/>
        </w:rPr>
        <w:t xml:space="preserve">does not raise any </w:t>
      </w:r>
      <w:r w:rsidRPr="00CF219B">
        <w:rPr>
          <w:rFonts w:ascii="Times New Roman" w:hAnsi="Times New Roman"/>
          <w:sz w:val="22"/>
          <w:szCs w:val="22"/>
        </w:rPr>
        <w:t>human rights issues.</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b/>
          <w:sz w:val="22"/>
          <w:szCs w:val="22"/>
        </w:rPr>
      </w:pPr>
      <w:r>
        <w:rPr>
          <w:rFonts w:ascii="Times New Roman" w:hAnsi="Times New Roman"/>
          <w:b/>
          <w:sz w:val="22"/>
          <w:szCs w:val="22"/>
        </w:rPr>
        <w:t>John Skerritt</w:t>
      </w:r>
      <w:r w:rsidRPr="009D621F">
        <w:rPr>
          <w:rFonts w:ascii="Times New Roman" w:hAnsi="Times New Roman"/>
          <w:b/>
          <w:sz w:val="22"/>
          <w:szCs w:val="22"/>
        </w:rPr>
        <w:t>, delegate of the Minister for Health</w:t>
      </w:r>
    </w:p>
    <w:p w:rsidR="007231B2" w:rsidRPr="00AE7F72" w:rsidRDefault="007231B2" w:rsidP="00AE7F72"/>
    <w:sectPr w:rsidR="007231B2" w:rsidRPr="00AE7F72" w:rsidSect="000675AB">
      <w:headerReference w:type="even" r:id="rId9"/>
      <w:headerReference w:type="default" r:id="rId10"/>
      <w:footerReference w:type="default" r:id="rId11"/>
      <w:footerReference w:type="first" r:id="rId12"/>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67" w:rsidRDefault="00D15567">
      <w:r>
        <w:separator/>
      </w:r>
    </w:p>
  </w:endnote>
  <w:endnote w:type="continuationSeparator" w:id="0">
    <w:p w:rsidR="00D15567" w:rsidRDefault="00D1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877529" w:rsidRDefault="00C109D1">
        <w:pPr>
          <w:pStyle w:val="Footer"/>
          <w:jc w:val="right"/>
        </w:pPr>
        <w:r>
          <w:fldChar w:fldCharType="begin"/>
        </w:r>
        <w:r w:rsidR="00877529">
          <w:instrText xml:space="preserve"> PAGE   \* MERGEFORMAT </w:instrText>
        </w:r>
        <w:r>
          <w:fldChar w:fldCharType="separate"/>
        </w:r>
        <w:r w:rsidR="00AE157B">
          <w:rPr>
            <w:noProof/>
          </w:rPr>
          <w:t>5</w:t>
        </w:r>
        <w:r>
          <w:rPr>
            <w:noProof/>
          </w:rPr>
          <w:fldChar w:fldCharType="end"/>
        </w:r>
      </w:p>
    </w:sdtContent>
  </w:sdt>
  <w:p w:rsidR="007F5E46" w:rsidRPr="00877529" w:rsidRDefault="007F5E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67" w:rsidRDefault="00D15567">
      <w:r>
        <w:separator/>
      </w:r>
    </w:p>
  </w:footnote>
  <w:footnote w:type="continuationSeparator" w:id="0">
    <w:p w:rsidR="00D15567" w:rsidRDefault="00D15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rsidR="007F5E46" w:rsidRDefault="007F5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AD1943">
    <w:pPr>
      <w:pStyle w:val="Header"/>
      <w:tabs>
        <w:tab w:val="clear" w:pos="4153"/>
        <w:tab w:val="clear" w:pos="8306"/>
        <w:tab w:val="left" w:pos="0"/>
      </w:tabs>
    </w:pPr>
  </w:p>
  <w:p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5">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8">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3"/>
  </w:num>
  <w:num w:numId="5">
    <w:abstractNumId w:val="4"/>
  </w:num>
  <w:num w:numId="6">
    <w:abstractNumId w:val="2"/>
  </w:num>
  <w:num w:numId="7">
    <w:abstractNumId w:val="0"/>
  </w:num>
  <w:num w:numId="8">
    <w:abstractNumId w:val="8"/>
  </w:num>
  <w:num w:numId="9">
    <w:abstractNumId w:val="18"/>
  </w:num>
  <w:num w:numId="10">
    <w:abstractNumId w:val="7"/>
  </w:num>
  <w:num w:numId="11">
    <w:abstractNumId w:val="12"/>
  </w:num>
  <w:num w:numId="12">
    <w:abstractNumId w:val="6"/>
  </w:num>
  <w:num w:numId="13">
    <w:abstractNumId w:val="13"/>
  </w:num>
  <w:num w:numId="14">
    <w:abstractNumId w:val="10"/>
  </w:num>
  <w:num w:numId="15">
    <w:abstractNumId w:val="9"/>
  </w:num>
  <w:num w:numId="16">
    <w:abstractNumId w:val="5"/>
  </w:num>
  <w:num w:numId="17">
    <w:abstractNumId w:val="1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1FA0"/>
    <w:rsid w:val="00012656"/>
    <w:rsid w:val="00013323"/>
    <w:rsid w:val="000257B7"/>
    <w:rsid w:val="00025B0F"/>
    <w:rsid w:val="000267C7"/>
    <w:rsid w:val="000372AF"/>
    <w:rsid w:val="00037439"/>
    <w:rsid w:val="00037CA7"/>
    <w:rsid w:val="000405EE"/>
    <w:rsid w:val="00042068"/>
    <w:rsid w:val="00045BDF"/>
    <w:rsid w:val="0005513B"/>
    <w:rsid w:val="000614D9"/>
    <w:rsid w:val="00064CC7"/>
    <w:rsid w:val="0006546D"/>
    <w:rsid w:val="000675AB"/>
    <w:rsid w:val="00072CA3"/>
    <w:rsid w:val="00075839"/>
    <w:rsid w:val="000810B4"/>
    <w:rsid w:val="00081E09"/>
    <w:rsid w:val="00085CCF"/>
    <w:rsid w:val="00090CC5"/>
    <w:rsid w:val="000917B7"/>
    <w:rsid w:val="00093E11"/>
    <w:rsid w:val="00094B6D"/>
    <w:rsid w:val="000A5AE3"/>
    <w:rsid w:val="000B005F"/>
    <w:rsid w:val="000B37FD"/>
    <w:rsid w:val="000B58AA"/>
    <w:rsid w:val="000B58FD"/>
    <w:rsid w:val="000B6B42"/>
    <w:rsid w:val="000B7645"/>
    <w:rsid w:val="000C01CF"/>
    <w:rsid w:val="000C21C4"/>
    <w:rsid w:val="000D0F32"/>
    <w:rsid w:val="000D73D0"/>
    <w:rsid w:val="000E36A7"/>
    <w:rsid w:val="000E7FFC"/>
    <w:rsid w:val="000F04F8"/>
    <w:rsid w:val="00104E72"/>
    <w:rsid w:val="001122C8"/>
    <w:rsid w:val="00113D3A"/>
    <w:rsid w:val="00117450"/>
    <w:rsid w:val="00132FF7"/>
    <w:rsid w:val="00141D8C"/>
    <w:rsid w:val="00143670"/>
    <w:rsid w:val="00146B03"/>
    <w:rsid w:val="00147ACA"/>
    <w:rsid w:val="001543C7"/>
    <w:rsid w:val="00157EAD"/>
    <w:rsid w:val="00175953"/>
    <w:rsid w:val="001760FA"/>
    <w:rsid w:val="001811A6"/>
    <w:rsid w:val="00184011"/>
    <w:rsid w:val="00190467"/>
    <w:rsid w:val="00190FC6"/>
    <w:rsid w:val="00195047"/>
    <w:rsid w:val="00195BB6"/>
    <w:rsid w:val="00197BB2"/>
    <w:rsid w:val="001A0568"/>
    <w:rsid w:val="001A19D7"/>
    <w:rsid w:val="001A214C"/>
    <w:rsid w:val="001A4C5C"/>
    <w:rsid w:val="001B50D1"/>
    <w:rsid w:val="001B738C"/>
    <w:rsid w:val="001C602E"/>
    <w:rsid w:val="001D19ED"/>
    <w:rsid w:val="001D3026"/>
    <w:rsid w:val="001D7CA1"/>
    <w:rsid w:val="001E6D11"/>
    <w:rsid w:val="001F0239"/>
    <w:rsid w:val="001F2642"/>
    <w:rsid w:val="001F2B15"/>
    <w:rsid w:val="001F3922"/>
    <w:rsid w:val="001F73A0"/>
    <w:rsid w:val="00200B42"/>
    <w:rsid w:val="00201305"/>
    <w:rsid w:val="00203B05"/>
    <w:rsid w:val="00204B5E"/>
    <w:rsid w:val="002058BF"/>
    <w:rsid w:val="00206AF2"/>
    <w:rsid w:val="002163B6"/>
    <w:rsid w:val="00231048"/>
    <w:rsid w:val="002404DB"/>
    <w:rsid w:val="00242E07"/>
    <w:rsid w:val="00251303"/>
    <w:rsid w:val="00262999"/>
    <w:rsid w:val="0026607F"/>
    <w:rsid w:val="002707DC"/>
    <w:rsid w:val="002757A6"/>
    <w:rsid w:val="00276035"/>
    <w:rsid w:val="002808F1"/>
    <w:rsid w:val="00283E00"/>
    <w:rsid w:val="00285684"/>
    <w:rsid w:val="00290960"/>
    <w:rsid w:val="00292B07"/>
    <w:rsid w:val="00293CB9"/>
    <w:rsid w:val="00294A49"/>
    <w:rsid w:val="00294DFA"/>
    <w:rsid w:val="00297750"/>
    <w:rsid w:val="002A0ADB"/>
    <w:rsid w:val="002A4D2F"/>
    <w:rsid w:val="002B5A0B"/>
    <w:rsid w:val="002B5CF0"/>
    <w:rsid w:val="002B7945"/>
    <w:rsid w:val="002C10C0"/>
    <w:rsid w:val="002D01F8"/>
    <w:rsid w:val="002D37B0"/>
    <w:rsid w:val="002D391F"/>
    <w:rsid w:val="002D3EA1"/>
    <w:rsid w:val="002E0A39"/>
    <w:rsid w:val="002E1F59"/>
    <w:rsid w:val="002E3566"/>
    <w:rsid w:val="002E77F0"/>
    <w:rsid w:val="0030123E"/>
    <w:rsid w:val="003047A0"/>
    <w:rsid w:val="00314200"/>
    <w:rsid w:val="00315186"/>
    <w:rsid w:val="00327C89"/>
    <w:rsid w:val="00335801"/>
    <w:rsid w:val="00336E08"/>
    <w:rsid w:val="0033755E"/>
    <w:rsid w:val="003473D3"/>
    <w:rsid w:val="0034742D"/>
    <w:rsid w:val="00350252"/>
    <w:rsid w:val="003533D3"/>
    <w:rsid w:val="00370C90"/>
    <w:rsid w:val="003749B3"/>
    <w:rsid w:val="00376D83"/>
    <w:rsid w:val="00382439"/>
    <w:rsid w:val="003839E9"/>
    <w:rsid w:val="00386F17"/>
    <w:rsid w:val="00395FAE"/>
    <w:rsid w:val="00396601"/>
    <w:rsid w:val="00396E73"/>
    <w:rsid w:val="00396F63"/>
    <w:rsid w:val="003A4499"/>
    <w:rsid w:val="003A7681"/>
    <w:rsid w:val="003B2462"/>
    <w:rsid w:val="003C04A2"/>
    <w:rsid w:val="003C191C"/>
    <w:rsid w:val="003C223D"/>
    <w:rsid w:val="003C2A3E"/>
    <w:rsid w:val="003C52E5"/>
    <w:rsid w:val="003C5DE1"/>
    <w:rsid w:val="003C5E24"/>
    <w:rsid w:val="003C635E"/>
    <w:rsid w:val="003C6C30"/>
    <w:rsid w:val="003D187B"/>
    <w:rsid w:val="003D2315"/>
    <w:rsid w:val="003D31C3"/>
    <w:rsid w:val="003D6C16"/>
    <w:rsid w:val="003E0599"/>
    <w:rsid w:val="003F381E"/>
    <w:rsid w:val="003F53E1"/>
    <w:rsid w:val="003F64DA"/>
    <w:rsid w:val="00411751"/>
    <w:rsid w:val="00413B76"/>
    <w:rsid w:val="00420786"/>
    <w:rsid w:val="00422B41"/>
    <w:rsid w:val="004324BB"/>
    <w:rsid w:val="0043463F"/>
    <w:rsid w:val="004366EB"/>
    <w:rsid w:val="0044018D"/>
    <w:rsid w:val="00442059"/>
    <w:rsid w:val="00451CCD"/>
    <w:rsid w:val="00452930"/>
    <w:rsid w:val="00453115"/>
    <w:rsid w:val="00453338"/>
    <w:rsid w:val="0046020B"/>
    <w:rsid w:val="00462B57"/>
    <w:rsid w:val="00462DFB"/>
    <w:rsid w:val="0046497F"/>
    <w:rsid w:val="00464E36"/>
    <w:rsid w:val="00473C2E"/>
    <w:rsid w:val="00473CD2"/>
    <w:rsid w:val="00476489"/>
    <w:rsid w:val="00476887"/>
    <w:rsid w:val="00480D1D"/>
    <w:rsid w:val="004829AD"/>
    <w:rsid w:val="004833CC"/>
    <w:rsid w:val="00486040"/>
    <w:rsid w:val="00486AE4"/>
    <w:rsid w:val="00490CE7"/>
    <w:rsid w:val="00497396"/>
    <w:rsid w:val="004A1F72"/>
    <w:rsid w:val="004A31FB"/>
    <w:rsid w:val="004B2AAC"/>
    <w:rsid w:val="004B5134"/>
    <w:rsid w:val="004C29D8"/>
    <w:rsid w:val="004C79DC"/>
    <w:rsid w:val="004C7FEE"/>
    <w:rsid w:val="004D28B7"/>
    <w:rsid w:val="004E1773"/>
    <w:rsid w:val="004E2798"/>
    <w:rsid w:val="004E32CA"/>
    <w:rsid w:val="004E668D"/>
    <w:rsid w:val="004F21EE"/>
    <w:rsid w:val="004F2CA3"/>
    <w:rsid w:val="004F47A6"/>
    <w:rsid w:val="005000FF"/>
    <w:rsid w:val="00503CB0"/>
    <w:rsid w:val="00504A03"/>
    <w:rsid w:val="00514F45"/>
    <w:rsid w:val="00515937"/>
    <w:rsid w:val="00515FF8"/>
    <w:rsid w:val="005231B0"/>
    <w:rsid w:val="00526543"/>
    <w:rsid w:val="0053604F"/>
    <w:rsid w:val="00536D79"/>
    <w:rsid w:val="0054576E"/>
    <w:rsid w:val="0054626F"/>
    <w:rsid w:val="00546B3E"/>
    <w:rsid w:val="00547C0F"/>
    <w:rsid w:val="00556311"/>
    <w:rsid w:val="00561F82"/>
    <w:rsid w:val="005623D6"/>
    <w:rsid w:val="00567F49"/>
    <w:rsid w:val="0057215F"/>
    <w:rsid w:val="00576296"/>
    <w:rsid w:val="00593609"/>
    <w:rsid w:val="00595B06"/>
    <w:rsid w:val="0059755B"/>
    <w:rsid w:val="005A408B"/>
    <w:rsid w:val="005C02D8"/>
    <w:rsid w:val="005C235E"/>
    <w:rsid w:val="005C30F9"/>
    <w:rsid w:val="005C5FB4"/>
    <w:rsid w:val="005C7100"/>
    <w:rsid w:val="005E1975"/>
    <w:rsid w:val="005E1BCC"/>
    <w:rsid w:val="005E26CD"/>
    <w:rsid w:val="005E563B"/>
    <w:rsid w:val="005E778D"/>
    <w:rsid w:val="005F0859"/>
    <w:rsid w:val="005F1EE1"/>
    <w:rsid w:val="005F3070"/>
    <w:rsid w:val="005F6518"/>
    <w:rsid w:val="006060E2"/>
    <w:rsid w:val="00606DFF"/>
    <w:rsid w:val="00611E64"/>
    <w:rsid w:val="00616634"/>
    <w:rsid w:val="00621156"/>
    <w:rsid w:val="006217AB"/>
    <w:rsid w:val="0062448C"/>
    <w:rsid w:val="00624BA3"/>
    <w:rsid w:val="00625284"/>
    <w:rsid w:val="00625354"/>
    <w:rsid w:val="006264E3"/>
    <w:rsid w:val="00634C8C"/>
    <w:rsid w:val="006351A7"/>
    <w:rsid w:val="00635C35"/>
    <w:rsid w:val="00636FD2"/>
    <w:rsid w:val="00650907"/>
    <w:rsid w:val="006514E0"/>
    <w:rsid w:val="00655AC7"/>
    <w:rsid w:val="00656611"/>
    <w:rsid w:val="00665ACA"/>
    <w:rsid w:val="006709C9"/>
    <w:rsid w:val="0067291A"/>
    <w:rsid w:val="00672DDA"/>
    <w:rsid w:val="006878CE"/>
    <w:rsid w:val="00690FFC"/>
    <w:rsid w:val="00691739"/>
    <w:rsid w:val="0069409C"/>
    <w:rsid w:val="00695811"/>
    <w:rsid w:val="00697C62"/>
    <w:rsid w:val="006A65CF"/>
    <w:rsid w:val="006B0291"/>
    <w:rsid w:val="006B0944"/>
    <w:rsid w:val="006B539F"/>
    <w:rsid w:val="006B6451"/>
    <w:rsid w:val="006B7624"/>
    <w:rsid w:val="006C0199"/>
    <w:rsid w:val="006D502A"/>
    <w:rsid w:val="006D6D0C"/>
    <w:rsid w:val="006E16FA"/>
    <w:rsid w:val="006E3506"/>
    <w:rsid w:val="006E49B6"/>
    <w:rsid w:val="006E545B"/>
    <w:rsid w:val="006E5735"/>
    <w:rsid w:val="006E5DA8"/>
    <w:rsid w:val="006F22BA"/>
    <w:rsid w:val="006F372C"/>
    <w:rsid w:val="00700FE9"/>
    <w:rsid w:val="00703BF0"/>
    <w:rsid w:val="00712716"/>
    <w:rsid w:val="00714BA2"/>
    <w:rsid w:val="00716896"/>
    <w:rsid w:val="007231B2"/>
    <w:rsid w:val="00723277"/>
    <w:rsid w:val="00730B87"/>
    <w:rsid w:val="007343BD"/>
    <w:rsid w:val="00735A9C"/>
    <w:rsid w:val="007363D6"/>
    <w:rsid w:val="00744690"/>
    <w:rsid w:val="007529F8"/>
    <w:rsid w:val="00761E76"/>
    <w:rsid w:val="007662F8"/>
    <w:rsid w:val="007727E7"/>
    <w:rsid w:val="00777711"/>
    <w:rsid w:val="00777722"/>
    <w:rsid w:val="00796B07"/>
    <w:rsid w:val="007A51D6"/>
    <w:rsid w:val="007B18F6"/>
    <w:rsid w:val="007B5413"/>
    <w:rsid w:val="007C18C6"/>
    <w:rsid w:val="007C1CEC"/>
    <w:rsid w:val="007C438D"/>
    <w:rsid w:val="007D3909"/>
    <w:rsid w:val="007D42A8"/>
    <w:rsid w:val="007D454B"/>
    <w:rsid w:val="007D4695"/>
    <w:rsid w:val="007F3046"/>
    <w:rsid w:val="007F5E46"/>
    <w:rsid w:val="007F6C79"/>
    <w:rsid w:val="00805651"/>
    <w:rsid w:val="00816CBD"/>
    <w:rsid w:val="008220E2"/>
    <w:rsid w:val="00824C87"/>
    <w:rsid w:val="00824FDB"/>
    <w:rsid w:val="00826B69"/>
    <w:rsid w:val="00835618"/>
    <w:rsid w:val="00837533"/>
    <w:rsid w:val="00845A06"/>
    <w:rsid w:val="00846A95"/>
    <w:rsid w:val="00846DA5"/>
    <w:rsid w:val="008553EC"/>
    <w:rsid w:val="008566DA"/>
    <w:rsid w:val="00861D4C"/>
    <w:rsid w:val="00862B50"/>
    <w:rsid w:val="00863009"/>
    <w:rsid w:val="008663C1"/>
    <w:rsid w:val="00867E6D"/>
    <w:rsid w:val="00871EDA"/>
    <w:rsid w:val="00877529"/>
    <w:rsid w:val="00880A79"/>
    <w:rsid w:val="00882AED"/>
    <w:rsid w:val="00882F76"/>
    <w:rsid w:val="008860FC"/>
    <w:rsid w:val="00887A5A"/>
    <w:rsid w:val="00887CFB"/>
    <w:rsid w:val="00891CD0"/>
    <w:rsid w:val="0089273D"/>
    <w:rsid w:val="008A4504"/>
    <w:rsid w:val="008A5667"/>
    <w:rsid w:val="008A7102"/>
    <w:rsid w:val="008B3EDF"/>
    <w:rsid w:val="008B4044"/>
    <w:rsid w:val="008B6B9F"/>
    <w:rsid w:val="008C1DCA"/>
    <w:rsid w:val="008C2DFA"/>
    <w:rsid w:val="008C3004"/>
    <w:rsid w:val="008D0491"/>
    <w:rsid w:val="008D1520"/>
    <w:rsid w:val="008D3FB8"/>
    <w:rsid w:val="008D487A"/>
    <w:rsid w:val="008D5653"/>
    <w:rsid w:val="008D59E6"/>
    <w:rsid w:val="008E4061"/>
    <w:rsid w:val="008E4262"/>
    <w:rsid w:val="008E7CA0"/>
    <w:rsid w:val="008F0DE7"/>
    <w:rsid w:val="008F7C91"/>
    <w:rsid w:val="008F7FF8"/>
    <w:rsid w:val="009050A9"/>
    <w:rsid w:val="009156A9"/>
    <w:rsid w:val="00924BE6"/>
    <w:rsid w:val="009330BC"/>
    <w:rsid w:val="009377D2"/>
    <w:rsid w:val="00937AC2"/>
    <w:rsid w:val="00943A52"/>
    <w:rsid w:val="00945190"/>
    <w:rsid w:val="00946A18"/>
    <w:rsid w:val="00946D6F"/>
    <w:rsid w:val="00950602"/>
    <w:rsid w:val="00954C8A"/>
    <w:rsid w:val="00957D1D"/>
    <w:rsid w:val="00961336"/>
    <w:rsid w:val="00963FEE"/>
    <w:rsid w:val="00966F69"/>
    <w:rsid w:val="009719E6"/>
    <w:rsid w:val="00975B6C"/>
    <w:rsid w:val="00982F94"/>
    <w:rsid w:val="009A0670"/>
    <w:rsid w:val="009A0948"/>
    <w:rsid w:val="009B084B"/>
    <w:rsid w:val="009B229A"/>
    <w:rsid w:val="009B2729"/>
    <w:rsid w:val="009B3507"/>
    <w:rsid w:val="009B4481"/>
    <w:rsid w:val="009B689C"/>
    <w:rsid w:val="009C137A"/>
    <w:rsid w:val="009C183A"/>
    <w:rsid w:val="009C1C06"/>
    <w:rsid w:val="009D0166"/>
    <w:rsid w:val="009D24B6"/>
    <w:rsid w:val="009D4433"/>
    <w:rsid w:val="009D621F"/>
    <w:rsid w:val="009E0A93"/>
    <w:rsid w:val="009E4235"/>
    <w:rsid w:val="009E4F0B"/>
    <w:rsid w:val="009E6B80"/>
    <w:rsid w:val="009F042D"/>
    <w:rsid w:val="009F079E"/>
    <w:rsid w:val="009F309F"/>
    <w:rsid w:val="009F4F4C"/>
    <w:rsid w:val="00A0659F"/>
    <w:rsid w:val="00A1397B"/>
    <w:rsid w:val="00A23F76"/>
    <w:rsid w:val="00A26261"/>
    <w:rsid w:val="00A27874"/>
    <w:rsid w:val="00A309AD"/>
    <w:rsid w:val="00A33510"/>
    <w:rsid w:val="00A35596"/>
    <w:rsid w:val="00A42AB8"/>
    <w:rsid w:val="00A460E6"/>
    <w:rsid w:val="00A47444"/>
    <w:rsid w:val="00A6223E"/>
    <w:rsid w:val="00A72D79"/>
    <w:rsid w:val="00A74B02"/>
    <w:rsid w:val="00A81139"/>
    <w:rsid w:val="00A82865"/>
    <w:rsid w:val="00A91FA6"/>
    <w:rsid w:val="00A97107"/>
    <w:rsid w:val="00AA6C67"/>
    <w:rsid w:val="00AB49B2"/>
    <w:rsid w:val="00AC0C99"/>
    <w:rsid w:val="00AC2B6B"/>
    <w:rsid w:val="00AD060E"/>
    <w:rsid w:val="00AD1943"/>
    <w:rsid w:val="00AD75DC"/>
    <w:rsid w:val="00AE157B"/>
    <w:rsid w:val="00AE47C4"/>
    <w:rsid w:val="00AE7080"/>
    <w:rsid w:val="00AE7F72"/>
    <w:rsid w:val="00AF21F1"/>
    <w:rsid w:val="00AF3366"/>
    <w:rsid w:val="00AF61D6"/>
    <w:rsid w:val="00B04E0B"/>
    <w:rsid w:val="00B07040"/>
    <w:rsid w:val="00B071F4"/>
    <w:rsid w:val="00B0768C"/>
    <w:rsid w:val="00B10B79"/>
    <w:rsid w:val="00B12D0E"/>
    <w:rsid w:val="00B14F42"/>
    <w:rsid w:val="00B24640"/>
    <w:rsid w:val="00B24B73"/>
    <w:rsid w:val="00B25C4A"/>
    <w:rsid w:val="00B25FBB"/>
    <w:rsid w:val="00B279BF"/>
    <w:rsid w:val="00B339C2"/>
    <w:rsid w:val="00B4475C"/>
    <w:rsid w:val="00B45B96"/>
    <w:rsid w:val="00B47EF5"/>
    <w:rsid w:val="00B53941"/>
    <w:rsid w:val="00B620DF"/>
    <w:rsid w:val="00B64E73"/>
    <w:rsid w:val="00B7359A"/>
    <w:rsid w:val="00B74B77"/>
    <w:rsid w:val="00B75D56"/>
    <w:rsid w:val="00B761CB"/>
    <w:rsid w:val="00B76833"/>
    <w:rsid w:val="00B83100"/>
    <w:rsid w:val="00B8360C"/>
    <w:rsid w:val="00B8739B"/>
    <w:rsid w:val="00BA30C2"/>
    <w:rsid w:val="00BB1578"/>
    <w:rsid w:val="00BB59D2"/>
    <w:rsid w:val="00BB5FE5"/>
    <w:rsid w:val="00BB708E"/>
    <w:rsid w:val="00BC1D92"/>
    <w:rsid w:val="00BC4C90"/>
    <w:rsid w:val="00BC7193"/>
    <w:rsid w:val="00BC79EB"/>
    <w:rsid w:val="00BD0DCD"/>
    <w:rsid w:val="00BD342D"/>
    <w:rsid w:val="00BD5764"/>
    <w:rsid w:val="00BE22DF"/>
    <w:rsid w:val="00BE7572"/>
    <w:rsid w:val="00BF2DB5"/>
    <w:rsid w:val="00C0721E"/>
    <w:rsid w:val="00C109D1"/>
    <w:rsid w:val="00C1354E"/>
    <w:rsid w:val="00C147E8"/>
    <w:rsid w:val="00C21B58"/>
    <w:rsid w:val="00C21FF2"/>
    <w:rsid w:val="00C27868"/>
    <w:rsid w:val="00C318E5"/>
    <w:rsid w:val="00C32FDC"/>
    <w:rsid w:val="00C355EB"/>
    <w:rsid w:val="00C377F0"/>
    <w:rsid w:val="00C457E9"/>
    <w:rsid w:val="00C50314"/>
    <w:rsid w:val="00C50BEB"/>
    <w:rsid w:val="00C52D53"/>
    <w:rsid w:val="00C62ABA"/>
    <w:rsid w:val="00C62CD2"/>
    <w:rsid w:val="00C650E1"/>
    <w:rsid w:val="00C65D06"/>
    <w:rsid w:val="00C66DC2"/>
    <w:rsid w:val="00C706CB"/>
    <w:rsid w:val="00C82ACB"/>
    <w:rsid w:val="00C86C60"/>
    <w:rsid w:val="00C902D6"/>
    <w:rsid w:val="00C917EA"/>
    <w:rsid w:val="00C91B17"/>
    <w:rsid w:val="00C933AA"/>
    <w:rsid w:val="00C97065"/>
    <w:rsid w:val="00CA22E6"/>
    <w:rsid w:val="00CA5153"/>
    <w:rsid w:val="00CA59F4"/>
    <w:rsid w:val="00CB3006"/>
    <w:rsid w:val="00CB48F8"/>
    <w:rsid w:val="00CB6938"/>
    <w:rsid w:val="00CB7D8C"/>
    <w:rsid w:val="00CC233B"/>
    <w:rsid w:val="00CC4DA7"/>
    <w:rsid w:val="00CC588D"/>
    <w:rsid w:val="00CC7CE5"/>
    <w:rsid w:val="00CD1B69"/>
    <w:rsid w:val="00CD46EE"/>
    <w:rsid w:val="00CE72FB"/>
    <w:rsid w:val="00CF0B95"/>
    <w:rsid w:val="00CF1662"/>
    <w:rsid w:val="00CF219B"/>
    <w:rsid w:val="00CF4463"/>
    <w:rsid w:val="00CF4A5D"/>
    <w:rsid w:val="00D00488"/>
    <w:rsid w:val="00D0411B"/>
    <w:rsid w:val="00D04D0F"/>
    <w:rsid w:val="00D0547B"/>
    <w:rsid w:val="00D12D5E"/>
    <w:rsid w:val="00D13416"/>
    <w:rsid w:val="00D1427F"/>
    <w:rsid w:val="00D15567"/>
    <w:rsid w:val="00D16A53"/>
    <w:rsid w:val="00D201C8"/>
    <w:rsid w:val="00D270C7"/>
    <w:rsid w:val="00D27110"/>
    <w:rsid w:val="00D413DE"/>
    <w:rsid w:val="00D41D94"/>
    <w:rsid w:val="00D43D58"/>
    <w:rsid w:val="00D456AD"/>
    <w:rsid w:val="00D5210D"/>
    <w:rsid w:val="00D53194"/>
    <w:rsid w:val="00D6783C"/>
    <w:rsid w:val="00D70C16"/>
    <w:rsid w:val="00D72545"/>
    <w:rsid w:val="00D74AC5"/>
    <w:rsid w:val="00D83EE7"/>
    <w:rsid w:val="00D916E1"/>
    <w:rsid w:val="00D938ED"/>
    <w:rsid w:val="00D97A39"/>
    <w:rsid w:val="00DA17E4"/>
    <w:rsid w:val="00DA1BE1"/>
    <w:rsid w:val="00DA231C"/>
    <w:rsid w:val="00DA4700"/>
    <w:rsid w:val="00DA5C1E"/>
    <w:rsid w:val="00DA735D"/>
    <w:rsid w:val="00DB4E3C"/>
    <w:rsid w:val="00DB766E"/>
    <w:rsid w:val="00DB76C7"/>
    <w:rsid w:val="00DC09E5"/>
    <w:rsid w:val="00DC0B9E"/>
    <w:rsid w:val="00DC19A9"/>
    <w:rsid w:val="00DC7829"/>
    <w:rsid w:val="00DD3DBC"/>
    <w:rsid w:val="00DD73CB"/>
    <w:rsid w:val="00DD7F36"/>
    <w:rsid w:val="00DE0099"/>
    <w:rsid w:val="00DE1A9E"/>
    <w:rsid w:val="00DF0B72"/>
    <w:rsid w:val="00DF75F9"/>
    <w:rsid w:val="00E0415F"/>
    <w:rsid w:val="00E046D0"/>
    <w:rsid w:val="00E24AF1"/>
    <w:rsid w:val="00E43D84"/>
    <w:rsid w:val="00E52AC1"/>
    <w:rsid w:val="00E54856"/>
    <w:rsid w:val="00E62E77"/>
    <w:rsid w:val="00E6568A"/>
    <w:rsid w:val="00E74460"/>
    <w:rsid w:val="00E77503"/>
    <w:rsid w:val="00E84FA8"/>
    <w:rsid w:val="00E90759"/>
    <w:rsid w:val="00E92259"/>
    <w:rsid w:val="00E92FFE"/>
    <w:rsid w:val="00E956D7"/>
    <w:rsid w:val="00E961C1"/>
    <w:rsid w:val="00E97364"/>
    <w:rsid w:val="00EA060D"/>
    <w:rsid w:val="00EA6FC5"/>
    <w:rsid w:val="00EB4DA4"/>
    <w:rsid w:val="00EC14C9"/>
    <w:rsid w:val="00ED1D1B"/>
    <w:rsid w:val="00ED222C"/>
    <w:rsid w:val="00ED3829"/>
    <w:rsid w:val="00ED537B"/>
    <w:rsid w:val="00EE3E84"/>
    <w:rsid w:val="00EF2391"/>
    <w:rsid w:val="00EF4999"/>
    <w:rsid w:val="00EF5682"/>
    <w:rsid w:val="00F071D4"/>
    <w:rsid w:val="00F108E0"/>
    <w:rsid w:val="00F11401"/>
    <w:rsid w:val="00F12CF7"/>
    <w:rsid w:val="00F22FA4"/>
    <w:rsid w:val="00F26F50"/>
    <w:rsid w:val="00F31646"/>
    <w:rsid w:val="00F316FF"/>
    <w:rsid w:val="00F31B34"/>
    <w:rsid w:val="00F3293E"/>
    <w:rsid w:val="00F32B42"/>
    <w:rsid w:val="00F33958"/>
    <w:rsid w:val="00F348DA"/>
    <w:rsid w:val="00F41CB2"/>
    <w:rsid w:val="00F425BD"/>
    <w:rsid w:val="00F45F09"/>
    <w:rsid w:val="00F47A44"/>
    <w:rsid w:val="00F566D3"/>
    <w:rsid w:val="00F61011"/>
    <w:rsid w:val="00F6558B"/>
    <w:rsid w:val="00F74971"/>
    <w:rsid w:val="00F84730"/>
    <w:rsid w:val="00F86F17"/>
    <w:rsid w:val="00F93DF3"/>
    <w:rsid w:val="00F94FB3"/>
    <w:rsid w:val="00FA47BE"/>
    <w:rsid w:val="00FA7E1B"/>
    <w:rsid w:val="00FA7FD6"/>
    <w:rsid w:val="00FB154A"/>
    <w:rsid w:val="00FB2407"/>
    <w:rsid w:val="00FB6877"/>
    <w:rsid w:val="00FC0F7B"/>
    <w:rsid w:val="00FC14E0"/>
    <w:rsid w:val="00FC3E91"/>
    <w:rsid w:val="00FC6707"/>
    <w:rsid w:val="00FD41F1"/>
    <w:rsid w:val="00FE471C"/>
    <w:rsid w:val="00FE7767"/>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DED8-14BA-42E0-AD0F-8727A373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2019-07-11T06:46:00Z</cp:lastPrinted>
  <dcterms:created xsi:type="dcterms:W3CDTF">2019-07-12T00:39:00Z</dcterms:created>
  <dcterms:modified xsi:type="dcterms:W3CDTF">2019-07-12T00:39:00Z</dcterms:modified>
</cp:coreProperties>
</file>