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742F1" w14:textId="77777777"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73DFF043" w14:textId="77777777" w:rsidR="002533F0" w:rsidRPr="00BC76EB" w:rsidRDefault="002533F0" w:rsidP="002533F0">
      <w:pPr>
        <w:spacing w:before="0"/>
        <w:ind w:right="91"/>
        <w:jc w:val="center"/>
        <w:rPr>
          <w:rFonts w:ascii="Arial" w:hAnsi="Arial" w:cs="Arial"/>
          <w:szCs w:val="24"/>
        </w:rPr>
      </w:pPr>
    </w:p>
    <w:p w14:paraId="71113CF0" w14:textId="77777777" w:rsidR="00EC0C59" w:rsidRPr="00BC76EB" w:rsidRDefault="00EC0C59" w:rsidP="002533F0">
      <w:pPr>
        <w:spacing w:before="0"/>
        <w:ind w:right="91"/>
        <w:jc w:val="center"/>
        <w:rPr>
          <w:rFonts w:ascii="Arial" w:hAnsi="Arial" w:cs="Arial"/>
          <w:b/>
          <w:szCs w:val="24"/>
          <w:u w:val="single"/>
        </w:rPr>
      </w:pPr>
    </w:p>
    <w:p w14:paraId="3D5BB41B"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927E9D">
        <w:rPr>
          <w:rFonts w:ascii="Arial" w:hAnsi="Arial" w:cs="Arial"/>
          <w:szCs w:val="24"/>
        </w:rPr>
        <w:t>Families and Social Services</w:t>
      </w:r>
    </w:p>
    <w:p w14:paraId="02193F76" w14:textId="77777777" w:rsidR="002533F0" w:rsidRPr="00BC76EB" w:rsidRDefault="002533F0" w:rsidP="002533F0">
      <w:pPr>
        <w:spacing w:before="0"/>
        <w:ind w:right="91"/>
        <w:jc w:val="center"/>
        <w:rPr>
          <w:rFonts w:ascii="Arial" w:hAnsi="Arial" w:cs="Arial"/>
          <w:i/>
          <w:szCs w:val="24"/>
        </w:rPr>
      </w:pPr>
    </w:p>
    <w:p w14:paraId="1DA44891" w14:textId="77777777" w:rsidR="00966756" w:rsidRPr="00927E9D" w:rsidRDefault="00927E9D" w:rsidP="002533F0">
      <w:pPr>
        <w:spacing w:before="0"/>
        <w:ind w:right="91"/>
        <w:jc w:val="center"/>
        <w:rPr>
          <w:rFonts w:ascii="Arial" w:hAnsi="Arial" w:cs="Arial"/>
          <w:i/>
          <w:szCs w:val="24"/>
        </w:rPr>
      </w:pPr>
      <w:r>
        <w:rPr>
          <w:rFonts w:ascii="Arial" w:hAnsi="Arial" w:cs="Arial"/>
          <w:i/>
          <w:szCs w:val="24"/>
        </w:rPr>
        <w:t>Social Security Act 1991</w:t>
      </w:r>
    </w:p>
    <w:p w14:paraId="4280AD15" w14:textId="77777777" w:rsidR="00966756" w:rsidRPr="00BC76EB" w:rsidRDefault="00966756" w:rsidP="002533F0">
      <w:pPr>
        <w:spacing w:before="0"/>
        <w:ind w:right="91"/>
        <w:jc w:val="center"/>
        <w:rPr>
          <w:rFonts w:ascii="Arial" w:hAnsi="Arial" w:cs="Arial"/>
          <w:szCs w:val="24"/>
        </w:rPr>
      </w:pPr>
    </w:p>
    <w:p w14:paraId="5D7CD745" w14:textId="77777777" w:rsidR="002533F0" w:rsidRPr="00927E9D" w:rsidRDefault="00927E9D" w:rsidP="002533F0">
      <w:pPr>
        <w:spacing w:before="0"/>
        <w:ind w:right="91"/>
        <w:jc w:val="center"/>
        <w:rPr>
          <w:rFonts w:ascii="Arial" w:hAnsi="Arial" w:cs="Arial"/>
          <w:i/>
          <w:szCs w:val="24"/>
        </w:rPr>
      </w:pPr>
      <w:r w:rsidRPr="00927E9D">
        <w:rPr>
          <w:rFonts w:ascii="Arial" w:hAnsi="Arial" w:cs="Arial"/>
          <w:i/>
        </w:rPr>
        <w:t>Social Security (De</w:t>
      </w:r>
      <w:r w:rsidR="00BE7542">
        <w:rPr>
          <w:rFonts w:ascii="Arial" w:hAnsi="Arial" w:cs="Arial"/>
          <w:i/>
        </w:rPr>
        <w:t>e</w:t>
      </w:r>
      <w:r w:rsidRPr="00927E9D">
        <w:rPr>
          <w:rFonts w:ascii="Arial" w:hAnsi="Arial" w:cs="Arial"/>
          <w:i/>
        </w:rPr>
        <w:t>ming Threshold Rates) Determination 2019</w:t>
      </w:r>
    </w:p>
    <w:p w14:paraId="195B4756" w14:textId="77777777" w:rsidR="00927E9D" w:rsidRDefault="00927E9D" w:rsidP="002533F0">
      <w:pPr>
        <w:spacing w:before="0"/>
        <w:ind w:right="91"/>
        <w:rPr>
          <w:rFonts w:ascii="Arial" w:hAnsi="Arial" w:cs="Arial"/>
          <w:b/>
          <w:szCs w:val="24"/>
        </w:rPr>
      </w:pPr>
    </w:p>
    <w:p w14:paraId="5DCC7CD7"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21092421" w14:textId="77777777" w:rsidR="001B7EE9" w:rsidRPr="001B7EE9" w:rsidRDefault="00927E9D" w:rsidP="001B7EE9">
      <w:pPr>
        <w:rPr>
          <w:rFonts w:ascii="Arial" w:hAnsi="Arial" w:cs="Arial"/>
          <w:szCs w:val="24"/>
          <w:lang w:val="en-US"/>
        </w:rPr>
      </w:pPr>
      <w:r w:rsidRPr="00927E9D">
        <w:rPr>
          <w:rFonts w:ascii="Arial" w:hAnsi="Arial" w:cs="Arial"/>
          <w:szCs w:val="24"/>
          <w:lang w:val="en-US"/>
        </w:rPr>
        <w:t xml:space="preserve">The </w:t>
      </w:r>
      <w:r w:rsidRPr="00927E9D">
        <w:rPr>
          <w:rFonts w:ascii="Arial" w:hAnsi="Arial" w:cs="Arial"/>
          <w:i/>
          <w:iCs/>
          <w:szCs w:val="24"/>
          <w:lang w:val="en-US"/>
        </w:rPr>
        <w:t>Social Security Act 1991</w:t>
      </w:r>
      <w:r w:rsidRPr="00927E9D">
        <w:rPr>
          <w:rFonts w:ascii="Arial" w:hAnsi="Arial" w:cs="Arial"/>
          <w:szCs w:val="24"/>
          <w:lang w:val="en-US"/>
        </w:rPr>
        <w:t xml:space="preserve"> (the Act) prescribes rules for calculating inco</w:t>
      </w:r>
      <w:r w:rsidR="00AD4D58">
        <w:rPr>
          <w:rFonts w:ascii="Arial" w:hAnsi="Arial" w:cs="Arial"/>
          <w:szCs w:val="24"/>
          <w:lang w:val="en-US"/>
        </w:rPr>
        <w:t xml:space="preserve">me from financial investments.  </w:t>
      </w:r>
      <w:r w:rsidRPr="00927E9D">
        <w:rPr>
          <w:rFonts w:ascii="Arial" w:hAnsi="Arial" w:cs="Arial"/>
          <w:szCs w:val="24"/>
          <w:lang w:val="en-US"/>
        </w:rPr>
        <w:t>These rules are generally known as deeming rules.  Under these</w:t>
      </w:r>
      <w:r w:rsidR="00AD4D58">
        <w:rPr>
          <w:rFonts w:ascii="Arial" w:hAnsi="Arial" w:cs="Arial"/>
          <w:szCs w:val="24"/>
          <w:lang w:val="en-US"/>
        </w:rPr>
        <w:t xml:space="preserve"> rules the value of a person’s</w:t>
      </w:r>
      <w:r w:rsidRPr="00927E9D">
        <w:rPr>
          <w:rFonts w:ascii="Arial" w:hAnsi="Arial" w:cs="Arial"/>
          <w:szCs w:val="24"/>
          <w:lang w:val="en-US"/>
        </w:rPr>
        <w:t xml:space="preserve"> financial assets are added together and income is deemed on these assets using a ‘below threshold rate’ and an ‘above threshold rate’.  </w:t>
      </w:r>
      <w:r w:rsidR="001B7EE9" w:rsidRPr="001B7EE9">
        <w:rPr>
          <w:rFonts w:ascii="Arial" w:hAnsi="Arial" w:cs="Arial"/>
          <w:szCs w:val="24"/>
          <w:lang w:val="en-US"/>
        </w:rPr>
        <w:t>From 1 July 2019, the first:</w:t>
      </w:r>
    </w:p>
    <w:p w14:paraId="76BBBF4E" w14:textId="77777777" w:rsidR="001B7EE9" w:rsidRPr="001B7EE9" w:rsidRDefault="001B7EE9" w:rsidP="001B7EE9">
      <w:pPr>
        <w:pStyle w:val="ListParagraph"/>
        <w:numPr>
          <w:ilvl w:val="0"/>
          <w:numId w:val="17"/>
        </w:numPr>
        <w:shd w:val="clear" w:color="auto" w:fill="FFFFFF"/>
        <w:spacing w:before="100" w:beforeAutospacing="1" w:after="100" w:afterAutospacing="1"/>
        <w:rPr>
          <w:rFonts w:ascii="Arial" w:hAnsi="Arial" w:cs="Arial"/>
          <w:szCs w:val="24"/>
          <w:lang w:val="en-US"/>
        </w:rPr>
      </w:pPr>
      <w:r w:rsidRPr="001B7EE9">
        <w:rPr>
          <w:rFonts w:ascii="Arial" w:hAnsi="Arial" w:cs="Arial"/>
          <w:szCs w:val="24"/>
          <w:lang w:val="en-US"/>
        </w:rPr>
        <w:t>$51,800 of a single person’s financial assets</w:t>
      </w:r>
    </w:p>
    <w:p w14:paraId="1BA711D1" w14:textId="692CC547" w:rsidR="001B7EE9" w:rsidRPr="001B7EE9" w:rsidRDefault="001B7EE9" w:rsidP="001B7EE9">
      <w:pPr>
        <w:pStyle w:val="ListParagraph"/>
        <w:numPr>
          <w:ilvl w:val="0"/>
          <w:numId w:val="17"/>
        </w:numPr>
        <w:shd w:val="clear" w:color="auto" w:fill="FFFFFF"/>
        <w:spacing w:before="100" w:beforeAutospacing="1" w:after="100" w:afterAutospacing="1"/>
        <w:rPr>
          <w:rFonts w:ascii="Arial" w:hAnsi="Arial" w:cs="Arial"/>
          <w:szCs w:val="24"/>
          <w:lang w:val="en-US"/>
        </w:rPr>
      </w:pPr>
      <w:r w:rsidRPr="001B7EE9">
        <w:rPr>
          <w:rFonts w:ascii="Arial" w:hAnsi="Arial" w:cs="Arial"/>
          <w:szCs w:val="24"/>
          <w:lang w:val="en-US"/>
        </w:rPr>
        <w:t>$86,200 of a pensioner cou</w:t>
      </w:r>
      <w:r>
        <w:rPr>
          <w:rFonts w:ascii="Arial" w:hAnsi="Arial" w:cs="Arial"/>
          <w:szCs w:val="24"/>
          <w:lang w:val="en-US"/>
        </w:rPr>
        <w:t>ple’s combined financial assets</w:t>
      </w:r>
    </w:p>
    <w:p w14:paraId="736349C7" w14:textId="77777777" w:rsidR="001B7EE9" w:rsidRPr="001B7EE9" w:rsidRDefault="001B7EE9" w:rsidP="001B7EE9">
      <w:pPr>
        <w:pStyle w:val="ListParagraph"/>
        <w:numPr>
          <w:ilvl w:val="0"/>
          <w:numId w:val="17"/>
        </w:numPr>
        <w:shd w:val="clear" w:color="auto" w:fill="FFFFFF"/>
        <w:spacing w:before="100" w:beforeAutospacing="1" w:after="100" w:afterAutospacing="1"/>
        <w:rPr>
          <w:rFonts w:ascii="Arial" w:hAnsi="Arial" w:cs="Arial"/>
          <w:szCs w:val="24"/>
          <w:lang w:val="en-US"/>
        </w:rPr>
      </w:pPr>
      <w:r w:rsidRPr="001B7EE9">
        <w:rPr>
          <w:rFonts w:ascii="Arial" w:hAnsi="Arial" w:cs="Arial"/>
          <w:szCs w:val="24"/>
          <w:lang w:val="en-US"/>
        </w:rPr>
        <w:t>$43,100 of each member of a couple who is a social security allowance recipient’s financial assets</w:t>
      </w:r>
    </w:p>
    <w:p w14:paraId="431242BE" w14:textId="77777777" w:rsidR="001B7EE9" w:rsidRDefault="001B7EE9" w:rsidP="001B7EE9">
      <w:pPr>
        <w:rPr>
          <w:rFonts w:ascii="Arial" w:hAnsi="Arial" w:cs="Arial"/>
          <w:szCs w:val="24"/>
          <w:lang w:val="en-US"/>
        </w:rPr>
      </w:pPr>
      <w:r w:rsidRPr="00927E9D">
        <w:rPr>
          <w:rFonts w:ascii="Arial" w:hAnsi="Arial" w:cs="Arial"/>
          <w:szCs w:val="24"/>
          <w:lang w:val="en-US"/>
        </w:rPr>
        <w:t>is deemed to earn the below threshold rate, and the balance over this amount is deemed to earn the above threshold rate</w:t>
      </w:r>
      <w:r>
        <w:rPr>
          <w:rFonts w:ascii="Arial" w:hAnsi="Arial" w:cs="Arial"/>
          <w:szCs w:val="24"/>
          <w:lang w:val="en-US"/>
        </w:rPr>
        <w:t xml:space="preserve">. These thresholds are indexed to the Consumer Price Index, and increase on 1 July each year. </w:t>
      </w:r>
    </w:p>
    <w:p w14:paraId="08DE32B4" w14:textId="2169E6C4" w:rsidR="000B7093" w:rsidRDefault="000B7093" w:rsidP="004B54CA">
      <w:pPr>
        <w:rPr>
          <w:rFonts w:ascii="Arial" w:hAnsi="Arial" w:cs="Arial"/>
          <w:szCs w:val="24"/>
          <w:lang w:val="en-US"/>
        </w:rPr>
      </w:pPr>
    </w:p>
    <w:p w14:paraId="4F4BDAC3"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2C144D99" w14:textId="77777777" w:rsidR="00927E9D" w:rsidRDefault="00927E9D" w:rsidP="00927E9D">
      <w:pPr>
        <w:shd w:val="clear" w:color="auto" w:fill="FFFFFF"/>
        <w:spacing w:before="0"/>
        <w:rPr>
          <w:rFonts w:ascii="Arial" w:hAnsi="Arial" w:cs="Arial"/>
          <w:szCs w:val="24"/>
          <w:lang w:val="en-US"/>
        </w:rPr>
      </w:pPr>
    </w:p>
    <w:p w14:paraId="21F1A97F" w14:textId="1ABA99D4" w:rsidR="00927E9D" w:rsidRDefault="00927E9D" w:rsidP="00927E9D">
      <w:pPr>
        <w:shd w:val="clear" w:color="auto" w:fill="FFFFFF"/>
        <w:spacing w:before="0"/>
        <w:rPr>
          <w:rFonts w:ascii="Arial" w:hAnsi="Arial" w:cs="Arial"/>
          <w:szCs w:val="24"/>
          <w:lang w:val="en-US"/>
        </w:rPr>
      </w:pPr>
      <w:r w:rsidRPr="00927E9D">
        <w:rPr>
          <w:rFonts w:ascii="Arial" w:hAnsi="Arial" w:cs="Arial"/>
          <w:szCs w:val="24"/>
          <w:lang w:val="en-US"/>
        </w:rPr>
        <w:t>Under section 1082 of the Act</w:t>
      </w:r>
      <w:r w:rsidR="00AD4D58">
        <w:rPr>
          <w:rFonts w:ascii="Arial" w:hAnsi="Arial" w:cs="Arial"/>
          <w:szCs w:val="24"/>
          <w:lang w:val="en-US"/>
        </w:rPr>
        <w:t>,</w:t>
      </w:r>
      <w:r w:rsidRPr="00927E9D">
        <w:rPr>
          <w:rFonts w:ascii="Arial" w:hAnsi="Arial" w:cs="Arial"/>
          <w:szCs w:val="24"/>
          <w:lang w:val="en-US"/>
        </w:rPr>
        <w:t xml:space="preserve"> the below threshold and above threshold rates for the purposes of Division 1B of Part 3.10 of the Act are determined, by legislative ins</w:t>
      </w:r>
      <w:r>
        <w:rPr>
          <w:rFonts w:ascii="Arial" w:hAnsi="Arial" w:cs="Arial"/>
          <w:szCs w:val="24"/>
          <w:lang w:val="en-US"/>
        </w:rPr>
        <w:t xml:space="preserve">trument, by the Minister. </w:t>
      </w:r>
    </w:p>
    <w:p w14:paraId="1195DA92" w14:textId="77777777" w:rsidR="001B7EE9" w:rsidRPr="00927E9D" w:rsidRDefault="001B7EE9" w:rsidP="00927E9D">
      <w:pPr>
        <w:shd w:val="clear" w:color="auto" w:fill="FFFFFF"/>
        <w:spacing w:before="0"/>
        <w:rPr>
          <w:rFonts w:ascii="Arial" w:hAnsi="Arial" w:cs="Arial"/>
          <w:szCs w:val="24"/>
          <w:lang w:val="en-US"/>
        </w:rPr>
      </w:pPr>
    </w:p>
    <w:p w14:paraId="6DED5C6C" w14:textId="03AC1849" w:rsidR="001B7EE9" w:rsidRPr="009B2F8C" w:rsidRDefault="001B7EE9" w:rsidP="009B2F8C">
      <w:pPr>
        <w:shd w:val="clear" w:color="auto" w:fill="FFFFFF"/>
        <w:spacing w:before="0"/>
        <w:rPr>
          <w:rFonts w:ascii="Arial" w:hAnsi="Arial" w:cs="Arial"/>
          <w:szCs w:val="24"/>
          <w:lang w:val="en-US"/>
        </w:rPr>
      </w:pPr>
      <w:r w:rsidRPr="009B2F8C">
        <w:rPr>
          <w:rFonts w:ascii="Arial" w:hAnsi="Arial" w:cs="Arial"/>
          <w:szCs w:val="24"/>
          <w:lang w:val="en-US"/>
        </w:rPr>
        <w:t xml:space="preserve">Deeming rates are subject to continuing review to ensure they reflect the returns available in the market to people for their financial investments. </w:t>
      </w:r>
    </w:p>
    <w:p w14:paraId="5824C826" w14:textId="477D020F" w:rsidR="001B7EE9" w:rsidRPr="009B2F8C" w:rsidRDefault="001B7EE9" w:rsidP="009B2F8C">
      <w:pPr>
        <w:shd w:val="clear" w:color="auto" w:fill="FFFFFF"/>
        <w:spacing w:before="0"/>
        <w:rPr>
          <w:rFonts w:ascii="Arial" w:hAnsi="Arial" w:cs="Arial"/>
          <w:szCs w:val="24"/>
          <w:lang w:val="en-US"/>
        </w:rPr>
      </w:pPr>
      <w:r w:rsidRPr="009B2F8C">
        <w:rPr>
          <w:rFonts w:ascii="Arial" w:hAnsi="Arial" w:cs="Arial"/>
          <w:szCs w:val="24"/>
          <w:lang w:val="en-US"/>
        </w:rPr>
        <w:t>The principles that are considered when reviewing the deeming rates include: </w:t>
      </w:r>
    </w:p>
    <w:p w14:paraId="77770666" w14:textId="77777777" w:rsidR="001B7EE9" w:rsidRPr="009B2F8C" w:rsidRDefault="001B7EE9" w:rsidP="009B2F8C">
      <w:pPr>
        <w:pStyle w:val="ListParagraph"/>
        <w:numPr>
          <w:ilvl w:val="0"/>
          <w:numId w:val="17"/>
        </w:numPr>
        <w:shd w:val="clear" w:color="auto" w:fill="FFFFFF"/>
        <w:spacing w:before="100" w:beforeAutospacing="1" w:after="100" w:afterAutospacing="1"/>
        <w:rPr>
          <w:rFonts w:ascii="Arial" w:hAnsi="Arial" w:cs="Arial"/>
          <w:szCs w:val="24"/>
          <w:lang w:val="en-US"/>
        </w:rPr>
      </w:pPr>
      <w:r w:rsidRPr="009B2F8C">
        <w:rPr>
          <w:rFonts w:ascii="Arial" w:hAnsi="Arial" w:cs="Arial"/>
          <w:szCs w:val="24"/>
          <w:lang w:val="en-US"/>
        </w:rPr>
        <w:t>deeming should be a simple and fair way to assess income from financial investments, so that people with the same amount held in different financial assets receive a similar assessment;</w:t>
      </w:r>
    </w:p>
    <w:p w14:paraId="2C3D802D" w14:textId="77777777" w:rsidR="001B7EE9" w:rsidRPr="009B2F8C" w:rsidRDefault="001B7EE9" w:rsidP="009B2F8C">
      <w:pPr>
        <w:pStyle w:val="ListParagraph"/>
        <w:numPr>
          <w:ilvl w:val="0"/>
          <w:numId w:val="17"/>
        </w:numPr>
        <w:shd w:val="clear" w:color="auto" w:fill="FFFFFF"/>
        <w:spacing w:before="100" w:beforeAutospacing="1" w:after="100" w:afterAutospacing="1"/>
        <w:rPr>
          <w:rFonts w:ascii="Arial" w:hAnsi="Arial" w:cs="Arial"/>
          <w:szCs w:val="24"/>
          <w:lang w:val="en-US"/>
        </w:rPr>
      </w:pPr>
      <w:r w:rsidRPr="009B2F8C">
        <w:rPr>
          <w:rFonts w:ascii="Arial" w:hAnsi="Arial" w:cs="Arial"/>
          <w:szCs w:val="24"/>
          <w:lang w:val="en-US"/>
        </w:rPr>
        <w:t xml:space="preserve">deeming should reduce the extent to which income support payments fluctuate; and </w:t>
      </w:r>
    </w:p>
    <w:p w14:paraId="4E6B0168" w14:textId="77777777" w:rsidR="001B7EE9" w:rsidRPr="009B2F8C" w:rsidRDefault="001B7EE9" w:rsidP="009B2F8C">
      <w:pPr>
        <w:pStyle w:val="ListParagraph"/>
        <w:numPr>
          <w:ilvl w:val="0"/>
          <w:numId w:val="17"/>
        </w:numPr>
        <w:shd w:val="clear" w:color="auto" w:fill="FFFFFF"/>
        <w:spacing w:before="100" w:beforeAutospacing="1" w:after="100" w:afterAutospacing="1"/>
        <w:rPr>
          <w:rFonts w:ascii="Arial" w:hAnsi="Arial" w:cs="Arial"/>
          <w:szCs w:val="24"/>
          <w:lang w:val="en-US"/>
        </w:rPr>
      </w:pPr>
      <w:r w:rsidRPr="009B2F8C">
        <w:rPr>
          <w:rFonts w:ascii="Arial" w:hAnsi="Arial" w:cs="Arial"/>
          <w:szCs w:val="24"/>
          <w:lang w:val="en-US"/>
        </w:rPr>
        <w:t>deeming should simplify investment choice to encourage people to choose investments on their merits.</w:t>
      </w:r>
    </w:p>
    <w:p w14:paraId="00F83BCE" w14:textId="77777777" w:rsidR="001B7EE9" w:rsidRPr="009B2F8C" w:rsidRDefault="001B7EE9" w:rsidP="009B2F8C">
      <w:pPr>
        <w:keepNext/>
        <w:shd w:val="clear" w:color="auto" w:fill="FFFFFF"/>
        <w:spacing w:before="0"/>
        <w:rPr>
          <w:rFonts w:ascii="Arial" w:hAnsi="Arial" w:cs="Arial"/>
          <w:szCs w:val="24"/>
          <w:lang w:val="en-US"/>
        </w:rPr>
      </w:pPr>
      <w:r w:rsidRPr="009B2F8C">
        <w:rPr>
          <w:rFonts w:ascii="Arial" w:hAnsi="Arial" w:cs="Arial"/>
          <w:szCs w:val="24"/>
          <w:lang w:val="en-US"/>
        </w:rPr>
        <w:lastRenderedPageBreak/>
        <w:t>When setting the deeming rates, a wide range of investment indicators are taken into account, including, but not limited to:</w:t>
      </w:r>
    </w:p>
    <w:p w14:paraId="4E1AF6F9" w14:textId="77777777" w:rsidR="001B7EE9" w:rsidRPr="009B2F8C" w:rsidRDefault="001B7EE9" w:rsidP="009B2F8C">
      <w:pPr>
        <w:pStyle w:val="ListParagraph"/>
        <w:numPr>
          <w:ilvl w:val="0"/>
          <w:numId w:val="17"/>
        </w:numPr>
        <w:shd w:val="clear" w:color="auto" w:fill="FFFFFF"/>
        <w:spacing w:before="100" w:beforeAutospacing="1" w:after="100" w:afterAutospacing="1"/>
        <w:rPr>
          <w:rFonts w:ascii="Arial" w:hAnsi="Arial" w:cs="Arial"/>
          <w:szCs w:val="24"/>
          <w:lang w:val="en-US"/>
        </w:rPr>
      </w:pPr>
      <w:r w:rsidRPr="009B2F8C">
        <w:rPr>
          <w:rFonts w:ascii="Arial" w:hAnsi="Arial" w:cs="Arial"/>
          <w:szCs w:val="24"/>
          <w:lang w:val="en-US"/>
        </w:rPr>
        <w:t>returns on safe, accessible investments such as transaction accounts, savings accounts, bonus savings accounts and short-term term deposits</w:t>
      </w:r>
    </w:p>
    <w:p w14:paraId="7B817D94" w14:textId="77777777" w:rsidR="001B7EE9" w:rsidRPr="009B2F8C" w:rsidRDefault="001B7EE9" w:rsidP="009B2F8C">
      <w:pPr>
        <w:pStyle w:val="ListParagraph"/>
        <w:numPr>
          <w:ilvl w:val="0"/>
          <w:numId w:val="17"/>
        </w:numPr>
        <w:shd w:val="clear" w:color="auto" w:fill="FFFFFF"/>
        <w:spacing w:before="100" w:beforeAutospacing="1" w:after="100" w:afterAutospacing="1"/>
        <w:rPr>
          <w:rFonts w:ascii="Arial" w:hAnsi="Arial" w:cs="Arial"/>
          <w:szCs w:val="24"/>
          <w:lang w:val="en-US"/>
        </w:rPr>
      </w:pPr>
      <w:r w:rsidRPr="009B2F8C">
        <w:rPr>
          <w:rFonts w:ascii="Arial" w:hAnsi="Arial" w:cs="Arial"/>
          <w:szCs w:val="24"/>
          <w:lang w:val="en-US"/>
        </w:rPr>
        <w:t>returns on longer-term investments, such as long-term term deposits</w:t>
      </w:r>
    </w:p>
    <w:p w14:paraId="31BB9B3D" w14:textId="77777777" w:rsidR="001B7EE9" w:rsidRPr="009B2F8C" w:rsidRDefault="001B7EE9" w:rsidP="009B2F8C">
      <w:pPr>
        <w:pStyle w:val="ListParagraph"/>
        <w:numPr>
          <w:ilvl w:val="0"/>
          <w:numId w:val="17"/>
        </w:numPr>
        <w:shd w:val="clear" w:color="auto" w:fill="FFFFFF"/>
        <w:spacing w:before="100" w:beforeAutospacing="1" w:after="100" w:afterAutospacing="1"/>
        <w:rPr>
          <w:rFonts w:ascii="Arial" w:hAnsi="Arial" w:cs="Arial"/>
          <w:szCs w:val="24"/>
          <w:lang w:val="en-US"/>
        </w:rPr>
      </w:pPr>
      <w:r w:rsidRPr="009B2F8C">
        <w:rPr>
          <w:rFonts w:ascii="Arial" w:hAnsi="Arial" w:cs="Arial"/>
          <w:szCs w:val="24"/>
          <w:lang w:val="en-US"/>
        </w:rPr>
        <w:t>dividend yields from shares</w:t>
      </w:r>
    </w:p>
    <w:p w14:paraId="053F5266" w14:textId="3836CE57" w:rsidR="001B7EE9" w:rsidRPr="009B2F8C" w:rsidRDefault="001B7EE9" w:rsidP="009B2F8C">
      <w:pPr>
        <w:pStyle w:val="ListParagraph"/>
        <w:numPr>
          <w:ilvl w:val="0"/>
          <w:numId w:val="17"/>
        </w:numPr>
        <w:shd w:val="clear" w:color="auto" w:fill="FFFFFF"/>
        <w:spacing w:before="100" w:beforeAutospacing="1" w:after="100" w:afterAutospacing="1"/>
        <w:rPr>
          <w:rFonts w:ascii="Arial" w:hAnsi="Arial" w:cs="Arial"/>
          <w:szCs w:val="24"/>
          <w:lang w:val="en-US"/>
        </w:rPr>
      </w:pPr>
      <w:r w:rsidRPr="009B2F8C">
        <w:rPr>
          <w:rFonts w:ascii="Arial" w:hAnsi="Arial" w:cs="Arial"/>
          <w:szCs w:val="24"/>
          <w:lang w:val="en-US"/>
        </w:rPr>
        <w:t>returns on superannuation</w:t>
      </w:r>
      <w:r>
        <w:rPr>
          <w:rFonts w:ascii="Arial" w:hAnsi="Arial" w:cs="Arial"/>
          <w:szCs w:val="24"/>
          <w:lang w:val="en-US"/>
        </w:rPr>
        <w:t>.</w:t>
      </w:r>
    </w:p>
    <w:p w14:paraId="5214E387" w14:textId="77777777" w:rsidR="00927E9D" w:rsidRDefault="00927E9D" w:rsidP="00927E9D">
      <w:pPr>
        <w:shd w:val="clear" w:color="auto" w:fill="FFFFFF"/>
        <w:spacing w:before="0"/>
        <w:rPr>
          <w:rFonts w:ascii="Arial" w:hAnsi="Arial" w:cs="Arial"/>
          <w:szCs w:val="24"/>
          <w:lang w:val="en-US"/>
        </w:rPr>
      </w:pPr>
      <w:r w:rsidRPr="00927E9D">
        <w:rPr>
          <w:rFonts w:ascii="Arial" w:hAnsi="Arial" w:cs="Arial"/>
          <w:szCs w:val="24"/>
          <w:lang w:val="en-US"/>
        </w:rPr>
        <w:t xml:space="preserve">Based on these factors, it is considered appropriate to reduce </w:t>
      </w:r>
      <w:r w:rsidR="00A33FC5">
        <w:rPr>
          <w:rFonts w:ascii="Arial" w:hAnsi="Arial" w:cs="Arial"/>
          <w:szCs w:val="24"/>
          <w:lang w:val="en-US"/>
        </w:rPr>
        <w:t>the below threshold rate to 1.00</w:t>
      </w:r>
      <w:r w:rsidRPr="00927E9D">
        <w:rPr>
          <w:rFonts w:ascii="Arial" w:hAnsi="Arial" w:cs="Arial"/>
          <w:szCs w:val="24"/>
          <w:lang w:val="en-US"/>
        </w:rPr>
        <w:t xml:space="preserve"> per cent and </w:t>
      </w:r>
      <w:r w:rsidR="00A33FC5">
        <w:rPr>
          <w:rFonts w:ascii="Arial" w:hAnsi="Arial" w:cs="Arial"/>
          <w:szCs w:val="24"/>
          <w:lang w:val="en-US"/>
        </w:rPr>
        <w:t>the above threshold rate to 3.00 per cent, from 1 July 2019</w:t>
      </w:r>
      <w:r w:rsidRPr="00927E9D">
        <w:rPr>
          <w:rFonts w:ascii="Arial" w:hAnsi="Arial" w:cs="Arial"/>
          <w:szCs w:val="24"/>
          <w:lang w:val="en-US"/>
        </w:rPr>
        <w:t>.</w:t>
      </w:r>
    </w:p>
    <w:p w14:paraId="066997E0" w14:textId="77777777" w:rsidR="000B7093" w:rsidRDefault="000B7093" w:rsidP="00927E9D">
      <w:pPr>
        <w:shd w:val="clear" w:color="auto" w:fill="FFFFFF"/>
        <w:spacing w:before="0"/>
        <w:rPr>
          <w:rFonts w:ascii="Arial" w:hAnsi="Arial" w:cs="Arial"/>
          <w:szCs w:val="24"/>
          <w:lang w:val="en-US"/>
        </w:rPr>
      </w:pPr>
    </w:p>
    <w:p w14:paraId="1BF41A15" w14:textId="77777777" w:rsidR="000B7093" w:rsidRPr="00927E9D" w:rsidRDefault="000B7093" w:rsidP="000B7093">
      <w:pPr>
        <w:spacing w:before="0"/>
        <w:ind w:right="91"/>
        <w:rPr>
          <w:rFonts w:ascii="Arial" w:hAnsi="Arial" w:cs="Arial"/>
          <w:szCs w:val="24"/>
        </w:rPr>
      </w:pPr>
      <w:r>
        <w:rPr>
          <w:rFonts w:ascii="Arial" w:hAnsi="Arial" w:cs="Arial"/>
          <w:szCs w:val="24"/>
          <w:lang w:val="en-US"/>
        </w:rPr>
        <w:t xml:space="preserve">The </w:t>
      </w:r>
      <w:r w:rsidRPr="00927E9D">
        <w:rPr>
          <w:rFonts w:ascii="Arial" w:hAnsi="Arial" w:cs="Arial"/>
          <w:i/>
        </w:rPr>
        <w:t>Social Security (De</w:t>
      </w:r>
      <w:r>
        <w:rPr>
          <w:rFonts w:ascii="Arial" w:hAnsi="Arial" w:cs="Arial"/>
          <w:i/>
        </w:rPr>
        <w:t>e</w:t>
      </w:r>
      <w:r w:rsidRPr="00927E9D">
        <w:rPr>
          <w:rFonts w:ascii="Arial" w:hAnsi="Arial" w:cs="Arial"/>
          <w:i/>
        </w:rPr>
        <w:t>ming Threshold Rates) Determination 2019</w:t>
      </w:r>
      <w:r>
        <w:rPr>
          <w:rFonts w:ascii="Arial" w:hAnsi="Arial" w:cs="Arial"/>
          <w:i/>
        </w:rPr>
        <w:t xml:space="preserve"> </w:t>
      </w:r>
      <w:r>
        <w:rPr>
          <w:rFonts w:ascii="Arial" w:hAnsi="Arial" w:cs="Arial"/>
        </w:rPr>
        <w:t xml:space="preserve">(the Determination) is a legislative instrument for the purposes of the </w:t>
      </w:r>
      <w:r>
        <w:rPr>
          <w:rFonts w:ascii="Arial" w:hAnsi="Arial" w:cs="Arial"/>
          <w:i/>
        </w:rPr>
        <w:t>Legislation Act 2003</w:t>
      </w:r>
      <w:r>
        <w:rPr>
          <w:rFonts w:ascii="Arial" w:hAnsi="Arial" w:cs="Arial"/>
        </w:rPr>
        <w:t xml:space="preserve">. </w:t>
      </w:r>
    </w:p>
    <w:p w14:paraId="7E9969D2"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5E7DA775" w14:textId="77777777" w:rsidR="000B4130" w:rsidRDefault="00927E9D"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2926E3" w:rsidRPr="00BC76EB">
        <w:rPr>
          <w:rStyle w:val="BookTitle"/>
          <w:rFonts w:ascii="Arial" w:hAnsi="Arial" w:cs="Arial"/>
          <w:i w:val="0"/>
          <w:iCs w:val="0"/>
          <w:smallCaps w:val="0"/>
          <w:spacing w:val="0"/>
          <w:szCs w:val="24"/>
        </w:rPr>
        <w:t>D</w:t>
      </w:r>
      <w:r>
        <w:rPr>
          <w:rStyle w:val="BookTitle"/>
          <w:rFonts w:ascii="Arial" w:hAnsi="Arial" w:cs="Arial"/>
          <w:i w:val="0"/>
          <w:iCs w:val="0"/>
          <w:smallCaps w:val="0"/>
          <w:spacing w:val="0"/>
          <w:szCs w:val="24"/>
        </w:rPr>
        <w:t>etermination</w:t>
      </w:r>
      <w:r w:rsidR="000B4130" w:rsidRPr="00BC76EB">
        <w:rPr>
          <w:rStyle w:val="BookTitle"/>
          <w:rFonts w:ascii="Arial" w:hAnsi="Arial" w:cs="Arial"/>
          <w:i w:val="0"/>
          <w:iCs w:val="0"/>
          <w:smallCaps w:val="0"/>
          <w:spacing w:val="0"/>
          <w:szCs w:val="24"/>
        </w:rPr>
        <w:t xml:space="preserve"> commences on </w:t>
      </w:r>
      <w:r>
        <w:rPr>
          <w:rStyle w:val="BookTitle"/>
          <w:rFonts w:ascii="Arial" w:hAnsi="Arial" w:cs="Arial"/>
          <w:i w:val="0"/>
          <w:iCs w:val="0"/>
          <w:smallCaps w:val="0"/>
          <w:spacing w:val="0"/>
          <w:szCs w:val="24"/>
        </w:rPr>
        <w:t>1 July 2019</w:t>
      </w:r>
      <w:r w:rsidR="000B4130" w:rsidRPr="00BC76EB">
        <w:rPr>
          <w:rStyle w:val="BookTitle"/>
          <w:rFonts w:ascii="Arial" w:hAnsi="Arial" w:cs="Arial"/>
          <w:i w:val="0"/>
          <w:iCs w:val="0"/>
          <w:smallCaps w:val="0"/>
          <w:spacing w:val="0"/>
          <w:szCs w:val="24"/>
        </w:rPr>
        <w:t>.</w:t>
      </w:r>
    </w:p>
    <w:p w14:paraId="158E0B3F" w14:textId="77777777" w:rsidR="00592144" w:rsidRDefault="00592144" w:rsidP="0059214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Retrospective commencement of the Determination means the reduced </w:t>
      </w:r>
      <w:r w:rsidRPr="00927E9D">
        <w:rPr>
          <w:rFonts w:ascii="Arial" w:hAnsi="Arial" w:cs="Arial"/>
          <w:szCs w:val="24"/>
          <w:lang w:val="en-US"/>
        </w:rPr>
        <w:t>below threshold and above threshold rates for the purposes of Division 1B of Part 3.10 of the Act</w:t>
      </w:r>
      <w:r>
        <w:rPr>
          <w:rFonts w:ascii="Arial" w:hAnsi="Arial" w:cs="Arial"/>
          <w:szCs w:val="24"/>
          <w:lang w:val="en-US"/>
        </w:rPr>
        <w:t xml:space="preserve"> will apply to income from financial investments from 1 July 2019. As a result, any</w:t>
      </w:r>
      <w:r w:rsidRPr="004D28AE">
        <w:rPr>
          <w:rFonts w:ascii="Arial" w:hAnsi="Arial" w:cs="Arial"/>
          <w:szCs w:val="24"/>
        </w:rPr>
        <w:t xml:space="preserve"> increase</w:t>
      </w:r>
      <w:r w:rsidR="00AD4D58">
        <w:rPr>
          <w:rFonts w:ascii="Arial" w:hAnsi="Arial" w:cs="Arial"/>
          <w:szCs w:val="24"/>
        </w:rPr>
        <w:t xml:space="preserve"> that may apply to</w:t>
      </w:r>
      <w:r w:rsidRPr="004D28AE">
        <w:rPr>
          <w:rFonts w:ascii="Arial" w:hAnsi="Arial" w:cs="Arial"/>
          <w:szCs w:val="24"/>
        </w:rPr>
        <w:t xml:space="preserve"> the rate at which individuals receive social security and veterans’ affairs pensions and allowances</w:t>
      </w:r>
      <w:r w:rsidR="00AD4D58">
        <w:rPr>
          <w:rFonts w:ascii="Arial" w:hAnsi="Arial" w:cs="Arial"/>
          <w:szCs w:val="24"/>
        </w:rPr>
        <w:t xml:space="preserve"> will apply from this date. Since there will be no decrease to the rate of a person’s pension or allowance as a result of the new rates, the change will not have a disadvantageous effect on the rights of a person as at 1 July 2019. The rate changes will not impose liabilities on people with relevant financial investment</w:t>
      </w:r>
      <w:r w:rsidR="003A57E1">
        <w:rPr>
          <w:rFonts w:ascii="Arial" w:hAnsi="Arial" w:cs="Arial"/>
          <w:szCs w:val="24"/>
        </w:rPr>
        <w:t>s</w:t>
      </w:r>
      <w:r w:rsidR="00AD4D58">
        <w:rPr>
          <w:rFonts w:ascii="Arial" w:hAnsi="Arial" w:cs="Arial"/>
          <w:szCs w:val="24"/>
        </w:rPr>
        <w:t>.</w:t>
      </w:r>
    </w:p>
    <w:p w14:paraId="05523E44" w14:textId="77777777" w:rsidR="00592144" w:rsidRDefault="00592144"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Consistent with subsection 12(4) of the </w:t>
      </w:r>
      <w:r>
        <w:rPr>
          <w:rStyle w:val="BookTitle"/>
          <w:rFonts w:ascii="Arial" w:hAnsi="Arial" w:cs="Arial"/>
          <w:iCs w:val="0"/>
          <w:smallCaps w:val="0"/>
          <w:spacing w:val="0"/>
          <w:szCs w:val="24"/>
        </w:rPr>
        <w:t xml:space="preserve">Legislation Act </w:t>
      </w:r>
      <w:r w:rsidRPr="00592144">
        <w:rPr>
          <w:rStyle w:val="BookTitle"/>
          <w:rFonts w:ascii="Arial" w:hAnsi="Arial" w:cs="Arial"/>
          <w:i w:val="0"/>
          <w:iCs w:val="0"/>
          <w:smallCaps w:val="0"/>
          <w:spacing w:val="0"/>
          <w:szCs w:val="24"/>
        </w:rPr>
        <w:t>2003</w:t>
      </w:r>
      <w:r>
        <w:rPr>
          <w:rStyle w:val="BookTitle"/>
          <w:rFonts w:ascii="Arial" w:hAnsi="Arial" w:cs="Arial"/>
          <w:i w:val="0"/>
          <w:iCs w:val="0"/>
          <w:smallCaps w:val="0"/>
          <w:spacing w:val="0"/>
          <w:szCs w:val="24"/>
        </w:rPr>
        <w:t>, t</w:t>
      </w:r>
      <w:r w:rsidRPr="00592144">
        <w:rPr>
          <w:rStyle w:val="BookTitle"/>
          <w:rFonts w:ascii="Arial" w:hAnsi="Arial" w:cs="Arial"/>
          <w:i w:val="0"/>
          <w:iCs w:val="0"/>
          <w:smallCaps w:val="0"/>
          <w:spacing w:val="0"/>
          <w:szCs w:val="24"/>
        </w:rPr>
        <w:t>he</w:t>
      </w:r>
      <w:r>
        <w:rPr>
          <w:rStyle w:val="BookTitle"/>
          <w:rFonts w:ascii="Arial" w:hAnsi="Arial" w:cs="Arial"/>
          <w:i w:val="0"/>
          <w:iCs w:val="0"/>
          <w:smallCaps w:val="0"/>
          <w:spacing w:val="0"/>
          <w:szCs w:val="24"/>
        </w:rPr>
        <w:t xml:space="preserve"> Act does not contain any provision contrary to retrospective commencement of the Determination. </w:t>
      </w:r>
    </w:p>
    <w:p w14:paraId="3F2B6A08"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7F8F78A3" w14:textId="77777777" w:rsidR="00BE7542" w:rsidRDefault="00BE7542" w:rsidP="00BE7542">
      <w:pPr>
        <w:spacing w:after="240"/>
        <w:rPr>
          <w:rFonts w:ascii="Arial" w:hAnsi="Arial" w:cs="Arial"/>
          <w:szCs w:val="24"/>
        </w:rPr>
      </w:pPr>
      <w:r>
        <w:rPr>
          <w:rFonts w:ascii="Arial" w:hAnsi="Arial" w:cs="Arial"/>
          <w:lang w:val="en-US"/>
        </w:rPr>
        <w:t>Consultation for this Determination is not necessary. The Determination is of a machinery nature. Existing arrangements are not substantially altered; the Determination does not change the operation of the deeming provisions. Rather, deeming rates are being changed, informed by returns available in the market for financial investments.</w:t>
      </w:r>
    </w:p>
    <w:p w14:paraId="3E140D36"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224B9E2C" w14:textId="7BCF92A1" w:rsidR="00D367AA" w:rsidRDefault="00A33FC5" w:rsidP="00C37944">
      <w:pPr>
        <w:spacing w:before="120"/>
        <w:rPr>
          <w:rFonts w:ascii="Arial" w:hAnsi="Arial" w:cs="Arial"/>
          <w:szCs w:val="24"/>
        </w:rPr>
      </w:pPr>
      <w:r w:rsidRPr="00A33FC5">
        <w:rPr>
          <w:rFonts w:ascii="Arial" w:hAnsi="Arial" w:cs="Arial"/>
        </w:rPr>
        <w:t xml:space="preserve">The Office of Best Practice Regulation confirmed that a Regulation Impact Statement is not required for the Determination because the Determination is not regulatory in nature, will not impact on business activity, and will have no, or minimal, compliance costs or effect on competition (OBPR ID </w:t>
      </w:r>
      <w:r w:rsidR="00C56444">
        <w:rPr>
          <w:rFonts w:ascii="Arial" w:hAnsi="Arial" w:cs="Arial"/>
        </w:rPr>
        <w:t>25319</w:t>
      </w:r>
      <w:r w:rsidRPr="00A33FC5">
        <w:rPr>
          <w:rFonts w:ascii="Arial" w:hAnsi="Arial" w:cs="Arial"/>
        </w:rPr>
        <w:t>).</w:t>
      </w:r>
      <w:r w:rsidRPr="00A33FC5">
        <w:rPr>
          <w:rFonts w:ascii="Helvetica Neue" w:hAnsi="Helvetica Neue"/>
        </w:rPr>
        <w:t xml:space="preserve"> </w:t>
      </w:r>
    </w:p>
    <w:p w14:paraId="49FFB163" w14:textId="77777777" w:rsidR="006A6D51" w:rsidRPr="00BC76EB" w:rsidRDefault="006A6D51" w:rsidP="009B2F8C">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7144EDAA" w14:textId="77777777" w:rsidR="00BE7542" w:rsidRPr="00A33FC5" w:rsidRDefault="00365424" w:rsidP="00871F28">
      <w:pPr>
        <w:rPr>
          <w:rStyle w:val="BookTitle"/>
          <w:rFonts w:ascii="Arial" w:hAnsi="Arial" w:cs="Arial"/>
          <w:i w:val="0"/>
          <w:iCs w:val="0"/>
          <w:smallCaps w:val="0"/>
          <w:spacing w:val="0"/>
          <w:szCs w:val="24"/>
        </w:rPr>
      </w:pPr>
      <w:r w:rsidRPr="00A33FC5">
        <w:rPr>
          <w:rStyle w:val="BookTitle"/>
          <w:rFonts w:ascii="Arial" w:hAnsi="Arial" w:cs="Arial"/>
          <w:b/>
          <w:i w:val="0"/>
          <w:iCs w:val="0"/>
          <w:smallCaps w:val="0"/>
          <w:spacing w:val="0"/>
          <w:szCs w:val="24"/>
        </w:rPr>
        <w:t>Section</w:t>
      </w:r>
      <w:r w:rsidR="00871F28" w:rsidRPr="00A33FC5">
        <w:rPr>
          <w:rStyle w:val="BookTitle"/>
          <w:rFonts w:ascii="Arial" w:hAnsi="Arial" w:cs="Arial"/>
          <w:b/>
          <w:i w:val="0"/>
          <w:iCs w:val="0"/>
          <w:smallCaps w:val="0"/>
          <w:spacing w:val="0"/>
          <w:szCs w:val="24"/>
        </w:rPr>
        <w:t xml:space="preserve"> 1</w:t>
      </w:r>
      <w:r w:rsidR="00BE7542" w:rsidRPr="00A33FC5">
        <w:rPr>
          <w:rStyle w:val="BookTitle"/>
          <w:rFonts w:ascii="Arial" w:hAnsi="Arial" w:cs="Arial"/>
          <w:b/>
          <w:i w:val="0"/>
          <w:iCs w:val="0"/>
          <w:smallCaps w:val="0"/>
          <w:spacing w:val="0"/>
          <w:szCs w:val="24"/>
        </w:rPr>
        <w:t xml:space="preserve"> </w:t>
      </w:r>
      <w:r w:rsidR="00A33FC5">
        <w:rPr>
          <w:rStyle w:val="BookTitle"/>
          <w:rFonts w:ascii="Arial" w:hAnsi="Arial" w:cs="Arial"/>
          <w:i w:val="0"/>
          <w:iCs w:val="0"/>
          <w:smallCaps w:val="0"/>
          <w:spacing w:val="0"/>
          <w:szCs w:val="24"/>
        </w:rPr>
        <w:t xml:space="preserve">sets out the name of the Determination. </w:t>
      </w:r>
    </w:p>
    <w:p w14:paraId="7C5E96A1" w14:textId="77777777" w:rsidR="000B7093" w:rsidRPr="00A33FC5" w:rsidRDefault="00BE7542" w:rsidP="00A33FC5">
      <w:pPr>
        <w:rPr>
          <w:rStyle w:val="BookTitle"/>
          <w:rFonts w:ascii="Arial" w:hAnsi="Arial" w:cs="Arial"/>
          <w:b/>
          <w:i w:val="0"/>
          <w:iCs w:val="0"/>
          <w:smallCaps w:val="0"/>
          <w:spacing w:val="0"/>
          <w:szCs w:val="24"/>
        </w:rPr>
      </w:pPr>
      <w:r w:rsidRPr="00A33FC5">
        <w:rPr>
          <w:rStyle w:val="BookTitle"/>
          <w:rFonts w:ascii="Arial" w:hAnsi="Arial" w:cs="Arial"/>
          <w:b/>
          <w:i w:val="0"/>
          <w:iCs w:val="0"/>
          <w:smallCaps w:val="0"/>
          <w:spacing w:val="0"/>
          <w:szCs w:val="24"/>
        </w:rPr>
        <w:t xml:space="preserve">Section 2 </w:t>
      </w:r>
      <w:r w:rsidR="000B7093">
        <w:rPr>
          <w:rStyle w:val="BookTitle"/>
          <w:rFonts w:ascii="Arial" w:hAnsi="Arial" w:cs="Arial"/>
          <w:i w:val="0"/>
          <w:iCs w:val="0"/>
          <w:smallCaps w:val="0"/>
          <w:spacing w:val="0"/>
          <w:szCs w:val="24"/>
        </w:rPr>
        <w:t xml:space="preserve">provides that </w:t>
      </w:r>
      <w:r>
        <w:rPr>
          <w:rStyle w:val="BookTitle"/>
          <w:rFonts w:ascii="Arial" w:hAnsi="Arial" w:cs="Arial"/>
          <w:i w:val="0"/>
          <w:iCs w:val="0"/>
          <w:smallCaps w:val="0"/>
          <w:spacing w:val="0"/>
          <w:szCs w:val="24"/>
        </w:rPr>
        <w:t xml:space="preserve">the </w:t>
      </w:r>
      <w:r w:rsidR="00A33FC5">
        <w:rPr>
          <w:rFonts w:ascii="Arial" w:hAnsi="Arial" w:cs="Arial"/>
        </w:rPr>
        <w:t xml:space="preserve">Determination </w:t>
      </w:r>
      <w:r w:rsidR="000B7093">
        <w:rPr>
          <w:rFonts w:ascii="Arial" w:hAnsi="Arial" w:cs="Arial"/>
        </w:rPr>
        <w:t xml:space="preserve">commences on 1 July 2019. </w:t>
      </w:r>
    </w:p>
    <w:p w14:paraId="5D99D2BD" w14:textId="77777777" w:rsidR="000B7093" w:rsidRPr="00A33FC5" w:rsidRDefault="00BE7542" w:rsidP="00871F28">
      <w:pPr>
        <w:rPr>
          <w:rStyle w:val="BookTitle"/>
          <w:rFonts w:ascii="Arial" w:hAnsi="Arial" w:cs="Arial"/>
          <w:b/>
          <w:i w:val="0"/>
          <w:iCs w:val="0"/>
          <w:smallCaps w:val="0"/>
          <w:spacing w:val="0"/>
          <w:szCs w:val="24"/>
        </w:rPr>
      </w:pPr>
      <w:r w:rsidRPr="00A33FC5">
        <w:rPr>
          <w:rStyle w:val="BookTitle"/>
          <w:rFonts w:ascii="Arial" w:hAnsi="Arial" w:cs="Arial"/>
          <w:b/>
          <w:i w:val="0"/>
          <w:iCs w:val="0"/>
          <w:smallCaps w:val="0"/>
          <w:spacing w:val="0"/>
          <w:szCs w:val="24"/>
        </w:rPr>
        <w:t>Secti</w:t>
      </w:r>
      <w:r w:rsidR="00871F28" w:rsidRPr="00A33FC5">
        <w:rPr>
          <w:rStyle w:val="BookTitle"/>
          <w:rFonts w:ascii="Arial" w:hAnsi="Arial" w:cs="Arial"/>
          <w:b/>
          <w:i w:val="0"/>
          <w:iCs w:val="0"/>
          <w:smallCaps w:val="0"/>
          <w:spacing w:val="0"/>
          <w:szCs w:val="24"/>
        </w:rPr>
        <w:t>on</w:t>
      </w:r>
      <w:r w:rsidRPr="00A33FC5">
        <w:rPr>
          <w:rStyle w:val="BookTitle"/>
          <w:rFonts w:ascii="Arial" w:hAnsi="Arial" w:cs="Arial"/>
          <w:b/>
          <w:i w:val="0"/>
          <w:iCs w:val="0"/>
          <w:smallCaps w:val="0"/>
          <w:spacing w:val="0"/>
          <w:szCs w:val="24"/>
        </w:rPr>
        <w:t xml:space="preserve"> 3</w:t>
      </w:r>
      <w:r w:rsidR="00871F28" w:rsidRPr="00A33FC5">
        <w:rPr>
          <w:rStyle w:val="BookTitle"/>
          <w:rFonts w:ascii="Arial" w:hAnsi="Arial" w:cs="Arial"/>
          <w:b/>
          <w:i w:val="0"/>
          <w:iCs w:val="0"/>
          <w:smallCaps w:val="0"/>
          <w:spacing w:val="0"/>
          <w:szCs w:val="24"/>
        </w:rPr>
        <w:t xml:space="preserve"> </w:t>
      </w:r>
      <w:r w:rsidR="000B7093">
        <w:rPr>
          <w:rStyle w:val="BookTitle"/>
          <w:rFonts w:ascii="Arial" w:hAnsi="Arial" w:cs="Arial"/>
          <w:i w:val="0"/>
          <w:iCs w:val="0"/>
          <w:smallCaps w:val="0"/>
          <w:spacing w:val="0"/>
          <w:szCs w:val="24"/>
        </w:rPr>
        <w:t xml:space="preserve">provides that the </w:t>
      </w:r>
      <w:r w:rsidR="00A33FC5">
        <w:rPr>
          <w:rStyle w:val="BookTitle"/>
          <w:rFonts w:ascii="Arial" w:hAnsi="Arial" w:cs="Arial"/>
          <w:i w:val="0"/>
          <w:iCs w:val="0"/>
          <w:smallCaps w:val="0"/>
          <w:spacing w:val="0"/>
          <w:szCs w:val="24"/>
        </w:rPr>
        <w:t>Determination</w:t>
      </w:r>
      <w:r w:rsidR="000B7093">
        <w:rPr>
          <w:rStyle w:val="BookTitle"/>
          <w:rFonts w:ascii="Arial" w:hAnsi="Arial" w:cs="Arial"/>
          <w:i w:val="0"/>
          <w:iCs w:val="0"/>
          <w:smallCaps w:val="0"/>
          <w:spacing w:val="0"/>
          <w:szCs w:val="24"/>
        </w:rPr>
        <w:t xml:space="preserve"> is made </w:t>
      </w:r>
      <w:r w:rsidR="00A33FC5">
        <w:rPr>
          <w:rStyle w:val="BookTitle"/>
          <w:rFonts w:ascii="Arial" w:hAnsi="Arial" w:cs="Arial"/>
          <w:i w:val="0"/>
          <w:iCs w:val="0"/>
          <w:smallCaps w:val="0"/>
          <w:spacing w:val="0"/>
          <w:szCs w:val="24"/>
        </w:rPr>
        <w:t xml:space="preserve">under section 1082 of the Act. </w:t>
      </w:r>
    </w:p>
    <w:p w14:paraId="71368435" w14:textId="77777777" w:rsidR="000B7093" w:rsidRPr="00094EA5" w:rsidRDefault="00BE7542" w:rsidP="00BE7542">
      <w:pPr>
        <w:rPr>
          <w:rStyle w:val="BookTitle"/>
          <w:rFonts w:ascii="Arial" w:hAnsi="Arial" w:cs="Arial"/>
          <w:i w:val="0"/>
          <w:iCs w:val="0"/>
          <w:smallCaps w:val="0"/>
          <w:spacing w:val="0"/>
          <w:szCs w:val="24"/>
        </w:rPr>
      </w:pPr>
      <w:r w:rsidRPr="00094EA5">
        <w:rPr>
          <w:rStyle w:val="BookTitle"/>
          <w:rFonts w:ascii="Arial" w:hAnsi="Arial" w:cs="Arial"/>
          <w:b/>
          <w:i w:val="0"/>
          <w:iCs w:val="0"/>
          <w:smallCaps w:val="0"/>
          <w:spacing w:val="0"/>
          <w:szCs w:val="24"/>
        </w:rPr>
        <w:t>Section 4</w:t>
      </w:r>
      <w:r w:rsidRPr="00BC76EB">
        <w:rPr>
          <w:rStyle w:val="BookTitle"/>
          <w:rFonts w:ascii="Arial" w:hAnsi="Arial" w:cs="Arial"/>
          <w:i w:val="0"/>
          <w:iCs w:val="0"/>
          <w:smallCaps w:val="0"/>
          <w:spacing w:val="0"/>
          <w:szCs w:val="24"/>
        </w:rPr>
        <w:t xml:space="preserve"> </w:t>
      </w:r>
      <w:r w:rsidR="000B7093">
        <w:rPr>
          <w:rStyle w:val="BookTitle"/>
          <w:rFonts w:ascii="Arial" w:hAnsi="Arial" w:cs="Arial"/>
          <w:i w:val="0"/>
          <w:iCs w:val="0"/>
          <w:smallCaps w:val="0"/>
          <w:spacing w:val="0"/>
          <w:szCs w:val="24"/>
        </w:rPr>
        <w:t xml:space="preserve">provides that ‘Act’ means the </w:t>
      </w:r>
      <w:r w:rsidR="000B7093">
        <w:rPr>
          <w:rStyle w:val="BookTitle"/>
          <w:rFonts w:ascii="Arial" w:hAnsi="Arial" w:cs="Arial"/>
          <w:iCs w:val="0"/>
          <w:smallCaps w:val="0"/>
          <w:spacing w:val="0"/>
          <w:szCs w:val="24"/>
        </w:rPr>
        <w:t xml:space="preserve">Social Security Act 1991. </w:t>
      </w:r>
    </w:p>
    <w:p w14:paraId="537AE681" w14:textId="77777777" w:rsidR="000B7093" w:rsidRDefault="00BE7542" w:rsidP="00BE7542">
      <w:pPr>
        <w:rPr>
          <w:rStyle w:val="BookTitle"/>
          <w:rFonts w:ascii="Arial" w:hAnsi="Arial" w:cs="Arial"/>
          <w:i w:val="0"/>
          <w:iCs w:val="0"/>
          <w:smallCaps w:val="0"/>
          <w:spacing w:val="0"/>
          <w:szCs w:val="24"/>
        </w:rPr>
      </w:pPr>
      <w:r w:rsidRPr="00094EA5">
        <w:rPr>
          <w:rStyle w:val="BookTitle"/>
          <w:rFonts w:ascii="Arial" w:hAnsi="Arial" w:cs="Arial"/>
          <w:b/>
          <w:i w:val="0"/>
          <w:iCs w:val="0"/>
          <w:smallCaps w:val="0"/>
          <w:spacing w:val="0"/>
          <w:szCs w:val="24"/>
        </w:rPr>
        <w:t xml:space="preserve">Section 5 </w:t>
      </w:r>
      <w:r w:rsidR="00094EA5">
        <w:rPr>
          <w:rStyle w:val="BookTitle"/>
          <w:rFonts w:ascii="Arial" w:hAnsi="Arial" w:cs="Arial"/>
          <w:i w:val="0"/>
          <w:iCs w:val="0"/>
          <w:smallCaps w:val="0"/>
          <w:spacing w:val="0"/>
          <w:szCs w:val="24"/>
        </w:rPr>
        <w:t>provides that the following instruments are revoked on the commencement of the Determination:</w:t>
      </w:r>
    </w:p>
    <w:p w14:paraId="2CE9C971" w14:textId="77777777" w:rsidR="00094EA5" w:rsidRPr="00094EA5" w:rsidRDefault="00094EA5" w:rsidP="00E071D2">
      <w:pPr>
        <w:pStyle w:val="ActHead9"/>
        <w:numPr>
          <w:ilvl w:val="0"/>
          <w:numId w:val="18"/>
        </w:numPr>
        <w:spacing w:before="120"/>
        <w:ind w:left="714" w:hanging="357"/>
        <w:rPr>
          <w:rFonts w:ascii="Arial" w:hAnsi="Arial" w:cs="Arial"/>
          <w:b w:val="0"/>
          <w:sz w:val="24"/>
          <w:szCs w:val="24"/>
        </w:rPr>
      </w:pPr>
      <w:bookmarkStart w:id="1" w:name="_Toc13760495"/>
      <w:r w:rsidRPr="00094EA5">
        <w:rPr>
          <w:rFonts w:ascii="Arial" w:hAnsi="Arial" w:cs="Arial"/>
          <w:b w:val="0"/>
          <w:sz w:val="24"/>
          <w:szCs w:val="24"/>
        </w:rPr>
        <w:t>Social Security (Deeming Threshold Rates) (DEEWR) Determination 2013 (No.1)</w:t>
      </w:r>
      <w:bookmarkEnd w:id="1"/>
    </w:p>
    <w:p w14:paraId="1FE1C114" w14:textId="77777777" w:rsidR="00094EA5" w:rsidRPr="00094EA5" w:rsidRDefault="00094EA5" w:rsidP="00E071D2">
      <w:pPr>
        <w:pStyle w:val="ActHead9"/>
        <w:numPr>
          <w:ilvl w:val="0"/>
          <w:numId w:val="18"/>
        </w:numPr>
        <w:spacing w:before="120"/>
        <w:ind w:left="714" w:hanging="357"/>
        <w:rPr>
          <w:rFonts w:ascii="Arial" w:hAnsi="Arial" w:cs="Arial"/>
          <w:b w:val="0"/>
          <w:sz w:val="24"/>
          <w:szCs w:val="24"/>
        </w:rPr>
      </w:pPr>
      <w:bookmarkStart w:id="2" w:name="_Toc13760496"/>
      <w:r w:rsidRPr="00094EA5">
        <w:rPr>
          <w:rFonts w:ascii="Arial" w:hAnsi="Arial" w:cs="Arial"/>
          <w:b w:val="0"/>
          <w:sz w:val="24"/>
          <w:szCs w:val="24"/>
        </w:rPr>
        <w:t>Social Security (Deeming Threshold Rates) (DIISRTE) Determination 2013</w:t>
      </w:r>
      <w:bookmarkEnd w:id="2"/>
    </w:p>
    <w:p w14:paraId="32B8EB9E" w14:textId="77777777" w:rsidR="00094EA5" w:rsidRPr="00094EA5" w:rsidRDefault="00094EA5" w:rsidP="00E071D2">
      <w:pPr>
        <w:pStyle w:val="ActHead9"/>
        <w:numPr>
          <w:ilvl w:val="0"/>
          <w:numId w:val="18"/>
        </w:numPr>
        <w:spacing w:before="120"/>
        <w:ind w:left="714" w:hanging="357"/>
        <w:rPr>
          <w:rStyle w:val="BookTitle"/>
          <w:rFonts w:ascii="Arial" w:hAnsi="Arial" w:cs="Arial"/>
          <w:b w:val="0"/>
          <w:i/>
          <w:iCs w:val="0"/>
          <w:smallCaps w:val="0"/>
          <w:spacing w:val="0"/>
          <w:sz w:val="24"/>
          <w:szCs w:val="24"/>
        </w:rPr>
      </w:pPr>
      <w:bookmarkStart w:id="3" w:name="_Toc13760497"/>
      <w:r w:rsidRPr="00094EA5">
        <w:rPr>
          <w:rFonts w:ascii="Arial" w:hAnsi="Arial" w:cs="Arial"/>
          <w:b w:val="0"/>
          <w:sz w:val="24"/>
          <w:szCs w:val="24"/>
        </w:rPr>
        <w:t>Social Security (Deeming Threshold Rates) Determination 2015 (No.1)</w:t>
      </w:r>
      <w:bookmarkEnd w:id="3"/>
    </w:p>
    <w:p w14:paraId="7B33CD95" w14:textId="3C01728B" w:rsidR="00AD4D58" w:rsidRDefault="00094EA5" w:rsidP="00BE7542">
      <w:pPr>
        <w:rPr>
          <w:rFonts w:ascii="Arial" w:hAnsi="Arial" w:cs="Arial"/>
          <w:szCs w:val="24"/>
        </w:rPr>
      </w:pPr>
      <w:r w:rsidRPr="00BC76EB">
        <w:rPr>
          <w:rFonts w:ascii="Arial" w:hAnsi="Arial" w:cs="Arial"/>
          <w:szCs w:val="24"/>
        </w:rPr>
        <w:t xml:space="preserve">Under subsection 33(3) of the </w:t>
      </w:r>
      <w:r w:rsidRPr="00BC76EB">
        <w:rPr>
          <w:rFonts w:ascii="Arial" w:hAnsi="Arial" w:cs="Arial"/>
          <w:i/>
          <w:szCs w:val="24"/>
        </w:rPr>
        <w:t>Acts Interpretation Act 1901</w:t>
      </w:r>
      <w:r w:rsidRPr="00BC76EB">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E96AB0D" w14:textId="149F4290" w:rsidR="004F7852" w:rsidRPr="004F7852" w:rsidRDefault="004F7852" w:rsidP="00BE7542">
      <w:pPr>
        <w:rPr>
          <w:rFonts w:ascii="Arial" w:hAnsi="Arial" w:cs="Arial"/>
          <w:i/>
          <w:szCs w:val="24"/>
        </w:rPr>
      </w:pPr>
      <w:r>
        <w:rPr>
          <w:rFonts w:ascii="Arial" w:hAnsi="Arial" w:cs="Arial"/>
          <w:szCs w:val="24"/>
        </w:rPr>
        <w:t xml:space="preserve">The </w:t>
      </w:r>
      <w:r>
        <w:rPr>
          <w:rFonts w:ascii="Arial" w:hAnsi="Arial" w:cs="Arial"/>
          <w:i/>
          <w:szCs w:val="24"/>
        </w:rPr>
        <w:t xml:space="preserve">Social Security (Deeming Threshold Rates) (DEEWR) Determination 2013 </w:t>
      </w:r>
      <w:r>
        <w:rPr>
          <w:rFonts w:ascii="Arial" w:hAnsi="Arial" w:cs="Arial"/>
          <w:szCs w:val="24"/>
        </w:rPr>
        <w:t xml:space="preserve">and </w:t>
      </w:r>
      <w:r>
        <w:rPr>
          <w:rFonts w:ascii="Arial" w:hAnsi="Arial" w:cs="Arial"/>
          <w:i/>
          <w:szCs w:val="24"/>
        </w:rPr>
        <w:t xml:space="preserve">Social Security (Deeming Threshold Rates) (DIISRTE) Determination 2013 </w:t>
      </w:r>
      <w:r>
        <w:rPr>
          <w:rFonts w:ascii="Arial" w:hAnsi="Arial" w:cs="Arial"/>
          <w:szCs w:val="24"/>
        </w:rPr>
        <w:t xml:space="preserve">are no longer required as the relevant provisions of the social security law now fall solely within the responsibility of the Minister for Families and Social Services. </w:t>
      </w:r>
      <w:r w:rsidR="008D0160">
        <w:rPr>
          <w:rFonts w:ascii="Arial" w:hAnsi="Arial" w:cs="Arial"/>
          <w:szCs w:val="24"/>
        </w:rPr>
        <w:t>The</w:t>
      </w:r>
      <w:r>
        <w:rPr>
          <w:rFonts w:ascii="Arial" w:hAnsi="Arial" w:cs="Arial"/>
          <w:szCs w:val="24"/>
        </w:rPr>
        <w:t xml:space="preserve"> Determination will replace the </w:t>
      </w:r>
      <w:r>
        <w:rPr>
          <w:rFonts w:ascii="Arial" w:hAnsi="Arial" w:cs="Arial"/>
          <w:i/>
          <w:szCs w:val="24"/>
        </w:rPr>
        <w:t xml:space="preserve">Social Security (Deeming Threshold Rates) Determination 2015 (No.1). </w:t>
      </w:r>
    </w:p>
    <w:p w14:paraId="0D62CE62" w14:textId="77777777" w:rsidR="00BE7542" w:rsidRPr="00E071D2" w:rsidRDefault="00BE7542" w:rsidP="00BE7542">
      <w:pPr>
        <w:rPr>
          <w:rStyle w:val="BookTitle"/>
          <w:rFonts w:ascii="Arial" w:hAnsi="Arial" w:cs="Arial"/>
          <w:i w:val="0"/>
          <w:iCs w:val="0"/>
          <w:smallCaps w:val="0"/>
          <w:spacing w:val="0"/>
          <w:szCs w:val="24"/>
        </w:rPr>
      </w:pPr>
      <w:r w:rsidRPr="00E071D2">
        <w:rPr>
          <w:rStyle w:val="BookTitle"/>
          <w:rFonts w:ascii="Arial" w:hAnsi="Arial" w:cs="Arial"/>
          <w:b/>
          <w:i w:val="0"/>
          <w:iCs w:val="0"/>
          <w:smallCaps w:val="0"/>
          <w:spacing w:val="0"/>
          <w:szCs w:val="24"/>
        </w:rPr>
        <w:t xml:space="preserve">Section 6 </w:t>
      </w:r>
      <w:r w:rsidR="00E071D2">
        <w:rPr>
          <w:rStyle w:val="BookTitle"/>
          <w:rFonts w:ascii="Arial" w:hAnsi="Arial" w:cs="Arial"/>
          <w:i w:val="0"/>
          <w:iCs w:val="0"/>
          <w:smallCaps w:val="0"/>
          <w:spacing w:val="0"/>
          <w:szCs w:val="24"/>
        </w:rPr>
        <w:t>sets out the below threshold rate of 1.00 per cent.</w:t>
      </w:r>
    </w:p>
    <w:p w14:paraId="229445D1" w14:textId="77777777" w:rsidR="00BE7542" w:rsidRPr="00E071D2" w:rsidRDefault="00BE7542" w:rsidP="00BE7542">
      <w:pPr>
        <w:rPr>
          <w:rStyle w:val="BookTitle"/>
          <w:rFonts w:ascii="Arial" w:hAnsi="Arial" w:cs="Arial"/>
          <w:i w:val="0"/>
          <w:iCs w:val="0"/>
          <w:smallCaps w:val="0"/>
          <w:spacing w:val="0"/>
          <w:szCs w:val="24"/>
        </w:rPr>
      </w:pPr>
      <w:r w:rsidRPr="00E071D2">
        <w:rPr>
          <w:rStyle w:val="BookTitle"/>
          <w:rFonts w:ascii="Arial" w:hAnsi="Arial" w:cs="Arial"/>
          <w:b/>
          <w:i w:val="0"/>
          <w:iCs w:val="0"/>
          <w:smallCaps w:val="0"/>
          <w:spacing w:val="0"/>
          <w:szCs w:val="24"/>
        </w:rPr>
        <w:t xml:space="preserve">Section 7 </w:t>
      </w:r>
      <w:r w:rsidR="00E071D2">
        <w:rPr>
          <w:rStyle w:val="BookTitle"/>
          <w:rFonts w:ascii="Arial" w:hAnsi="Arial" w:cs="Arial"/>
          <w:i w:val="0"/>
          <w:iCs w:val="0"/>
          <w:smallCaps w:val="0"/>
          <w:spacing w:val="0"/>
          <w:szCs w:val="24"/>
        </w:rPr>
        <w:t xml:space="preserve">sets out the above threshold rate of 3.00 per cent. </w:t>
      </w:r>
    </w:p>
    <w:p w14:paraId="2D472FF4" w14:textId="77777777" w:rsidR="00871F28" w:rsidRPr="00094EA5" w:rsidRDefault="00871F28" w:rsidP="00871F28">
      <w:pPr>
        <w:rPr>
          <w:rStyle w:val="BookTitle"/>
          <w:rFonts w:ascii="Arial" w:hAnsi="Arial" w:cs="Arial"/>
          <w:b/>
          <w:i w:val="0"/>
          <w:iCs w:val="0"/>
          <w:smallCaps w:val="0"/>
          <w:spacing w:val="0"/>
          <w:szCs w:val="24"/>
        </w:rPr>
      </w:pPr>
      <w:r w:rsidRPr="00094EA5">
        <w:rPr>
          <w:rStyle w:val="BookTitle"/>
          <w:rFonts w:ascii="Arial" w:hAnsi="Arial" w:cs="Arial"/>
          <w:b/>
          <w:i w:val="0"/>
          <w:iCs w:val="0"/>
          <w:smallCaps w:val="0"/>
          <w:spacing w:val="0"/>
          <w:szCs w:val="24"/>
        </w:rPr>
        <w:t xml:space="preserve">Schedule </w:t>
      </w:r>
      <w:r w:rsidR="00446D6C" w:rsidRPr="00094EA5">
        <w:rPr>
          <w:rStyle w:val="BookTitle"/>
          <w:rFonts w:ascii="Arial" w:hAnsi="Arial" w:cs="Arial"/>
          <w:b/>
          <w:i w:val="0"/>
          <w:iCs w:val="0"/>
          <w:smallCaps w:val="0"/>
          <w:spacing w:val="0"/>
          <w:szCs w:val="24"/>
        </w:rPr>
        <w:t>1</w:t>
      </w:r>
      <w:r w:rsidRPr="00094EA5">
        <w:rPr>
          <w:rStyle w:val="BookTitle"/>
          <w:rFonts w:ascii="Arial" w:hAnsi="Arial" w:cs="Arial"/>
          <w:b/>
          <w:i w:val="0"/>
          <w:iCs w:val="0"/>
          <w:smallCaps w:val="0"/>
          <w:spacing w:val="0"/>
          <w:szCs w:val="24"/>
        </w:rPr>
        <w:t xml:space="preserve"> </w:t>
      </w:r>
    </w:p>
    <w:p w14:paraId="1F0772FE" w14:textId="77777777" w:rsidR="00E071D2" w:rsidRPr="00094EA5" w:rsidRDefault="00871F28" w:rsidP="00871F28">
      <w:pPr>
        <w:rPr>
          <w:rStyle w:val="BookTitle"/>
          <w:rFonts w:ascii="Arial" w:hAnsi="Arial" w:cs="Arial"/>
          <w:i w:val="0"/>
          <w:iCs w:val="0"/>
          <w:smallCaps w:val="0"/>
          <w:spacing w:val="0"/>
          <w:szCs w:val="24"/>
        </w:rPr>
      </w:pPr>
      <w:r w:rsidRPr="00094EA5">
        <w:rPr>
          <w:rStyle w:val="BookTitle"/>
          <w:rFonts w:ascii="Arial" w:hAnsi="Arial" w:cs="Arial"/>
          <w:b/>
          <w:i w:val="0"/>
          <w:iCs w:val="0"/>
          <w:smallCaps w:val="0"/>
          <w:spacing w:val="0"/>
          <w:szCs w:val="24"/>
        </w:rPr>
        <w:t xml:space="preserve">Schedule </w:t>
      </w:r>
      <w:r w:rsidR="00446D6C" w:rsidRPr="00094EA5">
        <w:rPr>
          <w:rStyle w:val="BookTitle"/>
          <w:rFonts w:ascii="Arial" w:hAnsi="Arial" w:cs="Arial"/>
          <w:b/>
          <w:i w:val="0"/>
          <w:iCs w:val="0"/>
          <w:smallCaps w:val="0"/>
          <w:spacing w:val="0"/>
          <w:szCs w:val="24"/>
        </w:rPr>
        <w:t>1</w:t>
      </w:r>
      <w:r w:rsidRPr="00094EA5">
        <w:rPr>
          <w:rStyle w:val="BookTitle"/>
          <w:rFonts w:ascii="Arial" w:hAnsi="Arial" w:cs="Arial"/>
          <w:b/>
          <w:i w:val="0"/>
          <w:iCs w:val="0"/>
          <w:smallCaps w:val="0"/>
          <w:spacing w:val="0"/>
          <w:szCs w:val="24"/>
        </w:rPr>
        <w:t xml:space="preserve">, item </w:t>
      </w:r>
      <w:r w:rsidR="00841C22" w:rsidRPr="00094EA5">
        <w:rPr>
          <w:rStyle w:val="BookTitle"/>
          <w:rFonts w:ascii="Arial" w:hAnsi="Arial" w:cs="Arial"/>
          <w:b/>
          <w:i w:val="0"/>
          <w:iCs w:val="0"/>
          <w:smallCaps w:val="0"/>
          <w:spacing w:val="0"/>
          <w:szCs w:val="24"/>
        </w:rPr>
        <w:t>1</w:t>
      </w:r>
      <w:r w:rsidR="00094EA5">
        <w:rPr>
          <w:rStyle w:val="BookTitle"/>
          <w:rFonts w:ascii="Arial" w:hAnsi="Arial" w:cs="Arial"/>
          <w:b/>
          <w:i w:val="0"/>
          <w:iCs w:val="0"/>
          <w:smallCaps w:val="0"/>
          <w:spacing w:val="0"/>
          <w:szCs w:val="24"/>
        </w:rPr>
        <w:t xml:space="preserve"> </w:t>
      </w:r>
      <w:r w:rsidR="00094EA5">
        <w:rPr>
          <w:rStyle w:val="BookTitle"/>
          <w:rFonts w:ascii="Arial" w:hAnsi="Arial" w:cs="Arial"/>
          <w:i w:val="0"/>
          <w:iCs w:val="0"/>
          <w:smallCaps w:val="0"/>
          <w:spacing w:val="0"/>
          <w:szCs w:val="24"/>
        </w:rPr>
        <w:t xml:space="preserve">repeals the </w:t>
      </w:r>
      <w:r w:rsidR="00E071D2" w:rsidRPr="00E071D2">
        <w:rPr>
          <w:rFonts w:ascii="Arial" w:hAnsi="Arial" w:cs="Arial"/>
          <w:i/>
          <w:szCs w:val="24"/>
        </w:rPr>
        <w:t>Social Security (Deeming Threshold Rates) (DEEWR) Determination 2013 (No.1)</w:t>
      </w:r>
      <w:r w:rsidR="00E071D2">
        <w:rPr>
          <w:rFonts w:ascii="Arial" w:hAnsi="Arial" w:cs="Arial"/>
          <w:szCs w:val="24"/>
        </w:rPr>
        <w:t>.</w:t>
      </w:r>
    </w:p>
    <w:p w14:paraId="7BD33B75" w14:textId="77777777" w:rsidR="00E071D2" w:rsidRPr="00094EA5" w:rsidRDefault="00094EA5" w:rsidP="00094EA5">
      <w:pPr>
        <w:rPr>
          <w:rStyle w:val="BookTitle"/>
          <w:rFonts w:ascii="Arial" w:hAnsi="Arial" w:cs="Arial"/>
          <w:i w:val="0"/>
          <w:iCs w:val="0"/>
          <w:smallCaps w:val="0"/>
          <w:spacing w:val="0"/>
          <w:szCs w:val="24"/>
        </w:rPr>
      </w:pPr>
      <w:r w:rsidRPr="00094EA5">
        <w:rPr>
          <w:rStyle w:val="BookTitle"/>
          <w:rFonts w:ascii="Arial" w:hAnsi="Arial" w:cs="Arial"/>
          <w:b/>
          <w:i w:val="0"/>
          <w:iCs w:val="0"/>
          <w:smallCaps w:val="0"/>
          <w:spacing w:val="0"/>
          <w:szCs w:val="24"/>
        </w:rPr>
        <w:t xml:space="preserve">Schedule 1, item </w:t>
      </w:r>
      <w:r>
        <w:rPr>
          <w:rStyle w:val="BookTitle"/>
          <w:rFonts w:ascii="Arial" w:hAnsi="Arial" w:cs="Arial"/>
          <w:b/>
          <w:i w:val="0"/>
          <w:iCs w:val="0"/>
          <w:smallCaps w:val="0"/>
          <w:spacing w:val="0"/>
          <w:szCs w:val="24"/>
        </w:rPr>
        <w:t xml:space="preserve">2 </w:t>
      </w:r>
      <w:r>
        <w:rPr>
          <w:rStyle w:val="BookTitle"/>
          <w:rFonts w:ascii="Arial" w:hAnsi="Arial" w:cs="Arial"/>
          <w:i w:val="0"/>
          <w:iCs w:val="0"/>
          <w:smallCaps w:val="0"/>
          <w:spacing w:val="0"/>
          <w:szCs w:val="24"/>
        </w:rPr>
        <w:t xml:space="preserve">repeals the </w:t>
      </w:r>
      <w:r w:rsidR="00E071D2" w:rsidRPr="00E071D2">
        <w:rPr>
          <w:rFonts w:ascii="Arial" w:hAnsi="Arial" w:cs="Arial"/>
          <w:i/>
          <w:szCs w:val="24"/>
        </w:rPr>
        <w:t>Social Security (Deeming Threshold Rates) (DIISRTE) Determination 2013</w:t>
      </w:r>
      <w:r w:rsidR="00E071D2" w:rsidRPr="00E071D2">
        <w:rPr>
          <w:rFonts w:ascii="Arial" w:hAnsi="Arial" w:cs="Arial"/>
          <w:szCs w:val="24"/>
        </w:rPr>
        <w:t>.</w:t>
      </w:r>
    </w:p>
    <w:p w14:paraId="719CF8C1" w14:textId="77777777" w:rsidR="00E071D2" w:rsidRPr="00E071D2" w:rsidRDefault="00094EA5" w:rsidP="00E071D2">
      <w:pPr>
        <w:rPr>
          <w:rStyle w:val="BookTitle"/>
          <w:rFonts w:ascii="Arial" w:hAnsi="Arial" w:cs="Arial"/>
          <w:i w:val="0"/>
          <w:iCs w:val="0"/>
          <w:smallCaps w:val="0"/>
          <w:spacing w:val="0"/>
          <w:szCs w:val="24"/>
        </w:rPr>
      </w:pPr>
      <w:r w:rsidRPr="00094EA5">
        <w:rPr>
          <w:rStyle w:val="BookTitle"/>
          <w:rFonts w:ascii="Arial" w:hAnsi="Arial" w:cs="Arial"/>
          <w:b/>
          <w:i w:val="0"/>
          <w:iCs w:val="0"/>
          <w:smallCaps w:val="0"/>
          <w:spacing w:val="0"/>
          <w:szCs w:val="24"/>
        </w:rPr>
        <w:t xml:space="preserve">Schedule 1, item </w:t>
      </w:r>
      <w:r>
        <w:rPr>
          <w:rStyle w:val="BookTitle"/>
          <w:rFonts w:ascii="Arial" w:hAnsi="Arial" w:cs="Arial"/>
          <w:b/>
          <w:i w:val="0"/>
          <w:iCs w:val="0"/>
          <w:smallCaps w:val="0"/>
          <w:spacing w:val="0"/>
          <w:szCs w:val="24"/>
        </w:rPr>
        <w:t xml:space="preserve">3 </w:t>
      </w:r>
      <w:r>
        <w:rPr>
          <w:rStyle w:val="BookTitle"/>
          <w:rFonts w:ascii="Arial" w:hAnsi="Arial" w:cs="Arial"/>
          <w:i w:val="0"/>
          <w:iCs w:val="0"/>
          <w:smallCaps w:val="0"/>
          <w:spacing w:val="0"/>
          <w:szCs w:val="24"/>
        </w:rPr>
        <w:t xml:space="preserve">repeals the </w:t>
      </w:r>
      <w:r w:rsidR="00E071D2" w:rsidRPr="00E071D2">
        <w:rPr>
          <w:rFonts w:ascii="Arial" w:hAnsi="Arial" w:cs="Arial"/>
          <w:i/>
          <w:szCs w:val="24"/>
        </w:rPr>
        <w:t>Social Security (Deeming Threshold Rates) Determination 2015 (No.1)</w:t>
      </w:r>
      <w:r w:rsidR="00E071D2">
        <w:rPr>
          <w:rFonts w:ascii="Arial" w:hAnsi="Arial" w:cs="Arial"/>
          <w:szCs w:val="24"/>
        </w:rPr>
        <w:t>.</w:t>
      </w:r>
    </w:p>
    <w:p w14:paraId="2DFFEAB1" w14:textId="77777777" w:rsidR="00E071D2" w:rsidRPr="00094EA5" w:rsidRDefault="00E071D2" w:rsidP="00094EA5">
      <w:pPr>
        <w:rPr>
          <w:rStyle w:val="BookTitle"/>
          <w:rFonts w:ascii="Arial" w:hAnsi="Arial" w:cs="Arial"/>
          <w:i w:val="0"/>
          <w:iCs w:val="0"/>
          <w:smallCaps w:val="0"/>
          <w:spacing w:val="0"/>
          <w:szCs w:val="24"/>
        </w:rPr>
      </w:pPr>
    </w:p>
    <w:p w14:paraId="4DDB5567" w14:textId="77777777" w:rsidR="00BE7542" w:rsidRPr="00BC76EB" w:rsidRDefault="00BE7542" w:rsidP="00871F28">
      <w:pPr>
        <w:rPr>
          <w:rStyle w:val="BookTitle"/>
          <w:rFonts w:ascii="Arial" w:hAnsi="Arial" w:cs="Arial"/>
          <w:i w:val="0"/>
          <w:iCs w:val="0"/>
          <w:smallCaps w:val="0"/>
          <w:spacing w:val="0"/>
          <w:szCs w:val="24"/>
        </w:rPr>
      </w:pPr>
    </w:p>
    <w:p w14:paraId="726826BC" w14:textId="77777777" w:rsidR="0095196E" w:rsidRPr="00BC76EB" w:rsidRDefault="0095196E" w:rsidP="006546B7">
      <w:pPr>
        <w:shd w:val="clear" w:color="auto" w:fill="FFFFFF"/>
        <w:spacing w:before="0"/>
        <w:textAlignment w:val="top"/>
        <w:rPr>
          <w:rFonts w:ascii="Arial" w:hAnsi="Arial" w:cs="Arial"/>
          <w:color w:val="111111"/>
          <w:szCs w:val="24"/>
        </w:rPr>
      </w:pPr>
    </w:p>
    <w:p w14:paraId="20A2DDBB" w14:textId="77777777" w:rsidR="00C37944" w:rsidRPr="00BC76EB" w:rsidRDefault="00C37944">
      <w:pPr>
        <w:spacing w:before="0" w:after="200" w:line="276" w:lineRule="auto"/>
        <w:rPr>
          <w:rFonts w:ascii="Arial" w:eastAsiaTheme="majorEastAsia" w:hAnsi="Arial" w:cs="Arial"/>
          <w:b/>
          <w:bCs/>
          <w:szCs w:val="24"/>
        </w:rPr>
      </w:pPr>
      <w:bookmarkStart w:id="4" w:name="_Toc290210739"/>
      <w:r w:rsidRPr="00BC76EB">
        <w:rPr>
          <w:rFonts w:ascii="Arial" w:hAnsi="Arial" w:cs="Arial"/>
          <w:szCs w:val="24"/>
        </w:rPr>
        <w:br w:type="page"/>
      </w:r>
    </w:p>
    <w:p w14:paraId="232103E9"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t>Statement of Compatibility with Human Rights</w:t>
      </w:r>
    </w:p>
    <w:p w14:paraId="449FC53B"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405E3C21" w14:textId="77777777" w:rsidR="006546B7" w:rsidRPr="00BC76EB" w:rsidRDefault="006546B7" w:rsidP="006546B7">
      <w:pPr>
        <w:spacing w:before="120" w:after="120"/>
        <w:jc w:val="center"/>
        <w:rPr>
          <w:rFonts w:ascii="Arial" w:hAnsi="Arial" w:cs="Arial"/>
          <w:szCs w:val="24"/>
        </w:rPr>
      </w:pPr>
    </w:p>
    <w:p w14:paraId="7A3593B4" w14:textId="77777777" w:rsidR="004D28AE" w:rsidRPr="004D28AE" w:rsidRDefault="004D28AE" w:rsidP="004D28AE">
      <w:pPr>
        <w:spacing w:before="0"/>
        <w:ind w:right="91"/>
        <w:jc w:val="center"/>
        <w:rPr>
          <w:rFonts w:ascii="Arial" w:hAnsi="Arial" w:cs="Arial"/>
          <w:b/>
          <w:i/>
          <w:szCs w:val="24"/>
        </w:rPr>
      </w:pPr>
      <w:r w:rsidRPr="004D28AE">
        <w:rPr>
          <w:rFonts w:ascii="Arial" w:hAnsi="Arial" w:cs="Arial"/>
          <w:b/>
          <w:i/>
        </w:rPr>
        <w:t>Social Security (Deeming Threshold Rates) Determination 2019</w:t>
      </w:r>
    </w:p>
    <w:p w14:paraId="747058CC" w14:textId="77777777" w:rsidR="006546B7" w:rsidRPr="00BC76EB" w:rsidRDefault="006546B7" w:rsidP="006546B7">
      <w:pPr>
        <w:spacing w:before="120" w:after="120"/>
        <w:jc w:val="center"/>
        <w:rPr>
          <w:rFonts w:ascii="Arial" w:hAnsi="Arial" w:cs="Arial"/>
          <w:szCs w:val="24"/>
        </w:rPr>
      </w:pPr>
    </w:p>
    <w:p w14:paraId="150B866B" w14:textId="77777777" w:rsidR="006546B7" w:rsidRPr="00BC76EB" w:rsidRDefault="00374A77" w:rsidP="006546B7">
      <w:pPr>
        <w:spacing w:before="120" w:after="120"/>
        <w:jc w:val="center"/>
        <w:rPr>
          <w:rFonts w:ascii="Arial" w:hAnsi="Arial" w:cs="Arial"/>
          <w:szCs w:val="24"/>
        </w:rPr>
      </w:pPr>
      <w:r w:rsidRPr="00BC76EB">
        <w:rPr>
          <w:rFonts w:ascii="Arial" w:hAnsi="Arial" w:cs="Arial"/>
          <w:szCs w:val="24"/>
        </w:rPr>
        <w:t xml:space="preserve">The </w:t>
      </w:r>
      <w:r w:rsidR="004D28AE">
        <w:rPr>
          <w:rFonts w:ascii="Arial" w:hAnsi="Arial" w:cs="Arial"/>
          <w:szCs w:val="24"/>
        </w:rPr>
        <w:t>Determination 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76307788" w14:textId="77777777"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12D4A5D2" w14:textId="77777777" w:rsidR="001B7EE9" w:rsidRPr="001B7EE9" w:rsidRDefault="004D28AE" w:rsidP="001B7EE9">
      <w:pPr>
        <w:rPr>
          <w:rFonts w:ascii="Arial" w:hAnsi="Arial" w:cs="Arial"/>
          <w:szCs w:val="24"/>
          <w:lang w:val="en-US"/>
        </w:rPr>
      </w:pPr>
      <w:r w:rsidRPr="004D28AE">
        <w:rPr>
          <w:rFonts w:ascii="Arial" w:hAnsi="Arial" w:cs="Arial"/>
          <w:szCs w:val="24"/>
        </w:rPr>
        <w:t>The Determination will have the effect of c</w:t>
      </w:r>
      <w:r w:rsidR="00F864EE">
        <w:rPr>
          <w:rFonts w:ascii="Arial" w:hAnsi="Arial" w:cs="Arial"/>
          <w:szCs w:val="24"/>
        </w:rPr>
        <w:t>hanging the deeming rates from 1.75 per cent and 3.25</w:t>
      </w:r>
      <w:r w:rsidRPr="004D28AE">
        <w:rPr>
          <w:rFonts w:ascii="Arial" w:hAnsi="Arial" w:cs="Arial"/>
          <w:szCs w:val="24"/>
        </w:rPr>
        <w:t xml:space="preserve"> per cent for the below and above threshold dee</w:t>
      </w:r>
      <w:r w:rsidR="00F864EE">
        <w:rPr>
          <w:rFonts w:ascii="Arial" w:hAnsi="Arial" w:cs="Arial"/>
          <w:szCs w:val="24"/>
        </w:rPr>
        <w:t>ming rates respectively, to 1.00 and 3.00</w:t>
      </w:r>
      <w:r w:rsidRPr="004D28AE">
        <w:rPr>
          <w:rFonts w:ascii="Arial" w:hAnsi="Arial" w:cs="Arial"/>
          <w:szCs w:val="24"/>
        </w:rPr>
        <w:t xml:space="preserve"> per cent.  The deeming rates are used to assess income from financial investments for social security and veterans’ affairs pension/allowance purposes. </w:t>
      </w:r>
      <w:r w:rsidR="001B7EE9" w:rsidRPr="001B7EE9">
        <w:rPr>
          <w:rFonts w:ascii="Arial" w:hAnsi="Arial" w:cs="Arial"/>
          <w:szCs w:val="24"/>
          <w:lang w:val="en-US"/>
        </w:rPr>
        <w:t>From 1 July 2019, the first:</w:t>
      </w:r>
    </w:p>
    <w:p w14:paraId="02EA333F" w14:textId="77777777" w:rsidR="001B7EE9" w:rsidRPr="001B7EE9" w:rsidRDefault="001B7EE9" w:rsidP="001B7EE9">
      <w:pPr>
        <w:pStyle w:val="ListParagraph"/>
        <w:numPr>
          <w:ilvl w:val="0"/>
          <w:numId w:val="17"/>
        </w:numPr>
        <w:shd w:val="clear" w:color="auto" w:fill="FFFFFF"/>
        <w:spacing w:before="100" w:beforeAutospacing="1" w:after="100" w:afterAutospacing="1"/>
        <w:rPr>
          <w:rFonts w:ascii="Arial" w:hAnsi="Arial" w:cs="Arial"/>
          <w:szCs w:val="24"/>
          <w:lang w:val="en-US"/>
        </w:rPr>
      </w:pPr>
      <w:r w:rsidRPr="001B7EE9">
        <w:rPr>
          <w:rFonts w:ascii="Arial" w:hAnsi="Arial" w:cs="Arial"/>
          <w:szCs w:val="24"/>
          <w:lang w:val="en-US"/>
        </w:rPr>
        <w:t>$51,800 of a single person’s financial assets</w:t>
      </w:r>
    </w:p>
    <w:p w14:paraId="6DBCB613" w14:textId="1C808E1B" w:rsidR="001B7EE9" w:rsidRPr="001B7EE9" w:rsidRDefault="001B7EE9" w:rsidP="001B7EE9">
      <w:pPr>
        <w:pStyle w:val="ListParagraph"/>
        <w:numPr>
          <w:ilvl w:val="0"/>
          <w:numId w:val="17"/>
        </w:numPr>
        <w:shd w:val="clear" w:color="auto" w:fill="FFFFFF"/>
        <w:spacing w:before="100" w:beforeAutospacing="1" w:after="100" w:afterAutospacing="1"/>
        <w:rPr>
          <w:rFonts w:ascii="Arial" w:hAnsi="Arial" w:cs="Arial"/>
          <w:szCs w:val="24"/>
          <w:lang w:val="en-US"/>
        </w:rPr>
      </w:pPr>
      <w:r w:rsidRPr="001B7EE9">
        <w:rPr>
          <w:rFonts w:ascii="Arial" w:hAnsi="Arial" w:cs="Arial"/>
          <w:szCs w:val="24"/>
          <w:lang w:val="en-US"/>
        </w:rPr>
        <w:t>$86,200 of a pensioner cou</w:t>
      </w:r>
      <w:r>
        <w:rPr>
          <w:rFonts w:ascii="Arial" w:hAnsi="Arial" w:cs="Arial"/>
          <w:szCs w:val="24"/>
          <w:lang w:val="en-US"/>
        </w:rPr>
        <w:t>ple’s combined financial assets</w:t>
      </w:r>
    </w:p>
    <w:p w14:paraId="7BA1EDF6" w14:textId="77777777" w:rsidR="001B7EE9" w:rsidRPr="001B7EE9" w:rsidRDefault="001B7EE9" w:rsidP="001B7EE9">
      <w:pPr>
        <w:pStyle w:val="ListParagraph"/>
        <w:numPr>
          <w:ilvl w:val="0"/>
          <w:numId w:val="17"/>
        </w:numPr>
        <w:shd w:val="clear" w:color="auto" w:fill="FFFFFF"/>
        <w:spacing w:before="100" w:beforeAutospacing="1" w:after="100" w:afterAutospacing="1"/>
        <w:rPr>
          <w:rFonts w:ascii="Arial" w:hAnsi="Arial" w:cs="Arial"/>
          <w:szCs w:val="24"/>
          <w:lang w:val="en-US"/>
        </w:rPr>
      </w:pPr>
      <w:r w:rsidRPr="001B7EE9">
        <w:rPr>
          <w:rFonts w:ascii="Arial" w:hAnsi="Arial" w:cs="Arial"/>
          <w:szCs w:val="24"/>
          <w:lang w:val="en-US"/>
        </w:rPr>
        <w:t>$43,100 of each member of a couple who is a social security allowance recipient’s financial assets</w:t>
      </w:r>
    </w:p>
    <w:p w14:paraId="1823E355" w14:textId="77777777" w:rsidR="001B7EE9" w:rsidRDefault="001B7EE9" w:rsidP="009B2F8C">
      <w:pPr>
        <w:rPr>
          <w:rFonts w:ascii="Arial" w:hAnsi="Arial" w:cs="Arial"/>
          <w:szCs w:val="24"/>
          <w:lang w:val="en-US"/>
        </w:rPr>
      </w:pPr>
      <w:r w:rsidRPr="00927E9D">
        <w:rPr>
          <w:rFonts w:ascii="Arial" w:hAnsi="Arial" w:cs="Arial"/>
          <w:szCs w:val="24"/>
          <w:lang w:val="en-US"/>
        </w:rPr>
        <w:t>is deemed to earn the below threshold rate, and the balance over this amount is deemed to earn the above threshold rate</w:t>
      </w:r>
      <w:r>
        <w:rPr>
          <w:rFonts w:ascii="Arial" w:hAnsi="Arial" w:cs="Arial"/>
          <w:szCs w:val="24"/>
          <w:lang w:val="en-US"/>
        </w:rPr>
        <w:t xml:space="preserve">. These thresholds are indexed to the Consumer Price Index, and increase on 1 July each year. </w:t>
      </w:r>
    </w:p>
    <w:p w14:paraId="462B8EA9" w14:textId="23BB5350" w:rsidR="004D28AE" w:rsidRDefault="004D28AE" w:rsidP="009B2F8C">
      <w:pPr>
        <w:rPr>
          <w:rFonts w:ascii="Arial" w:hAnsi="Arial" w:cs="Arial"/>
          <w:szCs w:val="24"/>
        </w:rPr>
      </w:pPr>
      <w:r w:rsidRPr="004D28AE">
        <w:rPr>
          <w:rFonts w:ascii="Arial" w:hAnsi="Arial" w:cs="Arial"/>
          <w:szCs w:val="24"/>
        </w:rPr>
        <w:t xml:space="preserve">The deeming rates assume that financial investments are earning a certain rate of income, regardless of the amount of income they are actually earning. If a person earns more than these rates, the extra income is not assessed. </w:t>
      </w:r>
    </w:p>
    <w:p w14:paraId="4A24FC7C" w14:textId="77777777" w:rsidR="00360C29" w:rsidRDefault="00360C29" w:rsidP="00360C29">
      <w:pPr>
        <w:shd w:val="clear" w:color="auto" w:fill="FFFFFF"/>
        <w:spacing w:before="0"/>
        <w:rPr>
          <w:rFonts w:ascii="Arial" w:hAnsi="Arial" w:cs="Arial"/>
          <w:szCs w:val="24"/>
          <w:lang w:val="en-US"/>
        </w:rPr>
      </w:pPr>
    </w:p>
    <w:p w14:paraId="012597D5" w14:textId="7499C4EF" w:rsidR="00360C29" w:rsidRPr="009B3228" w:rsidRDefault="00360C29" w:rsidP="00360C29">
      <w:pPr>
        <w:shd w:val="clear" w:color="auto" w:fill="FFFFFF"/>
        <w:spacing w:before="0"/>
        <w:rPr>
          <w:rFonts w:ascii="Arial" w:hAnsi="Arial" w:cs="Arial"/>
          <w:szCs w:val="24"/>
          <w:lang w:val="en-US"/>
        </w:rPr>
      </w:pPr>
      <w:r w:rsidRPr="009B3228">
        <w:rPr>
          <w:rFonts w:ascii="Arial" w:hAnsi="Arial" w:cs="Arial"/>
          <w:szCs w:val="24"/>
          <w:lang w:val="en-US"/>
        </w:rPr>
        <w:t xml:space="preserve">Deeming rates are subject to continuing review to ensure they are set to reflect the returns available in the market to people for their financial investments. </w:t>
      </w:r>
    </w:p>
    <w:p w14:paraId="1A3E6806" w14:textId="77777777" w:rsidR="00360C29" w:rsidRPr="009B3228" w:rsidRDefault="00360C29" w:rsidP="00360C29">
      <w:pPr>
        <w:shd w:val="clear" w:color="auto" w:fill="FFFFFF"/>
        <w:spacing w:before="0"/>
        <w:rPr>
          <w:rFonts w:ascii="Arial" w:hAnsi="Arial" w:cs="Arial"/>
          <w:szCs w:val="24"/>
          <w:lang w:val="en-US"/>
        </w:rPr>
      </w:pPr>
      <w:r w:rsidRPr="009B3228">
        <w:rPr>
          <w:rFonts w:ascii="Arial" w:hAnsi="Arial" w:cs="Arial"/>
          <w:szCs w:val="24"/>
          <w:lang w:val="en-US"/>
        </w:rPr>
        <w:t>The principles that are considered when reviewing the deeming rates include: </w:t>
      </w:r>
    </w:p>
    <w:p w14:paraId="67297702" w14:textId="77777777" w:rsidR="00360C29" w:rsidRPr="009B3228" w:rsidRDefault="00360C29" w:rsidP="00360C29">
      <w:pPr>
        <w:pStyle w:val="ListParagraph"/>
        <w:numPr>
          <w:ilvl w:val="0"/>
          <w:numId w:val="17"/>
        </w:numPr>
        <w:shd w:val="clear" w:color="auto" w:fill="FFFFFF"/>
        <w:spacing w:before="100" w:beforeAutospacing="1" w:after="100" w:afterAutospacing="1"/>
        <w:rPr>
          <w:rFonts w:ascii="Arial" w:hAnsi="Arial" w:cs="Arial"/>
          <w:szCs w:val="24"/>
          <w:lang w:val="en-US"/>
        </w:rPr>
      </w:pPr>
      <w:r w:rsidRPr="009B3228">
        <w:rPr>
          <w:rFonts w:ascii="Arial" w:hAnsi="Arial" w:cs="Arial"/>
          <w:szCs w:val="24"/>
          <w:lang w:val="en-US"/>
        </w:rPr>
        <w:t>deeming should be a simple and fair way to assess income from financial investments, so that people with the same amount held in different financial assets receive a similar assessment;</w:t>
      </w:r>
    </w:p>
    <w:p w14:paraId="3CC78259" w14:textId="77777777" w:rsidR="00360C29" w:rsidRPr="009B3228" w:rsidRDefault="00360C29" w:rsidP="00360C29">
      <w:pPr>
        <w:pStyle w:val="ListParagraph"/>
        <w:numPr>
          <w:ilvl w:val="0"/>
          <w:numId w:val="17"/>
        </w:numPr>
        <w:shd w:val="clear" w:color="auto" w:fill="FFFFFF"/>
        <w:spacing w:before="100" w:beforeAutospacing="1" w:after="100" w:afterAutospacing="1"/>
        <w:rPr>
          <w:rFonts w:ascii="Arial" w:hAnsi="Arial" w:cs="Arial"/>
          <w:szCs w:val="24"/>
          <w:lang w:val="en-US"/>
        </w:rPr>
      </w:pPr>
      <w:r w:rsidRPr="009B3228">
        <w:rPr>
          <w:rFonts w:ascii="Arial" w:hAnsi="Arial" w:cs="Arial"/>
          <w:szCs w:val="24"/>
          <w:lang w:val="en-US"/>
        </w:rPr>
        <w:t xml:space="preserve">deeming should reduce the extent to which income support payments fluctuate; and </w:t>
      </w:r>
    </w:p>
    <w:p w14:paraId="4CE060CE" w14:textId="77777777" w:rsidR="00360C29" w:rsidRPr="009B3228" w:rsidRDefault="00360C29" w:rsidP="00360C29">
      <w:pPr>
        <w:pStyle w:val="ListParagraph"/>
        <w:numPr>
          <w:ilvl w:val="0"/>
          <w:numId w:val="17"/>
        </w:numPr>
        <w:shd w:val="clear" w:color="auto" w:fill="FFFFFF"/>
        <w:spacing w:before="100" w:beforeAutospacing="1" w:after="100" w:afterAutospacing="1"/>
        <w:rPr>
          <w:rFonts w:ascii="Arial" w:hAnsi="Arial" w:cs="Arial"/>
          <w:szCs w:val="24"/>
          <w:lang w:val="en-US"/>
        </w:rPr>
      </w:pPr>
      <w:r w:rsidRPr="009B3228">
        <w:rPr>
          <w:rFonts w:ascii="Arial" w:hAnsi="Arial" w:cs="Arial"/>
          <w:szCs w:val="24"/>
          <w:lang w:val="en-US"/>
        </w:rPr>
        <w:t>deeming should simplify investment choice to encourage people to choose investments on their merits.</w:t>
      </w:r>
    </w:p>
    <w:p w14:paraId="56EE9BD2" w14:textId="77777777" w:rsidR="00360C29" w:rsidRPr="009B3228" w:rsidRDefault="00360C29" w:rsidP="009B2F8C">
      <w:pPr>
        <w:keepNext/>
        <w:keepLines/>
        <w:shd w:val="clear" w:color="auto" w:fill="FFFFFF"/>
        <w:spacing w:before="0"/>
        <w:rPr>
          <w:rFonts w:ascii="Arial" w:hAnsi="Arial" w:cs="Arial"/>
          <w:szCs w:val="24"/>
          <w:lang w:val="en-US"/>
        </w:rPr>
      </w:pPr>
      <w:r w:rsidRPr="009B3228">
        <w:rPr>
          <w:rFonts w:ascii="Arial" w:hAnsi="Arial" w:cs="Arial"/>
          <w:szCs w:val="24"/>
          <w:lang w:val="en-US"/>
        </w:rPr>
        <w:t>When setting the deeming rates, a wide range of investment indicators are taken into account, including, but not limited to:</w:t>
      </w:r>
    </w:p>
    <w:p w14:paraId="1ADCB117" w14:textId="77777777" w:rsidR="00360C29" w:rsidRPr="009B3228" w:rsidRDefault="00360C29" w:rsidP="009B2F8C">
      <w:pPr>
        <w:pStyle w:val="ListParagraph"/>
        <w:keepNext/>
        <w:keepLines/>
        <w:numPr>
          <w:ilvl w:val="0"/>
          <w:numId w:val="17"/>
        </w:numPr>
        <w:shd w:val="clear" w:color="auto" w:fill="FFFFFF"/>
        <w:spacing w:before="100" w:beforeAutospacing="1" w:after="100" w:afterAutospacing="1"/>
        <w:rPr>
          <w:rFonts w:ascii="Arial" w:hAnsi="Arial" w:cs="Arial"/>
          <w:szCs w:val="24"/>
          <w:lang w:val="en-US"/>
        </w:rPr>
      </w:pPr>
      <w:r w:rsidRPr="009B3228">
        <w:rPr>
          <w:rFonts w:ascii="Arial" w:hAnsi="Arial" w:cs="Arial"/>
          <w:szCs w:val="24"/>
          <w:lang w:val="en-US"/>
        </w:rPr>
        <w:t>returns on safe, accessible investments such as transaction accounts, savings accounts, bonus savings accounts and short-term term deposits</w:t>
      </w:r>
    </w:p>
    <w:p w14:paraId="1F82851E" w14:textId="77777777" w:rsidR="00360C29" w:rsidRPr="009B3228" w:rsidRDefault="00360C29" w:rsidP="009B2F8C">
      <w:pPr>
        <w:pStyle w:val="ListParagraph"/>
        <w:keepNext/>
        <w:keepLines/>
        <w:numPr>
          <w:ilvl w:val="0"/>
          <w:numId w:val="17"/>
        </w:numPr>
        <w:shd w:val="clear" w:color="auto" w:fill="FFFFFF"/>
        <w:spacing w:before="100" w:beforeAutospacing="1" w:after="100" w:afterAutospacing="1"/>
        <w:rPr>
          <w:rFonts w:ascii="Arial" w:hAnsi="Arial" w:cs="Arial"/>
          <w:szCs w:val="24"/>
          <w:lang w:val="en-US"/>
        </w:rPr>
      </w:pPr>
      <w:r w:rsidRPr="009B3228">
        <w:rPr>
          <w:rFonts w:ascii="Arial" w:hAnsi="Arial" w:cs="Arial"/>
          <w:szCs w:val="24"/>
          <w:lang w:val="en-US"/>
        </w:rPr>
        <w:t>returns on longer-term investments, such as long-term term deposits</w:t>
      </w:r>
    </w:p>
    <w:p w14:paraId="6D39877E" w14:textId="77777777" w:rsidR="00360C29" w:rsidRPr="009B3228" w:rsidRDefault="00360C29" w:rsidP="009B2F8C">
      <w:pPr>
        <w:pStyle w:val="ListParagraph"/>
        <w:keepNext/>
        <w:keepLines/>
        <w:numPr>
          <w:ilvl w:val="0"/>
          <w:numId w:val="17"/>
        </w:numPr>
        <w:shd w:val="clear" w:color="auto" w:fill="FFFFFF"/>
        <w:spacing w:before="100" w:beforeAutospacing="1" w:after="100" w:afterAutospacing="1"/>
        <w:rPr>
          <w:rFonts w:ascii="Arial" w:hAnsi="Arial" w:cs="Arial"/>
          <w:szCs w:val="24"/>
          <w:lang w:val="en-US"/>
        </w:rPr>
      </w:pPr>
      <w:r w:rsidRPr="009B3228">
        <w:rPr>
          <w:rFonts w:ascii="Arial" w:hAnsi="Arial" w:cs="Arial"/>
          <w:szCs w:val="24"/>
          <w:lang w:val="en-US"/>
        </w:rPr>
        <w:t>dividend yields from shares</w:t>
      </w:r>
    </w:p>
    <w:p w14:paraId="530FE46F" w14:textId="77777777" w:rsidR="00360C29" w:rsidRPr="009B3228" w:rsidRDefault="00360C29" w:rsidP="009B2F8C">
      <w:pPr>
        <w:pStyle w:val="ListParagraph"/>
        <w:keepNext/>
        <w:keepLines/>
        <w:numPr>
          <w:ilvl w:val="0"/>
          <w:numId w:val="17"/>
        </w:numPr>
        <w:shd w:val="clear" w:color="auto" w:fill="FFFFFF"/>
        <w:spacing w:before="100" w:beforeAutospacing="1" w:after="100" w:afterAutospacing="1"/>
        <w:rPr>
          <w:rFonts w:ascii="Arial" w:hAnsi="Arial" w:cs="Arial"/>
          <w:szCs w:val="24"/>
          <w:lang w:val="en-US"/>
        </w:rPr>
      </w:pPr>
      <w:r w:rsidRPr="009B3228">
        <w:rPr>
          <w:rFonts w:ascii="Arial" w:hAnsi="Arial" w:cs="Arial"/>
          <w:szCs w:val="24"/>
          <w:lang w:val="en-US"/>
        </w:rPr>
        <w:t>returns on superannuation</w:t>
      </w:r>
      <w:r>
        <w:rPr>
          <w:rFonts w:ascii="Arial" w:hAnsi="Arial" w:cs="Arial"/>
          <w:szCs w:val="24"/>
          <w:lang w:val="en-US"/>
        </w:rPr>
        <w:t>.</w:t>
      </w:r>
    </w:p>
    <w:p w14:paraId="5365D515" w14:textId="77777777" w:rsidR="004D28AE" w:rsidRPr="004D28AE" w:rsidRDefault="004D28AE" w:rsidP="004D28AE">
      <w:pPr>
        <w:shd w:val="clear" w:color="auto" w:fill="FFFFFF"/>
        <w:spacing w:before="100" w:beforeAutospacing="1" w:after="100" w:afterAutospacing="1"/>
        <w:jc w:val="both"/>
        <w:rPr>
          <w:rFonts w:ascii="Helvetica Neue" w:hAnsi="Helvetica Neue"/>
          <w:szCs w:val="24"/>
          <w:lang w:val="en-US"/>
        </w:rPr>
      </w:pPr>
      <w:r w:rsidRPr="004D28AE">
        <w:rPr>
          <w:rFonts w:ascii="Arial" w:hAnsi="Arial" w:cs="Arial"/>
          <w:szCs w:val="24"/>
        </w:rPr>
        <w:t xml:space="preserve">As a result of the reduction in the below and above threshold deeming rates </w:t>
      </w:r>
      <w:r w:rsidR="00F864EE">
        <w:rPr>
          <w:rFonts w:ascii="Arial" w:hAnsi="Arial" w:cs="Arial"/>
          <w:szCs w:val="24"/>
        </w:rPr>
        <w:t>the</w:t>
      </w:r>
      <w:r w:rsidRPr="004D28AE">
        <w:rPr>
          <w:rFonts w:ascii="Arial" w:hAnsi="Arial" w:cs="Arial"/>
          <w:szCs w:val="24"/>
        </w:rPr>
        <w:t xml:space="preserve"> Determination may increase the rate at which individuals receive social security and veterans’ affairs pensions and allowances.</w:t>
      </w:r>
    </w:p>
    <w:p w14:paraId="04AC6558" w14:textId="77777777" w:rsidR="006546B7" w:rsidRPr="00BC76EB" w:rsidRDefault="006546B7" w:rsidP="00FD6BF4">
      <w:pPr>
        <w:spacing w:after="120"/>
        <w:rPr>
          <w:rFonts w:ascii="Arial" w:hAnsi="Arial" w:cs="Arial"/>
          <w:b/>
          <w:szCs w:val="24"/>
        </w:rPr>
      </w:pPr>
      <w:r w:rsidRPr="00BC76EB">
        <w:rPr>
          <w:rFonts w:ascii="Arial" w:hAnsi="Arial" w:cs="Arial"/>
          <w:b/>
          <w:szCs w:val="24"/>
        </w:rPr>
        <w:t>Human rights implications</w:t>
      </w:r>
    </w:p>
    <w:p w14:paraId="5D653862" w14:textId="7EE05F6E" w:rsidR="00360C29" w:rsidRDefault="00360C29" w:rsidP="00360C29">
      <w:pPr>
        <w:spacing w:before="120" w:after="120"/>
        <w:rPr>
          <w:rFonts w:ascii="Arial" w:hAnsi="Arial" w:cs="Arial"/>
          <w:szCs w:val="24"/>
        </w:rPr>
      </w:pPr>
      <w:r>
        <w:rPr>
          <w:rFonts w:ascii="Arial" w:hAnsi="Arial" w:cs="Arial"/>
          <w:szCs w:val="24"/>
        </w:rPr>
        <w:t>The Instrument engages the right to social security under Article 9 of the International Covenant on Economic, Social and Cultural Rights.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25E484C8" w14:textId="1A7577A9" w:rsidR="00360C29" w:rsidRDefault="00360C29" w:rsidP="00360C29">
      <w:pPr>
        <w:spacing w:before="120" w:after="120"/>
        <w:rPr>
          <w:rFonts w:ascii="Arial" w:hAnsi="Arial" w:cs="Arial"/>
          <w:szCs w:val="24"/>
        </w:rPr>
      </w:pPr>
      <w:r>
        <w:rPr>
          <w:rFonts w:ascii="Arial" w:hAnsi="Arial" w:cs="Arial"/>
          <w:szCs w:val="24"/>
        </w:rPr>
        <w:t>The Instrument has been created to ensure fair and equitable means test outcomes for recipients of income support who hold financial assets.</w:t>
      </w:r>
    </w:p>
    <w:p w14:paraId="0DD74796" w14:textId="77777777" w:rsidR="00360C29" w:rsidRPr="004D28AE" w:rsidRDefault="00360C29" w:rsidP="00360C29">
      <w:pPr>
        <w:shd w:val="clear" w:color="auto" w:fill="FFFFFF"/>
        <w:spacing w:before="100" w:beforeAutospacing="1" w:after="100" w:afterAutospacing="1"/>
        <w:rPr>
          <w:rFonts w:ascii="Helvetica Neue" w:hAnsi="Helvetica Neue"/>
          <w:szCs w:val="24"/>
          <w:lang w:val="en-US"/>
        </w:rPr>
      </w:pPr>
      <w:r w:rsidRPr="004D28AE">
        <w:rPr>
          <w:rFonts w:ascii="Arial" w:hAnsi="Arial" w:cs="Arial"/>
          <w:szCs w:val="24"/>
        </w:rPr>
        <w:t>These changes</w:t>
      </w:r>
      <w:r>
        <w:rPr>
          <w:rFonts w:ascii="Arial" w:hAnsi="Arial" w:cs="Arial"/>
          <w:szCs w:val="24"/>
        </w:rPr>
        <w:t xml:space="preserve"> </w:t>
      </w:r>
      <w:r w:rsidRPr="004D28AE">
        <w:rPr>
          <w:rFonts w:ascii="Arial" w:hAnsi="Arial" w:cs="Arial"/>
          <w:szCs w:val="24"/>
        </w:rPr>
        <w:t>are made to ensure that the income testing of social security payments operates consistently and fairly as financial market conditions change. Where returns from financial products are high, the deeming rate is set higher to ensure that social security recipients who hold financial products have more income assessed for the relevant income test. Conversely, when returns are low, the deeming rate is set lower to enable less income to be counted for the assessment of recipients’ income support payments.</w:t>
      </w:r>
    </w:p>
    <w:p w14:paraId="12313B20" w14:textId="6BA32D50" w:rsidR="004D28AE" w:rsidRPr="004D28AE" w:rsidRDefault="00360C29" w:rsidP="004D28AE">
      <w:pPr>
        <w:shd w:val="clear" w:color="auto" w:fill="FFFFFF"/>
        <w:spacing w:before="100" w:beforeAutospacing="1" w:after="100" w:afterAutospacing="1"/>
        <w:rPr>
          <w:rFonts w:ascii="Helvetica Neue" w:hAnsi="Helvetica Neue"/>
          <w:szCs w:val="24"/>
          <w:lang w:val="en-US"/>
        </w:rPr>
      </w:pPr>
      <w:r>
        <w:rPr>
          <w:rFonts w:ascii="Arial" w:hAnsi="Arial" w:cs="Arial"/>
          <w:szCs w:val="24"/>
        </w:rPr>
        <w:t>By ensuring that the income assessed from financial assets held by income support recipients are reflects the income that can be reasonably achieved by recipients, the Instrument promotes an accurate and fair assessment under the social security means test. This supports the aims of the social security system in appropriately recognising an individuals’ capacity for self-support when determining their rate of income support. It also supports the social security system to remain sustainable for future generations.</w:t>
      </w:r>
    </w:p>
    <w:p w14:paraId="05B607A8" w14:textId="31CE5FE8" w:rsidR="004D28AE" w:rsidRPr="004D28AE" w:rsidRDefault="004D28AE" w:rsidP="009B2F8C">
      <w:pPr>
        <w:keepNext/>
        <w:keepLines/>
        <w:shd w:val="clear" w:color="auto" w:fill="FFFFFF"/>
        <w:spacing w:before="100" w:beforeAutospacing="1" w:after="100" w:afterAutospacing="1"/>
        <w:rPr>
          <w:rFonts w:ascii="Helvetica Neue" w:hAnsi="Helvetica Neue"/>
          <w:szCs w:val="24"/>
          <w:lang w:val="en-US"/>
        </w:rPr>
      </w:pPr>
      <w:r w:rsidRPr="004D28AE">
        <w:rPr>
          <w:rFonts w:ascii="Arial" w:hAnsi="Arial" w:cs="Arial"/>
          <w:szCs w:val="24"/>
        </w:rPr>
        <w:t>Deeming is merely an assessment methodology and, as such, its application does not change the core parameters of the relevant income test</w:t>
      </w:r>
      <w:r w:rsidR="00D22B3A">
        <w:rPr>
          <w:rFonts w:ascii="Arial" w:hAnsi="Arial" w:cs="Arial"/>
          <w:szCs w:val="24"/>
        </w:rPr>
        <w:t>,</w:t>
      </w:r>
      <w:r w:rsidRPr="004D28AE">
        <w:rPr>
          <w:rFonts w:ascii="Arial" w:hAnsi="Arial" w:cs="Arial"/>
          <w:szCs w:val="24"/>
        </w:rPr>
        <w:t xml:space="preserve"> which include the income free threshold and taper rates.</w:t>
      </w:r>
    </w:p>
    <w:p w14:paraId="33506105" w14:textId="77777777" w:rsidR="006546B7" w:rsidRPr="00BC76EB" w:rsidRDefault="006546B7" w:rsidP="009B2F8C">
      <w:pPr>
        <w:keepNext/>
        <w:keepLines/>
        <w:spacing w:after="120"/>
        <w:rPr>
          <w:rFonts w:ascii="Arial" w:hAnsi="Arial" w:cs="Arial"/>
          <w:b/>
          <w:szCs w:val="24"/>
        </w:rPr>
      </w:pPr>
      <w:r w:rsidRPr="00BC76EB">
        <w:rPr>
          <w:rFonts w:ascii="Arial" w:hAnsi="Arial" w:cs="Arial"/>
          <w:b/>
          <w:szCs w:val="24"/>
        </w:rPr>
        <w:t xml:space="preserve">Conclusion </w:t>
      </w:r>
    </w:p>
    <w:p w14:paraId="70993331" w14:textId="0BE2E4CC" w:rsidR="00831224" w:rsidRDefault="00374A77" w:rsidP="009B2F8C">
      <w:pPr>
        <w:keepNext/>
        <w:keepLines/>
        <w:spacing w:before="120" w:after="120"/>
        <w:rPr>
          <w:rFonts w:ascii="Arial" w:hAnsi="Arial" w:cs="Arial"/>
          <w:szCs w:val="24"/>
        </w:rPr>
      </w:pPr>
      <w:r w:rsidRPr="00BC76EB">
        <w:rPr>
          <w:rFonts w:ascii="Arial" w:hAnsi="Arial" w:cs="Arial"/>
          <w:szCs w:val="24"/>
        </w:rPr>
        <w:t>The</w:t>
      </w:r>
      <w:r w:rsidR="00F864EE">
        <w:rPr>
          <w:rFonts w:ascii="Arial" w:hAnsi="Arial" w:cs="Arial"/>
          <w:szCs w:val="24"/>
        </w:rPr>
        <w:t xml:space="preserve"> Determination is compatible with human rights. </w:t>
      </w:r>
    </w:p>
    <w:p w14:paraId="29381252" w14:textId="77777777" w:rsidR="00F864EE" w:rsidRDefault="00F864EE" w:rsidP="009B2F8C">
      <w:pPr>
        <w:keepNext/>
        <w:keepLines/>
        <w:spacing w:before="120" w:after="120"/>
        <w:rPr>
          <w:rFonts w:ascii="Arial" w:hAnsi="Arial" w:cs="Arial"/>
          <w:szCs w:val="24"/>
        </w:rPr>
      </w:pPr>
    </w:p>
    <w:p w14:paraId="67238BD5" w14:textId="77777777" w:rsidR="00F864EE" w:rsidRDefault="00F864EE" w:rsidP="009B2F8C">
      <w:pPr>
        <w:keepNext/>
        <w:keepLines/>
        <w:spacing w:before="120" w:after="120"/>
        <w:rPr>
          <w:rFonts w:ascii="Arial" w:hAnsi="Arial" w:cs="Arial"/>
          <w:szCs w:val="24"/>
        </w:rPr>
      </w:pPr>
    </w:p>
    <w:p w14:paraId="59B8657C" w14:textId="77777777" w:rsidR="00F864EE" w:rsidRPr="00BC76EB" w:rsidRDefault="00F864EE" w:rsidP="009B2F8C">
      <w:pPr>
        <w:keepNext/>
        <w:keepLines/>
        <w:spacing w:before="120" w:after="120"/>
        <w:rPr>
          <w:rFonts w:ascii="Arial" w:hAnsi="Arial" w:cs="Arial"/>
          <w:szCs w:val="24"/>
        </w:rPr>
      </w:pPr>
    </w:p>
    <w:bookmarkEnd w:id="4"/>
    <w:p w14:paraId="121A3099" w14:textId="77777777" w:rsidR="00AD1645" w:rsidRPr="00BC76EB" w:rsidRDefault="004D28AE" w:rsidP="009B2F8C">
      <w:pPr>
        <w:keepNext/>
        <w:keepLines/>
        <w:spacing w:before="120" w:after="120"/>
        <w:jc w:val="center"/>
        <w:rPr>
          <w:rFonts w:ascii="Arial" w:hAnsi="Arial" w:cs="Arial"/>
          <w:b/>
          <w:bCs/>
          <w:szCs w:val="24"/>
        </w:rPr>
      </w:pPr>
      <w:r>
        <w:rPr>
          <w:rFonts w:ascii="Arial" w:hAnsi="Arial" w:cs="Arial"/>
          <w:b/>
          <w:szCs w:val="24"/>
        </w:rPr>
        <w:t>The Hon Anne Ruston MP, Minister for Families and Social Services</w:t>
      </w:r>
    </w:p>
    <w:p w14:paraId="11C71C4D" w14:textId="77777777" w:rsidR="001920F3" w:rsidRPr="00BC76EB" w:rsidRDefault="001920F3">
      <w:pPr>
        <w:spacing w:before="0" w:after="200" w:line="276" w:lineRule="auto"/>
        <w:rPr>
          <w:rFonts w:ascii="Arial" w:hAnsi="Arial" w:cs="Arial"/>
          <w:b/>
          <w:bCs/>
          <w:szCs w:val="24"/>
        </w:rPr>
      </w:pPr>
    </w:p>
    <w:sectPr w:rsidR="001920F3"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8138D" w14:textId="77777777" w:rsidR="00BC61A4" w:rsidRDefault="00BC61A4" w:rsidP="00AD1645">
      <w:pPr>
        <w:spacing w:before="0"/>
      </w:pPr>
      <w:r>
        <w:separator/>
      </w:r>
    </w:p>
  </w:endnote>
  <w:endnote w:type="continuationSeparator" w:id="0">
    <w:p w14:paraId="5618F221" w14:textId="77777777" w:rsidR="00BC61A4" w:rsidRDefault="00BC61A4"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AD246" w14:textId="77777777" w:rsidR="00BC61A4" w:rsidRDefault="00BC61A4" w:rsidP="00AD1645">
      <w:pPr>
        <w:spacing w:before="0"/>
      </w:pPr>
      <w:r>
        <w:separator/>
      </w:r>
    </w:p>
  </w:footnote>
  <w:footnote w:type="continuationSeparator" w:id="0">
    <w:p w14:paraId="4689070C" w14:textId="77777777" w:rsidR="00BC61A4" w:rsidRDefault="00BC61A4"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27C1F"/>
    <w:multiLevelType w:val="hybridMultilevel"/>
    <w:tmpl w:val="13AC1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F2228"/>
    <w:multiLevelType w:val="hybridMultilevel"/>
    <w:tmpl w:val="0018D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C257F11"/>
    <w:multiLevelType w:val="hybridMultilevel"/>
    <w:tmpl w:val="0B46C0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4"/>
  </w:num>
  <w:num w:numId="5">
    <w:abstractNumId w:val="13"/>
  </w:num>
  <w:num w:numId="6">
    <w:abstractNumId w:val="2"/>
  </w:num>
  <w:num w:numId="7">
    <w:abstractNumId w:val="10"/>
  </w:num>
  <w:num w:numId="8">
    <w:abstractNumId w:val="15"/>
  </w:num>
  <w:num w:numId="9">
    <w:abstractNumId w:val="8"/>
  </w:num>
  <w:num w:numId="10">
    <w:abstractNumId w:val="16"/>
  </w:num>
  <w:num w:numId="11">
    <w:abstractNumId w:val="4"/>
  </w:num>
  <w:num w:numId="12">
    <w:abstractNumId w:val="6"/>
  </w:num>
  <w:num w:numId="13">
    <w:abstractNumId w:val="0"/>
  </w:num>
  <w:num w:numId="14">
    <w:abstractNumId w:val="9"/>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5BF2"/>
    <w:rsid w:val="00051C3F"/>
    <w:rsid w:val="00066DAE"/>
    <w:rsid w:val="00074C1A"/>
    <w:rsid w:val="000760DC"/>
    <w:rsid w:val="000844AF"/>
    <w:rsid w:val="00084B46"/>
    <w:rsid w:val="00085730"/>
    <w:rsid w:val="00094EA5"/>
    <w:rsid w:val="00096B8D"/>
    <w:rsid w:val="000A3595"/>
    <w:rsid w:val="000A772F"/>
    <w:rsid w:val="000B3005"/>
    <w:rsid w:val="000B4130"/>
    <w:rsid w:val="000B7093"/>
    <w:rsid w:val="000C2DDB"/>
    <w:rsid w:val="000C5204"/>
    <w:rsid w:val="000D365F"/>
    <w:rsid w:val="000E02A0"/>
    <w:rsid w:val="000E3915"/>
    <w:rsid w:val="0011719D"/>
    <w:rsid w:val="00126429"/>
    <w:rsid w:val="001310C6"/>
    <w:rsid w:val="00140359"/>
    <w:rsid w:val="001502F9"/>
    <w:rsid w:val="0015134A"/>
    <w:rsid w:val="00152472"/>
    <w:rsid w:val="00163809"/>
    <w:rsid w:val="0016653C"/>
    <w:rsid w:val="00175BC6"/>
    <w:rsid w:val="00191AEC"/>
    <w:rsid w:val="001920F3"/>
    <w:rsid w:val="001A737C"/>
    <w:rsid w:val="001B5379"/>
    <w:rsid w:val="001B7EE9"/>
    <w:rsid w:val="001C64F9"/>
    <w:rsid w:val="001D69AF"/>
    <w:rsid w:val="001E5B72"/>
    <w:rsid w:val="001E5D12"/>
    <w:rsid w:val="001E630D"/>
    <w:rsid w:val="001E7422"/>
    <w:rsid w:val="001F4805"/>
    <w:rsid w:val="001F4E3C"/>
    <w:rsid w:val="002154EE"/>
    <w:rsid w:val="00224887"/>
    <w:rsid w:val="002329E1"/>
    <w:rsid w:val="002334D9"/>
    <w:rsid w:val="00234F9E"/>
    <w:rsid w:val="0024465E"/>
    <w:rsid w:val="0024760C"/>
    <w:rsid w:val="002533F0"/>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B2751"/>
    <w:rsid w:val="002C0F57"/>
    <w:rsid w:val="002C1403"/>
    <w:rsid w:val="002C1938"/>
    <w:rsid w:val="002C2252"/>
    <w:rsid w:val="002C6177"/>
    <w:rsid w:val="002D0F1C"/>
    <w:rsid w:val="002D35D8"/>
    <w:rsid w:val="002D4522"/>
    <w:rsid w:val="002E0BB1"/>
    <w:rsid w:val="002E45E2"/>
    <w:rsid w:val="00300D8B"/>
    <w:rsid w:val="003119FD"/>
    <w:rsid w:val="00334F9D"/>
    <w:rsid w:val="00337065"/>
    <w:rsid w:val="003430FC"/>
    <w:rsid w:val="003434E2"/>
    <w:rsid w:val="00345FFE"/>
    <w:rsid w:val="0035378F"/>
    <w:rsid w:val="003606C5"/>
    <w:rsid w:val="00360C29"/>
    <w:rsid w:val="00365424"/>
    <w:rsid w:val="00374A77"/>
    <w:rsid w:val="00380666"/>
    <w:rsid w:val="00387D89"/>
    <w:rsid w:val="00392EB6"/>
    <w:rsid w:val="00393D4E"/>
    <w:rsid w:val="00394743"/>
    <w:rsid w:val="00396545"/>
    <w:rsid w:val="003A04AD"/>
    <w:rsid w:val="003A57E1"/>
    <w:rsid w:val="003B2BB8"/>
    <w:rsid w:val="003B44E1"/>
    <w:rsid w:val="003C3368"/>
    <w:rsid w:val="003C54B6"/>
    <w:rsid w:val="003D34FF"/>
    <w:rsid w:val="003D71F6"/>
    <w:rsid w:val="003E1784"/>
    <w:rsid w:val="00400273"/>
    <w:rsid w:val="00420387"/>
    <w:rsid w:val="0042132E"/>
    <w:rsid w:val="00446D6C"/>
    <w:rsid w:val="0045240C"/>
    <w:rsid w:val="00453FC9"/>
    <w:rsid w:val="00454405"/>
    <w:rsid w:val="00456FBD"/>
    <w:rsid w:val="00457792"/>
    <w:rsid w:val="004646E1"/>
    <w:rsid w:val="00470C3D"/>
    <w:rsid w:val="004726FF"/>
    <w:rsid w:val="004814F1"/>
    <w:rsid w:val="00482411"/>
    <w:rsid w:val="00486562"/>
    <w:rsid w:val="004956ED"/>
    <w:rsid w:val="0049646F"/>
    <w:rsid w:val="00497768"/>
    <w:rsid w:val="004A0C19"/>
    <w:rsid w:val="004A126A"/>
    <w:rsid w:val="004A24AF"/>
    <w:rsid w:val="004B3147"/>
    <w:rsid w:val="004B54CA"/>
    <w:rsid w:val="004C163F"/>
    <w:rsid w:val="004D28AE"/>
    <w:rsid w:val="004D336A"/>
    <w:rsid w:val="004E3A61"/>
    <w:rsid w:val="004E5CBF"/>
    <w:rsid w:val="004F1CD0"/>
    <w:rsid w:val="004F264A"/>
    <w:rsid w:val="004F5308"/>
    <w:rsid w:val="004F69ED"/>
    <w:rsid w:val="004F7852"/>
    <w:rsid w:val="00511520"/>
    <w:rsid w:val="00527238"/>
    <w:rsid w:val="005332C8"/>
    <w:rsid w:val="00540BD8"/>
    <w:rsid w:val="0055503B"/>
    <w:rsid w:val="00562CBC"/>
    <w:rsid w:val="00566538"/>
    <w:rsid w:val="00566BF6"/>
    <w:rsid w:val="00570884"/>
    <w:rsid w:val="00576330"/>
    <w:rsid w:val="0057641C"/>
    <w:rsid w:val="005766D2"/>
    <w:rsid w:val="00591D1A"/>
    <w:rsid w:val="00592144"/>
    <w:rsid w:val="00594251"/>
    <w:rsid w:val="005C390A"/>
    <w:rsid w:val="005C3AA9"/>
    <w:rsid w:val="005C54B4"/>
    <w:rsid w:val="005C78B2"/>
    <w:rsid w:val="005E4167"/>
    <w:rsid w:val="005E4362"/>
    <w:rsid w:val="005E4607"/>
    <w:rsid w:val="005E7B26"/>
    <w:rsid w:val="005F41C9"/>
    <w:rsid w:val="005F5E17"/>
    <w:rsid w:val="00614C63"/>
    <w:rsid w:val="00620404"/>
    <w:rsid w:val="00622668"/>
    <w:rsid w:val="00622B71"/>
    <w:rsid w:val="00622D63"/>
    <w:rsid w:val="00624E34"/>
    <w:rsid w:val="00632F44"/>
    <w:rsid w:val="006402A6"/>
    <w:rsid w:val="006407D3"/>
    <w:rsid w:val="0064167D"/>
    <w:rsid w:val="00650B9C"/>
    <w:rsid w:val="00650C1C"/>
    <w:rsid w:val="006546B7"/>
    <w:rsid w:val="006643AB"/>
    <w:rsid w:val="0067070B"/>
    <w:rsid w:val="00681C7F"/>
    <w:rsid w:val="00683FF5"/>
    <w:rsid w:val="00687351"/>
    <w:rsid w:val="006A1F70"/>
    <w:rsid w:val="006A4CE7"/>
    <w:rsid w:val="006A5D55"/>
    <w:rsid w:val="006A6D51"/>
    <w:rsid w:val="006C5E5E"/>
    <w:rsid w:val="006D7E0F"/>
    <w:rsid w:val="006E1B19"/>
    <w:rsid w:val="006F0769"/>
    <w:rsid w:val="00701486"/>
    <w:rsid w:val="00720E42"/>
    <w:rsid w:val="0073766B"/>
    <w:rsid w:val="00762A05"/>
    <w:rsid w:val="00771003"/>
    <w:rsid w:val="0077461F"/>
    <w:rsid w:val="0078126B"/>
    <w:rsid w:val="00785261"/>
    <w:rsid w:val="007907A8"/>
    <w:rsid w:val="007938F3"/>
    <w:rsid w:val="0079557B"/>
    <w:rsid w:val="007A53DD"/>
    <w:rsid w:val="007B0256"/>
    <w:rsid w:val="007B69DD"/>
    <w:rsid w:val="007C4060"/>
    <w:rsid w:val="007C48D3"/>
    <w:rsid w:val="007C5234"/>
    <w:rsid w:val="007D6273"/>
    <w:rsid w:val="007E4FAD"/>
    <w:rsid w:val="007F44F6"/>
    <w:rsid w:val="00807CD7"/>
    <w:rsid w:val="00816CFA"/>
    <w:rsid w:val="00831224"/>
    <w:rsid w:val="0083135C"/>
    <w:rsid w:val="00834F97"/>
    <w:rsid w:val="00841C22"/>
    <w:rsid w:val="00860BE9"/>
    <w:rsid w:val="008669B7"/>
    <w:rsid w:val="008707FE"/>
    <w:rsid w:val="00871F28"/>
    <w:rsid w:val="008761FF"/>
    <w:rsid w:val="00880E92"/>
    <w:rsid w:val="008954BF"/>
    <w:rsid w:val="00896466"/>
    <w:rsid w:val="008B026E"/>
    <w:rsid w:val="008B1AA5"/>
    <w:rsid w:val="008B4CF1"/>
    <w:rsid w:val="008D0160"/>
    <w:rsid w:val="008D2D41"/>
    <w:rsid w:val="008D2FC2"/>
    <w:rsid w:val="008D59CA"/>
    <w:rsid w:val="008D68B6"/>
    <w:rsid w:val="008D7A97"/>
    <w:rsid w:val="008E1D0E"/>
    <w:rsid w:val="008E320A"/>
    <w:rsid w:val="008F5702"/>
    <w:rsid w:val="0090001F"/>
    <w:rsid w:val="0090702B"/>
    <w:rsid w:val="009140F6"/>
    <w:rsid w:val="00915A96"/>
    <w:rsid w:val="009225F0"/>
    <w:rsid w:val="00925633"/>
    <w:rsid w:val="00927E9D"/>
    <w:rsid w:val="00930624"/>
    <w:rsid w:val="00932E80"/>
    <w:rsid w:val="009332B3"/>
    <w:rsid w:val="00935A03"/>
    <w:rsid w:val="009426E4"/>
    <w:rsid w:val="00946730"/>
    <w:rsid w:val="00950ACB"/>
    <w:rsid w:val="0095196E"/>
    <w:rsid w:val="00954127"/>
    <w:rsid w:val="00956519"/>
    <w:rsid w:val="00966756"/>
    <w:rsid w:val="00966F79"/>
    <w:rsid w:val="00970C88"/>
    <w:rsid w:val="00985038"/>
    <w:rsid w:val="0099649B"/>
    <w:rsid w:val="009A4EAB"/>
    <w:rsid w:val="009A5D3E"/>
    <w:rsid w:val="009B2F8C"/>
    <w:rsid w:val="009B71A9"/>
    <w:rsid w:val="009C63A9"/>
    <w:rsid w:val="009C63B6"/>
    <w:rsid w:val="009D1BE5"/>
    <w:rsid w:val="009F3C43"/>
    <w:rsid w:val="00A06B72"/>
    <w:rsid w:val="00A27E85"/>
    <w:rsid w:val="00A33FC5"/>
    <w:rsid w:val="00A375D4"/>
    <w:rsid w:val="00A37984"/>
    <w:rsid w:val="00A42690"/>
    <w:rsid w:val="00A4616D"/>
    <w:rsid w:val="00A6045B"/>
    <w:rsid w:val="00A63D74"/>
    <w:rsid w:val="00A66DD0"/>
    <w:rsid w:val="00A719D2"/>
    <w:rsid w:val="00A763EC"/>
    <w:rsid w:val="00A8767B"/>
    <w:rsid w:val="00A94C22"/>
    <w:rsid w:val="00AA0F80"/>
    <w:rsid w:val="00AA37AC"/>
    <w:rsid w:val="00AA45C6"/>
    <w:rsid w:val="00AA51E7"/>
    <w:rsid w:val="00AB7356"/>
    <w:rsid w:val="00AC271F"/>
    <w:rsid w:val="00AC635D"/>
    <w:rsid w:val="00AD1347"/>
    <w:rsid w:val="00AD1645"/>
    <w:rsid w:val="00AD4D58"/>
    <w:rsid w:val="00AD69FE"/>
    <w:rsid w:val="00AE11F6"/>
    <w:rsid w:val="00AE3176"/>
    <w:rsid w:val="00AF0E6A"/>
    <w:rsid w:val="00B01538"/>
    <w:rsid w:val="00B04EB0"/>
    <w:rsid w:val="00B261D9"/>
    <w:rsid w:val="00B33E33"/>
    <w:rsid w:val="00B376E6"/>
    <w:rsid w:val="00B52B87"/>
    <w:rsid w:val="00B54C30"/>
    <w:rsid w:val="00B57278"/>
    <w:rsid w:val="00B6472A"/>
    <w:rsid w:val="00B73680"/>
    <w:rsid w:val="00B74531"/>
    <w:rsid w:val="00B777D9"/>
    <w:rsid w:val="00B821A0"/>
    <w:rsid w:val="00BA2DB9"/>
    <w:rsid w:val="00BB0D37"/>
    <w:rsid w:val="00BC35F6"/>
    <w:rsid w:val="00BC61A4"/>
    <w:rsid w:val="00BC76EB"/>
    <w:rsid w:val="00BD25AE"/>
    <w:rsid w:val="00BD7E9D"/>
    <w:rsid w:val="00BE56A0"/>
    <w:rsid w:val="00BE7148"/>
    <w:rsid w:val="00BE7542"/>
    <w:rsid w:val="00BF2FB3"/>
    <w:rsid w:val="00C06E47"/>
    <w:rsid w:val="00C21C68"/>
    <w:rsid w:val="00C2733D"/>
    <w:rsid w:val="00C3204C"/>
    <w:rsid w:val="00C3470C"/>
    <w:rsid w:val="00C37944"/>
    <w:rsid w:val="00C37BA8"/>
    <w:rsid w:val="00C4511C"/>
    <w:rsid w:val="00C455A2"/>
    <w:rsid w:val="00C559BF"/>
    <w:rsid w:val="00C56444"/>
    <w:rsid w:val="00C66CFA"/>
    <w:rsid w:val="00C7238E"/>
    <w:rsid w:val="00C77B41"/>
    <w:rsid w:val="00CA33B2"/>
    <w:rsid w:val="00CA3D78"/>
    <w:rsid w:val="00CA43C4"/>
    <w:rsid w:val="00CA6F15"/>
    <w:rsid w:val="00CB02B7"/>
    <w:rsid w:val="00CB344C"/>
    <w:rsid w:val="00CB42CE"/>
    <w:rsid w:val="00CC5CC3"/>
    <w:rsid w:val="00CC7EC4"/>
    <w:rsid w:val="00CD0DDB"/>
    <w:rsid w:val="00CD13E7"/>
    <w:rsid w:val="00CE1802"/>
    <w:rsid w:val="00CF0527"/>
    <w:rsid w:val="00D1706F"/>
    <w:rsid w:val="00D2075E"/>
    <w:rsid w:val="00D21D83"/>
    <w:rsid w:val="00D22B3A"/>
    <w:rsid w:val="00D243C5"/>
    <w:rsid w:val="00D3071D"/>
    <w:rsid w:val="00D31C51"/>
    <w:rsid w:val="00D367AA"/>
    <w:rsid w:val="00D37C2C"/>
    <w:rsid w:val="00D459E0"/>
    <w:rsid w:val="00D520A1"/>
    <w:rsid w:val="00D61C4B"/>
    <w:rsid w:val="00D708CA"/>
    <w:rsid w:val="00D72F4B"/>
    <w:rsid w:val="00D849AE"/>
    <w:rsid w:val="00DB6E7A"/>
    <w:rsid w:val="00DC765C"/>
    <w:rsid w:val="00DD3BC1"/>
    <w:rsid w:val="00DE0717"/>
    <w:rsid w:val="00DE3A1F"/>
    <w:rsid w:val="00E01E71"/>
    <w:rsid w:val="00E027AF"/>
    <w:rsid w:val="00E071D2"/>
    <w:rsid w:val="00E15CFF"/>
    <w:rsid w:val="00E230ED"/>
    <w:rsid w:val="00E23C53"/>
    <w:rsid w:val="00E32139"/>
    <w:rsid w:val="00E44FD4"/>
    <w:rsid w:val="00E708B1"/>
    <w:rsid w:val="00E72DC6"/>
    <w:rsid w:val="00E745BB"/>
    <w:rsid w:val="00E755CF"/>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F54F0"/>
    <w:rsid w:val="00F0576D"/>
    <w:rsid w:val="00F108ED"/>
    <w:rsid w:val="00F227A4"/>
    <w:rsid w:val="00F328DA"/>
    <w:rsid w:val="00F35271"/>
    <w:rsid w:val="00F35580"/>
    <w:rsid w:val="00F502A9"/>
    <w:rsid w:val="00F52853"/>
    <w:rsid w:val="00F61A88"/>
    <w:rsid w:val="00F754A3"/>
    <w:rsid w:val="00F864EE"/>
    <w:rsid w:val="00F925B9"/>
    <w:rsid w:val="00FA6F53"/>
    <w:rsid w:val="00FA7196"/>
    <w:rsid w:val="00FB030F"/>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79D3"/>
  <w15:docId w15:val="{0BDFD73A-C050-45B0-AC15-890819F7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numbered">
    <w:name w:val="numbered"/>
    <w:basedOn w:val="Normal"/>
    <w:rsid w:val="00927E9D"/>
    <w:pPr>
      <w:spacing w:before="100" w:beforeAutospacing="1" w:after="100" w:afterAutospacing="1"/>
    </w:pPr>
    <w:rPr>
      <w:szCs w:val="24"/>
    </w:rPr>
  </w:style>
  <w:style w:type="paragraph" w:customStyle="1" w:styleId="ActHead9">
    <w:name w:val="ActHead 9"/>
    <w:aliases w:val="aat"/>
    <w:basedOn w:val="Normal"/>
    <w:next w:val="Normal"/>
    <w:qFormat/>
    <w:rsid w:val="00094EA5"/>
    <w:pPr>
      <w:keepNext/>
      <w:keepLines/>
      <w:spacing w:before="280"/>
      <w:ind w:left="1134" w:hanging="1134"/>
      <w:outlineLvl w:val="8"/>
    </w:pPr>
    <w:rPr>
      <w:b/>
      <w:i/>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70559">
      <w:bodyDiv w:val="1"/>
      <w:marLeft w:val="0"/>
      <w:marRight w:val="0"/>
      <w:marTop w:val="0"/>
      <w:marBottom w:val="0"/>
      <w:divBdr>
        <w:top w:val="none" w:sz="0" w:space="0" w:color="auto"/>
        <w:left w:val="none" w:sz="0" w:space="0" w:color="auto"/>
        <w:bottom w:val="none" w:sz="0" w:space="0" w:color="auto"/>
        <w:right w:val="none" w:sz="0" w:space="0" w:color="auto"/>
      </w:divBdr>
      <w:divsChild>
        <w:div w:id="1825049838">
          <w:marLeft w:val="0"/>
          <w:marRight w:val="0"/>
          <w:marTop w:val="0"/>
          <w:marBottom w:val="0"/>
          <w:divBdr>
            <w:top w:val="none" w:sz="0" w:space="0" w:color="auto"/>
            <w:left w:val="none" w:sz="0" w:space="0" w:color="auto"/>
            <w:bottom w:val="none" w:sz="0" w:space="0" w:color="auto"/>
            <w:right w:val="none" w:sz="0" w:space="0" w:color="auto"/>
          </w:divBdr>
          <w:divsChild>
            <w:div w:id="1471704308">
              <w:marLeft w:val="0"/>
              <w:marRight w:val="0"/>
              <w:marTop w:val="0"/>
              <w:marBottom w:val="0"/>
              <w:divBdr>
                <w:top w:val="none" w:sz="0" w:space="0" w:color="auto"/>
                <w:left w:val="none" w:sz="0" w:space="0" w:color="auto"/>
                <w:bottom w:val="none" w:sz="0" w:space="0" w:color="auto"/>
                <w:right w:val="none" w:sz="0" w:space="0" w:color="auto"/>
              </w:divBdr>
              <w:divsChild>
                <w:div w:id="1251893140">
                  <w:marLeft w:val="0"/>
                  <w:marRight w:val="0"/>
                  <w:marTop w:val="0"/>
                  <w:marBottom w:val="0"/>
                  <w:divBdr>
                    <w:top w:val="none" w:sz="0" w:space="0" w:color="auto"/>
                    <w:left w:val="none" w:sz="0" w:space="0" w:color="auto"/>
                    <w:bottom w:val="none" w:sz="0" w:space="0" w:color="auto"/>
                    <w:right w:val="none" w:sz="0" w:space="0" w:color="auto"/>
                  </w:divBdr>
                  <w:divsChild>
                    <w:div w:id="2135101153">
                      <w:marLeft w:val="0"/>
                      <w:marRight w:val="0"/>
                      <w:marTop w:val="0"/>
                      <w:marBottom w:val="0"/>
                      <w:divBdr>
                        <w:top w:val="none" w:sz="0" w:space="0" w:color="auto"/>
                        <w:left w:val="none" w:sz="0" w:space="0" w:color="auto"/>
                        <w:bottom w:val="none" w:sz="0" w:space="0" w:color="auto"/>
                        <w:right w:val="none" w:sz="0" w:space="0" w:color="auto"/>
                      </w:divBdr>
                      <w:divsChild>
                        <w:div w:id="466436677">
                          <w:marLeft w:val="0"/>
                          <w:marRight w:val="0"/>
                          <w:marTop w:val="0"/>
                          <w:marBottom w:val="0"/>
                          <w:divBdr>
                            <w:top w:val="none" w:sz="0" w:space="0" w:color="auto"/>
                            <w:left w:val="none" w:sz="0" w:space="0" w:color="auto"/>
                            <w:bottom w:val="none" w:sz="0" w:space="0" w:color="auto"/>
                            <w:right w:val="none" w:sz="0" w:space="0" w:color="auto"/>
                          </w:divBdr>
                          <w:divsChild>
                            <w:div w:id="1998679298">
                              <w:marLeft w:val="0"/>
                              <w:marRight w:val="0"/>
                              <w:marTop w:val="0"/>
                              <w:marBottom w:val="0"/>
                              <w:divBdr>
                                <w:top w:val="none" w:sz="0" w:space="0" w:color="auto"/>
                                <w:left w:val="none" w:sz="0" w:space="0" w:color="auto"/>
                                <w:bottom w:val="none" w:sz="0" w:space="0" w:color="auto"/>
                                <w:right w:val="none" w:sz="0" w:space="0" w:color="auto"/>
                              </w:divBdr>
                              <w:divsChild>
                                <w:div w:id="595409133">
                                  <w:marLeft w:val="0"/>
                                  <w:marRight w:val="0"/>
                                  <w:marTop w:val="0"/>
                                  <w:marBottom w:val="0"/>
                                  <w:divBdr>
                                    <w:top w:val="none" w:sz="0" w:space="0" w:color="auto"/>
                                    <w:left w:val="none" w:sz="0" w:space="0" w:color="auto"/>
                                    <w:bottom w:val="none" w:sz="0" w:space="0" w:color="auto"/>
                                    <w:right w:val="none" w:sz="0" w:space="0" w:color="auto"/>
                                  </w:divBdr>
                                  <w:divsChild>
                                    <w:div w:id="1205563784">
                                      <w:marLeft w:val="0"/>
                                      <w:marRight w:val="0"/>
                                      <w:marTop w:val="0"/>
                                      <w:marBottom w:val="0"/>
                                      <w:divBdr>
                                        <w:top w:val="none" w:sz="0" w:space="0" w:color="auto"/>
                                        <w:left w:val="none" w:sz="0" w:space="0" w:color="auto"/>
                                        <w:bottom w:val="none" w:sz="0" w:space="0" w:color="auto"/>
                                        <w:right w:val="none" w:sz="0" w:space="0" w:color="auto"/>
                                      </w:divBdr>
                                      <w:divsChild>
                                        <w:div w:id="1623611473">
                                          <w:marLeft w:val="0"/>
                                          <w:marRight w:val="0"/>
                                          <w:marTop w:val="0"/>
                                          <w:marBottom w:val="0"/>
                                          <w:divBdr>
                                            <w:top w:val="none" w:sz="0" w:space="0" w:color="auto"/>
                                            <w:left w:val="none" w:sz="0" w:space="0" w:color="auto"/>
                                            <w:bottom w:val="none" w:sz="0" w:space="0" w:color="auto"/>
                                            <w:right w:val="none" w:sz="0" w:space="0" w:color="auto"/>
                                          </w:divBdr>
                                          <w:divsChild>
                                            <w:div w:id="357705813">
                                              <w:marLeft w:val="0"/>
                                              <w:marRight w:val="0"/>
                                              <w:marTop w:val="0"/>
                                              <w:marBottom w:val="0"/>
                                              <w:divBdr>
                                                <w:top w:val="none" w:sz="0" w:space="0" w:color="auto"/>
                                                <w:left w:val="none" w:sz="0" w:space="0" w:color="auto"/>
                                                <w:bottom w:val="none" w:sz="0" w:space="0" w:color="auto"/>
                                                <w:right w:val="none" w:sz="0" w:space="0" w:color="auto"/>
                                              </w:divBdr>
                                              <w:divsChild>
                                                <w:div w:id="1022980061">
                                                  <w:marLeft w:val="0"/>
                                                  <w:marRight w:val="0"/>
                                                  <w:marTop w:val="0"/>
                                                  <w:marBottom w:val="0"/>
                                                  <w:divBdr>
                                                    <w:top w:val="none" w:sz="0" w:space="0" w:color="auto"/>
                                                    <w:left w:val="none" w:sz="0" w:space="0" w:color="auto"/>
                                                    <w:bottom w:val="none" w:sz="0" w:space="0" w:color="auto"/>
                                                    <w:right w:val="none" w:sz="0" w:space="0" w:color="auto"/>
                                                  </w:divBdr>
                                                  <w:divsChild>
                                                    <w:div w:id="1033308756">
                                                      <w:marLeft w:val="0"/>
                                                      <w:marRight w:val="0"/>
                                                      <w:marTop w:val="0"/>
                                                      <w:marBottom w:val="0"/>
                                                      <w:divBdr>
                                                        <w:top w:val="none" w:sz="0" w:space="0" w:color="auto"/>
                                                        <w:left w:val="none" w:sz="0" w:space="0" w:color="auto"/>
                                                        <w:bottom w:val="none" w:sz="0" w:space="0" w:color="auto"/>
                                                        <w:right w:val="none" w:sz="0" w:space="0" w:color="auto"/>
                                                      </w:divBdr>
                                                      <w:divsChild>
                                                        <w:div w:id="14259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396067">
      <w:bodyDiv w:val="1"/>
      <w:marLeft w:val="0"/>
      <w:marRight w:val="0"/>
      <w:marTop w:val="0"/>
      <w:marBottom w:val="0"/>
      <w:divBdr>
        <w:top w:val="none" w:sz="0" w:space="0" w:color="auto"/>
        <w:left w:val="none" w:sz="0" w:space="0" w:color="auto"/>
        <w:bottom w:val="none" w:sz="0" w:space="0" w:color="auto"/>
        <w:right w:val="none" w:sz="0" w:space="0" w:color="auto"/>
      </w:divBdr>
      <w:divsChild>
        <w:div w:id="1085998141">
          <w:marLeft w:val="0"/>
          <w:marRight w:val="0"/>
          <w:marTop w:val="0"/>
          <w:marBottom w:val="0"/>
          <w:divBdr>
            <w:top w:val="none" w:sz="0" w:space="0" w:color="auto"/>
            <w:left w:val="none" w:sz="0" w:space="0" w:color="auto"/>
            <w:bottom w:val="none" w:sz="0" w:space="0" w:color="auto"/>
            <w:right w:val="none" w:sz="0" w:space="0" w:color="auto"/>
          </w:divBdr>
          <w:divsChild>
            <w:div w:id="205870678">
              <w:marLeft w:val="0"/>
              <w:marRight w:val="0"/>
              <w:marTop w:val="0"/>
              <w:marBottom w:val="0"/>
              <w:divBdr>
                <w:top w:val="none" w:sz="0" w:space="0" w:color="auto"/>
                <w:left w:val="none" w:sz="0" w:space="0" w:color="auto"/>
                <w:bottom w:val="none" w:sz="0" w:space="0" w:color="auto"/>
                <w:right w:val="none" w:sz="0" w:space="0" w:color="auto"/>
              </w:divBdr>
              <w:divsChild>
                <w:div w:id="429740271">
                  <w:marLeft w:val="0"/>
                  <w:marRight w:val="0"/>
                  <w:marTop w:val="0"/>
                  <w:marBottom w:val="0"/>
                  <w:divBdr>
                    <w:top w:val="none" w:sz="0" w:space="0" w:color="auto"/>
                    <w:left w:val="none" w:sz="0" w:space="0" w:color="auto"/>
                    <w:bottom w:val="none" w:sz="0" w:space="0" w:color="auto"/>
                    <w:right w:val="none" w:sz="0" w:space="0" w:color="auto"/>
                  </w:divBdr>
                  <w:divsChild>
                    <w:div w:id="649988281">
                      <w:marLeft w:val="0"/>
                      <w:marRight w:val="0"/>
                      <w:marTop w:val="0"/>
                      <w:marBottom w:val="0"/>
                      <w:divBdr>
                        <w:top w:val="none" w:sz="0" w:space="0" w:color="auto"/>
                        <w:left w:val="none" w:sz="0" w:space="0" w:color="auto"/>
                        <w:bottom w:val="none" w:sz="0" w:space="0" w:color="auto"/>
                        <w:right w:val="none" w:sz="0" w:space="0" w:color="auto"/>
                      </w:divBdr>
                      <w:divsChild>
                        <w:div w:id="190995997">
                          <w:marLeft w:val="0"/>
                          <w:marRight w:val="0"/>
                          <w:marTop w:val="0"/>
                          <w:marBottom w:val="0"/>
                          <w:divBdr>
                            <w:top w:val="none" w:sz="0" w:space="0" w:color="auto"/>
                            <w:left w:val="none" w:sz="0" w:space="0" w:color="auto"/>
                            <w:bottom w:val="none" w:sz="0" w:space="0" w:color="auto"/>
                            <w:right w:val="none" w:sz="0" w:space="0" w:color="auto"/>
                          </w:divBdr>
                          <w:divsChild>
                            <w:div w:id="950167569">
                              <w:marLeft w:val="0"/>
                              <w:marRight w:val="0"/>
                              <w:marTop w:val="0"/>
                              <w:marBottom w:val="0"/>
                              <w:divBdr>
                                <w:top w:val="none" w:sz="0" w:space="0" w:color="auto"/>
                                <w:left w:val="none" w:sz="0" w:space="0" w:color="auto"/>
                                <w:bottom w:val="none" w:sz="0" w:space="0" w:color="auto"/>
                                <w:right w:val="none" w:sz="0" w:space="0" w:color="auto"/>
                              </w:divBdr>
                              <w:divsChild>
                                <w:div w:id="1529248164">
                                  <w:marLeft w:val="0"/>
                                  <w:marRight w:val="0"/>
                                  <w:marTop w:val="0"/>
                                  <w:marBottom w:val="0"/>
                                  <w:divBdr>
                                    <w:top w:val="none" w:sz="0" w:space="0" w:color="auto"/>
                                    <w:left w:val="none" w:sz="0" w:space="0" w:color="auto"/>
                                    <w:bottom w:val="none" w:sz="0" w:space="0" w:color="auto"/>
                                    <w:right w:val="none" w:sz="0" w:space="0" w:color="auto"/>
                                  </w:divBdr>
                                  <w:divsChild>
                                    <w:div w:id="1336227246">
                                      <w:marLeft w:val="0"/>
                                      <w:marRight w:val="0"/>
                                      <w:marTop w:val="0"/>
                                      <w:marBottom w:val="0"/>
                                      <w:divBdr>
                                        <w:top w:val="none" w:sz="0" w:space="0" w:color="auto"/>
                                        <w:left w:val="none" w:sz="0" w:space="0" w:color="auto"/>
                                        <w:bottom w:val="none" w:sz="0" w:space="0" w:color="auto"/>
                                        <w:right w:val="none" w:sz="0" w:space="0" w:color="auto"/>
                                      </w:divBdr>
                                      <w:divsChild>
                                        <w:div w:id="1778452653">
                                          <w:marLeft w:val="0"/>
                                          <w:marRight w:val="0"/>
                                          <w:marTop w:val="0"/>
                                          <w:marBottom w:val="0"/>
                                          <w:divBdr>
                                            <w:top w:val="none" w:sz="0" w:space="0" w:color="auto"/>
                                            <w:left w:val="none" w:sz="0" w:space="0" w:color="auto"/>
                                            <w:bottom w:val="none" w:sz="0" w:space="0" w:color="auto"/>
                                            <w:right w:val="none" w:sz="0" w:space="0" w:color="auto"/>
                                          </w:divBdr>
                                          <w:divsChild>
                                            <w:div w:id="923684365">
                                              <w:marLeft w:val="0"/>
                                              <w:marRight w:val="0"/>
                                              <w:marTop w:val="0"/>
                                              <w:marBottom w:val="0"/>
                                              <w:divBdr>
                                                <w:top w:val="none" w:sz="0" w:space="0" w:color="auto"/>
                                                <w:left w:val="none" w:sz="0" w:space="0" w:color="auto"/>
                                                <w:bottom w:val="none" w:sz="0" w:space="0" w:color="auto"/>
                                                <w:right w:val="none" w:sz="0" w:space="0" w:color="auto"/>
                                              </w:divBdr>
                                              <w:divsChild>
                                                <w:div w:id="959605015">
                                                  <w:marLeft w:val="0"/>
                                                  <w:marRight w:val="0"/>
                                                  <w:marTop w:val="0"/>
                                                  <w:marBottom w:val="0"/>
                                                  <w:divBdr>
                                                    <w:top w:val="none" w:sz="0" w:space="0" w:color="auto"/>
                                                    <w:left w:val="none" w:sz="0" w:space="0" w:color="auto"/>
                                                    <w:bottom w:val="none" w:sz="0" w:space="0" w:color="auto"/>
                                                    <w:right w:val="none" w:sz="0" w:space="0" w:color="auto"/>
                                                  </w:divBdr>
                                                  <w:divsChild>
                                                    <w:div w:id="955020081">
                                                      <w:marLeft w:val="0"/>
                                                      <w:marRight w:val="0"/>
                                                      <w:marTop w:val="0"/>
                                                      <w:marBottom w:val="0"/>
                                                      <w:divBdr>
                                                        <w:top w:val="none" w:sz="0" w:space="0" w:color="auto"/>
                                                        <w:left w:val="none" w:sz="0" w:space="0" w:color="auto"/>
                                                        <w:bottom w:val="none" w:sz="0" w:space="0" w:color="auto"/>
                                                        <w:right w:val="none" w:sz="0" w:space="0" w:color="auto"/>
                                                      </w:divBdr>
                                                      <w:divsChild>
                                                        <w:div w:id="1271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98781395">
      <w:bodyDiv w:val="1"/>
      <w:marLeft w:val="0"/>
      <w:marRight w:val="0"/>
      <w:marTop w:val="0"/>
      <w:marBottom w:val="0"/>
      <w:divBdr>
        <w:top w:val="none" w:sz="0" w:space="0" w:color="auto"/>
        <w:left w:val="none" w:sz="0" w:space="0" w:color="auto"/>
        <w:bottom w:val="none" w:sz="0" w:space="0" w:color="auto"/>
        <w:right w:val="none" w:sz="0" w:space="0" w:color="auto"/>
      </w:divBdr>
      <w:divsChild>
        <w:div w:id="1126854246">
          <w:marLeft w:val="0"/>
          <w:marRight w:val="0"/>
          <w:marTop w:val="0"/>
          <w:marBottom w:val="0"/>
          <w:divBdr>
            <w:top w:val="none" w:sz="0" w:space="0" w:color="auto"/>
            <w:left w:val="none" w:sz="0" w:space="0" w:color="auto"/>
            <w:bottom w:val="none" w:sz="0" w:space="0" w:color="auto"/>
            <w:right w:val="none" w:sz="0" w:space="0" w:color="auto"/>
          </w:divBdr>
          <w:divsChild>
            <w:div w:id="1266114505">
              <w:marLeft w:val="0"/>
              <w:marRight w:val="0"/>
              <w:marTop w:val="0"/>
              <w:marBottom w:val="0"/>
              <w:divBdr>
                <w:top w:val="none" w:sz="0" w:space="0" w:color="auto"/>
                <w:left w:val="none" w:sz="0" w:space="0" w:color="auto"/>
                <w:bottom w:val="none" w:sz="0" w:space="0" w:color="auto"/>
                <w:right w:val="none" w:sz="0" w:space="0" w:color="auto"/>
              </w:divBdr>
              <w:divsChild>
                <w:div w:id="1909727793">
                  <w:marLeft w:val="0"/>
                  <w:marRight w:val="0"/>
                  <w:marTop w:val="0"/>
                  <w:marBottom w:val="0"/>
                  <w:divBdr>
                    <w:top w:val="none" w:sz="0" w:space="0" w:color="auto"/>
                    <w:left w:val="none" w:sz="0" w:space="0" w:color="auto"/>
                    <w:bottom w:val="none" w:sz="0" w:space="0" w:color="auto"/>
                    <w:right w:val="none" w:sz="0" w:space="0" w:color="auto"/>
                  </w:divBdr>
                  <w:divsChild>
                    <w:div w:id="907958765">
                      <w:marLeft w:val="0"/>
                      <w:marRight w:val="0"/>
                      <w:marTop w:val="0"/>
                      <w:marBottom w:val="0"/>
                      <w:divBdr>
                        <w:top w:val="none" w:sz="0" w:space="0" w:color="auto"/>
                        <w:left w:val="none" w:sz="0" w:space="0" w:color="auto"/>
                        <w:bottom w:val="none" w:sz="0" w:space="0" w:color="auto"/>
                        <w:right w:val="none" w:sz="0" w:space="0" w:color="auto"/>
                      </w:divBdr>
                      <w:divsChild>
                        <w:div w:id="200821256">
                          <w:marLeft w:val="0"/>
                          <w:marRight w:val="0"/>
                          <w:marTop w:val="0"/>
                          <w:marBottom w:val="0"/>
                          <w:divBdr>
                            <w:top w:val="none" w:sz="0" w:space="0" w:color="auto"/>
                            <w:left w:val="none" w:sz="0" w:space="0" w:color="auto"/>
                            <w:bottom w:val="none" w:sz="0" w:space="0" w:color="auto"/>
                            <w:right w:val="none" w:sz="0" w:space="0" w:color="auto"/>
                          </w:divBdr>
                          <w:divsChild>
                            <w:div w:id="1339235664">
                              <w:marLeft w:val="0"/>
                              <w:marRight w:val="0"/>
                              <w:marTop w:val="0"/>
                              <w:marBottom w:val="0"/>
                              <w:divBdr>
                                <w:top w:val="none" w:sz="0" w:space="0" w:color="auto"/>
                                <w:left w:val="none" w:sz="0" w:space="0" w:color="auto"/>
                                <w:bottom w:val="none" w:sz="0" w:space="0" w:color="auto"/>
                                <w:right w:val="none" w:sz="0" w:space="0" w:color="auto"/>
                              </w:divBdr>
                              <w:divsChild>
                                <w:div w:id="1499467779">
                                  <w:marLeft w:val="0"/>
                                  <w:marRight w:val="0"/>
                                  <w:marTop w:val="0"/>
                                  <w:marBottom w:val="0"/>
                                  <w:divBdr>
                                    <w:top w:val="none" w:sz="0" w:space="0" w:color="auto"/>
                                    <w:left w:val="none" w:sz="0" w:space="0" w:color="auto"/>
                                    <w:bottom w:val="none" w:sz="0" w:space="0" w:color="auto"/>
                                    <w:right w:val="none" w:sz="0" w:space="0" w:color="auto"/>
                                  </w:divBdr>
                                  <w:divsChild>
                                    <w:div w:id="1816870358">
                                      <w:marLeft w:val="0"/>
                                      <w:marRight w:val="0"/>
                                      <w:marTop w:val="0"/>
                                      <w:marBottom w:val="0"/>
                                      <w:divBdr>
                                        <w:top w:val="none" w:sz="0" w:space="0" w:color="auto"/>
                                        <w:left w:val="none" w:sz="0" w:space="0" w:color="auto"/>
                                        <w:bottom w:val="none" w:sz="0" w:space="0" w:color="auto"/>
                                        <w:right w:val="none" w:sz="0" w:space="0" w:color="auto"/>
                                      </w:divBdr>
                                      <w:divsChild>
                                        <w:div w:id="56637250">
                                          <w:marLeft w:val="0"/>
                                          <w:marRight w:val="0"/>
                                          <w:marTop w:val="0"/>
                                          <w:marBottom w:val="0"/>
                                          <w:divBdr>
                                            <w:top w:val="none" w:sz="0" w:space="0" w:color="auto"/>
                                            <w:left w:val="none" w:sz="0" w:space="0" w:color="auto"/>
                                            <w:bottom w:val="none" w:sz="0" w:space="0" w:color="auto"/>
                                            <w:right w:val="none" w:sz="0" w:space="0" w:color="auto"/>
                                          </w:divBdr>
                                          <w:divsChild>
                                            <w:div w:id="1888639216">
                                              <w:marLeft w:val="0"/>
                                              <w:marRight w:val="0"/>
                                              <w:marTop w:val="0"/>
                                              <w:marBottom w:val="0"/>
                                              <w:divBdr>
                                                <w:top w:val="none" w:sz="0" w:space="0" w:color="auto"/>
                                                <w:left w:val="none" w:sz="0" w:space="0" w:color="auto"/>
                                                <w:bottom w:val="none" w:sz="0" w:space="0" w:color="auto"/>
                                                <w:right w:val="none" w:sz="0" w:space="0" w:color="auto"/>
                                              </w:divBdr>
                                              <w:divsChild>
                                                <w:div w:id="53353230">
                                                  <w:marLeft w:val="0"/>
                                                  <w:marRight w:val="0"/>
                                                  <w:marTop w:val="0"/>
                                                  <w:marBottom w:val="0"/>
                                                  <w:divBdr>
                                                    <w:top w:val="none" w:sz="0" w:space="0" w:color="auto"/>
                                                    <w:left w:val="none" w:sz="0" w:space="0" w:color="auto"/>
                                                    <w:bottom w:val="none" w:sz="0" w:space="0" w:color="auto"/>
                                                    <w:right w:val="none" w:sz="0" w:space="0" w:color="auto"/>
                                                  </w:divBdr>
                                                  <w:divsChild>
                                                    <w:div w:id="731578882">
                                                      <w:marLeft w:val="0"/>
                                                      <w:marRight w:val="0"/>
                                                      <w:marTop w:val="0"/>
                                                      <w:marBottom w:val="0"/>
                                                      <w:divBdr>
                                                        <w:top w:val="none" w:sz="0" w:space="0" w:color="auto"/>
                                                        <w:left w:val="none" w:sz="0" w:space="0" w:color="auto"/>
                                                        <w:bottom w:val="none" w:sz="0" w:space="0" w:color="auto"/>
                                                        <w:right w:val="none" w:sz="0" w:space="0" w:color="auto"/>
                                                      </w:divBdr>
                                                      <w:divsChild>
                                                        <w:div w:id="9894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729E1-A9C7-4965-A574-3FC955CE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FREDERICKS, Anna</cp:lastModifiedBy>
  <cp:revision>2</cp:revision>
  <cp:lastPrinted>2016-04-08T01:41:00Z</cp:lastPrinted>
  <dcterms:created xsi:type="dcterms:W3CDTF">2019-07-15T02:15:00Z</dcterms:created>
  <dcterms:modified xsi:type="dcterms:W3CDTF">2019-07-15T02:15:00Z</dcterms:modified>
</cp:coreProperties>
</file>