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E0BA" w14:textId="77777777" w:rsidR="00213AE5" w:rsidRDefault="00213AE5" w:rsidP="00213AE5"/>
    <w:p w14:paraId="0688C97B" w14:textId="708C44BB" w:rsidR="00213AE5" w:rsidRDefault="00213AE5" w:rsidP="00213AE5">
      <w:pPr>
        <w:ind w:left="-567"/>
        <w:jc w:val="center"/>
        <w:rPr>
          <w:rFonts w:asciiTheme="minorHAnsi" w:hAnsiTheme="minorHAnsi" w:cstheme="minorHAnsi"/>
          <w:b/>
          <w:sz w:val="22"/>
          <w:szCs w:val="22"/>
        </w:rPr>
      </w:pPr>
      <w:r w:rsidRPr="00FD6184">
        <w:rPr>
          <w:rFonts w:asciiTheme="minorHAnsi" w:hAnsiTheme="minorHAnsi" w:cstheme="minorHAnsi"/>
          <w:b/>
          <w:sz w:val="22"/>
          <w:szCs w:val="22"/>
        </w:rPr>
        <w:t>EXPLANATORY STATEMENT</w:t>
      </w:r>
    </w:p>
    <w:p w14:paraId="5035A049" w14:textId="77777777" w:rsidR="00FD6184" w:rsidRPr="00FD6184" w:rsidRDefault="00FD6184" w:rsidP="00213AE5">
      <w:pPr>
        <w:ind w:left="-567"/>
        <w:jc w:val="center"/>
        <w:rPr>
          <w:rFonts w:asciiTheme="minorHAnsi" w:hAnsiTheme="minorHAnsi" w:cstheme="minorHAnsi"/>
          <w:b/>
          <w:sz w:val="22"/>
          <w:szCs w:val="22"/>
        </w:rPr>
      </w:pPr>
    </w:p>
    <w:p w14:paraId="48A620DD" w14:textId="3452EF28"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sz w:val="22"/>
          <w:szCs w:val="22"/>
        </w:rPr>
        <w:t>Issued by Comcare</w:t>
      </w:r>
    </w:p>
    <w:p w14:paraId="6CAD94D1" w14:textId="77777777" w:rsidR="00FD6184" w:rsidRPr="00FD6184" w:rsidRDefault="00FD6184" w:rsidP="00213AE5">
      <w:pPr>
        <w:ind w:left="-567"/>
        <w:jc w:val="center"/>
        <w:rPr>
          <w:rFonts w:asciiTheme="minorHAnsi" w:hAnsiTheme="minorHAnsi" w:cstheme="minorHAnsi"/>
          <w:sz w:val="22"/>
          <w:szCs w:val="22"/>
        </w:rPr>
      </w:pPr>
    </w:p>
    <w:p w14:paraId="2847AC6E" w14:textId="5A32F41C"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sz w:val="22"/>
          <w:szCs w:val="22"/>
        </w:rPr>
        <w:t>Notice of a Disallowable Instrument</w:t>
      </w:r>
    </w:p>
    <w:p w14:paraId="6FCBBC72" w14:textId="77777777" w:rsidR="00FD6184" w:rsidRPr="00FD6184" w:rsidRDefault="00FD6184" w:rsidP="00213AE5">
      <w:pPr>
        <w:ind w:left="-567"/>
        <w:jc w:val="center"/>
        <w:rPr>
          <w:rFonts w:asciiTheme="minorHAnsi" w:hAnsiTheme="minorHAnsi" w:cstheme="minorHAnsi"/>
          <w:sz w:val="22"/>
          <w:szCs w:val="22"/>
        </w:rPr>
      </w:pPr>
    </w:p>
    <w:p w14:paraId="60AED23F" w14:textId="76095F4A"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i/>
          <w:sz w:val="22"/>
          <w:szCs w:val="22"/>
        </w:rPr>
        <w:t xml:space="preserve">Safety, Rehabilitation and Compensation Act 1988 </w:t>
      </w:r>
      <w:r w:rsidRPr="00FD6184">
        <w:rPr>
          <w:rFonts w:asciiTheme="minorHAnsi" w:hAnsiTheme="minorHAnsi" w:cstheme="minorHAnsi"/>
          <w:sz w:val="22"/>
          <w:szCs w:val="22"/>
        </w:rPr>
        <w:t>(</w:t>
      </w:r>
      <w:r w:rsidRPr="00FD6184">
        <w:rPr>
          <w:rFonts w:asciiTheme="minorHAnsi" w:hAnsiTheme="minorHAnsi" w:cstheme="minorHAnsi"/>
          <w:b/>
          <w:sz w:val="22"/>
          <w:szCs w:val="22"/>
        </w:rPr>
        <w:t>the Act</w:t>
      </w:r>
      <w:r w:rsidRPr="00FD6184">
        <w:rPr>
          <w:rFonts w:asciiTheme="minorHAnsi" w:hAnsiTheme="minorHAnsi" w:cstheme="minorHAnsi"/>
          <w:sz w:val="22"/>
          <w:szCs w:val="22"/>
        </w:rPr>
        <w:t>)</w:t>
      </w:r>
    </w:p>
    <w:p w14:paraId="6099A014" w14:textId="77777777" w:rsidR="00FD6184" w:rsidRPr="00FD6184" w:rsidRDefault="00FD6184" w:rsidP="00213AE5">
      <w:pPr>
        <w:ind w:left="-567"/>
        <w:jc w:val="center"/>
        <w:rPr>
          <w:rFonts w:asciiTheme="minorHAnsi" w:hAnsiTheme="minorHAnsi" w:cstheme="minorHAnsi"/>
          <w:sz w:val="22"/>
          <w:szCs w:val="22"/>
        </w:rPr>
      </w:pPr>
    </w:p>
    <w:p w14:paraId="2DC4B65F" w14:textId="009F0566"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b/>
          <w:i/>
          <w:sz w:val="22"/>
          <w:szCs w:val="22"/>
        </w:rPr>
        <w:t>Guidelines for Rehabilitation Authorities 2019</w:t>
      </w:r>
      <w:r w:rsidRPr="00FD6184">
        <w:rPr>
          <w:rFonts w:asciiTheme="minorHAnsi" w:hAnsiTheme="minorHAnsi" w:cstheme="minorHAnsi"/>
          <w:i/>
          <w:sz w:val="22"/>
          <w:szCs w:val="22"/>
        </w:rPr>
        <w:t xml:space="preserve"> </w:t>
      </w:r>
      <w:r w:rsidRPr="00FD6184">
        <w:rPr>
          <w:rFonts w:asciiTheme="minorHAnsi" w:hAnsiTheme="minorHAnsi" w:cstheme="minorHAnsi"/>
          <w:sz w:val="22"/>
          <w:szCs w:val="22"/>
        </w:rPr>
        <w:t>(</w:t>
      </w:r>
      <w:r w:rsidRPr="00FD6184">
        <w:rPr>
          <w:rFonts w:asciiTheme="minorHAnsi" w:hAnsiTheme="minorHAnsi" w:cstheme="minorHAnsi"/>
          <w:b/>
          <w:sz w:val="22"/>
          <w:szCs w:val="22"/>
        </w:rPr>
        <w:t>the Guidelines</w:t>
      </w:r>
      <w:r w:rsidRPr="00FD6184">
        <w:rPr>
          <w:rFonts w:asciiTheme="minorHAnsi" w:hAnsiTheme="minorHAnsi" w:cstheme="minorHAnsi"/>
          <w:sz w:val="22"/>
          <w:szCs w:val="22"/>
        </w:rPr>
        <w:t>)</w:t>
      </w:r>
    </w:p>
    <w:p w14:paraId="6F9EBD45" w14:textId="77777777" w:rsidR="00FD6184" w:rsidRPr="00FD6184" w:rsidRDefault="00FD6184" w:rsidP="00213AE5">
      <w:pPr>
        <w:ind w:left="-567"/>
        <w:jc w:val="center"/>
        <w:rPr>
          <w:rFonts w:asciiTheme="minorHAnsi" w:hAnsiTheme="minorHAnsi" w:cstheme="minorHAnsi"/>
          <w:i/>
          <w:sz w:val="22"/>
          <w:szCs w:val="22"/>
        </w:rPr>
      </w:pPr>
    </w:p>
    <w:p w14:paraId="6E951B2C" w14:textId="37CFE825"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 xml:space="preserve">Authority </w:t>
      </w:r>
    </w:p>
    <w:p w14:paraId="3E099DFF" w14:textId="77777777" w:rsidR="00FD6184" w:rsidRPr="00FD6184" w:rsidRDefault="00FD6184" w:rsidP="00213AE5">
      <w:pPr>
        <w:ind w:left="-567"/>
        <w:rPr>
          <w:rFonts w:asciiTheme="minorHAnsi" w:hAnsiTheme="minorHAnsi" w:cstheme="minorHAnsi"/>
          <w:b/>
          <w:sz w:val="22"/>
          <w:szCs w:val="22"/>
        </w:rPr>
      </w:pPr>
    </w:p>
    <w:p w14:paraId="69405DD2" w14:textId="11FF0F37"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Under subsection 41(1) of the Act, Comcare may prepare and issue guidelines to rehabilitation authorities in relation to the performance or exercise of their functions or powers. </w:t>
      </w:r>
    </w:p>
    <w:p w14:paraId="00F760B7" w14:textId="77777777" w:rsidR="00FD6184" w:rsidRPr="00FD6184" w:rsidRDefault="00FD6184" w:rsidP="00213AE5">
      <w:pPr>
        <w:ind w:left="-567"/>
        <w:rPr>
          <w:rFonts w:asciiTheme="minorHAnsi" w:hAnsiTheme="minorHAnsi" w:cstheme="minorHAnsi"/>
          <w:sz w:val="22"/>
          <w:szCs w:val="22"/>
        </w:rPr>
      </w:pPr>
    </w:p>
    <w:p w14:paraId="655C1E6C" w14:textId="2D45F4A5"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Purpose</w:t>
      </w:r>
    </w:p>
    <w:p w14:paraId="6FC71F34" w14:textId="77777777" w:rsidR="00FD6184" w:rsidRPr="00FD6184" w:rsidRDefault="00FD6184" w:rsidP="00213AE5">
      <w:pPr>
        <w:ind w:left="-567"/>
        <w:rPr>
          <w:rFonts w:asciiTheme="minorHAnsi" w:hAnsiTheme="minorHAnsi" w:cstheme="minorHAnsi"/>
          <w:b/>
          <w:sz w:val="22"/>
          <w:szCs w:val="22"/>
        </w:rPr>
      </w:pPr>
    </w:p>
    <w:p w14:paraId="1A080CF9" w14:textId="77777777" w:rsidR="00213AE5" w:rsidRPr="00FD6184" w:rsidRDefault="00213AE5" w:rsidP="00213AE5">
      <w:pPr>
        <w:pStyle w:val="Pa1"/>
        <w:spacing w:after="160"/>
        <w:ind w:left="-567"/>
        <w:rPr>
          <w:rFonts w:asciiTheme="minorHAnsi" w:hAnsiTheme="minorHAnsi" w:cstheme="minorHAnsi"/>
          <w:sz w:val="22"/>
          <w:szCs w:val="22"/>
        </w:rPr>
      </w:pPr>
      <w:r w:rsidRPr="00FD6184">
        <w:rPr>
          <w:rFonts w:asciiTheme="minorHAnsi" w:hAnsiTheme="minorHAnsi" w:cstheme="minorHAnsi"/>
          <w:sz w:val="22"/>
          <w:szCs w:val="22"/>
        </w:rPr>
        <w:t xml:space="preserve">Part III of the Act sets out the powers and functions of a rehabilitation authority. Subsection 41(2) provides that rehabilitation authorities must comply with any guidelines issued. </w:t>
      </w:r>
    </w:p>
    <w:p w14:paraId="41E669F9" w14:textId="4504FB40"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The Guidelines include the mandatory requirements for rehabilitation authorities in the performance and exercise of those powers and functions. This allows rehabilitation authorities to tailor rehabilitation practices specifically for each employee to achieve an early and durable recovery at or return to work (RTW), following a compensable injury.</w:t>
      </w:r>
    </w:p>
    <w:p w14:paraId="6B2790F4" w14:textId="77777777" w:rsidR="00FD6184" w:rsidRPr="00FD6184" w:rsidRDefault="00FD6184" w:rsidP="00213AE5">
      <w:pPr>
        <w:ind w:left="-567"/>
        <w:rPr>
          <w:rFonts w:asciiTheme="minorHAnsi" w:hAnsiTheme="minorHAnsi" w:cstheme="minorHAnsi"/>
          <w:sz w:val="22"/>
          <w:szCs w:val="22"/>
        </w:rPr>
      </w:pPr>
    </w:p>
    <w:p w14:paraId="3F7C542B" w14:textId="67F0BE26"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The Guidelines also promote communication and consultation between rehabilitation authorities and employees.  </w:t>
      </w:r>
    </w:p>
    <w:p w14:paraId="19BBAC05" w14:textId="77777777" w:rsidR="00FD6184" w:rsidRPr="00FD6184" w:rsidRDefault="00FD6184" w:rsidP="00213AE5">
      <w:pPr>
        <w:ind w:left="-567"/>
        <w:rPr>
          <w:rFonts w:asciiTheme="minorHAnsi" w:hAnsiTheme="minorHAnsi" w:cstheme="minorHAnsi"/>
          <w:sz w:val="22"/>
          <w:szCs w:val="22"/>
        </w:rPr>
      </w:pPr>
    </w:p>
    <w:p w14:paraId="1FB5BFE1" w14:textId="77777777" w:rsidR="00213AE5" w:rsidRPr="00FD6184"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These Guidelines are a legislative instrument for the purposes of the </w:t>
      </w:r>
      <w:r w:rsidRPr="00FD6184">
        <w:rPr>
          <w:rFonts w:asciiTheme="minorHAnsi" w:hAnsiTheme="minorHAnsi" w:cstheme="minorHAnsi"/>
          <w:i/>
          <w:sz w:val="22"/>
          <w:szCs w:val="22"/>
        </w:rPr>
        <w:t xml:space="preserve">Legislation Act 2003 </w:t>
      </w:r>
      <w:r w:rsidRPr="00FD6184">
        <w:rPr>
          <w:rFonts w:asciiTheme="minorHAnsi" w:hAnsiTheme="minorHAnsi" w:cstheme="minorHAnsi"/>
          <w:sz w:val="22"/>
          <w:szCs w:val="22"/>
        </w:rPr>
        <w:t>(</w:t>
      </w:r>
      <w:r w:rsidRPr="00FD6184">
        <w:rPr>
          <w:rFonts w:asciiTheme="minorHAnsi" w:hAnsiTheme="minorHAnsi" w:cstheme="minorHAnsi"/>
          <w:b/>
          <w:sz w:val="22"/>
          <w:szCs w:val="22"/>
        </w:rPr>
        <w:t>the LA</w:t>
      </w:r>
      <w:r w:rsidRPr="00FD6184">
        <w:rPr>
          <w:rFonts w:asciiTheme="minorHAnsi" w:hAnsiTheme="minorHAnsi" w:cstheme="minorHAnsi"/>
          <w:sz w:val="22"/>
          <w:szCs w:val="22"/>
        </w:rPr>
        <w:t>).</w:t>
      </w:r>
    </w:p>
    <w:p w14:paraId="1A8ECE71" w14:textId="4FC30B17"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Details of the provisions of the instrument are in Attachment A. </w:t>
      </w:r>
    </w:p>
    <w:p w14:paraId="088D51F1" w14:textId="77777777" w:rsidR="00FD6184" w:rsidRPr="00FD6184" w:rsidRDefault="00FD6184" w:rsidP="00213AE5">
      <w:pPr>
        <w:ind w:left="-567"/>
        <w:rPr>
          <w:rFonts w:asciiTheme="minorHAnsi" w:hAnsiTheme="minorHAnsi" w:cstheme="minorHAnsi"/>
          <w:sz w:val="22"/>
          <w:szCs w:val="22"/>
        </w:rPr>
      </w:pPr>
    </w:p>
    <w:p w14:paraId="73928543" w14:textId="308D4333"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Consultation</w:t>
      </w:r>
    </w:p>
    <w:p w14:paraId="3657BB4B" w14:textId="77777777" w:rsidR="00FD6184" w:rsidRPr="00FD6184" w:rsidRDefault="00FD6184" w:rsidP="00213AE5">
      <w:pPr>
        <w:ind w:left="-567"/>
        <w:rPr>
          <w:rFonts w:asciiTheme="minorHAnsi" w:hAnsiTheme="minorHAnsi" w:cstheme="minorHAnsi"/>
          <w:b/>
          <w:sz w:val="22"/>
          <w:szCs w:val="22"/>
        </w:rPr>
      </w:pPr>
    </w:p>
    <w:p w14:paraId="570F4EBA" w14:textId="5EB8F5D3"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Before the instrument was made, Comcare was satisfied that consultation was undertaken to the extent appropriate and reasonably practicable, in accordance with section 17 of the LA. </w:t>
      </w:r>
    </w:p>
    <w:p w14:paraId="78BB87B9" w14:textId="77777777" w:rsidR="00FD6184" w:rsidRPr="00FD6184" w:rsidRDefault="00FD6184" w:rsidP="00213AE5">
      <w:pPr>
        <w:ind w:left="-567"/>
        <w:rPr>
          <w:rFonts w:asciiTheme="minorHAnsi" w:hAnsiTheme="minorHAnsi" w:cstheme="minorHAnsi"/>
          <w:sz w:val="22"/>
          <w:szCs w:val="22"/>
        </w:rPr>
      </w:pPr>
    </w:p>
    <w:p w14:paraId="014C2B49" w14:textId="4D52CFDF"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On 3 December 2018, Comcare published a draft of the Guidelines, together with an accompanying guidance note, on its website. These were also provided directly to key stakeholders such as Commonwealth authorities, licensed self-insurers, employee representatives, and workplace rehabilitation providers. </w:t>
      </w:r>
    </w:p>
    <w:p w14:paraId="7CFD8E07" w14:textId="77777777" w:rsidR="00FD6184" w:rsidRPr="00FD6184" w:rsidRDefault="00FD6184" w:rsidP="00213AE5">
      <w:pPr>
        <w:ind w:left="-567"/>
        <w:rPr>
          <w:rFonts w:asciiTheme="minorHAnsi" w:hAnsiTheme="minorHAnsi" w:cstheme="minorHAnsi"/>
          <w:sz w:val="22"/>
          <w:szCs w:val="22"/>
        </w:rPr>
      </w:pPr>
    </w:p>
    <w:p w14:paraId="622550B5" w14:textId="263E9197"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Consultation closed on 1 February 2019 and Comcare received 23 submissions. Comcare considered these submissions in the finalisation of the Guidelines. </w:t>
      </w:r>
    </w:p>
    <w:p w14:paraId="496408D3" w14:textId="77777777" w:rsidR="00FD6184" w:rsidRPr="00FD6184" w:rsidRDefault="00FD6184" w:rsidP="00213AE5">
      <w:pPr>
        <w:ind w:left="-567"/>
        <w:rPr>
          <w:rFonts w:asciiTheme="minorHAnsi" w:hAnsiTheme="minorHAnsi" w:cstheme="minorHAnsi"/>
          <w:sz w:val="22"/>
          <w:szCs w:val="22"/>
        </w:rPr>
      </w:pPr>
    </w:p>
    <w:p w14:paraId="4C960AA5" w14:textId="1DB35E9F"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Regulatory Impact Assessment</w:t>
      </w:r>
    </w:p>
    <w:p w14:paraId="0541B6AF" w14:textId="77777777" w:rsidR="00FD6184" w:rsidRPr="00FD6184" w:rsidRDefault="00FD6184" w:rsidP="00213AE5">
      <w:pPr>
        <w:ind w:left="-567"/>
        <w:rPr>
          <w:rFonts w:asciiTheme="minorHAnsi" w:hAnsiTheme="minorHAnsi" w:cstheme="minorHAnsi"/>
          <w:b/>
          <w:sz w:val="22"/>
          <w:szCs w:val="22"/>
        </w:rPr>
      </w:pPr>
    </w:p>
    <w:p w14:paraId="3323278C" w14:textId="77777777" w:rsidR="00213AE5" w:rsidRPr="00FD6184" w:rsidRDefault="00213AE5" w:rsidP="00213AE5">
      <w:pPr>
        <w:pStyle w:val="Default"/>
        <w:ind w:left="-567"/>
        <w:rPr>
          <w:rFonts w:asciiTheme="minorHAnsi" w:hAnsiTheme="minorHAnsi" w:cstheme="minorHAnsi"/>
          <w:color w:val="auto"/>
          <w:sz w:val="22"/>
          <w:szCs w:val="22"/>
        </w:rPr>
      </w:pPr>
      <w:r w:rsidRPr="00FD6184">
        <w:rPr>
          <w:rFonts w:asciiTheme="minorHAnsi" w:hAnsiTheme="minorHAnsi" w:cstheme="minorHAnsi"/>
          <w:color w:val="auto"/>
          <w:sz w:val="22"/>
          <w:szCs w:val="22"/>
        </w:rPr>
        <w:t>The Office of Better Practice Regulation advised that this instrument does not require a Regulatory Impact Statement (RIS) (OBPR ID number 23293).</w:t>
      </w:r>
    </w:p>
    <w:p w14:paraId="66B0E3E6" w14:textId="77777777" w:rsidR="00213AE5" w:rsidRPr="00FD6184" w:rsidRDefault="00213AE5" w:rsidP="00EC0795">
      <w:pPr>
        <w:pStyle w:val="Heading2"/>
        <w:spacing w:before="120"/>
        <w:ind w:left="-567"/>
        <w:jc w:val="center"/>
        <w:rPr>
          <w:rFonts w:asciiTheme="minorHAnsi" w:hAnsiTheme="minorHAnsi" w:cstheme="minorHAnsi"/>
          <w:sz w:val="22"/>
          <w:szCs w:val="22"/>
        </w:rPr>
      </w:pPr>
      <w:r>
        <w:rPr>
          <w:rFonts w:asciiTheme="minorHAnsi" w:hAnsiTheme="minorHAnsi" w:cstheme="minorHAnsi"/>
          <w:sz w:val="22"/>
          <w:szCs w:val="22"/>
        </w:rPr>
        <w:br w:type="column"/>
      </w:r>
      <w:r w:rsidRPr="00FD6184">
        <w:rPr>
          <w:rFonts w:asciiTheme="minorHAnsi" w:hAnsiTheme="minorHAnsi" w:cstheme="minorHAnsi"/>
          <w:sz w:val="22"/>
          <w:szCs w:val="22"/>
        </w:rPr>
        <w:lastRenderedPageBreak/>
        <w:t>Statement of Compatibility with Human Rights</w:t>
      </w:r>
    </w:p>
    <w:p w14:paraId="2B23D7AE" w14:textId="77777777" w:rsidR="00213AE5" w:rsidRPr="00FD6184" w:rsidRDefault="00213AE5" w:rsidP="00213AE5">
      <w:pPr>
        <w:pStyle w:val="Default"/>
        <w:ind w:left="-567"/>
        <w:rPr>
          <w:rFonts w:asciiTheme="minorHAnsi" w:hAnsiTheme="minorHAnsi" w:cstheme="minorHAnsi"/>
          <w:color w:val="auto"/>
          <w:sz w:val="22"/>
          <w:szCs w:val="22"/>
        </w:rPr>
      </w:pPr>
    </w:p>
    <w:p w14:paraId="191601FC" w14:textId="4509FE89" w:rsidR="00213AE5" w:rsidRDefault="00213AE5" w:rsidP="00213AE5">
      <w:pPr>
        <w:ind w:left="-567"/>
        <w:rPr>
          <w:rFonts w:asciiTheme="minorHAnsi" w:hAnsiTheme="minorHAnsi" w:cstheme="minorHAnsi"/>
          <w:i/>
          <w:iCs/>
          <w:sz w:val="22"/>
          <w:szCs w:val="22"/>
        </w:rPr>
      </w:pPr>
      <w:r w:rsidRPr="00FD6184">
        <w:rPr>
          <w:rFonts w:asciiTheme="minorHAnsi" w:hAnsiTheme="minorHAnsi" w:cstheme="minorHAnsi"/>
          <w:sz w:val="22"/>
          <w:szCs w:val="22"/>
        </w:rPr>
        <w:t xml:space="preserve"> </w:t>
      </w:r>
      <w:r w:rsidRPr="00FD6184">
        <w:rPr>
          <w:rFonts w:asciiTheme="minorHAnsi" w:hAnsiTheme="minorHAnsi" w:cstheme="minorHAnsi"/>
          <w:i/>
          <w:iCs/>
          <w:sz w:val="22"/>
          <w:szCs w:val="22"/>
        </w:rPr>
        <w:t>Prepared in accordance with Part 3 of the Human Rights (Parliamentary Scrutiny) Act 2011</w:t>
      </w:r>
    </w:p>
    <w:p w14:paraId="2B76B8FE" w14:textId="77777777" w:rsidR="00FD6184" w:rsidRPr="00FD6184" w:rsidRDefault="00FD6184" w:rsidP="00213AE5">
      <w:pPr>
        <w:ind w:left="-567"/>
        <w:rPr>
          <w:rFonts w:asciiTheme="minorHAnsi" w:hAnsiTheme="minorHAnsi" w:cstheme="minorHAnsi"/>
          <w:sz w:val="22"/>
          <w:szCs w:val="22"/>
        </w:rPr>
      </w:pPr>
    </w:p>
    <w:p w14:paraId="7C56D6DE" w14:textId="77777777" w:rsidR="00213AE5" w:rsidRPr="00FD6184" w:rsidRDefault="00213AE5" w:rsidP="00213AE5">
      <w:pPr>
        <w:ind w:left="-567"/>
        <w:jc w:val="center"/>
        <w:rPr>
          <w:rFonts w:asciiTheme="minorHAnsi" w:hAnsiTheme="minorHAnsi" w:cstheme="minorHAnsi"/>
          <w:sz w:val="22"/>
          <w:szCs w:val="22"/>
        </w:rPr>
      </w:pPr>
      <w:r w:rsidRPr="00FD6184">
        <w:rPr>
          <w:rFonts w:asciiTheme="minorHAnsi" w:hAnsiTheme="minorHAnsi" w:cstheme="minorHAnsi"/>
          <w:b/>
          <w:sz w:val="22"/>
          <w:szCs w:val="22"/>
        </w:rPr>
        <w:t>Guidelines for Rehabilitation Authorities 2019</w:t>
      </w:r>
    </w:p>
    <w:p w14:paraId="2A7DF6F0" w14:textId="77777777" w:rsidR="00213AE5" w:rsidRPr="00FD6184" w:rsidRDefault="00213AE5" w:rsidP="00213AE5">
      <w:pPr>
        <w:spacing w:before="120" w:after="120"/>
        <w:ind w:left="-567"/>
        <w:rPr>
          <w:rFonts w:asciiTheme="minorHAnsi" w:hAnsiTheme="minorHAnsi" w:cstheme="minorHAnsi"/>
          <w:sz w:val="22"/>
          <w:szCs w:val="22"/>
        </w:rPr>
      </w:pPr>
      <w:r w:rsidRPr="00FD6184">
        <w:rPr>
          <w:rFonts w:asciiTheme="minorHAnsi" w:hAnsiTheme="minorHAnsi" w:cstheme="minorHAnsi"/>
          <w:sz w:val="22"/>
          <w:szCs w:val="22"/>
        </w:rPr>
        <w:t>Subsection 9(1) of the</w:t>
      </w:r>
      <w:r w:rsidRPr="00FD6184">
        <w:rPr>
          <w:rFonts w:asciiTheme="minorHAnsi" w:hAnsiTheme="minorHAnsi" w:cstheme="minorHAnsi"/>
          <w:i/>
          <w:sz w:val="22"/>
          <w:szCs w:val="22"/>
        </w:rPr>
        <w:t xml:space="preserve"> Human Rights (Parliamentary Scrutiny) Act 2011 </w:t>
      </w:r>
      <w:r w:rsidRPr="00FD6184">
        <w:rPr>
          <w:rFonts w:asciiTheme="minorHAnsi" w:hAnsiTheme="minorHAnsi" w:cstheme="minorHAnsi"/>
          <w:sz w:val="22"/>
          <w:szCs w:val="22"/>
        </w:rPr>
        <w:t>(</w:t>
      </w:r>
      <w:r w:rsidRPr="00FD6184">
        <w:rPr>
          <w:rFonts w:asciiTheme="minorHAnsi" w:hAnsiTheme="minorHAnsi" w:cstheme="minorHAnsi"/>
          <w:b/>
          <w:sz w:val="22"/>
          <w:szCs w:val="22"/>
        </w:rPr>
        <w:t>the HR Act</w:t>
      </w:r>
      <w:r w:rsidRPr="00FD6184">
        <w:rPr>
          <w:rFonts w:asciiTheme="minorHAnsi" w:hAnsiTheme="minorHAnsi" w:cstheme="minorHAnsi"/>
          <w:sz w:val="22"/>
          <w:szCs w:val="22"/>
        </w:rPr>
        <w:t>)</w:t>
      </w:r>
      <w:r w:rsidRPr="00FD6184">
        <w:rPr>
          <w:rFonts w:asciiTheme="minorHAnsi" w:hAnsiTheme="minorHAnsi" w:cstheme="minorHAnsi"/>
          <w:i/>
          <w:sz w:val="22"/>
          <w:szCs w:val="22"/>
        </w:rPr>
        <w:t xml:space="preserve"> </w:t>
      </w:r>
      <w:r w:rsidRPr="00FD6184">
        <w:rPr>
          <w:rFonts w:asciiTheme="minorHAnsi" w:hAnsiTheme="minorHAnsi" w:cstheme="minorHAnsi"/>
          <w:sz w:val="22"/>
          <w:szCs w:val="22"/>
        </w:rPr>
        <w:t xml:space="preserve">requires a statement of compatibility with human rights to be prepared in relation to this legislative instrument and paragraph 15J(2)(f) of the LA requires that it be included in the explanatory statement. </w:t>
      </w:r>
    </w:p>
    <w:p w14:paraId="3D772B6E" w14:textId="77777777" w:rsidR="00213AE5" w:rsidRPr="00FD6184" w:rsidRDefault="00213AE5" w:rsidP="00213AE5">
      <w:pPr>
        <w:spacing w:before="120" w:after="120"/>
        <w:ind w:left="-567"/>
        <w:rPr>
          <w:rFonts w:asciiTheme="minorHAnsi" w:hAnsiTheme="minorHAnsi" w:cstheme="minorHAnsi"/>
          <w:sz w:val="22"/>
          <w:szCs w:val="22"/>
        </w:rPr>
      </w:pPr>
      <w:r w:rsidRPr="00FD6184">
        <w:rPr>
          <w:rFonts w:asciiTheme="minorHAnsi" w:hAnsiTheme="minorHAnsi" w:cstheme="minorHAnsi"/>
          <w:sz w:val="22"/>
          <w:szCs w:val="22"/>
        </w:rPr>
        <w:t>This legislative instrument is compatible with the human rights and freedoms recognised or declared in the international instruments listed in section 3 of the HR Act</w:t>
      </w:r>
      <w:r w:rsidRPr="00FD6184">
        <w:rPr>
          <w:rFonts w:asciiTheme="minorHAnsi" w:hAnsiTheme="minorHAnsi" w:cstheme="minorHAnsi"/>
          <w:i/>
          <w:iCs/>
          <w:sz w:val="22"/>
          <w:szCs w:val="22"/>
        </w:rPr>
        <w:t>.</w:t>
      </w:r>
    </w:p>
    <w:p w14:paraId="1FC9F76D" w14:textId="77777777" w:rsidR="00213AE5" w:rsidRPr="00EC0795" w:rsidRDefault="00213AE5" w:rsidP="00213AE5">
      <w:pPr>
        <w:pStyle w:val="Heading3"/>
        <w:ind w:left="-567"/>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Overview of the legislative instrument</w:t>
      </w:r>
    </w:p>
    <w:p w14:paraId="2225C99F" w14:textId="77777777" w:rsidR="00213AE5" w:rsidRPr="00FD6184" w:rsidRDefault="00213AE5" w:rsidP="00213AE5">
      <w:pPr>
        <w:spacing w:before="120" w:after="120"/>
        <w:ind w:left="-567"/>
        <w:rPr>
          <w:rFonts w:asciiTheme="minorHAnsi" w:hAnsiTheme="minorHAnsi" w:cstheme="minorHAnsi"/>
          <w:i/>
          <w:sz w:val="22"/>
          <w:szCs w:val="22"/>
        </w:rPr>
      </w:pPr>
      <w:r w:rsidRPr="00FD6184">
        <w:rPr>
          <w:rFonts w:asciiTheme="minorHAnsi" w:hAnsiTheme="minorHAnsi" w:cstheme="minorHAnsi"/>
          <w:sz w:val="22"/>
          <w:szCs w:val="22"/>
        </w:rPr>
        <w:t xml:space="preserve">These Guidelines are made under subsection 41(1) of the </w:t>
      </w:r>
      <w:r w:rsidRPr="00FD6184">
        <w:rPr>
          <w:rFonts w:asciiTheme="minorHAnsi" w:hAnsiTheme="minorHAnsi" w:cstheme="minorHAnsi"/>
          <w:i/>
          <w:sz w:val="22"/>
          <w:szCs w:val="22"/>
        </w:rPr>
        <w:t xml:space="preserve">Safety, Rehabilitation and Compensation Act 1988 </w:t>
      </w:r>
      <w:r w:rsidRPr="00FD6184">
        <w:rPr>
          <w:rFonts w:asciiTheme="minorHAnsi" w:hAnsiTheme="minorHAnsi" w:cstheme="minorHAnsi"/>
          <w:sz w:val="22"/>
          <w:szCs w:val="22"/>
        </w:rPr>
        <w:t>(</w:t>
      </w:r>
      <w:r w:rsidRPr="00FD6184">
        <w:rPr>
          <w:rFonts w:asciiTheme="minorHAnsi" w:hAnsiTheme="minorHAnsi" w:cstheme="minorHAnsi"/>
          <w:b/>
          <w:sz w:val="22"/>
          <w:szCs w:val="22"/>
        </w:rPr>
        <w:t>the SRC Act</w:t>
      </w:r>
      <w:r w:rsidRPr="00FD6184">
        <w:rPr>
          <w:rFonts w:asciiTheme="minorHAnsi" w:hAnsiTheme="minorHAnsi" w:cstheme="minorHAnsi"/>
          <w:sz w:val="22"/>
          <w:szCs w:val="22"/>
        </w:rPr>
        <w:t>)</w:t>
      </w:r>
      <w:r w:rsidRPr="00FD6184">
        <w:rPr>
          <w:rFonts w:asciiTheme="minorHAnsi" w:hAnsiTheme="minorHAnsi" w:cstheme="minorHAnsi"/>
          <w:i/>
          <w:sz w:val="22"/>
          <w:szCs w:val="22"/>
        </w:rPr>
        <w:t xml:space="preserve">. </w:t>
      </w:r>
    </w:p>
    <w:p w14:paraId="1EB49502" w14:textId="77777777" w:rsidR="00213AE5" w:rsidRPr="00FD6184"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The Guidelines include the mandatory requirements for rehabilitation authorities in the performance and exercise of those powers and functions. This allows rehabilitation authorities to tailor rehabilitation practices specifically for each employee to achieve an early and durable recovery at work or RTW, following a compensable injury.</w:t>
      </w:r>
    </w:p>
    <w:p w14:paraId="10C522B4" w14:textId="77777777" w:rsidR="00213AE5" w:rsidRPr="00FD6184" w:rsidRDefault="00213AE5" w:rsidP="00213AE5">
      <w:pPr>
        <w:spacing w:before="120" w:after="120"/>
        <w:ind w:left="-567"/>
        <w:rPr>
          <w:rFonts w:asciiTheme="minorHAnsi" w:hAnsiTheme="minorHAnsi" w:cstheme="minorHAnsi"/>
          <w:sz w:val="22"/>
          <w:szCs w:val="22"/>
        </w:rPr>
      </w:pPr>
      <w:r w:rsidRPr="00FD6184">
        <w:rPr>
          <w:rFonts w:asciiTheme="minorHAnsi" w:hAnsiTheme="minorHAnsi" w:cstheme="minorHAnsi"/>
          <w:sz w:val="22"/>
          <w:szCs w:val="22"/>
        </w:rPr>
        <w:t xml:space="preserve">Subsection 41(2) of the SRC Act provides that rehabilitation authorities must comply with these Guidelines once issued. </w:t>
      </w:r>
    </w:p>
    <w:p w14:paraId="75D116F9" w14:textId="77777777" w:rsidR="00213AE5" w:rsidRPr="00EC0795" w:rsidRDefault="00213AE5" w:rsidP="00EC0795">
      <w:pPr>
        <w:pStyle w:val="Heading3"/>
        <w:spacing w:after="120"/>
        <w:ind w:left="-567"/>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Human rights implications</w:t>
      </w:r>
    </w:p>
    <w:p w14:paraId="716B4883" w14:textId="77777777" w:rsidR="00213AE5" w:rsidRPr="00FD6184"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Comcare has assessed whether the instrument is compatible with the human rights and freedoms recognised or declared by the international instruments listed in subsection 3(1) of the HR Act as they apply to Australia. </w:t>
      </w:r>
    </w:p>
    <w:p w14:paraId="3BC9C5BF" w14:textId="77777777" w:rsidR="00213AE5" w:rsidRPr="00FD6184" w:rsidRDefault="00213AE5" w:rsidP="00213AE5">
      <w:pPr>
        <w:shd w:val="clear" w:color="auto" w:fill="FFFFFF"/>
        <w:spacing w:before="120"/>
        <w:ind w:left="-567"/>
        <w:jc w:val="both"/>
        <w:rPr>
          <w:rFonts w:asciiTheme="minorHAnsi" w:hAnsiTheme="minorHAnsi" w:cstheme="minorHAnsi"/>
          <w:sz w:val="22"/>
          <w:szCs w:val="22"/>
        </w:rPr>
      </w:pPr>
      <w:r w:rsidRPr="00FD6184">
        <w:rPr>
          <w:rFonts w:asciiTheme="minorHAnsi" w:hAnsiTheme="minorHAnsi" w:cstheme="minorHAnsi"/>
          <w:sz w:val="22"/>
          <w:szCs w:val="22"/>
        </w:rPr>
        <w:t>The Guidelines provide transparent direction to employers, rehabilitation authorities, their delegates and employees in the management practices required to assist employees in their recovery at or RTW.  The Guidelines specifically require that the employee be informed of and participate in each stage of the rehabilitation process. Comcare considers the Guidelines accord with General Comment 19 by the Committee on Economic, Social and Cultural Rights on Article 9, that “State parties should provide social services for rehabilitation of the injured and persons with disabilities…”.</w:t>
      </w:r>
      <w:r w:rsidRPr="00FD6184">
        <w:rPr>
          <w:rStyle w:val="FootnoteReference"/>
          <w:rFonts w:asciiTheme="minorHAnsi" w:hAnsiTheme="minorHAnsi" w:cstheme="minorHAnsi"/>
          <w:sz w:val="22"/>
          <w:szCs w:val="22"/>
        </w:rPr>
        <w:footnoteReference w:id="1"/>
      </w:r>
    </w:p>
    <w:p w14:paraId="00B40C0E" w14:textId="6A41D182" w:rsidR="00DB3092" w:rsidRPr="00FD6184" w:rsidRDefault="00213AE5" w:rsidP="00EC0795">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 xml:space="preserve">Having considered the likely impact of the instrument and the nature of the applicable rights and freedoms, Comcare has formed the view that the instrument promotes human rights and does not impinge on any rights or freedoms. </w:t>
      </w:r>
    </w:p>
    <w:p w14:paraId="03DC660A" w14:textId="77777777" w:rsidR="00213AE5" w:rsidRPr="00EC0795" w:rsidRDefault="00213AE5" w:rsidP="00213AE5">
      <w:pPr>
        <w:pStyle w:val="Heading3"/>
        <w:ind w:left="-567"/>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Conclusion</w:t>
      </w:r>
    </w:p>
    <w:p w14:paraId="39434382" w14:textId="77777777" w:rsidR="00213AE5" w:rsidRPr="00FD6184" w:rsidRDefault="00213AE5" w:rsidP="00213AE5">
      <w:pPr>
        <w:spacing w:before="120" w:after="120"/>
        <w:ind w:left="-567"/>
        <w:rPr>
          <w:rFonts w:asciiTheme="minorHAnsi" w:hAnsiTheme="minorHAnsi" w:cstheme="minorHAnsi"/>
          <w:sz w:val="22"/>
          <w:szCs w:val="22"/>
        </w:rPr>
      </w:pPr>
      <w:r w:rsidRPr="00FD6184">
        <w:rPr>
          <w:rFonts w:asciiTheme="minorHAnsi" w:hAnsiTheme="minorHAnsi" w:cstheme="minorHAnsi"/>
          <w:sz w:val="22"/>
          <w:szCs w:val="22"/>
        </w:rPr>
        <w:t>This instrument is compatible with human rights because it promotes the protection of human rights and does not limit any human rights or freedoms.</w:t>
      </w:r>
    </w:p>
    <w:p w14:paraId="64819CB4" w14:textId="332C8CC2" w:rsidR="00213AE5" w:rsidRDefault="00213AE5" w:rsidP="00213AE5">
      <w:pPr>
        <w:ind w:left="-567"/>
        <w:rPr>
          <w:rFonts w:asciiTheme="minorHAnsi" w:hAnsiTheme="minorHAnsi" w:cstheme="minorHAnsi"/>
          <w:b/>
          <w:sz w:val="22"/>
          <w:u w:val="single"/>
        </w:rPr>
      </w:pPr>
      <w:r w:rsidRPr="00286160">
        <w:br w:type="column"/>
      </w:r>
      <w:r w:rsidRPr="00FD6184">
        <w:rPr>
          <w:rFonts w:asciiTheme="minorHAnsi" w:hAnsiTheme="minorHAnsi" w:cstheme="minorHAnsi"/>
          <w:b/>
          <w:sz w:val="22"/>
          <w:u w:val="single"/>
        </w:rPr>
        <w:lastRenderedPageBreak/>
        <w:t>Attachment A</w:t>
      </w:r>
    </w:p>
    <w:p w14:paraId="4F20BAE7" w14:textId="77777777" w:rsidR="00FD6184" w:rsidRPr="00FD6184" w:rsidRDefault="00FD6184" w:rsidP="00213AE5">
      <w:pPr>
        <w:ind w:left="-567"/>
        <w:rPr>
          <w:rFonts w:asciiTheme="minorHAnsi" w:hAnsiTheme="minorHAnsi" w:cstheme="minorHAnsi"/>
          <w:b/>
          <w:sz w:val="22"/>
          <w:u w:val="single"/>
        </w:rPr>
      </w:pPr>
    </w:p>
    <w:p w14:paraId="5B65945C" w14:textId="35AF143F" w:rsidR="00213AE5" w:rsidRDefault="00213AE5" w:rsidP="00213AE5">
      <w:pPr>
        <w:ind w:left="-567"/>
        <w:rPr>
          <w:rFonts w:asciiTheme="minorHAnsi" w:hAnsiTheme="minorHAnsi" w:cstheme="minorHAnsi"/>
          <w:b/>
          <w:sz w:val="22"/>
        </w:rPr>
      </w:pPr>
      <w:r w:rsidRPr="00FD6184">
        <w:rPr>
          <w:rFonts w:asciiTheme="minorHAnsi" w:hAnsiTheme="minorHAnsi" w:cstheme="minorHAnsi"/>
          <w:b/>
          <w:sz w:val="22"/>
        </w:rPr>
        <w:t>Explanation of Provisions</w:t>
      </w:r>
    </w:p>
    <w:p w14:paraId="18A8970C" w14:textId="77777777" w:rsidR="00FD6184" w:rsidRPr="00FD6184" w:rsidRDefault="00FD6184" w:rsidP="00213AE5">
      <w:pPr>
        <w:ind w:left="-567"/>
        <w:rPr>
          <w:rFonts w:asciiTheme="minorHAnsi" w:hAnsiTheme="minorHAnsi" w:cstheme="minorHAnsi"/>
          <w:b/>
          <w:sz w:val="22"/>
        </w:rPr>
      </w:pPr>
    </w:p>
    <w:p w14:paraId="62F967A2" w14:textId="16B758E4" w:rsidR="00213AE5" w:rsidRDefault="00213AE5" w:rsidP="00213AE5">
      <w:pPr>
        <w:ind w:left="-567"/>
        <w:rPr>
          <w:rFonts w:asciiTheme="minorHAnsi" w:hAnsiTheme="minorHAnsi" w:cstheme="minorHAnsi"/>
          <w:sz w:val="22"/>
        </w:rPr>
      </w:pPr>
      <w:r w:rsidRPr="00FD6184">
        <w:rPr>
          <w:rFonts w:asciiTheme="minorHAnsi" w:hAnsiTheme="minorHAnsi" w:cstheme="minorHAnsi"/>
          <w:b/>
          <w:sz w:val="22"/>
        </w:rPr>
        <w:t>Section 1</w:t>
      </w:r>
      <w:r w:rsidRPr="00FD6184">
        <w:rPr>
          <w:rFonts w:asciiTheme="minorHAnsi" w:hAnsiTheme="minorHAnsi" w:cstheme="minorHAnsi"/>
          <w:sz w:val="22"/>
        </w:rPr>
        <w:t xml:space="preserve"> states the name of the Guidelines.</w:t>
      </w:r>
    </w:p>
    <w:p w14:paraId="12D9D8C8" w14:textId="77777777" w:rsidR="00FD6184" w:rsidRPr="00FD6184" w:rsidRDefault="00FD6184" w:rsidP="00213AE5">
      <w:pPr>
        <w:ind w:left="-567"/>
        <w:rPr>
          <w:rFonts w:asciiTheme="minorHAnsi" w:hAnsiTheme="minorHAnsi" w:cstheme="minorHAnsi"/>
          <w:sz w:val="22"/>
        </w:rPr>
      </w:pPr>
    </w:p>
    <w:p w14:paraId="1509A65E" w14:textId="4A5E1BBD" w:rsidR="00213AE5" w:rsidRDefault="00213AE5" w:rsidP="00213AE5">
      <w:pPr>
        <w:ind w:left="-567"/>
        <w:rPr>
          <w:rFonts w:asciiTheme="minorHAnsi" w:hAnsiTheme="minorHAnsi" w:cstheme="minorHAnsi"/>
          <w:sz w:val="22"/>
        </w:rPr>
      </w:pPr>
      <w:r w:rsidRPr="00FD6184">
        <w:rPr>
          <w:rFonts w:asciiTheme="minorHAnsi" w:hAnsiTheme="minorHAnsi" w:cstheme="minorHAnsi"/>
          <w:b/>
          <w:sz w:val="22"/>
        </w:rPr>
        <w:t>Section 2</w:t>
      </w:r>
      <w:r w:rsidRPr="00FD6184">
        <w:rPr>
          <w:rFonts w:asciiTheme="minorHAnsi" w:hAnsiTheme="minorHAnsi" w:cstheme="minorHAnsi"/>
          <w:sz w:val="22"/>
        </w:rPr>
        <w:t xml:space="preserve"> states that the Guidelines commence on 15 August 2019.</w:t>
      </w:r>
    </w:p>
    <w:p w14:paraId="175B0C83" w14:textId="77777777" w:rsidR="00FD6184" w:rsidRPr="00FD6184" w:rsidRDefault="00FD6184" w:rsidP="00213AE5">
      <w:pPr>
        <w:ind w:left="-567"/>
        <w:rPr>
          <w:rFonts w:asciiTheme="minorHAnsi" w:hAnsiTheme="minorHAnsi" w:cstheme="minorHAnsi"/>
          <w:sz w:val="22"/>
        </w:rPr>
      </w:pPr>
    </w:p>
    <w:p w14:paraId="2E4028EF" w14:textId="1AFBB1D1" w:rsidR="00213AE5" w:rsidRDefault="00213AE5" w:rsidP="00213AE5">
      <w:pPr>
        <w:ind w:left="-567"/>
        <w:rPr>
          <w:rFonts w:asciiTheme="minorHAnsi" w:hAnsiTheme="minorHAnsi" w:cstheme="minorHAnsi"/>
          <w:sz w:val="22"/>
        </w:rPr>
      </w:pPr>
      <w:r w:rsidRPr="00FD6184">
        <w:rPr>
          <w:rFonts w:asciiTheme="minorHAnsi" w:hAnsiTheme="minorHAnsi" w:cstheme="minorHAnsi"/>
          <w:b/>
          <w:sz w:val="22"/>
        </w:rPr>
        <w:t>Section 3</w:t>
      </w:r>
      <w:r w:rsidRPr="00FD6184">
        <w:rPr>
          <w:rFonts w:asciiTheme="minorHAnsi" w:hAnsiTheme="minorHAnsi" w:cstheme="minorHAnsi"/>
          <w:sz w:val="22"/>
        </w:rPr>
        <w:t xml:space="preserve"> states that the authority for making these Guidelines is section 41 of the SRC Act.</w:t>
      </w:r>
    </w:p>
    <w:p w14:paraId="44E1698E" w14:textId="77777777" w:rsidR="00FD6184" w:rsidRPr="00FD6184" w:rsidRDefault="00FD6184" w:rsidP="00213AE5">
      <w:pPr>
        <w:ind w:left="-567"/>
        <w:rPr>
          <w:rFonts w:asciiTheme="minorHAnsi" w:hAnsiTheme="minorHAnsi" w:cstheme="minorHAnsi"/>
          <w:sz w:val="22"/>
        </w:rPr>
      </w:pPr>
    </w:p>
    <w:p w14:paraId="6E6F28EC" w14:textId="169B4322" w:rsidR="00213AE5" w:rsidRDefault="00213AE5" w:rsidP="00213AE5">
      <w:pPr>
        <w:ind w:left="-567"/>
        <w:rPr>
          <w:rFonts w:asciiTheme="minorHAnsi" w:hAnsiTheme="minorHAnsi" w:cstheme="minorHAnsi"/>
          <w:sz w:val="22"/>
        </w:rPr>
      </w:pPr>
      <w:r w:rsidRPr="00FD6184">
        <w:rPr>
          <w:rFonts w:asciiTheme="minorHAnsi" w:hAnsiTheme="minorHAnsi" w:cstheme="minorHAnsi"/>
          <w:b/>
          <w:sz w:val="22"/>
        </w:rPr>
        <w:t>Section 4</w:t>
      </w:r>
      <w:r w:rsidRPr="00FD6184">
        <w:rPr>
          <w:rFonts w:asciiTheme="minorHAnsi" w:hAnsiTheme="minorHAnsi" w:cstheme="minorHAnsi"/>
          <w:sz w:val="22"/>
        </w:rPr>
        <w:t xml:space="preserve"> provides the purpose of the Guidelines.</w:t>
      </w:r>
    </w:p>
    <w:p w14:paraId="5D6B1AF5" w14:textId="77777777" w:rsidR="00FD6184" w:rsidRPr="00FD6184" w:rsidRDefault="00FD6184" w:rsidP="00213AE5">
      <w:pPr>
        <w:ind w:left="-567"/>
        <w:rPr>
          <w:rFonts w:asciiTheme="minorHAnsi" w:hAnsiTheme="minorHAnsi" w:cstheme="minorHAnsi"/>
          <w:sz w:val="22"/>
        </w:rPr>
      </w:pPr>
    </w:p>
    <w:p w14:paraId="3981C63E" w14:textId="70F61E44" w:rsidR="00213AE5" w:rsidRDefault="00213AE5" w:rsidP="00213AE5">
      <w:pPr>
        <w:ind w:left="-567"/>
        <w:rPr>
          <w:rFonts w:asciiTheme="minorHAnsi" w:hAnsiTheme="minorHAnsi" w:cstheme="minorHAnsi"/>
          <w:sz w:val="22"/>
        </w:rPr>
      </w:pPr>
      <w:r w:rsidRPr="00FD6184">
        <w:rPr>
          <w:rFonts w:asciiTheme="minorHAnsi" w:hAnsiTheme="minorHAnsi" w:cstheme="minorHAnsi"/>
          <w:b/>
          <w:sz w:val="22"/>
        </w:rPr>
        <w:t>Section 5</w:t>
      </w:r>
      <w:r w:rsidRPr="00FD6184">
        <w:rPr>
          <w:rFonts w:asciiTheme="minorHAnsi" w:hAnsiTheme="minorHAnsi" w:cstheme="minorHAnsi"/>
          <w:sz w:val="22"/>
        </w:rPr>
        <w:t xml:space="preserve"> defines terms used in the Guidelines.</w:t>
      </w:r>
    </w:p>
    <w:p w14:paraId="2CF3FACF" w14:textId="77777777" w:rsidR="00FD6184" w:rsidRPr="00FD6184" w:rsidRDefault="00FD6184" w:rsidP="00213AE5">
      <w:pPr>
        <w:ind w:left="-567"/>
        <w:rPr>
          <w:rFonts w:asciiTheme="minorHAnsi" w:hAnsiTheme="minorHAnsi" w:cstheme="minorHAnsi"/>
          <w:sz w:val="22"/>
        </w:rPr>
      </w:pPr>
    </w:p>
    <w:p w14:paraId="429F1090" w14:textId="26E9A474" w:rsidR="00213AE5" w:rsidRDefault="00213AE5" w:rsidP="00213AE5">
      <w:pPr>
        <w:ind w:left="-567"/>
        <w:rPr>
          <w:rFonts w:asciiTheme="minorHAnsi" w:hAnsiTheme="minorHAnsi" w:cstheme="minorHAnsi"/>
          <w:sz w:val="22"/>
        </w:rPr>
      </w:pPr>
      <w:r w:rsidRPr="00FD6184">
        <w:rPr>
          <w:rFonts w:asciiTheme="minorHAnsi" w:hAnsiTheme="minorHAnsi" w:cstheme="minorHAnsi"/>
          <w:b/>
          <w:sz w:val="22"/>
        </w:rPr>
        <w:t>Section 6</w:t>
      </w:r>
      <w:r w:rsidRPr="00FD6184">
        <w:rPr>
          <w:rFonts w:asciiTheme="minorHAnsi" w:hAnsiTheme="minorHAnsi" w:cstheme="minorHAnsi"/>
          <w:sz w:val="22"/>
        </w:rPr>
        <w:t xml:space="preserve"> provides that each instrument that is specified in a Schedule to this instrument is amended or revoked as set out in the applicable items in that Schedule concerned, and any other item in that Schedule to this instrument has effect according to its terms. </w:t>
      </w:r>
    </w:p>
    <w:p w14:paraId="6C56B407" w14:textId="77777777" w:rsidR="00FD6184" w:rsidRPr="00FD6184" w:rsidRDefault="00FD6184" w:rsidP="00213AE5">
      <w:pPr>
        <w:ind w:left="-567"/>
        <w:rPr>
          <w:rFonts w:asciiTheme="minorHAnsi" w:hAnsiTheme="minorHAnsi" w:cstheme="minorHAnsi"/>
          <w:sz w:val="22"/>
        </w:rPr>
      </w:pPr>
    </w:p>
    <w:p w14:paraId="6B4B4E8F" w14:textId="77777777" w:rsidR="00213AE5" w:rsidRPr="00EA759F" w:rsidRDefault="00213AE5" w:rsidP="00213AE5">
      <w:pPr>
        <w:pStyle w:val="Pa1"/>
        <w:spacing w:after="160"/>
        <w:ind w:left="-567"/>
        <w:rPr>
          <w:rFonts w:asciiTheme="minorHAnsi" w:hAnsiTheme="minorHAnsi" w:cstheme="minorHAnsi"/>
          <w:color w:val="000000"/>
          <w:sz w:val="22"/>
          <w:szCs w:val="22"/>
        </w:rPr>
      </w:pPr>
      <w:r w:rsidRPr="00EA759F">
        <w:rPr>
          <w:rFonts w:asciiTheme="minorHAnsi" w:hAnsiTheme="minorHAnsi" w:cstheme="minorHAnsi"/>
          <w:b/>
          <w:sz w:val="22"/>
          <w:szCs w:val="22"/>
        </w:rPr>
        <w:t xml:space="preserve">Section </w:t>
      </w:r>
      <w:r>
        <w:rPr>
          <w:rFonts w:asciiTheme="minorHAnsi" w:hAnsiTheme="minorHAnsi" w:cstheme="minorHAnsi"/>
          <w:b/>
          <w:sz w:val="22"/>
          <w:szCs w:val="22"/>
        </w:rPr>
        <w:t>7</w:t>
      </w:r>
      <w:r w:rsidRPr="00EA759F">
        <w:rPr>
          <w:rFonts w:asciiTheme="minorHAnsi" w:hAnsiTheme="minorHAnsi" w:cstheme="minorHAnsi"/>
          <w:sz w:val="22"/>
          <w:szCs w:val="22"/>
        </w:rPr>
        <w:t xml:space="preserve"> imposes conditions on a rehabilitation authority where it has delegated its powers and functions under Part III of the SRC Act. </w:t>
      </w:r>
      <w:r w:rsidRPr="00EA759F">
        <w:rPr>
          <w:rFonts w:asciiTheme="minorHAnsi" w:hAnsiTheme="minorHAnsi" w:cstheme="minorHAnsi"/>
          <w:color w:val="000000"/>
          <w:sz w:val="22"/>
          <w:szCs w:val="22"/>
        </w:rPr>
        <w:t xml:space="preserve">This section </w:t>
      </w:r>
      <w:r>
        <w:rPr>
          <w:rFonts w:asciiTheme="minorHAnsi" w:hAnsiTheme="minorHAnsi" w:cstheme="minorHAnsi"/>
          <w:color w:val="000000"/>
          <w:sz w:val="22"/>
          <w:szCs w:val="22"/>
        </w:rPr>
        <w:t>emphasises</w:t>
      </w:r>
      <w:r w:rsidRPr="00EA759F">
        <w:rPr>
          <w:rFonts w:asciiTheme="minorHAnsi" w:hAnsiTheme="minorHAnsi" w:cstheme="minorHAnsi"/>
          <w:color w:val="000000"/>
          <w:sz w:val="22"/>
          <w:szCs w:val="22"/>
        </w:rPr>
        <w:t xml:space="preserve"> that oversight of rehabilitation performance remains</w:t>
      </w:r>
      <w:r>
        <w:rPr>
          <w:rFonts w:asciiTheme="minorHAnsi" w:hAnsiTheme="minorHAnsi" w:cstheme="minorHAnsi"/>
          <w:color w:val="000000"/>
          <w:sz w:val="22"/>
          <w:szCs w:val="22"/>
        </w:rPr>
        <w:t xml:space="preserve"> </w:t>
      </w:r>
      <w:r w:rsidRPr="00EA759F">
        <w:rPr>
          <w:rFonts w:asciiTheme="minorHAnsi" w:hAnsiTheme="minorHAnsi" w:cstheme="minorHAnsi"/>
          <w:color w:val="000000"/>
          <w:sz w:val="22"/>
          <w:szCs w:val="22"/>
        </w:rPr>
        <w:t xml:space="preserve">with senior management of the rehabilitation authority and its principal officer. It provides assurance that delegates have the capability and support to perform their delegated functions. </w:t>
      </w:r>
    </w:p>
    <w:p w14:paraId="4311B385" w14:textId="77777777" w:rsidR="00213AE5" w:rsidRDefault="00213AE5" w:rsidP="00213AE5">
      <w:pPr>
        <w:pStyle w:val="Pa1"/>
        <w:spacing w:after="160"/>
        <w:ind w:left="-567"/>
        <w:rPr>
          <w:rFonts w:asciiTheme="minorHAnsi" w:hAnsiTheme="minorHAnsi" w:cstheme="minorHAnsi"/>
          <w:color w:val="000000"/>
          <w:sz w:val="22"/>
          <w:szCs w:val="22"/>
        </w:rPr>
      </w:pPr>
      <w:r w:rsidRPr="008566AC">
        <w:rPr>
          <w:rFonts w:asciiTheme="minorHAnsi" w:hAnsiTheme="minorHAnsi" w:cstheme="minorHAnsi"/>
          <w:b/>
          <w:sz w:val="22"/>
          <w:szCs w:val="22"/>
        </w:rPr>
        <w:t xml:space="preserve">Section </w:t>
      </w:r>
      <w:r>
        <w:rPr>
          <w:rFonts w:asciiTheme="minorHAnsi" w:hAnsiTheme="minorHAnsi" w:cstheme="minorHAnsi"/>
          <w:b/>
          <w:sz w:val="22"/>
          <w:szCs w:val="22"/>
        </w:rPr>
        <w:t>8</w:t>
      </w:r>
      <w:r w:rsidRPr="008566AC">
        <w:rPr>
          <w:rFonts w:asciiTheme="minorHAnsi" w:hAnsiTheme="minorHAnsi" w:cstheme="minorHAnsi"/>
          <w:sz w:val="22"/>
          <w:szCs w:val="22"/>
        </w:rPr>
        <w:t xml:space="preserve"> addresses rehabilitation assessments</w:t>
      </w:r>
      <w:r>
        <w:rPr>
          <w:rFonts w:asciiTheme="minorHAnsi" w:hAnsiTheme="minorHAnsi" w:cstheme="minorHAnsi"/>
          <w:sz w:val="22"/>
          <w:szCs w:val="22"/>
        </w:rPr>
        <w:t>. The rehabilitation authority may at any time ascertain the need for a rehabilitation program through a rehabilitation assessment, but it is not always necessary. However, if an employee requests an assessment in writing, this must be arranged.</w:t>
      </w:r>
      <w:r w:rsidRPr="003631FE">
        <w:rPr>
          <w:rFonts w:asciiTheme="minorHAnsi" w:hAnsiTheme="minorHAnsi" w:cstheme="minorHAnsi"/>
          <w:color w:val="000000"/>
          <w:sz w:val="22"/>
          <w:szCs w:val="22"/>
        </w:rPr>
        <w:t xml:space="preserve"> </w:t>
      </w:r>
    </w:p>
    <w:p w14:paraId="1920BAA1" w14:textId="77777777" w:rsidR="00213AE5" w:rsidRPr="008566AC" w:rsidRDefault="00213AE5" w:rsidP="00213AE5">
      <w:pPr>
        <w:pStyle w:val="Pa1"/>
        <w:spacing w:after="160"/>
        <w:ind w:left="-567"/>
        <w:rPr>
          <w:rFonts w:asciiTheme="minorHAnsi" w:hAnsiTheme="minorHAnsi" w:cstheme="minorHAnsi"/>
          <w:color w:val="000000"/>
          <w:sz w:val="22"/>
          <w:szCs w:val="22"/>
        </w:rPr>
      </w:pPr>
      <w:r w:rsidRPr="008566AC">
        <w:rPr>
          <w:rFonts w:asciiTheme="minorHAnsi" w:hAnsiTheme="minorHAnsi" w:cstheme="minorHAnsi"/>
          <w:color w:val="000000"/>
          <w:sz w:val="22"/>
          <w:szCs w:val="22"/>
        </w:rPr>
        <w:t>This section highlights that the rehabilitation authority can provide</w:t>
      </w:r>
      <w:r>
        <w:rPr>
          <w:rFonts w:asciiTheme="minorHAnsi" w:hAnsiTheme="minorHAnsi" w:cstheme="minorHAnsi"/>
          <w:color w:val="000000"/>
          <w:sz w:val="22"/>
          <w:szCs w:val="22"/>
        </w:rPr>
        <w:t xml:space="preserve"> </w:t>
      </w:r>
      <w:r w:rsidRPr="008566AC">
        <w:rPr>
          <w:rFonts w:asciiTheme="minorHAnsi" w:hAnsiTheme="minorHAnsi" w:cstheme="minorHAnsi"/>
          <w:color w:val="000000"/>
          <w:sz w:val="22"/>
          <w:szCs w:val="22"/>
        </w:rPr>
        <w:t>a rehabilitation program without first arranging an assessment under section 36 of the SRC Act. This promotes active and tailored case management</w:t>
      </w:r>
      <w:r>
        <w:rPr>
          <w:rFonts w:asciiTheme="minorHAnsi" w:hAnsiTheme="minorHAnsi" w:cstheme="minorHAnsi"/>
          <w:color w:val="000000"/>
          <w:sz w:val="22"/>
          <w:szCs w:val="22"/>
        </w:rPr>
        <w:t>.</w:t>
      </w:r>
    </w:p>
    <w:p w14:paraId="17A466A4" w14:textId="77777777" w:rsidR="00213AE5" w:rsidRPr="00974CE5" w:rsidRDefault="00213AE5" w:rsidP="00213AE5">
      <w:pPr>
        <w:pStyle w:val="Pa1"/>
        <w:spacing w:after="160"/>
        <w:ind w:left="-567"/>
        <w:rPr>
          <w:rFonts w:asciiTheme="minorHAnsi" w:hAnsiTheme="minorHAnsi" w:cstheme="minorHAnsi"/>
          <w:color w:val="000000"/>
          <w:sz w:val="22"/>
          <w:szCs w:val="22"/>
        </w:rPr>
      </w:pPr>
      <w:r w:rsidRPr="00974CE5">
        <w:rPr>
          <w:rFonts w:asciiTheme="minorHAnsi" w:hAnsiTheme="minorHAnsi" w:cstheme="minorHAnsi"/>
          <w:b/>
          <w:sz w:val="22"/>
          <w:szCs w:val="22"/>
        </w:rPr>
        <w:t xml:space="preserve">Section </w:t>
      </w:r>
      <w:r>
        <w:rPr>
          <w:rFonts w:asciiTheme="minorHAnsi" w:hAnsiTheme="minorHAnsi" w:cstheme="minorHAnsi"/>
          <w:b/>
          <w:sz w:val="22"/>
          <w:szCs w:val="22"/>
        </w:rPr>
        <w:t>9</w:t>
      </w:r>
      <w:r w:rsidRPr="00974CE5">
        <w:rPr>
          <w:rFonts w:asciiTheme="minorHAnsi" w:hAnsiTheme="minorHAnsi" w:cstheme="minorHAnsi"/>
          <w:sz w:val="22"/>
          <w:szCs w:val="22"/>
        </w:rPr>
        <w:t xml:space="preserve"> addresses rehabilitation programs</w:t>
      </w:r>
      <w:r>
        <w:rPr>
          <w:rFonts w:asciiTheme="minorHAnsi" w:hAnsiTheme="minorHAnsi" w:cstheme="minorHAnsi"/>
          <w:sz w:val="22"/>
          <w:szCs w:val="22"/>
        </w:rPr>
        <w:t xml:space="preserve">. </w:t>
      </w:r>
      <w:r w:rsidRPr="00974CE5">
        <w:rPr>
          <w:rFonts w:asciiTheme="minorHAnsi" w:hAnsiTheme="minorHAnsi" w:cstheme="minorHAnsi"/>
          <w:color w:val="000000"/>
          <w:sz w:val="22"/>
          <w:szCs w:val="22"/>
        </w:rPr>
        <w:t>This section emphasises that the rehabilitation authority must have regard to all the factors in subsection 37(3)</w:t>
      </w:r>
      <w:r>
        <w:rPr>
          <w:rFonts w:asciiTheme="minorHAnsi" w:hAnsiTheme="minorHAnsi" w:cstheme="minorHAnsi"/>
          <w:color w:val="000000"/>
          <w:sz w:val="22"/>
          <w:szCs w:val="22"/>
        </w:rPr>
        <w:t xml:space="preserve"> of the SRC Act and must identify</w:t>
      </w:r>
      <w:r w:rsidRPr="00974CE5">
        <w:rPr>
          <w:rFonts w:asciiTheme="minorHAnsi" w:hAnsiTheme="minorHAnsi" w:cstheme="minorHAnsi"/>
          <w:color w:val="000000"/>
          <w:sz w:val="22"/>
          <w:szCs w:val="22"/>
        </w:rPr>
        <w:t xml:space="preserve"> those factors relevant to the</w:t>
      </w:r>
      <w:r>
        <w:rPr>
          <w:rFonts w:asciiTheme="minorHAnsi" w:hAnsiTheme="minorHAnsi" w:cstheme="minorHAnsi"/>
          <w:color w:val="000000"/>
          <w:sz w:val="22"/>
          <w:szCs w:val="22"/>
        </w:rPr>
        <w:t xml:space="preserve"> </w:t>
      </w:r>
      <w:r w:rsidRPr="00974CE5">
        <w:rPr>
          <w:rFonts w:asciiTheme="minorHAnsi" w:hAnsiTheme="minorHAnsi" w:cstheme="minorHAnsi"/>
          <w:color w:val="000000"/>
          <w:sz w:val="22"/>
          <w:szCs w:val="22"/>
        </w:rPr>
        <w:t xml:space="preserve">program. </w:t>
      </w:r>
    </w:p>
    <w:p w14:paraId="1902653E" w14:textId="77777777" w:rsidR="00213AE5" w:rsidRPr="00177DE0" w:rsidRDefault="00213AE5" w:rsidP="00213AE5">
      <w:pPr>
        <w:pStyle w:val="Pa1"/>
        <w:spacing w:after="160"/>
        <w:ind w:left="-567"/>
        <w:rPr>
          <w:rFonts w:cstheme="minorHAnsi"/>
          <w:color w:val="000000"/>
        </w:rPr>
      </w:pPr>
      <w:r w:rsidRPr="00177DE0">
        <w:rPr>
          <w:rFonts w:asciiTheme="minorHAnsi" w:hAnsiTheme="minorHAnsi" w:cstheme="minorHAnsi"/>
          <w:color w:val="000000"/>
          <w:sz w:val="22"/>
          <w:szCs w:val="22"/>
        </w:rPr>
        <w:t>The section sets minimum inclusions for a rehabilitation program, whilst noting that a program can include a broad range of activities</w:t>
      </w:r>
      <w:r>
        <w:rPr>
          <w:rFonts w:asciiTheme="minorHAnsi" w:hAnsiTheme="minorHAnsi" w:cstheme="minorHAnsi"/>
          <w:color w:val="000000"/>
          <w:sz w:val="22"/>
          <w:szCs w:val="22"/>
        </w:rPr>
        <w:t>, such as finding suitable employment</w:t>
      </w:r>
      <w:r w:rsidRPr="00177DE0">
        <w:rPr>
          <w:rFonts w:asciiTheme="minorHAnsi" w:hAnsiTheme="minorHAnsi" w:cstheme="minorHAnsi"/>
          <w:color w:val="000000"/>
          <w:sz w:val="22"/>
          <w:szCs w:val="22"/>
        </w:rPr>
        <w:t xml:space="preserve">. </w:t>
      </w:r>
    </w:p>
    <w:p w14:paraId="0BF2AFD4" w14:textId="77777777" w:rsidR="00213AE5" w:rsidRDefault="00213AE5" w:rsidP="00213AE5">
      <w:pPr>
        <w:pStyle w:val="Pa1"/>
        <w:spacing w:after="160"/>
        <w:ind w:left="-567"/>
        <w:rPr>
          <w:rFonts w:cstheme="minorHAnsi"/>
          <w:color w:val="000000"/>
        </w:rPr>
      </w:pPr>
      <w:r w:rsidRPr="00177DE0">
        <w:rPr>
          <w:rFonts w:asciiTheme="minorHAnsi" w:hAnsiTheme="minorHAnsi" w:cstheme="minorHAnsi"/>
          <w:color w:val="000000"/>
          <w:sz w:val="22"/>
          <w:szCs w:val="22"/>
        </w:rPr>
        <w:t xml:space="preserve">This section </w:t>
      </w:r>
      <w:r>
        <w:rPr>
          <w:rFonts w:asciiTheme="minorHAnsi" w:hAnsiTheme="minorHAnsi" w:cstheme="minorHAnsi"/>
          <w:color w:val="000000"/>
          <w:sz w:val="22"/>
          <w:szCs w:val="22"/>
        </w:rPr>
        <w:t xml:space="preserve">also </w:t>
      </w:r>
      <w:r w:rsidRPr="00177DE0">
        <w:rPr>
          <w:rFonts w:asciiTheme="minorHAnsi" w:hAnsiTheme="minorHAnsi" w:cstheme="minorHAnsi"/>
          <w:color w:val="000000"/>
          <w:sz w:val="22"/>
          <w:szCs w:val="22"/>
        </w:rPr>
        <w:t xml:space="preserve">sets an expectation that the rehabilitation authority will </w:t>
      </w:r>
      <w:r>
        <w:rPr>
          <w:rFonts w:asciiTheme="minorHAnsi" w:hAnsiTheme="minorHAnsi" w:cstheme="minorHAnsi"/>
          <w:color w:val="000000"/>
          <w:sz w:val="22"/>
          <w:szCs w:val="22"/>
        </w:rPr>
        <w:t xml:space="preserve">consult with employees and </w:t>
      </w:r>
      <w:r w:rsidRPr="00177DE0">
        <w:rPr>
          <w:rFonts w:asciiTheme="minorHAnsi" w:hAnsiTheme="minorHAnsi" w:cstheme="minorHAnsi"/>
          <w:color w:val="000000"/>
          <w:sz w:val="22"/>
          <w:szCs w:val="22"/>
        </w:rPr>
        <w:t>actively monitor the appropriateness of</w:t>
      </w:r>
      <w:r>
        <w:rPr>
          <w:rFonts w:asciiTheme="minorHAnsi" w:hAnsiTheme="minorHAnsi" w:cstheme="minorHAnsi"/>
          <w:color w:val="000000"/>
          <w:sz w:val="22"/>
          <w:szCs w:val="22"/>
        </w:rPr>
        <w:t>, or need for,</w:t>
      </w:r>
      <w:r w:rsidRPr="00177DE0">
        <w:rPr>
          <w:rFonts w:asciiTheme="minorHAnsi" w:hAnsiTheme="minorHAnsi" w:cstheme="minorHAnsi"/>
          <w:color w:val="000000"/>
          <w:sz w:val="22"/>
          <w:szCs w:val="22"/>
        </w:rPr>
        <w:t xml:space="preserve"> a program based on the employee’s </w:t>
      </w:r>
      <w:r>
        <w:rPr>
          <w:rFonts w:asciiTheme="minorHAnsi" w:hAnsiTheme="minorHAnsi" w:cstheme="minorHAnsi"/>
          <w:color w:val="000000"/>
          <w:sz w:val="22"/>
          <w:szCs w:val="22"/>
        </w:rPr>
        <w:t xml:space="preserve">individual </w:t>
      </w:r>
      <w:r w:rsidRPr="00177DE0">
        <w:rPr>
          <w:rFonts w:asciiTheme="minorHAnsi" w:hAnsiTheme="minorHAnsi" w:cstheme="minorHAnsi"/>
          <w:color w:val="000000"/>
          <w:sz w:val="22"/>
          <w:szCs w:val="22"/>
        </w:rPr>
        <w:t xml:space="preserve">circumstances. </w:t>
      </w:r>
    </w:p>
    <w:p w14:paraId="7850033F" w14:textId="77777777" w:rsidR="00213AE5" w:rsidRPr="00FD6184" w:rsidRDefault="00213AE5" w:rsidP="00213AE5">
      <w:pPr>
        <w:pStyle w:val="Pa1"/>
        <w:spacing w:after="160"/>
        <w:ind w:left="-567"/>
        <w:rPr>
          <w:rFonts w:asciiTheme="minorHAnsi" w:hAnsiTheme="minorHAnsi" w:cstheme="minorHAnsi"/>
          <w:sz w:val="22"/>
          <w:szCs w:val="22"/>
        </w:rPr>
      </w:pPr>
      <w:r w:rsidRPr="00FD6184">
        <w:rPr>
          <w:rFonts w:asciiTheme="minorHAnsi" w:hAnsiTheme="minorHAnsi" w:cstheme="minorHAnsi"/>
          <w:b/>
          <w:sz w:val="22"/>
          <w:szCs w:val="22"/>
        </w:rPr>
        <w:t>Section 10</w:t>
      </w:r>
      <w:r w:rsidRPr="00FD6184">
        <w:rPr>
          <w:rFonts w:asciiTheme="minorHAnsi" w:hAnsiTheme="minorHAnsi" w:cstheme="minorHAnsi"/>
          <w:sz w:val="22"/>
          <w:szCs w:val="22"/>
        </w:rPr>
        <w:t xml:space="preserve"> imposes duties on rehabilitation authorities when engaging workplace rehabilitation providers. </w:t>
      </w:r>
      <w:r w:rsidRPr="00FD6184">
        <w:rPr>
          <w:rFonts w:asciiTheme="minorHAnsi" w:hAnsiTheme="minorHAnsi" w:cstheme="minorHAnsi"/>
          <w:color w:val="000000"/>
          <w:sz w:val="22"/>
          <w:szCs w:val="22"/>
        </w:rPr>
        <w:t xml:space="preserve">This section supports the provision of quality rehabilitation services to employees and Comcare to respond to provider performance issues. </w:t>
      </w:r>
    </w:p>
    <w:p w14:paraId="309980AC" w14:textId="77777777" w:rsidR="00213AE5" w:rsidRPr="00FD6184" w:rsidRDefault="00213AE5" w:rsidP="00213AE5">
      <w:pPr>
        <w:ind w:left="-567"/>
        <w:rPr>
          <w:rFonts w:asciiTheme="minorHAnsi" w:hAnsiTheme="minorHAnsi" w:cstheme="minorHAnsi"/>
          <w:sz w:val="22"/>
          <w:szCs w:val="22"/>
        </w:rPr>
      </w:pPr>
      <w:r w:rsidRPr="00FD6184">
        <w:rPr>
          <w:rFonts w:asciiTheme="minorHAnsi" w:hAnsiTheme="minorHAnsi" w:cstheme="minorHAnsi"/>
          <w:b/>
          <w:sz w:val="22"/>
          <w:szCs w:val="22"/>
        </w:rPr>
        <w:t>Section 11</w:t>
      </w:r>
      <w:r w:rsidRPr="00FD6184">
        <w:rPr>
          <w:rFonts w:asciiTheme="minorHAnsi" w:hAnsiTheme="minorHAnsi" w:cstheme="minorHAnsi"/>
          <w:sz w:val="22"/>
          <w:szCs w:val="22"/>
        </w:rPr>
        <w:t xml:space="preserve"> addresses non-compliance in relation to employees undergoing an examination under subsection 36(3) or undertaking a rehabilitation program under section 37 of the SRC Act. </w:t>
      </w:r>
    </w:p>
    <w:p w14:paraId="0BEA18D6" w14:textId="77777777" w:rsidR="00213AE5" w:rsidRPr="00FC27CC" w:rsidRDefault="00213AE5" w:rsidP="00213AE5">
      <w:pPr>
        <w:pStyle w:val="Default"/>
        <w:spacing w:after="100" w:line="201" w:lineRule="atLeast"/>
        <w:ind w:left="-567"/>
      </w:pPr>
      <w:r w:rsidRPr="00A139AD">
        <w:rPr>
          <w:rFonts w:asciiTheme="minorHAnsi" w:hAnsiTheme="minorHAnsi" w:cstheme="minorHAnsi"/>
          <w:sz w:val="22"/>
          <w:szCs w:val="22"/>
        </w:rPr>
        <w:lastRenderedPageBreak/>
        <w:t xml:space="preserve">This section outlines the minimum requirements for considering employee non-compliance and determining the </w:t>
      </w:r>
      <w:r w:rsidRPr="009E4458">
        <w:rPr>
          <w:rFonts w:asciiTheme="minorHAnsi" w:hAnsiTheme="minorHAnsi" w:cstheme="minorHAnsi"/>
          <w:sz w:val="22"/>
          <w:szCs w:val="22"/>
        </w:rPr>
        <w:t xml:space="preserve">consequences or </w:t>
      </w:r>
      <w:r w:rsidRPr="00A139AD">
        <w:rPr>
          <w:rFonts w:asciiTheme="minorHAnsi" w:hAnsiTheme="minorHAnsi" w:cstheme="minorHAnsi"/>
          <w:sz w:val="22"/>
          <w:szCs w:val="22"/>
        </w:rPr>
        <w:t>next steps.</w:t>
      </w:r>
      <w:r w:rsidRPr="002B055A">
        <w:rPr>
          <w:rFonts w:asciiTheme="minorHAnsi" w:hAnsiTheme="minorHAnsi" w:cstheme="minorHAnsi"/>
          <w:sz w:val="22"/>
          <w:szCs w:val="22"/>
        </w:rPr>
        <w:t xml:space="preserve"> </w:t>
      </w:r>
    </w:p>
    <w:p w14:paraId="2EC76EC2" w14:textId="77777777" w:rsidR="00213AE5" w:rsidRDefault="00213AE5" w:rsidP="00213AE5">
      <w:pPr>
        <w:pStyle w:val="Pa1"/>
        <w:spacing w:after="160"/>
        <w:ind w:left="-567"/>
        <w:rPr>
          <w:rFonts w:asciiTheme="minorHAnsi" w:hAnsiTheme="minorHAnsi" w:cstheme="minorHAnsi"/>
          <w:color w:val="000000"/>
          <w:sz w:val="22"/>
          <w:szCs w:val="22"/>
        </w:rPr>
      </w:pPr>
      <w:r w:rsidRPr="002B055A">
        <w:rPr>
          <w:rFonts w:asciiTheme="minorHAnsi" w:hAnsiTheme="minorHAnsi" w:cstheme="minorHAnsi"/>
          <w:b/>
          <w:sz w:val="22"/>
          <w:szCs w:val="22"/>
        </w:rPr>
        <w:t xml:space="preserve">Section </w:t>
      </w:r>
      <w:r>
        <w:rPr>
          <w:rFonts w:asciiTheme="minorHAnsi" w:hAnsiTheme="minorHAnsi" w:cstheme="minorHAnsi"/>
          <w:b/>
          <w:sz w:val="22"/>
          <w:szCs w:val="22"/>
        </w:rPr>
        <w:t>12</w:t>
      </w:r>
      <w:r w:rsidRPr="002B055A">
        <w:rPr>
          <w:rFonts w:asciiTheme="minorHAnsi" w:hAnsiTheme="minorHAnsi" w:cstheme="minorHAnsi"/>
          <w:sz w:val="22"/>
          <w:szCs w:val="22"/>
        </w:rPr>
        <w:t xml:space="preserve"> outlines transitional arrangements for rehabilitation assessments started prior to the commencement of this instrument. </w:t>
      </w:r>
      <w:r w:rsidRPr="002B055A">
        <w:rPr>
          <w:rFonts w:asciiTheme="minorHAnsi" w:hAnsiTheme="minorHAnsi" w:cstheme="minorHAnsi"/>
          <w:color w:val="000000"/>
          <w:sz w:val="22"/>
          <w:szCs w:val="22"/>
        </w:rPr>
        <w:t xml:space="preserve">The purpose of the transitional provisions is to ensure a seamless transfer to the new Guidelines and minimise the disruption to an employee’s rehabilitation. </w:t>
      </w:r>
    </w:p>
    <w:p w14:paraId="33F0D7FA" w14:textId="77777777" w:rsidR="00213AE5" w:rsidRPr="00C90005" w:rsidRDefault="00213AE5" w:rsidP="00213AE5">
      <w:pPr>
        <w:pStyle w:val="Pa1"/>
        <w:spacing w:after="160"/>
        <w:ind w:left="-567"/>
        <w:rPr>
          <w:rFonts w:asciiTheme="minorHAnsi" w:hAnsiTheme="minorHAnsi" w:cstheme="minorHAnsi"/>
          <w:sz w:val="22"/>
          <w:szCs w:val="22"/>
        </w:rPr>
      </w:pPr>
      <w:r w:rsidRPr="00C90005">
        <w:rPr>
          <w:rFonts w:asciiTheme="minorHAnsi" w:hAnsiTheme="minorHAnsi" w:cstheme="minorHAnsi"/>
          <w:b/>
          <w:sz w:val="22"/>
          <w:szCs w:val="22"/>
        </w:rPr>
        <w:t>Section 13</w:t>
      </w:r>
      <w:r>
        <w:rPr>
          <w:rFonts w:asciiTheme="minorHAnsi" w:hAnsiTheme="minorHAnsi" w:cstheme="minorHAnsi"/>
          <w:b/>
          <w:sz w:val="22"/>
          <w:szCs w:val="22"/>
        </w:rPr>
        <w:t xml:space="preserve"> </w:t>
      </w:r>
      <w:r>
        <w:rPr>
          <w:rFonts w:asciiTheme="minorHAnsi" w:hAnsiTheme="minorHAnsi" w:cstheme="minorHAnsi"/>
          <w:sz w:val="22"/>
          <w:szCs w:val="22"/>
        </w:rPr>
        <w:t xml:space="preserve">outlines transitional arrangements for rehabilitation programs started prior to the commencement of this instrument. </w:t>
      </w:r>
      <w:r w:rsidRPr="002B055A">
        <w:rPr>
          <w:rFonts w:asciiTheme="minorHAnsi" w:hAnsiTheme="minorHAnsi" w:cstheme="minorHAnsi"/>
          <w:color w:val="000000"/>
          <w:sz w:val="22"/>
          <w:szCs w:val="22"/>
        </w:rPr>
        <w:t>The purpose of the transitional provisions is to ensure a seamless transfer to the new Guidelines and minimise the disruption to an employee’s rehabilitation.</w:t>
      </w:r>
    </w:p>
    <w:p w14:paraId="399A60F2" w14:textId="77777777" w:rsidR="00213AE5" w:rsidRPr="00FD6184" w:rsidRDefault="00213AE5" w:rsidP="00213AE5">
      <w:pPr>
        <w:ind w:left="-567"/>
        <w:rPr>
          <w:rFonts w:asciiTheme="minorHAnsi" w:hAnsiTheme="minorHAnsi" w:cstheme="minorHAnsi"/>
          <w:sz w:val="22"/>
        </w:rPr>
      </w:pPr>
      <w:r w:rsidRPr="00FD6184">
        <w:rPr>
          <w:rFonts w:asciiTheme="minorHAnsi" w:hAnsiTheme="minorHAnsi" w:cstheme="minorHAnsi"/>
          <w:b/>
          <w:sz w:val="22"/>
        </w:rPr>
        <w:t>Schedule 1</w:t>
      </w:r>
      <w:r w:rsidRPr="00FD6184">
        <w:rPr>
          <w:rFonts w:asciiTheme="minorHAnsi" w:hAnsiTheme="minorHAnsi" w:cstheme="minorHAnsi"/>
          <w:sz w:val="22"/>
        </w:rPr>
        <w:t xml:space="preserve"> revokes the </w:t>
      </w:r>
      <w:r w:rsidRPr="00FD6184">
        <w:rPr>
          <w:rFonts w:asciiTheme="minorHAnsi" w:hAnsiTheme="minorHAnsi" w:cstheme="minorHAnsi"/>
          <w:i/>
          <w:sz w:val="22"/>
        </w:rPr>
        <w:t>Guidelines for Rehabilitation Authorities 2012</w:t>
      </w:r>
      <w:r w:rsidRPr="00FD6184">
        <w:rPr>
          <w:rFonts w:asciiTheme="minorHAnsi" w:hAnsiTheme="minorHAnsi" w:cstheme="minorHAnsi"/>
          <w:sz w:val="22"/>
        </w:rPr>
        <w:t xml:space="preserve">.  </w:t>
      </w:r>
    </w:p>
    <w:p w14:paraId="16CD100F" w14:textId="7959FD42" w:rsidR="00D10A7F" w:rsidRPr="00A46C20" w:rsidRDefault="00D10A7F" w:rsidP="00F7538D">
      <w:pPr>
        <w:spacing w:after="200" w:line="276" w:lineRule="auto"/>
        <w:rPr>
          <w:sz w:val="20"/>
        </w:rPr>
      </w:pPr>
      <w:bookmarkStart w:id="0" w:name="_GoBack"/>
      <w:bookmarkEnd w:id="0"/>
    </w:p>
    <w:sectPr w:rsidR="00D10A7F" w:rsidRPr="00A46C20" w:rsidSect="008C2EAC">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D101D" w14:textId="77777777" w:rsidR="008F0FAC" w:rsidRDefault="007667B7">
      <w:r>
        <w:separator/>
      </w:r>
    </w:p>
  </w:endnote>
  <w:endnote w:type="continuationSeparator" w:id="0">
    <w:p w14:paraId="16CD101F" w14:textId="77777777" w:rsidR="008F0FAC" w:rsidRDefault="0076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D1019" w14:textId="77777777" w:rsidR="008F0FAC" w:rsidRDefault="007667B7">
      <w:r>
        <w:separator/>
      </w:r>
    </w:p>
  </w:footnote>
  <w:footnote w:type="continuationSeparator" w:id="0">
    <w:p w14:paraId="16CD101B" w14:textId="77777777" w:rsidR="008F0FAC" w:rsidRDefault="007667B7">
      <w:r>
        <w:continuationSeparator/>
      </w:r>
    </w:p>
  </w:footnote>
  <w:footnote w:id="1">
    <w:p w14:paraId="7285F68F" w14:textId="77777777" w:rsidR="00213AE5" w:rsidRDefault="00213AE5" w:rsidP="00213AE5">
      <w:pPr>
        <w:pStyle w:val="FootnoteText"/>
      </w:pPr>
      <w:r>
        <w:rPr>
          <w:rStyle w:val="FootnoteReference"/>
        </w:rPr>
        <w:footnoteRef/>
      </w:r>
      <w:r>
        <w:t xml:space="preserve"> </w:t>
      </w:r>
      <w:r>
        <w:rPr>
          <w:rFonts w:ascii="Calibri" w:hAnsi="Calibri" w:cs="Calibri"/>
          <w:sz w:val="16"/>
          <w:szCs w:val="16"/>
        </w:rPr>
        <w:t xml:space="preserve">Committee on Economic, Social and Cultural Rights, </w:t>
      </w:r>
      <w:r>
        <w:rPr>
          <w:rFonts w:ascii="Calibri" w:hAnsi="Calibri" w:cs="Calibri"/>
          <w:i/>
          <w:iCs/>
          <w:sz w:val="16"/>
          <w:szCs w:val="16"/>
        </w:rPr>
        <w:t>General Comment 19: The Right to Social Security (art. 9)</w:t>
      </w:r>
      <w:r>
        <w:rPr>
          <w:rFonts w:ascii="Calibri" w:hAnsi="Calibri" w:cs="Calibri"/>
          <w:sz w:val="16"/>
          <w:szCs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CA"/>
    <w:multiLevelType w:val="multilevel"/>
    <w:tmpl w:val="F35CBC02"/>
    <w:lvl w:ilvl="0">
      <w:start w:val="1"/>
      <w:numFmt w:val="bullet"/>
      <w:pStyle w:val="Bullet"/>
      <w:lvlText w:val="•"/>
      <w:lvlJc w:val="left"/>
      <w:pPr>
        <w:tabs>
          <w:tab w:val="num" w:pos="567"/>
        </w:tabs>
        <w:ind w:left="567" w:hanging="567"/>
      </w:pPr>
      <w:rPr>
        <w:rFonts w:ascii="Times New Roman" w:hAnsi="Times New Roman" w:cs="Times New Roman" w:hint="default"/>
        <w:sz w:val="32"/>
        <w:szCs w:val="32"/>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AC7686"/>
    <w:multiLevelType w:val="hybridMultilevel"/>
    <w:tmpl w:val="E7240B1C"/>
    <w:lvl w:ilvl="0" w:tplc="3EB2BD0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 w15:restartNumberingAfterBreak="0">
    <w:nsid w:val="0D302F24"/>
    <w:multiLevelType w:val="hybridMultilevel"/>
    <w:tmpl w:val="4282D8CE"/>
    <w:lvl w:ilvl="0" w:tplc="CC1E220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0FD503A7"/>
    <w:multiLevelType w:val="hybridMultilevel"/>
    <w:tmpl w:val="FC5013C6"/>
    <w:lvl w:ilvl="0" w:tplc="281058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 w15:restartNumberingAfterBreak="0">
    <w:nsid w:val="182C7B36"/>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19ED5AB0"/>
    <w:multiLevelType w:val="hybridMultilevel"/>
    <w:tmpl w:val="A866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56251"/>
    <w:multiLevelType w:val="hybridMultilevel"/>
    <w:tmpl w:val="C8FCE334"/>
    <w:lvl w:ilvl="0" w:tplc="03D6642E">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7" w15:restartNumberingAfterBreak="0">
    <w:nsid w:val="1CB03774"/>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15:restartNumberingAfterBreak="0">
    <w:nsid w:val="1E4F630F"/>
    <w:multiLevelType w:val="hybridMultilevel"/>
    <w:tmpl w:val="9E2C7D88"/>
    <w:lvl w:ilvl="0" w:tplc="9BC08E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A0172B"/>
    <w:multiLevelType w:val="multilevel"/>
    <w:tmpl w:val="0BECA4AC"/>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B73869"/>
    <w:multiLevelType w:val="hybridMultilevel"/>
    <w:tmpl w:val="30BABCDE"/>
    <w:lvl w:ilvl="0" w:tplc="8D1A89A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20F21241"/>
    <w:multiLevelType w:val="hybridMultilevel"/>
    <w:tmpl w:val="F2FAF682"/>
    <w:lvl w:ilvl="0" w:tplc="FB9634F6">
      <w:start w:val="1"/>
      <w:numFmt w:val="bullet"/>
      <w:lvlText w:val=""/>
      <w:lvlJc w:val="left"/>
      <w:pPr>
        <w:ind w:left="720" w:hanging="360"/>
      </w:pPr>
      <w:rPr>
        <w:rFonts w:ascii="Symbol" w:hAnsi="Symbol" w:hint="default"/>
      </w:rPr>
    </w:lvl>
    <w:lvl w:ilvl="1" w:tplc="25720970" w:tentative="1">
      <w:start w:val="1"/>
      <w:numFmt w:val="bullet"/>
      <w:lvlText w:val="o"/>
      <w:lvlJc w:val="left"/>
      <w:pPr>
        <w:ind w:left="1440" w:hanging="360"/>
      </w:pPr>
      <w:rPr>
        <w:rFonts w:ascii="Courier New" w:hAnsi="Courier New" w:cs="Courier New" w:hint="default"/>
      </w:rPr>
    </w:lvl>
    <w:lvl w:ilvl="2" w:tplc="88D4B280" w:tentative="1">
      <w:start w:val="1"/>
      <w:numFmt w:val="bullet"/>
      <w:lvlText w:val=""/>
      <w:lvlJc w:val="left"/>
      <w:pPr>
        <w:ind w:left="2160" w:hanging="360"/>
      </w:pPr>
      <w:rPr>
        <w:rFonts w:ascii="Wingdings" w:hAnsi="Wingdings" w:hint="default"/>
      </w:rPr>
    </w:lvl>
    <w:lvl w:ilvl="3" w:tplc="7E54E9C4" w:tentative="1">
      <w:start w:val="1"/>
      <w:numFmt w:val="bullet"/>
      <w:lvlText w:val=""/>
      <w:lvlJc w:val="left"/>
      <w:pPr>
        <w:ind w:left="2880" w:hanging="360"/>
      </w:pPr>
      <w:rPr>
        <w:rFonts w:ascii="Symbol" w:hAnsi="Symbol" w:hint="default"/>
      </w:rPr>
    </w:lvl>
    <w:lvl w:ilvl="4" w:tplc="95DA380C" w:tentative="1">
      <w:start w:val="1"/>
      <w:numFmt w:val="bullet"/>
      <w:lvlText w:val="o"/>
      <w:lvlJc w:val="left"/>
      <w:pPr>
        <w:ind w:left="3600" w:hanging="360"/>
      </w:pPr>
      <w:rPr>
        <w:rFonts w:ascii="Courier New" w:hAnsi="Courier New" w:cs="Courier New" w:hint="default"/>
      </w:rPr>
    </w:lvl>
    <w:lvl w:ilvl="5" w:tplc="A2A2C1B2" w:tentative="1">
      <w:start w:val="1"/>
      <w:numFmt w:val="bullet"/>
      <w:lvlText w:val=""/>
      <w:lvlJc w:val="left"/>
      <w:pPr>
        <w:ind w:left="4320" w:hanging="360"/>
      </w:pPr>
      <w:rPr>
        <w:rFonts w:ascii="Wingdings" w:hAnsi="Wingdings" w:hint="default"/>
      </w:rPr>
    </w:lvl>
    <w:lvl w:ilvl="6" w:tplc="66B48BFC" w:tentative="1">
      <w:start w:val="1"/>
      <w:numFmt w:val="bullet"/>
      <w:lvlText w:val=""/>
      <w:lvlJc w:val="left"/>
      <w:pPr>
        <w:ind w:left="5040" w:hanging="360"/>
      </w:pPr>
      <w:rPr>
        <w:rFonts w:ascii="Symbol" w:hAnsi="Symbol" w:hint="default"/>
      </w:rPr>
    </w:lvl>
    <w:lvl w:ilvl="7" w:tplc="B2C823F4" w:tentative="1">
      <w:start w:val="1"/>
      <w:numFmt w:val="bullet"/>
      <w:lvlText w:val="o"/>
      <w:lvlJc w:val="left"/>
      <w:pPr>
        <w:ind w:left="5760" w:hanging="360"/>
      </w:pPr>
      <w:rPr>
        <w:rFonts w:ascii="Courier New" w:hAnsi="Courier New" w:cs="Courier New" w:hint="default"/>
      </w:rPr>
    </w:lvl>
    <w:lvl w:ilvl="8" w:tplc="8A684408" w:tentative="1">
      <w:start w:val="1"/>
      <w:numFmt w:val="bullet"/>
      <w:lvlText w:val=""/>
      <w:lvlJc w:val="left"/>
      <w:pPr>
        <w:ind w:left="6480" w:hanging="360"/>
      </w:pPr>
      <w:rPr>
        <w:rFonts w:ascii="Wingdings" w:hAnsi="Wingdings" w:hint="default"/>
      </w:rPr>
    </w:lvl>
  </w:abstractNum>
  <w:abstractNum w:abstractNumId="12" w15:restartNumberingAfterBreak="0">
    <w:nsid w:val="213A752F"/>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2A0C3627"/>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0684DB5"/>
    <w:multiLevelType w:val="hybridMultilevel"/>
    <w:tmpl w:val="DFD6904A"/>
    <w:lvl w:ilvl="0" w:tplc="7AB27EB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15:restartNumberingAfterBreak="0">
    <w:nsid w:val="3EA32867"/>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41A23478"/>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045563"/>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15:restartNumberingAfterBreak="0">
    <w:nsid w:val="4914395D"/>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20" w15:restartNumberingAfterBreak="0">
    <w:nsid w:val="4EDF13C0"/>
    <w:multiLevelType w:val="hybridMultilevel"/>
    <w:tmpl w:val="A12EE89A"/>
    <w:lvl w:ilvl="0" w:tplc="BB042974">
      <w:start w:val="1"/>
      <w:numFmt w:val="bullet"/>
      <w:lvlText w:val=""/>
      <w:lvlJc w:val="left"/>
      <w:pPr>
        <w:ind w:left="360" w:hanging="360"/>
      </w:pPr>
      <w:rPr>
        <w:rFonts w:ascii="Symbol" w:hAnsi="Symbol" w:hint="default"/>
      </w:rPr>
    </w:lvl>
    <w:lvl w:ilvl="1" w:tplc="B33EF918" w:tentative="1">
      <w:start w:val="1"/>
      <w:numFmt w:val="bullet"/>
      <w:lvlText w:val="o"/>
      <w:lvlJc w:val="left"/>
      <w:pPr>
        <w:ind w:left="1080" w:hanging="360"/>
      </w:pPr>
      <w:rPr>
        <w:rFonts w:ascii="Courier New" w:hAnsi="Courier New" w:cs="Courier New" w:hint="default"/>
      </w:rPr>
    </w:lvl>
    <w:lvl w:ilvl="2" w:tplc="8F0C50B8" w:tentative="1">
      <w:start w:val="1"/>
      <w:numFmt w:val="bullet"/>
      <w:lvlText w:val=""/>
      <w:lvlJc w:val="left"/>
      <w:pPr>
        <w:ind w:left="1800" w:hanging="360"/>
      </w:pPr>
      <w:rPr>
        <w:rFonts w:ascii="Wingdings" w:hAnsi="Wingdings" w:hint="default"/>
      </w:rPr>
    </w:lvl>
    <w:lvl w:ilvl="3" w:tplc="0EC028F4" w:tentative="1">
      <w:start w:val="1"/>
      <w:numFmt w:val="bullet"/>
      <w:lvlText w:val=""/>
      <w:lvlJc w:val="left"/>
      <w:pPr>
        <w:ind w:left="2520" w:hanging="360"/>
      </w:pPr>
      <w:rPr>
        <w:rFonts w:ascii="Symbol" w:hAnsi="Symbol" w:hint="default"/>
      </w:rPr>
    </w:lvl>
    <w:lvl w:ilvl="4" w:tplc="9E6635EA" w:tentative="1">
      <w:start w:val="1"/>
      <w:numFmt w:val="bullet"/>
      <w:lvlText w:val="o"/>
      <w:lvlJc w:val="left"/>
      <w:pPr>
        <w:ind w:left="3240" w:hanging="360"/>
      </w:pPr>
      <w:rPr>
        <w:rFonts w:ascii="Courier New" w:hAnsi="Courier New" w:cs="Courier New" w:hint="default"/>
      </w:rPr>
    </w:lvl>
    <w:lvl w:ilvl="5" w:tplc="E214D3B8" w:tentative="1">
      <w:start w:val="1"/>
      <w:numFmt w:val="bullet"/>
      <w:lvlText w:val=""/>
      <w:lvlJc w:val="left"/>
      <w:pPr>
        <w:ind w:left="3960" w:hanging="360"/>
      </w:pPr>
      <w:rPr>
        <w:rFonts w:ascii="Wingdings" w:hAnsi="Wingdings" w:hint="default"/>
      </w:rPr>
    </w:lvl>
    <w:lvl w:ilvl="6" w:tplc="DF0EC754" w:tentative="1">
      <w:start w:val="1"/>
      <w:numFmt w:val="bullet"/>
      <w:lvlText w:val=""/>
      <w:lvlJc w:val="left"/>
      <w:pPr>
        <w:ind w:left="4680" w:hanging="360"/>
      </w:pPr>
      <w:rPr>
        <w:rFonts w:ascii="Symbol" w:hAnsi="Symbol" w:hint="default"/>
      </w:rPr>
    </w:lvl>
    <w:lvl w:ilvl="7" w:tplc="5A88A272" w:tentative="1">
      <w:start w:val="1"/>
      <w:numFmt w:val="bullet"/>
      <w:lvlText w:val="o"/>
      <w:lvlJc w:val="left"/>
      <w:pPr>
        <w:ind w:left="5400" w:hanging="360"/>
      </w:pPr>
      <w:rPr>
        <w:rFonts w:ascii="Courier New" w:hAnsi="Courier New" w:cs="Courier New" w:hint="default"/>
      </w:rPr>
    </w:lvl>
    <w:lvl w:ilvl="8" w:tplc="6F5486EC" w:tentative="1">
      <w:start w:val="1"/>
      <w:numFmt w:val="bullet"/>
      <w:lvlText w:val=""/>
      <w:lvlJc w:val="left"/>
      <w:pPr>
        <w:ind w:left="6120" w:hanging="360"/>
      </w:pPr>
      <w:rPr>
        <w:rFonts w:ascii="Wingdings" w:hAnsi="Wingdings" w:hint="default"/>
      </w:rPr>
    </w:lvl>
  </w:abstractNum>
  <w:abstractNum w:abstractNumId="21" w15:restartNumberingAfterBreak="0">
    <w:nsid w:val="51742820"/>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526249F0"/>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57FC1ACD"/>
    <w:multiLevelType w:val="hybridMultilevel"/>
    <w:tmpl w:val="9E14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4864B6"/>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615078E1"/>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623132F0"/>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7" w15:restartNumberingAfterBreak="0">
    <w:nsid w:val="64FD1005"/>
    <w:multiLevelType w:val="hybridMultilevel"/>
    <w:tmpl w:val="493ACCDA"/>
    <w:lvl w:ilvl="0" w:tplc="4C024F9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67DE79F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70FD5A4F"/>
    <w:multiLevelType w:val="multilevel"/>
    <w:tmpl w:val="AC12B9C0"/>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B762F4"/>
    <w:multiLevelType w:val="hybridMultilevel"/>
    <w:tmpl w:val="EE8A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196943"/>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2" w15:restartNumberingAfterBreak="0">
    <w:nsid w:val="766C51EE"/>
    <w:multiLevelType w:val="hybridMultilevel"/>
    <w:tmpl w:val="6BA4D248"/>
    <w:lvl w:ilvl="0" w:tplc="779AB1C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7B9B3FCE"/>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7C2609EA"/>
    <w:multiLevelType w:val="hybridMultilevel"/>
    <w:tmpl w:val="7422B39C"/>
    <w:lvl w:ilvl="0" w:tplc="03B4890E">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5" w15:restartNumberingAfterBreak="0">
    <w:nsid w:val="7D2A0C6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19"/>
  </w:num>
  <w:num w:numId="2">
    <w:abstractNumId w:val="20"/>
  </w:num>
  <w:num w:numId="3">
    <w:abstractNumId w:val="11"/>
  </w:num>
  <w:num w:numId="4">
    <w:abstractNumId w:val="0"/>
  </w:num>
  <w:num w:numId="5">
    <w:abstractNumId w:val="5"/>
  </w:num>
  <w:num w:numId="6">
    <w:abstractNumId w:val="23"/>
  </w:num>
  <w:num w:numId="7">
    <w:abstractNumId w:val="30"/>
  </w:num>
  <w:num w:numId="8">
    <w:abstractNumId w:val="29"/>
  </w:num>
  <w:num w:numId="9">
    <w:abstractNumId w:val="9"/>
  </w:num>
  <w:num w:numId="10">
    <w:abstractNumId w:val="0"/>
  </w:num>
  <w:num w:numId="11">
    <w:abstractNumId w:val="12"/>
  </w:num>
  <w:num w:numId="12">
    <w:abstractNumId w:val="32"/>
  </w:num>
  <w:num w:numId="13">
    <w:abstractNumId w:val="8"/>
  </w:num>
  <w:num w:numId="14">
    <w:abstractNumId w:val="27"/>
  </w:num>
  <w:num w:numId="15">
    <w:abstractNumId w:val="31"/>
  </w:num>
  <w:num w:numId="16">
    <w:abstractNumId w:val="13"/>
  </w:num>
  <w:num w:numId="17">
    <w:abstractNumId w:val="7"/>
  </w:num>
  <w:num w:numId="18">
    <w:abstractNumId w:val="35"/>
  </w:num>
  <w:num w:numId="19">
    <w:abstractNumId w:val="3"/>
  </w:num>
  <w:num w:numId="20">
    <w:abstractNumId w:val="28"/>
  </w:num>
  <w:num w:numId="21">
    <w:abstractNumId w:val="34"/>
  </w:num>
  <w:num w:numId="22">
    <w:abstractNumId w:val="22"/>
  </w:num>
  <w:num w:numId="23">
    <w:abstractNumId w:val="15"/>
  </w:num>
  <w:num w:numId="24">
    <w:abstractNumId w:val="25"/>
  </w:num>
  <w:num w:numId="25">
    <w:abstractNumId w:val="33"/>
  </w:num>
  <w:num w:numId="26">
    <w:abstractNumId w:val="14"/>
  </w:num>
  <w:num w:numId="27">
    <w:abstractNumId w:val="10"/>
  </w:num>
  <w:num w:numId="28">
    <w:abstractNumId w:val="21"/>
  </w:num>
  <w:num w:numId="29">
    <w:abstractNumId w:val="2"/>
  </w:num>
  <w:num w:numId="30">
    <w:abstractNumId w:val="1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F"/>
    <w:rsid w:val="000002F1"/>
    <w:rsid w:val="0004086B"/>
    <w:rsid w:val="000B6AF7"/>
    <w:rsid w:val="000E2A0E"/>
    <w:rsid w:val="000F7C11"/>
    <w:rsid w:val="00100B0E"/>
    <w:rsid w:val="0010284C"/>
    <w:rsid w:val="00127CB6"/>
    <w:rsid w:val="00133D7C"/>
    <w:rsid w:val="001704AD"/>
    <w:rsid w:val="00180512"/>
    <w:rsid w:val="001C3B29"/>
    <w:rsid w:val="00213AE5"/>
    <w:rsid w:val="002144BB"/>
    <w:rsid w:val="0023440C"/>
    <w:rsid w:val="002662D2"/>
    <w:rsid w:val="002674C7"/>
    <w:rsid w:val="00295928"/>
    <w:rsid w:val="002974E6"/>
    <w:rsid w:val="002E1067"/>
    <w:rsid w:val="00301A22"/>
    <w:rsid w:val="00307BE5"/>
    <w:rsid w:val="003514A5"/>
    <w:rsid w:val="0035769B"/>
    <w:rsid w:val="0036463E"/>
    <w:rsid w:val="00383190"/>
    <w:rsid w:val="003A1CE9"/>
    <w:rsid w:val="003E30F8"/>
    <w:rsid w:val="00401B3C"/>
    <w:rsid w:val="00404811"/>
    <w:rsid w:val="004051E9"/>
    <w:rsid w:val="0041313D"/>
    <w:rsid w:val="00415603"/>
    <w:rsid w:val="004463FD"/>
    <w:rsid w:val="00446758"/>
    <w:rsid w:val="00457805"/>
    <w:rsid w:val="00460CFF"/>
    <w:rsid w:val="00476806"/>
    <w:rsid w:val="004901C0"/>
    <w:rsid w:val="004C1F53"/>
    <w:rsid w:val="0054237E"/>
    <w:rsid w:val="0056107B"/>
    <w:rsid w:val="005721D7"/>
    <w:rsid w:val="00575AF3"/>
    <w:rsid w:val="00575E3C"/>
    <w:rsid w:val="00576372"/>
    <w:rsid w:val="00580AC6"/>
    <w:rsid w:val="005D62DB"/>
    <w:rsid w:val="005F414B"/>
    <w:rsid w:val="005F71FF"/>
    <w:rsid w:val="00601FD5"/>
    <w:rsid w:val="00603C40"/>
    <w:rsid w:val="00612BEA"/>
    <w:rsid w:val="006403EB"/>
    <w:rsid w:val="00643304"/>
    <w:rsid w:val="00652D33"/>
    <w:rsid w:val="006656E2"/>
    <w:rsid w:val="006717C5"/>
    <w:rsid w:val="006747B3"/>
    <w:rsid w:val="006A7234"/>
    <w:rsid w:val="006B07F2"/>
    <w:rsid w:val="006D5A4B"/>
    <w:rsid w:val="007031D7"/>
    <w:rsid w:val="007167D2"/>
    <w:rsid w:val="007379F8"/>
    <w:rsid w:val="0075760F"/>
    <w:rsid w:val="00765CC8"/>
    <w:rsid w:val="007667B7"/>
    <w:rsid w:val="0077518A"/>
    <w:rsid w:val="0077677A"/>
    <w:rsid w:val="00776ECB"/>
    <w:rsid w:val="0078747B"/>
    <w:rsid w:val="0079780F"/>
    <w:rsid w:val="007C6C0E"/>
    <w:rsid w:val="007D0166"/>
    <w:rsid w:val="007D2FE3"/>
    <w:rsid w:val="007D71B5"/>
    <w:rsid w:val="007D73F4"/>
    <w:rsid w:val="007F6550"/>
    <w:rsid w:val="008037DF"/>
    <w:rsid w:val="00821FDE"/>
    <w:rsid w:val="00825791"/>
    <w:rsid w:val="008309F5"/>
    <w:rsid w:val="00846940"/>
    <w:rsid w:val="00867E42"/>
    <w:rsid w:val="00881C7F"/>
    <w:rsid w:val="008A2B29"/>
    <w:rsid w:val="008A306A"/>
    <w:rsid w:val="008A7C76"/>
    <w:rsid w:val="008B6F50"/>
    <w:rsid w:val="008D2D29"/>
    <w:rsid w:val="008E3651"/>
    <w:rsid w:val="008E4717"/>
    <w:rsid w:val="008E6558"/>
    <w:rsid w:val="008F0FAC"/>
    <w:rsid w:val="008F6C2B"/>
    <w:rsid w:val="009262EE"/>
    <w:rsid w:val="00937389"/>
    <w:rsid w:val="00965EDE"/>
    <w:rsid w:val="00977713"/>
    <w:rsid w:val="00994992"/>
    <w:rsid w:val="009A6F88"/>
    <w:rsid w:val="009B293B"/>
    <w:rsid w:val="009B5B21"/>
    <w:rsid w:val="009F69C0"/>
    <w:rsid w:val="00A02211"/>
    <w:rsid w:val="00A40834"/>
    <w:rsid w:val="00A46C20"/>
    <w:rsid w:val="00A565A3"/>
    <w:rsid w:val="00A75E47"/>
    <w:rsid w:val="00A80C4E"/>
    <w:rsid w:val="00AD7F05"/>
    <w:rsid w:val="00B00699"/>
    <w:rsid w:val="00B23E5E"/>
    <w:rsid w:val="00B27CF5"/>
    <w:rsid w:val="00B71920"/>
    <w:rsid w:val="00B8462F"/>
    <w:rsid w:val="00B85376"/>
    <w:rsid w:val="00BC1038"/>
    <w:rsid w:val="00BE0A81"/>
    <w:rsid w:val="00BE5FDC"/>
    <w:rsid w:val="00C01141"/>
    <w:rsid w:val="00C036CE"/>
    <w:rsid w:val="00C14064"/>
    <w:rsid w:val="00C16EDD"/>
    <w:rsid w:val="00C17F10"/>
    <w:rsid w:val="00C23565"/>
    <w:rsid w:val="00C34B5A"/>
    <w:rsid w:val="00CB0FF2"/>
    <w:rsid w:val="00CC0171"/>
    <w:rsid w:val="00CE2665"/>
    <w:rsid w:val="00CF7120"/>
    <w:rsid w:val="00D10A7F"/>
    <w:rsid w:val="00D20F28"/>
    <w:rsid w:val="00D63D6E"/>
    <w:rsid w:val="00D82BD9"/>
    <w:rsid w:val="00D86146"/>
    <w:rsid w:val="00D92CEB"/>
    <w:rsid w:val="00DB3092"/>
    <w:rsid w:val="00DC017A"/>
    <w:rsid w:val="00DC5450"/>
    <w:rsid w:val="00DE2D3A"/>
    <w:rsid w:val="00DE4A0F"/>
    <w:rsid w:val="00DE513C"/>
    <w:rsid w:val="00DF0F62"/>
    <w:rsid w:val="00E02217"/>
    <w:rsid w:val="00E33AD5"/>
    <w:rsid w:val="00E647B9"/>
    <w:rsid w:val="00EC0795"/>
    <w:rsid w:val="00EC2A4B"/>
    <w:rsid w:val="00EE2F84"/>
    <w:rsid w:val="00EE7FC5"/>
    <w:rsid w:val="00F355D7"/>
    <w:rsid w:val="00F4369B"/>
    <w:rsid w:val="00F445AE"/>
    <w:rsid w:val="00F518D4"/>
    <w:rsid w:val="00F7538D"/>
    <w:rsid w:val="00F77F7F"/>
    <w:rsid w:val="00F82709"/>
    <w:rsid w:val="00F91DBB"/>
    <w:rsid w:val="00F9368D"/>
    <w:rsid w:val="00F94295"/>
    <w:rsid w:val="00FA0344"/>
    <w:rsid w:val="00FA5BAA"/>
    <w:rsid w:val="00FC3C1E"/>
    <w:rsid w:val="00FD6184"/>
    <w:rsid w:val="00FE1770"/>
    <w:rsid w:val="00FF1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D0FF0"/>
  <w15:docId w15:val="{D7FA2BC9-1679-44AD-8C39-0D541E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paragraph" w:styleId="Heading3">
    <w:name w:val="heading 3"/>
    <w:basedOn w:val="Normal"/>
    <w:next w:val="Normal"/>
    <w:link w:val="Heading3Char"/>
    <w:uiPriority w:val="9"/>
    <w:semiHidden/>
    <w:unhideWhenUsed/>
    <w:qFormat/>
    <w:rsid w:val="00213AE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numPr>
        <w:numId w:val="1"/>
      </w:num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nhideWhenUsed/>
    <w:rsid w:val="00DE4A0F"/>
    <w:pPr>
      <w:tabs>
        <w:tab w:val="center" w:pos="4513"/>
        <w:tab w:val="right" w:pos="9026"/>
      </w:tabs>
    </w:pPr>
  </w:style>
  <w:style w:type="character" w:customStyle="1" w:styleId="HeaderChar">
    <w:name w:val="Header Char"/>
    <w:basedOn w:val="DefaultParagraphFont"/>
    <w:link w:val="Header"/>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643304"/>
    <w:rPr>
      <w:color w:val="808080"/>
    </w:rPr>
  </w:style>
  <w:style w:type="character" w:customStyle="1" w:styleId="Style2">
    <w:name w:val="Style2"/>
    <w:basedOn w:val="DefaultParagraphFont"/>
    <w:uiPriority w:val="1"/>
    <w:rsid w:val="008D2D29"/>
    <w:rPr>
      <w:rFonts w:ascii="Arial" w:hAnsi="Arial"/>
      <w:b/>
      <w:color w:val="FF0000"/>
      <w:sz w:val="28"/>
    </w:rPr>
  </w:style>
  <w:style w:type="paragraph" w:customStyle="1" w:styleId="Bullet">
    <w:name w:val="Bullet"/>
    <w:basedOn w:val="Normal"/>
    <w:link w:val="BulletChar"/>
    <w:rsid w:val="00E33AD5"/>
    <w:pPr>
      <w:numPr>
        <w:numId w:val="4"/>
      </w:numPr>
      <w:spacing w:before="280" w:after="200"/>
    </w:pPr>
  </w:style>
  <w:style w:type="character" w:customStyle="1" w:styleId="BulletChar">
    <w:name w:val="Bullet Char"/>
    <w:basedOn w:val="DefaultParagraphFont"/>
    <w:link w:val="Bullet"/>
    <w:rsid w:val="00E33AD5"/>
    <w:rPr>
      <w:rFonts w:ascii="Times New Roman" w:eastAsia="Times New Roman" w:hAnsi="Times New Roman" w:cs="Times New Roman"/>
      <w:sz w:val="24"/>
      <w:szCs w:val="20"/>
      <w:lang w:eastAsia="en-AU"/>
    </w:rPr>
  </w:style>
  <w:style w:type="paragraph" w:customStyle="1" w:styleId="Dash">
    <w:name w:val="Dash"/>
    <w:basedOn w:val="Normal"/>
    <w:rsid w:val="00E33AD5"/>
    <w:pPr>
      <w:numPr>
        <w:ilvl w:val="1"/>
        <w:numId w:val="4"/>
      </w:numPr>
      <w:spacing w:after="200"/>
    </w:pPr>
  </w:style>
  <w:style w:type="paragraph" w:customStyle="1" w:styleId="DoubleDot">
    <w:name w:val="Double Dot"/>
    <w:basedOn w:val="Normal"/>
    <w:rsid w:val="00E33AD5"/>
    <w:pPr>
      <w:numPr>
        <w:ilvl w:val="2"/>
        <w:numId w:val="4"/>
      </w:numPr>
      <w:spacing w:after="200"/>
    </w:pPr>
  </w:style>
  <w:style w:type="paragraph" w:styleId="ListParagraph">
    <w:name w:val="List Paragraph"/>
    <w:basedOn w:val="Normal"/>
    <w:uiPriority w:val="34"/>
    <w:qFormat/>
    <w:rsid w:val="00BE5FDC"/>
    <w:pPr>
      <w:ind w:left="720"/>
      <w:contextualSpacing/>
    </w:pPr>
    <w:rPr>
      <w:szCs w:val="24"/>
    </w:rPr>
  </w:style>
  <w:style w:type="paragraph" w:styleId="FootnoteText">
    <w:name w:val="footnote text"/>
    <w:basedOn w:val="Normal"/>
    <w:link w:val="FootnoteTextChar"/>
    <w:uiPriority w:val="99"/>
    <w:unhideWhenUsed/>
    <w:rsid w:val="008A306A"/>
    <w:rPr>
      <w:sz w:val="20"/>
    </w:rPr>
  </w:style>
  <w:style w:type="character" w:customStyle="1" w:styleId="FootnoteTextChar">
    <w:name w:val="Footnote Text Char"/>
    <w:basedOn w:val="DefaultParagraphFont"/>
    <w:link w:val="FootnoteText"/>
    <w:uiPriority w:val="99"/>
    <w:rsid w:val="008A306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A306A"/>
    <w:rPr>
      <w:vertAlign w:val="superscript"/>
    </w:rPr>
  </w:style>
  <w:style w:type="paragraph" w:customStyle="1" w:styleId="ShortT">
    <w:name w:val="ShortT"/>
    <w:basedOn w:val="Normal"/>
    <w:next w:val="Normal"/>
    <w:qFormat/>
    <w:rsid w:val="00213AE5"/>
    <w:rPr>
      <w:b/>
      <w:sz w:val="40"/>
    </w:rPr>
  </w:style>
  <w:style w:type="paragraph" w:customStyle="1" w:styleId="ActHead5">
    <w:name w:val="ActHead 5"/>
    <w:aliases w:val="s"/>
    <w:basedOn w:val="Normal"/>
    <w:next w:val="subsection"/>
    <w:qFormat/>
    <w:rsid w:val="00213AE5"/>
    <w:pPr>
      <w:keepNext/>
      <w:keepLines/>
      <w:spacing w:before="280"/>
      <w:ind w:left="1134" w:hanging="1134"/>
      <w:outlineLvl w:val="4"/>
    </w:pPr>
    <w:rPr>
      <w:b/>
      <w:kern w:val="28"/>
    </w:rPr>
  </w:style>
  <w:style w:type="paragraph" w:customStyle="1" w:styleId="ActHead6">
    <w:name w:val="ActHead 6"/>
    <w:aliases w:val="as"/>
    <w:basedOn w:val="Normal"/>
    <w:next w:val="Normal"/>
    <w:qFormat/>
    <w:rsid w:val="00213AE5"/>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213AE5"/>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213AE5"/>
    <w:pPr>
      <w:tabs>
        <w:tab w:val="right" w:pos="1021"/>
      </w:tabs>
      <w:spacing w:before="180"/>
      <w:ind w:left="1134" w:hanging="1134"/>
    </w:pPr>
    <w:rPr>
      <w:sz w:val="22"/>
    </w:rPr>
  </w:style>
  <w:style w:type="paragraph" w:customStyle="1" w:styleId="Definition">
    <w:name w:val="Definition"/>
    <w:aliases w:val="dd"/>
    <w:basedOn w:val="Normal"/>
    <w:rsid w:val="00213AE5"/>
    <w:pPr>
      <w:spacing w:before="180"/>
      <w:ind w:left="1134"/>
    </w:pPr>
    <w:rPr>
      <w:sz w:val="22"/>
    </w:rPr>
  </w:style>
  <w:style w:type="paragraph" w:customStyle="1" w:styleId="Item">
    <w:name w:val="Item"/>
    <w:aliases w:val="i"/>
    <w:basedOn w:val="Normal"/>
    <w:next w:val="ItemHead"/>
    <w:rsid w:val="00213AE5"/>
    <w:pPr>
      <w:keepLines/>
      <w:spacing w:before="80"/>
      <w:ind w:left="709"/>
    </w:pPr>
    <w:rPr>
      <w:sz w:val="22"/>
    </w:rPr>
  </w:style>
  <w:style w:type="paragraph" w:customStyle="1" w:styleId="ItemHead">
    <w:name w:val="ItemHead"/>
    <w:aliases w:val="ih"/>
    <w:basedOn w:val="Normal"/>
    <w:next w:val="Item"/>
    <w:rsid w:val="00213AE5"/>
    <w:pPr>
      <w:keepNext/>
      <w:keepLines/>
      <w:spacing w:before="220"/>
      <w:ind w:left="709" w:hanging="709"/>
    </w:pPr>
    <w:rPr>
      <w:rFonts w:ascii="Arial" w:hAnsi="Arial"/>
      <w:b/>
      <w:kern w:val="28"/>
    </w:rPr>
  </w:style>
  <w:style w:type="paragraph" w:customStyle="1" w:styleId="notetext">
    <w:name w:val="note(text)"/>
    <w:aliases w:val="n"/>
    <w:basedOn w:val="Normal"/>
    <w:link w:val="notetextChar"/>
    <w:rsid w:val="00213AE5"/>
    <w:pPr>
      <w:spacing w:before="122" w:line="198" w:lineRule="exact"/>
      <w:ind w:left="1985" w:hanging="851"/>
    </w:pPr>
    <w:rPr>
      <w:sz w:val="18"/>
    </w:rPr>
  </w:style>
  <w:style w:type="paragraph" w:customStyle="1" w:styleId="paragraphsub">
    <w:name w:val="paragraph(sub)"/>
    <w:aliases w:val="aa"/>
    <w:basedOn w:val="Normal"/>
    <w:rsid w:val="00213AE5"/>
    <w:pPr>
      <w:tabs>
        <w:tab w:val="right" w:pos="1985"/>
      </w:tabs>
      <w:spacing w:before="40"/>
      <w:ind w:left="2098" w:hanging="2098"/>
    </w:pPr>
    <w:rPr>
      <w:sz w:val="22"/>
    </w:rPr>
  </w:style>
  <w:style w:type="paragraph" w:styleId="TOC5">
    <w:name w:val="toc 5"/>
    <w:basedOn w:val="Normal"/>
    <w:next w:val="Normal"/>
    <w:uiPriority w:val="39"/>
    <w:unhideWhenUsed/>
    <w:rsid w:val="00213AE5"/>
    <w:pPr>
      <w:keepLines/>
      <w:tabs>
        <w:tab w:val="right" w:leader="dot" w:pos="8278"/>
      </w:tabs>
      <w:spacing w:before="40"/>
      <w:ind w:left="1985" w:right="567" w:hanging="567"/>
    </w:pPr>
    <w:rPr>
      <w:kern w:val="28"/>
      <w:sz w:val="18"/>
    </w:rPr>
  </w:style>
  <w:style w:type="paragraph" w:styleId="TOC6">
    <w:name w:val="toc 6"/>
    <w:basedOn w:val="Normal"/>
    <w:next w:val="Normal"/>
    <w:uiPriority w:val="39"/>
    <w:unhideWhenUsed/>
    <w:rsid w:val="00213AE5"/>
    <w:pPr>
      <w:keepLines/>
      <w:tabs>
        <w:tab w:val="right" w:pos="8278"/>
      </w:tabs>
      <w:spacing w:before="120"/>
      <w:ind w:left="1344" w:right="567" w:hanging="1344"/>
    </w:pPr>
    <w:rPr>
      <w:b/>
      <w:kern w:val="28"/>
    </w:rPr>
  </w:style>
  <w:style w:type="paragraph" w:styleId="TOC9">
    <w:name w:val="toc 9"/>
    <w:basedOn w:val="Normal"/>
    <w:next w:val="Normal"/>
    <w:uiPriority w:val="39"/>
    <w:unhideWhenUsed/>
    <w:rsid w:val="00213AE5"/>
    <w:pPr>
      <w:keepLines/>
      <w:tabs>
        <w:tab w:val="right" w:pos="8278"/>
      </w:tabs>
      <w:spacing w:before="80"/>
      <w:ind w:left="851" w:right="567"/>
    </w:pPr>
    <w:rPr>
      <w:i/>
      <w:kern w:val="28"/>
      <w:sz w:val="20"/>
    </w:rPr>
  </w:style>
  <w:style w:type="paragraph" w:customStyle="1" w:styleId="notepara">
    <w:name w:val="note(para)"/>
    <w:aliases w:val="na"/>
    <w:basedOn w:val="Normal"/>
    <w:rsid w:val="00213AE5"/>
    <w:pPr>
      <w:spacing w:before="40" w:line="198" w:lineRule="exact"/>
      <w:ind w:left="2354" w:hanging="369"/>
    </w:pPr>
    <w:rPr>
      <w:sz w:val="18"/>
    </w:rPr>
  </w:style>
  <w:style w:type="table" w:styleId="TableGrid">
    <w:name w:val="Table Grid"/>
    <w:basedOn w:val="TableNormal"/>
    <w:uiPriority w:val="59"/>
    <w:rsid w:val="00213A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13AE5"/>
    <w:pPr>
      <w:keepNext/>
      <w:pBdr>
        <w:bottom w:val="single" w:sz="4" w:space="12" w:color="auto"/>
      </w:pBdr>
      <w:tabs>
        <w:tab w:val="left" w:pos="3402"/>
      </w:tabs>
      <w:spacing w:line="300" w:lineRule="atLeast"/>
      <w:ind w:right="397"/>
    </w:pPr>
  </w:style>
  <w:style w:type="paragraph" w:customStyle="1" w:styleId="SignCoverPageStart">
    <w:name w:val="SignCoverPageStart"/>
    <w:basedOn w:val="Normal"/>
    <w:next w:val="Normal"/>
    <w:rsid w:val="00213AE5"/>
    <w:pPr>
      <w:pBdr>
        <w:top w:val="single" w:sz="4" w:space="1" w:color="auto"/>
      </w:pBdr>
      <w:spacing w:before="360" w:line="260" w:lineRule="atLeast"/>
      <w:ind w:right="397"/>
      <w:jc w:val="both"/>
    </w:pPr>
    <w:rPr>
      <w:sz w:val="22"/>
    </w:rPr>
  </w:style>
  <w:style w:type="character" w:customStyle="1" w:styleId="subsectionChar">
    <w:name w:val="subsection Char"/>
    <w:aliases w:val="ss Char"/>
    <w:basedOn w:val="DefaultParagraphFont"/>
    <w:link w:val="subsection"/>
    <w:locked/>
    <w:rsid w:val="00213AE5"/>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13AE5"/>
    <w:rPr>
      <w:rFonts w:ascii="Times New Roman" w:eastAsia="Times New Roman" w:hAnsi="Times New Roman" w:cs="Times New Roman"/>
      <w:sz w:val="18"/>
      <w:szCs w:val="20"/>
      <w:lang w:eastAsia="en-AU"/>
    </w:rPr>
  </w:style>
  <w:style w:type="character" w:customStyle="1" w:styleId="Heading3Char">
    <w:name w:val="Heading 3 Char"/>
    <w:basedOn w:val="DefaultParagraphFont"/>
    <w:link w:val="Heading3"/>
    <w:uiPriority w:val="9"/>
    <w:semiHidden/>
    <w:rsid w:val="00213AE5"/>
    <w:rPr>
      <w:rFonts w:asciiTheme="majorHAnsi" w:eastAsiaTheme="majorEastAsia" w:hAnsiTheme="majorHAnsi" w:cstheme="majorBidi"/>
      <w:color w:val="243F60" w:themeColor="accent1" w:themeShade="7F"/>
      <w:sz w:val="24"/>
      <w:szCs w:val="24"/>
      <w:lang w:eastAsia="en-AU"/>
    </w:rPr>
  </w:style>
  <w:style w:type="paragraph" w:customStyle="1" w:styleId="Default">
    <w:name w:val="Default"/>
    <w:rsid w:val="00213AE5"/>
    <w:pPr>
      <w:autoSpaceDE w:val="0"/>
      <w:autoSpaceDN w:val="0"/>
      <w:adjustRightInd w:val="0"/>
      <w:spacing w:after="0" w:line="240" w:lineRule="auto"/>
    </w:pPr>
    <w:rPr>
      <w:rFonts w:ascii="AvantGarde CondBook" w:hAnsi="AvantGarde CondBook" w:cs="AvantGarde CondBook"/>
      <w:color w:val="000000"/>
      <w:sz w:val="24"/>
      <w:szCs w:val="24"/>
    </w:rPr>
  </w:style>
  <w:style w:type="paragraph" w:customStyle="1" w:styleId="Pa1">
    <w:name w:val="Pa1"/>
    <w:basedOn w:val="Default"/>
    <w:next w:val="Default"/>
    <w:uiPriority w:val="99"/>
    <w:rsid w:val="00213AE5"/>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019737F0EF8C4F979F5BFB0282C0F2" ma:contentTypeVersion="" ma:contentTypeDescription="PDMS Document Site Content Type" ma:contentTypeScope="" ma:versionID="a0a452998d8e543fe1d61dc3eb1afc39">
  <xsd:schema xmlns:xsd="http://www.w3.org/2001/XMLSchema" xmlns:xs="http://www.w3.org/2001/XMLSchema" xmlns:p="http://schemas.microsoft.com/office/2006/metadata/properties" xmlns:ns2="F787DEB2-057C-4988-8B67-FAD9A8718CCF" targetNamespace="http://schemas.microsoft.com/office/2006/metadata/properties" ma:root="true" ma:fieldsID="c94bbd537d533538ea88c2659eb72c8c" ns2:_="">
    <xsd:import namespace="F787DEB2-057C-4988-8B67-FAD9A8718C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DEB2-057C-4988-8B67-FAD9A8718C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87DEB2-057C-4988-8B67-FAD9A8718C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7102-7DC1-447B-9DA2-51453EDB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DEB2-057C-4988-8B67-FAD9A8718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F2E1E-97F2-4B42-98F7-C7D08C16BE77}">
  <ds:schemaRefs>
    <ds:schemaRef ds:uri="http://schemas.microsoft.com/sharepoint/v3/contenttype/forms"/>
  </ds:schemaRefs>
</ds:datastoreItem>
</file>

<file path=customXml/itemProps3.xml><?xml version="1.0" encoding="utf-8"?>
<ds:datastoreItem xmlns:ds="http://schemas.openxmlformats.org/officeDocument/2006/customXml" ds:itemID="{F2052F81-C0B2-4F7C-BC1E-3AE3D46160B6}">
  <ds:schemaRefs>
    <ds:schemaRef ds:uri="http://purl.org/dc/elements/1.1/"/>
    <ds:schemaRef ds:uri="http://schemas.microsoft.com/office/2006/metadata/properties"/>
    <ds:schemaRef ds:uri="http://schemas.microsoft.com/office/2006/documentManagement/types"/>
    <ds:schemaRef ds:uri="F787DEB2-057C-4988-8B67-FAD9A8718CC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31596CC-F61E-4096-A83B-0CCB357B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 AG - Brandis</vt:lpstr>
    </vt:vector>
  </TitlesOfParts>
  <Company>Australian Attorney General's Department</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AG - Brandis</dc:title>
  <dc:subject>Subject</dc:subject>
  <dc:creator>vucagj</dc:creator>
  <cp:lastModifiedBy>Emma Peterson</cp:lastModifiedBy>
  <cp:revision>37</cp:revision>
  <cp:lastPrinted>2019-07-11T01:15:00Z</cp:lastPrinted>
  <dcterms:created xsi:type="dcterms:W3CDTF">2019-06-06T21:27:00Z</dcterms:created>
  <dcterms:modified xsi:type="dcterms:W3CDTF">2019-07-30T00:07:00Z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Off">
    <vt:lpwstr>ActionOff</vt:lpwstr>
  </property>
  <property fmtid="{D5CDD505-2E9C-101B-9397-08002B2CF9AE}" pid="3" name="AdditionalSecurityInformation">
    <vt:lpwstr/>
  </property>
  <property fmtid="{D5CDD505-2E9C-101B-9397-08002B2CF9AE}" pid="4" name="AOPhone">
    <vt:lpwstr>AOPhone</vt:lpwstr>
  </property>
  <property fmtid="{D5CDD505-2E9C-101B-9397-08002B2CF9AE}" pid="5" name="Branch">
    <vt:lpwstr>Branch</vt:lpwstr>
  </property>
  <property fmtid="{D5CDD505-2E9C-101B-9397-08002B2CF9AE}" pid="6" name="ClearanceActualDate">
    <vt:lpwstr/>
  </property>
  <property fmtid="{D5CDD505-2E9C-101B-9397-08002B2CF9AE}" pid="7" name="ClearanceDueDate">
    <vt:lpwstr/>
  </property>
  <property fmtid="{D5CDD505-2E9C-101B-9397-08002B2CF9AE}" pid="8" name="ContentTypeId">
    <vt:lpwstr>0x010100266966F133664895A6EE3632470D45F50200D2F43FB68EC75746AF3911A9E77A6AB2</vt:lpwstr>
  </property>
  <property fmtid="{D5CDD505-2E9C-101B-9397-08002B2CF9AE}" pid="9" name="CriticalDate">
    <vt:lpwstr/>
  </property>
  <property fmtid="{D5CDD505-2E9C-101B-9397-08002B2CF9AE}" pid="10" name="CriticalDateReason">
    <vt:lpwstr/>
  </property>
  <property fmtid="{D5CDD505-2E9C-101B-9397-08002B2CF9AE}" pid="11" name="DateSenttoRO">
    <vt:lpwstr>DateSenttoRO</vt:lpwstr>
  </property>
  <property fmtid="{D5CDD505-2E9C-101B-9397-08002B2CF9AE}" pid="12" name="Div">
    <vt:lpwstr>Div</vt:lpwstr>
  </property>
  <property fmtid="{D5CDD505-2E9C-101B-9397-08002B2CF9AE}" pid="13" name="DivActionArea">
    <vt:lpwstr>DivActionArea</vt:lpwstr>
  </property>
  <property fmtid="{D5CDD505-2E9C-101B-9397-08002B2CF9AE}" pid="14" name="Electorates">
    <vt:lpwstr> </vt:lpwstr>
  </property>
  <property fmtid="{D5CDD505-2E9C-101B-9397-08002B2CF9AE}" pid="15" name="GroupResponsible">
    <vt:lpwstr>Comcare</vt:lpwstr>
  </property>
  <property fmtid="{D5CDD505-2E9C-101B-9397-08002B2CF9AE}" pid="16" name="HandlingProtocol">
    <vt:lpwstr>Standard</vt:lpwstr>
  </property>
  <property fmtid="{D5CDD505-2E9C-101B-9397-08002B2CF9AE}" pid="17" name="HPTRIM_Ignore">
    <vt:bool>true</vt:bool>
  </property>
  <property fmtid="{D5CDD505-2E9C-101B-9397-08002B2CF9AE}" pid="18" name="InformationMinister">
    <vt:lpwstr> </vt:lpwstr>
  </property>
  <property fmtid="{D5CDD505-2E9C-101B-9397-08002B2CF9AE}" pid="19" name="InitiatorAddressBlock">
    <vt:lpwstr/>
  </property>
  <property fmtid="{D5CDD505-2E9C-101B-9397-08002B2CF9AE}" pid="20" name="InitiatorAddressLine1">
    <vt:lpwstr/>
  </property>
  <property fmtid="{D5CDD505-2E9C-101B-9397-08002B2CF9AE}" pid="21" name="InitiatorAddressLine1And2">
    <vt:lpwstr/>
  </property>
  <property fmtid="{D5CDD505-2E9C-101B-9397-08002B2CF9AE}" pid="22" name="InitiatorAddressLine2">
    <vt:lpwstr/>
  </property>
  <property fmtid="{D5CDD505-2E9C-101B-9397-08002B2CF9AE}" pid="23" name="InitiatorContactName">
    <vt:lpwstr/>
  </property>
  <property fmtid="{D5CDD505-2E9C-101B-9397-08002B2CF9AE}" pid="24" name="InitiatorContactPosition">
    <vt:lpwstr/>
  </property>
  <property fmtid="{D5CDD505-2E9C-101B-9397-08002B2CF9AE}" pid="25" name="InitiatorCountry">
    <vt:lpwstr/>
  </property>
  <property fmtid="{D5CDD505-2E9C-101B-9397-08002B2CF9AE}" pid="26" name="InitiatorEmail">
    <vt:lpwstr/>
  </property>
  <property fmtid="{D5CDD505-2E9C-101B-9397-08002B2CF9AE}" pid="27" name="InitiatorFax">
    <vt:lpwstr/>
  </property>
  <property fmtid="{D5CDD505-2E9C-101B-9397-08002B2CF9AE}" pid="28" name="InitiatorFirstName">
    <vt:lpwstr/>
  </property>
  <property fmtid="{D5CDD505-2E9C-101B-9397-08002B2CF9AE}" pid="29" name="InitiatorFormalTitle">
    <vt:lpwstr/>
  </property>
  <property fmtid="{D5CDD505-2E9C-101B-9397-08002B2CF9AE}" pid="30" name="InitiatorFullName">
    <vt:lpwstr/>
  </property>
  <property fmtid="{D5CDD505-2E9C-101B-9397-08002B2CF9AE}" pid="31" name="InitiatorLastName">
    <vt:lpwstr/>
  </property>
  <property fmtid="{D5CDD505-2E9C-101B-9397-08002B2CF9AE}" pid="32" name="InitiatorMobile">
    <vt:lpwstr/>
  </property>
  <property fmtid="{D5CDD505-2E9C-101B-9397-08002B2CF9AE}" pid="33" name="InitiatorMPElectorate">
    <vt:lpwstr/>
  </property>
  <property fmtid="{D5CDD505-2E9C-101B-9397-08002B2CF9AE}" pid="34" name="InitiatorMPState">
    <vt:lpwstr/>
  </property>
  <property fmtid="{D5CDD505-2E9C-101B-9397-08002B2CF9AE}" pid="35" name="InitiatorNam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LastClearingOfficer">
    <vt:lpwstr/>
  </property>
  <property fmtid="{D5CDD505-2E9C-101B-9397-08002B2CF9AE}" pid="51" name="LinkedMinCorro">
    <vt:lpwstr>LinkedMinCorro</vt:lpwstr>
  </property>
  <property fmtid="{D5CDD505-2E9C-101B-9397-08002B2CF9AE}" pid="52" name="Ministers">
    <vt:lpwstr>Christian Porter</vt:lpwstr>
  </property>
  <property fmtid="{D5CDD505-2E9C-101B-9397-08002B2CF9AE}" pid="53" name="MOActionDueDate">
    <vt:lpwstr/>
  </property>
  <property fmtid="{D5CDD505-2E9C-101B-9397-08002B2CF9AE}" pid="54" name="PdrId">
    <vt:lpwstr>MS19-000261</vt:lpwstr>
  </property>
  <property fmtid="{D5CDD505-2E9C-101B-9397-08002B2CF9AE}" pid="55" name="Principal">
    <vt:lpwstr>Christian Porter</vt:lpwstr>
  </property>
  <property fmtid="{D5CDD505-2E9C-101B-9397-08002B2CF9AE}" pid="56" name="ReasonForSensitivity">
    <vt:lpwstr/>
  </property>
  <property fmtid="{D5CDD505-2E9C-101B-9397-08002B2CF9AE}" pid="57" name="RefNo">
    <vt:lpwstr>RefNo</vt:lpwstr>
  </property>
  <property fmtid="{D5CDD505-2E9C-101B-9397-08002B2CF9AE}" pid="58" name="RegisteredDate">
    <vt:lpwstr>06 June 2019</vt:lpwstr>
  </property>
  <property fmtid="{D5CDD505-2E9C-101B-9397-08002B2CF9AE}" pid="59" name="RequestedAction">
    <vt:lpwstr>Noting</vt:lpwstr>
  </property>
  <property fmtid="{D5CDD505-2E9C-101B-9397-08002B2CF9AE}" pid="60" name="RespDate">
    <vt:lpwstr>RespDate</vt:lpwstr>
  </property>
  <property fmtid="{D5CDD505-2E9C-101B-9397-08002B2CF9AE}" pid="61" name="RespOff">
    <vt:lpwstr>RespOff</vt:lpwstr>
  </property>
  <property fmtid="{D5CDD505-2E9C-101B-9397-08002B2CF9AE}" pid="62" name="RespOffRole">
    <vt:lpwstr>RespOffRole</vt:lpwstr>
  </property>
  <property fmtid="{D5CDD505-2E9C-101B-9397-08002B2CF9AE}" pid="63" name="ResponsibleMinister">
    <vt:lpwstr>Christian Porter</vt:lpwstr>
  </property>
  <property fmtid="{D5CDD505-2E9C-101B-9397-08002B2CF9AE}" pid="64" name="RespTel">
    <vt:lpwstr>RespTel</vt:lpwstr>
  </property>
  <property fmtid="{D5CDD505-2E9C-101B-9397-08002B2CF9AE}" pid="65" name="SecurityClassification">
    <vt:lpwstr>UNCLASSIFIED  </vt:lpwstr>
  </property>
  <property fmtid="{D5CDD505-2E9C-101B-9397-08002B2CF9AE}" pid="66" name="Subject">
    <vt:lpwstr>Safety, Rehabilitation and Compensation Guidelines for Rehabilitation Authorities 2019</vt:lpwstr>
  </property>
  <property fmtid="{D5CDD505-2E9C-101B-9397-08002B2CF9AE}" pid="67" name="TaskSeqNo">
    <vt:lpwstr>0</vt:lpwstr>
  </property>
  <property fmtid="{D5CDD505-2E9C-101B-9397-08002B2CF9AE}" pid="68" name="TemplateSubType">
    <vt:lpwstr>Basic</vt:lpwstr>
  </property>
  <property fmtid="{D5CDD505-2E9C-101B-9397-08002B2CF9AE}" pid="69" name="TemplateType">
    <vt:lpwstr>Information Submission</vt:lpwstr>
  </property>
  <property fmtid="{D5CDD505-2E9C-101B-9397-08002B2CF9AE}" pid="70" name="TrustedGroups">
    <vt:lpwstr>Parliamentary Coordinator MS, DLO, Ministerial Staff, Business Administrator, Limited Distribution MS</vt:lpwstr>
  </property>
</Properties>
</file>