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194E" w14:textId="09EA6A98" w:rsidR="002436BD" w:rsidRPr="002C6D26" w:rsidRDefault="00A94262" w:rsidP="00D85E77">
      <w:pPr>
        <w:pStyle w:val="Heading"/>
        <w:spacing w:after="240"/>
        <w:jc w:val="center"/>
        <w:rPr>
          <w:rFonts w:ascii="Times New Roman" w:hAnsi="Times New Roman"/>
          <w:sz w:val="24"/>
          <w:szCs w:val="24"/>
        </w:rPr>
      </w:pPr>
      <w:bookmarkStart w:id="0" w:name="_GoBack"/>
      <w:bookmarkEnd w:id="0"/>
      <w:r>
        <w:rPr>
          <w:rFonts w:ascii="Times New Roman" w:hAnsi="Times New Roman"/>
          <w:sz w:val="24"/>
          <w:szCs w:val="24"/>
        </w:rPr>
        <w:t>Financial Sector (Shareholdings)</w:t>
      </w:r>
      <w:r w:rsidR="002436BD" w:rsidRPr="002C6D26">
        <w:rPr>
          <w:rFonts w:ascii="Times New Roman" w:hAnsi="Times New Roman"/>
          <w:sz w:val="24"/>
          <w:szCs w:val="24"/>
        </w:rPr>
        <w:t xml:space="preserve"> determination No. </w:t>
      </w:r>
      <w:r>
        <w:rPr>
          <w:rFonts w:ascii="Times New Roman" w:hAnsi="Times New Roman"/>
          <w:sz w:val="24"/>
          <w:szCs w:val="24"/>
        </w:rPr>
        <w:t>1</w:t>
      </w:r>
      <w:r w:rsidR="002436BD" w:rsidRPr="002C6D26">
        <w:rPr>
          <w:rFonts w:ascii="Times New Roman" w:hAnsi="Times New Roman"/>
          <w:sz w:val="24"/>
          <w:szCs w:val="24"/>
        </w:rPr>
        <w:t xml:space="preserve"> of 20</w:t>
      </w:r>
      <w:r>
        <w:rPr>
          <w:rFonts w:ascii="Times New Roman" w:hAnsi="Times New Roman"/>
          <w:sz w:val="24"/>
          <w:szCs w:val="24"/>
        </w:rPr>
        <w:t>19</w:t>
      </w:r>
    </w:p>
    <w:p w14:paraId="753CBC9E" w14:textId="77777777" w:rsidR="002436BD" w:rsidRPr="002C6D26" w:rsidRDefault="002436BD" w:rsidP="00D85E77">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1D0032" w14:textId="77777777"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19D4F51" w14:textId="39028F89" w:rsidR="002436BD" w:rsidRPr="002C6D26" w:rsidRDefault="00A94262" w:rsidP="00D85E77">
      <w:pPr>
        <w:pStyle w:val="Heading"/>
        <w:tabs>
          <w:tab w:val="left" w:pos="360"/>
        </w:tabs>
        <w:spacing w:after="240"/>
        <w:jc w:val="center"/>
        <w:rPr>
          <w:rFonts w:ascii="Times New Roman" w:hAnsi="Times New Roman"/>
          <w:b w:val="0"/>
          <w:sz w:val="24"/>
          <w:szCs w:val="24"/>
        </w:rPr>
      </w:pPr>
      <w:r w:rsidRPr="00A94262">
        <w:rPr>
          <w:rFonts w:ascii="Times New Roman" w:hAnsi="Times New Roman"/>
          <w:b w:val="0"/>
          <w:i/>
          <w:sz w:val="24"/>
        </w:rPr>
        <w:t>Financial Sector (Shareholdings) Act 1998</w:t>
      </w:r>
      <w:r w:rsidR="002436BD" w:rsidRPr="002C6D26">
        <w:rPr>
          <w:rFonts w:ascii="Times New Roman" w:hAnsi="Times New Roman"/>
          <w:b w:val="0"/>
          <w:sz w:val="24"/>
          <w:szCs w:val="24"/>
        </w:rPr>
        <w:t xml:space="preserve">, </w:t>
      </w:r>
      <w:r w:rsidR="002436BD" w:rsidRPr="002C6D26">
        <w:rPr>
          <w:rFonts w:ascii="Times New Roman" w:hAnsi="Times New Roman"/>
          <w:b w:val="0"/>
          <w:color w:val="000000"/>
          <w:sz w:val="24"/>
          <w:szCs w:val="24"/>
        </w:rPr>
        <w:t xml:space="preserve">section </w:t>
      </w:r>
      <w:r>
        <w:rPr>
          <w:rFonts w:ascii="Times New Roman" w:hAnsi="Times New Roman"/>
          <w:b w:val="0"/>
          <w:color w:val="000000"/>
          <w:sz w:val="24"/>
          <w:szCs w:val="24"/>
        </w:rPr>
        <w:t>45A</w:t>
      </w:r>
    </w:p>
    <w:p w14:paraId="5AF87F09" w14:textId="5ADFEB20" w:rsidR="002436BD" w:rsidRPr="002C6D26" w:rsidRDefault="002436BD" w:rsidP="0027161C">
      <w:pPr>
        <w:widowControl w:val="0"/>
        <w:spacing w:after="240" w:line="276" w:lineRule="auto"/>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w:t>
      </w:r>
      <w:r w:rsidR="00E73157">
        <w:rPr>
          <w:rFonts w:ascii="Times New Roman" w:hAnsi="Times New Roman"/>
          <w:sz w:val="24"/>
          <w:szCs w:val="24"/>
        </w:rPr>
        <w:t>paragraph</w:t>
      </w:r>
      <w:r w:rsidR="00E73157" w:rsidRPr="002C6D26">
        <w:rPr>
          <w:rFonts w:ascii="Times New Roman" w:hAnsi="Times New Roman"/>
          <w:sz w:val="24"/>
          <w:szCs w:val="24"/>
        </w:rPr>
        <w:t xml:space="preserve"> </w:t>
      </w:r>
      <w:r w:rsidR="00A94262">
        <w:rPr>
          <w:rFonts w:ascii="Times New Roman" w:hAnsi="Times New Roman"/>
          <w:sz w:val="24"/>
          <w:szCs w:val="24"/>
        </w:rPr>
        <w:t>45A</w:t>
      </w:r>
      <w:r w:rsidRPr="002C6D26">
        <w:rPr>
          <w:rFonts w:ascii="Times New Roman" w:hAnsi="Times New Roman"/>
          <w:sz w:val="24"/>
          <w:szCs w:val="24"/>
        </w:rPr>
        <w:t>(1)</w:t>
      </w:r>
      <w:r w:rsidR="00A94262">
        <w:rPr>
          <w:rFonts w:ascii="Times New Roman" w:hAnsi="Times New Roman"/>
          <w:sz w:val="24"/>
          <w:szCs w:val="24"/>
        </w:rPr>
        <w:t>(a)</w:t>
      </w:r>
      <w:r w:rsidRPr="002C6D26">
        <w:rPr>
          <w:rFonts w:ascii="Times New Roman" w:hAnsi="Times New Roman"/>
          <w:sz w:val="24"/>
          <w:szCs w:val="24"/>
        </w:rPr>
        <w:t xml:space="preserve"> of the </w:t>
      </w:r>
      <w:r w:rsidR="00A94262" w:rsidRPr="00A94262">
        <w:rPr>
          <w:rFonts w:ascii="Times New Roman" w:hAnsi="Times New Roman"/>
          <w:i/>
          <w:sz w:val="24"/>
        </w:rPr>
        <w:t>Financial Sector (Shareholdings) Act 1998</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w:t>
      </w:r>
      <w:r w:rsidR="00A94262">
        <w:rPr>
          <w:rFonts w:ascii="Times New Roman" w:hAnsi="Times New Roman"/>
          <w:sz w:val="24"/>
          <w:szCs w:val="24"/>
        </w:rPr>
        <w:t>make Rules prescribing matters required or permitted by the Act</w:t>
      </w:r>
      <w:r w:rsidRPr="007428D4">
        <w:rPr>
          <w:rFonts w:ascii="Times New Roman" w:hAnsi="Times New Roman"/>
          <w:sz w:val="24"/>
          <w:szCs w:val="24"/>
        </w:rPr>
        <w:t>.</w:t>
      </w:r>
    </w:p>
    <w:p w14:paraId="0A2E6758" w14:textId="4AFF1CED" w:rsidR="00246723" w:rsidRDefault="002436BD" w:rsidP="0027161C">
      <w:pPr>
        <w:widowControl w:val="0"/>
        <w:spacing w:after="240" w:line="276" w:lineRule="auto"/>
        <w:jc w:val="both"/>
        <w:rPr>
          <w:rFonts w:ascii="Times New Roman" w:hAnsi="Times New Roman"/>
          <w:sz w:val="24"/>
          <w:szCs w:val="24"/>
        </w:rPr>
      </w:pPr>
      <w:r>
        <w:rPr>
          <w:rFonts w:ascii="Times New Roman" w:hAnsi="Times New Roman"/>
          <w:sz w:val="24"/>
          <w:szCs w:val="24"/>
        </w:rPr>
        <w:t xml:space="preserve">On </w:t>
      </w:r>
      <w:r w:rsidR="00DD48E7">
        <w:rPr>
          <w:rFonts w:ascii="Times New Roman" w:hAnsi="Times New Roman"/>
          <w:sz w:val="24"/>
          <w:szCs w:val="24"/>
        </w:rPr>
        <w:t>18 August 2019</w:t>
      </w:r>
      <w:r>
        <w:rPr>
          <w:rFonts w:ascii="Times New Roman" w:hAnsi="Times New Roman"/>
          <w:sz w:val="24"/>
          <w:szCs w:val="24"/>
        </w:rPr>
        <w:t xml:space="preserve">, APRA made </w:t>
      </w:r>
      <w:r w:rsidR="00A94262" w:rsidRPr="00A94262">
        <w:rPr>
          <w:rFonts w:ascii="Times New Roman" w:hAnsi="Times New Roman"/>
          <w:sz w:val="24"/>
          <w:szCs w:val="24"/>
        </w:rPr>
        <w:t>Financial Sector (Shareholdings) determination No. 1 of 2019</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009B6879">
        <w:rPr>
          <w:rFonts w:ascii="Times New Roman" w:hAnsi="Times New Roman"/>
          <w:sz w:val="24"/>
          <w:szCs w:val="24"/>
        </w:rPr>
        <w:t>makes</w:t>
      </w:r>
      <w:r w:rsidR="009B6879" w:rsidRPr="002C6D26">
        <w:rPr>
          <w:rFonts w:ascii="Times New Roman" w:hAnsi="Times New Roman"/>
          <w:sz w:val="24"/>
          <w:szCs w:val="24"/>
        </w:rPr>
        <w:t xml:space="preserve"> </w:t>
      </w:r>
      <w:r w:rsidR="00A94262" w:rsidRPr="00A94262">
        <w:rPr>
          <w:rFonts w:ascii="Times New Roman" w:hAnsi="Times New Roman"/>
          <w:i/>
          <w:sz w:val="24"/>
        </w:rPr>
        <w:t xml:space="preserve">Financial Sector (Shareholdings) </w:t>
      </w:r>
      <w:r w:rsidR="00A94262" w:rsidRPr="00A94262">
        <w:rPr>
          <w:rFonts w:ascii="Times New Roman" w:hAnsi="Times New Roman"/>
          <w:i/>
          <w:iCs/>
          <w:sz w:val="24"/>
        </w:rPr>
        <w:t>Rules 2019</w:t>
      </w:r>
      <w:r w:rsidR="00A94262">
        <w:rPr>
          <w:rFonts w:ascii="Times New Roman" w:hAnsi="Times New Roman"/>
          <w:i/>
          <w:iCs/>
          <w:sz w:val="24"/>
        </w:rPr>
        <w:t xml:space="preserve"> </w:t>
      </w:r>
      <w:r w:rsidR="00A94262" w:rsidRPr="00A94262">
        <w:rPr>
          <w:rFonts w:ascii="Times New Roman" w:hAnsi="Times New Roman"/>
          <w:iCs/>
          <w:sz w:val="24"/>
        </w:rPr>
        <w:t>(FSSA Rules)</w:t>
      </w:r>
      <w:r w:rsidR="00246723">
        <w:rPr>
          <w:rFonts w:ascii="Times New Roman" w:hAnsi="Times New Roman"/>
          <w:sz w:val="24"/>
          <w:szCs w:val="24"/>
        </w:rPr>
        <w:t>.</w:t>
      </w:r>
    </w:p>
    <w:p w14:paraId="313F641A" w14:textId="3E492A21" w:rsidR="002436BD" w:rsidRDefault="00246723" w:rsidP="0027161C">
      <w:pPr>
        <w:widowControl w:val="0"/>
        <w:spacing w:after="240" w:line="276" w:lineRule="auto"/>
        <w:jc w:val="both"/>
        <w:rPr>
          <w:rFonts w:ascii="Times New Roman" w:hAnsi="Times New Roman"/>
          <w:sz w:val="24"/>
          <w:szCs w:val="24"/>
        </w:rPr>
      </w:pPr>
      <w:r>
        <w:rPr>
          <w:rFonts w:ascii="Times New Roman" w:hAnsi="Times New Roman"/>
          <w:sz w:val="24"/>
          <w:szCs w:val="24"/>
        </w:rPr>
        <w:t xml:space="preserve">The instrument commences </w:t>
      </w:r>
      <w:r w:rsidR="00996473" w:rsidRPr="00996473">
        <w:rPr>
          <w:rFonts w:ascii="Times New Roman" w:hAnsi="Times New Roman"/>
          <w:sz w:val="24"/>
          <w:szCs w:val="24"/>
        </w:rPr>
        <w:t>on the day it is registered on the Federal Register of Legislation.</w:t>
      </w:r>
      <w:r w:rsidR="002436BD" w:rsidRPr="002C6D26">
        <w:rPr>
          <w:rFonts w:ascii="Times New Roman" w:hAnsi="Times New Roman"/>
          <w:sz w:val="24"/>
          <w:szCs w:val="24"/>
        </w:rPr>
        <w:t xml:space="preserve"> </w:t>
      </w:r>
    </w:p>
    <w:p w14:paraId="64AE87C7" w14:textId="77777777" w:rsidR="002436BD" w:rsidRDefault="002436BD" w:rsidP="0027161C">
      <w:pPr>
        <w:pStyle w:val="Heading"/>
        <w:keepNext/>
        <w:numPr>
          <w:ilvl w:val="0"/>
          <w:numId w:val="2"/>
        </w:numPr>
        <w:spacing w:after="240" w:line="276" w:lineRule="auto"/>
        <w:ind w:left="0" w:firstLine="0"/>
        <w:outlineLvl w:val="0"/>
        <w:rPr>
          <w:rFonts w:ascii="Times New Roman" w:hAnsi="Times New Roman"/>
          <w:sz w:val="24"/>
          <w:szCs w:val="24"/>
        </w:rPr>
      </w:pPr>
      <w:r w:rsidRPr="002C6D26">
        <w:rPr>
          <w:rFonts w:ascii="Times New Roman" w:hAnsi="Times New Roman"/>
          <w:sz w:val="24"/>
          <w:szCs w:val="24"/>
        </w:rPr>
        <w:t>Background</w:t>
      </w:r>
    </w:p>
    <w:p w14:paraId="3E6646EA" w14:textId="1DD5525E" w:rsidR="00DF55CA" w:rsidRDefault="00DF55CA" w:rsidP="0027161C">
      <w:pPr>
        <w:spacing w:line="276" w:lineRule="auto"/>
        <w:jc w:val="both"/>
        <w:rPr>
          <w:rFonts w:ascii="Times New Roman" w:hAnsi="Times New Roman"/>
          <w:sz w:val="24"/>
          <w:szCs w:val="24"/>
        </w:rPr>
      </w:pPr>
      <w:bookmarkStart w:id="4" w:name="bkBackground"/>
      <w:bookmarkEnd w:id="4"/>
      <w:r w:rsidRPr="00DF55CA">
        <w:rPr>
          <w:rFonts w:ascii="Times New Roman" w:hAnsi="Times New Roman"/>
          <w:sz w:val="24"/>
          <w:szCs w:val="24"/>
        </w:rPr>
        <w:t>The Act regulates the ownership and acquisitions of prudentially regulated financial institutions to minimise risks associated with a concentration of ownership and thereby enhance the overall stability of the Australian financial system. Under section 13 of the Act, a person applying for approval to hold a stake of more than 20 per cent in a financial sector company may apply for approval under a ‘national interest’ test or by satisfying the decision maker that the applicant is a fit and proper person. Applicants can include individual persons, and corporate entities. Corporate entities in demonstrating their fitness and propriety must also demonstrate that their directors, chief executive or equivalent persons are fit and proper. Applicants are expected to provide sufficient information (which may include personal information about themselves or their directors, chief executives or equivalent) to satisfy the decision maker under the relevant test.</w:t>
      </w:r>
    </w:p>
    <w:p w14:paraId="4F021465" w14:textId="77777777" w:rsidR="00DF55CA" w:rsidRDefault="00DF55CA" w:rsidP="0027161C">
      <w:pPr>
        <w:spacing w:line="276" w:lineRule="auto"/>
        <w:jc w:val="both"/>
        <w:rPr>
          <w:rFonts w:ascii="Times New Roman" w:hAnsi="Times New Roman"/>
          <w:sz w:val="24"/>
          <w:szCs w:val="24"/>
        </w:rPr>
      </w:pPr>
    </w:p>
    <w:p w14:paraId="2D6F28C6" w14:textId="463586E4" w:rsidR="00981B96" w:rsidRDefault="00DF55CA" w:rsidP="0027161C">
      <w:pPr>
        <w:spacing w:line="276" w:lineRule="auto"/>
        <w:jc w:val="both"/>
        <w:rPr>
          <w:rFonts w:ascii="Times New Roman" w:hAnsi="Times New Roman"/>
          <w:sz w:val="24"/>
          <w:szCs w:val="24"/>
        </w:rPr>
      </w:pPr>
      <w:r>
        <w:rPr>
          <w:rFonts w:ascii="Times New Roman" w:hAnsi="Times New Roman"/>
          <w:sz w:val="24"/>
          <w:szCs w:val="24"/>
        </w:rPr>
        <w:t>Applications based solely on fitness and propriety were introduced into the Act by t</w:t>
      </w:r>
      <w:r w:rsidR="00981B96" w:rsidRPr="000B2AC0">
        <w:rPr>
          <w:rFonts w:ascii="Times New Roman" w:hAnsi="Times New Roman"/>
          <w:sz w:val="24"/>
          <w:szCs w:val="24"/>
        </w:rPr>
        <w:t xml:space="preserve">he </w:t>
      </w:r>
      <w:r w:rsidR="00981B96" w:rsidRPr="00945D8C">
        <w:rPr>
          <w:rFonts w:ascii="Times New Roman" w:hAnsi="Times New Roman"/>
          <w:i/>
          <w:sz w:val="24"/>
          <w:szCs w:val="24"/>
        </w:rPr>
        <w:t>Treasury Laws Amendment (Financial Sector Regulation) Ac</w:t>
      </w:r>
      <w:r w:rsidR="000B2AC0" w:rsidRPr="00945D8C">
        <w:rPr>
          <w:rFonts w:ascii="Times New Roman" w:hAnsi="Times New Roman"/>
          <w:i/>
          <w:sz w:val="24"/>
          <w:szCs w:val="24"/>
        </w:rPr>
        <w:t>t 2018</w:t>
      </w:r>
      <w:r w:rsidR="000B2AC0">
        <w:rPr>
          <w:rFonts w:ascii="Times New Roman" w:hAnsi="Times New Roman"/>
          <w:sz w:val="24"/>
          <w:szCs w:val="24"/>
        </w:rPr>
        <w:t xml:space="preserve"> (the amending Act) </w:t>
      </w:r>
      <w:r>
        <w:rPr>
          <w:rFonts w:ascii="Times New Roman" w:hAnsi="Times New Roman"/>
          <w:sz w:val="24"/>
          <w:szCs w:val="24"/>
        </w:rPr>
        <w:t>from</w:t>
      </w:r>
      <w:r w:rsidR="00981B96" w:rsidRPr="000B2AC0">
        <w:rPr>
          <w:rFonts w:ascii="Times New Roman" w:hAnsi="Times New Roman"/>
          <w:sz w:val="24"/>
          <w:szCs w:val="24"/>
        </w:rPr>
        <w:t xml:space="preserve"> 1 April 2019</w:t>
      </w:r>
      <w:r>
        <w:rPr>
          <w:rFonts w:ascii="Times New Roman" w:hAnsi="Times New Roman"/>
          <w:sz w:val="24"/>
          <w:szCs w:val="24"/>
        </w:rPr>
        <w:t>.  This is</w:t>
      </w:r>
      <w:r w:rsidR="00981B96" w:rsidRPr="000B2AC0">
        <w:rPr>
          <w:rFonts w:ascii="Times New Roman" w:hAnsi="Times New Roman"/>
          <w:sz w:val="24"/>
          <w:szCs w:val="24"/>
        </w:rPr>
        <w:t xml:space="preserve"> a streamlined approval path </w:t>
      </w:r>
      <w:r w:rsidR="00BB426A">
        <w:rPr>
          <w:rFonts w:ascii="Times New Roman" w:hAnsi="Times New Roman"/>
          <w:sz w:val="24"/>
          <w:szCs w:val="24"/>
        </w:rPr>
        <w:t xml:space="preserve">that is limited to the holding of a stake in </w:t>
      </w:r>
      <w:r w:rsidR="00981B96" w:rsidRPr="000B2AC0">
        <w:rPr>
          <w:rFonts w:ascii="Times New Roman" w:hAnsi="Times New Roman"/>
          <w:sz w:val="24"/>
          <w:szCs w:val="24"/>
        </w:rPr>
        <w:t xml:space="preserve">a new or recently established domestically-incorporated </w:t>
      </w:r>
      <w:r w:rsidR="00427C0F">
        <w:rPr>
          <w:rFonts w:ascii="Times New Roman" w:hAnsi="Times New Roman"/>
          <w:sz w:val="24"/>
          <w:szCs w:val="24"/>
        </w:rPr>
        <w:t xml:space="preserve">authorised deposit-taking institution, general insurer or life company </w:t>
      </w:r>
      <w:r w:rsidR="00981B96" w:rsidRPr="000B2AC0">
        <w:rPr>
          <w:rFonts w:ascii="Times New Roman" w:hAnsi="Times New Roman"/>
          <w:sz w:val="24"/>
          <w:szCs w:val="24"/>
        </w:rPr>
        <w:t>with assets below the relevant threshold</w:t>
      </w:r>
      <w:r w:rsidR="00FB7849">
        <w:rPr>
          <w:rFonts w:ascii="Times New Roman" w:hAnsi="Times New Roman"/>
          <w:sz w:val="24"/>
          <w:szCs w:val="24"/>
        </w:rPr>
        <w:t>, or a 100 per cent</w:t>
      </w:r>
      <w:r w:rsidR="00427C0F">
        <w:rPr>
          <w:rFonts w:ascii="Times New Roman" w:hAnsi="Times New Roman"/>
          <w:sz w:val="24"/>
          <w:szCs w:val="24"/>
        </w:rPr>
        <w:t xml:space="preserve"> holding company of such an entity</w:t>
      </w:r>
      <w:r w:rsidR="00981B96" w:rsidRPr="000B2AC0">
        <w:rPr>
          <w:rFonts w:ascii="Times New Roman" w:hAnsi="Times New Roman"/>
          <w:sz w:val="24"/>
          <w:szCs w:val="24"/>
        </w:rPr>
        <w:t xml:space="preserve">. </w:t>
      </w:r>
    </w:p>
    <w:p w14:paraId="66EAE385" w14:textId="77777777" w:rsidR="000B2AC0" w:rsidRPr="000B2AC0" w:rsidRDefault="000B2AC0" w:rsidP="0027161C">
      <w:pPr>
        <w:spacing w:line="276" w:lineRule="auto"/>
        <w:jc w:val="both"/>
        <w:rPr>
          <w:rFonts w:ascii="Times New Roman" w:hAnsi="Times New Roman"/>
          <w:sz w:val="24"/>
          <w:szCs w:val="24"/>
        </w:rPr>
      </w:pPr>
    </w:p>
    <w:p w14:paraId="11FDC70F" w14:textId="0E84A9AE" w:rsidR="00981B96" w:rsidRDefault="00981B96" w:rsidP="0027161C">
      <w:pPr>
        <w:pStyle w:val="Heading"/>
        <w:keepNext/>
        <w:spacing w:after="240" w:line="276" w:lineRule="auto"/>
        <w:outlineLvl w:val="0"/>
        <w:rPr>
          <w:rFonts w:ascii="Times New Roman" w:hAnsi="Times New Roman"/>
          <w:b w:val="0"/>
          <w:sz w:val="24"/>
          <w:szCs w:val="24"/>
        </w:rPr>
      </w:pPr>
      <w:r w:rsidRPr="00981B96">
        <w:rPr>
          <w:rFonts w:ascii="Times New Roman" w:hAnsi="Times New Roman"/>
          <w:b w:val="0"/>
          <w:sz w:val="24"/>
          <w:szCs w:val="24"/>
        </w:rPr>
        <w:lastRenderedPageBreak/>
        <w:t xml:space="preserve">Under the streamlined approval path, applicants </w:t>
      </w:r>
      <w:r w:rsidR="000B2AC0">
        <w:rPr>
          <w:rFonts w:ascii="Times New Roman" w:hAnsi="Times New Roman"/>
          <w:b w:val="0"/>
          <w:sz w:val="24"/>
          <w:szCs w:val="24"/>
        </w:rPr>
        <w:t>are</w:t>
      </w:r>
      <w:r w:rsidRPr="00981B96">
        <w:rPr>
          <w:rFonts w:ascii="Times New Roman" w:hAnsi="Times New Roman"/>
          <w:b w:val="0"/>
          <w:sz w:val="24"/>
          <w:szCs w:val="24"/>
        </w:rPr>
        <w:t xml:space="preserve"> not assessed against the national interest framework. Approvals granted under the streamlined path will require the holder of the approval to provide relevant information to APRA annually. </w:t>
      </w:r>
    </w:p>
    <w:p w14:paraId="71A1C46E" w14:textId="4FCA53BA" w:rsidR="002436BD" w:rsidRDefault="002436BD" w:rsidP="0027161C">
      <w:pPr>
        <w:pStyle w:val="Heading"/>
        <w:keepNext/>
        <w:spacing w:after="240" w:line="276" w:lineRule="auto"/>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72553B60" w14:textId="576C7358" w:rsidR="000B2AC0" w:rsidRPr="000B2AC0" w:rsidRDefault="00BB426A" w:rsidP="0027161C">
      <w:pPr>
        <w:pStyle w:val="BULLET1"/>
        <w:numPr>
          <w:ilvl w:val="0"/>
          <w:numId w:val="0"/>
        </w:numPr>
        <w:spacing w:line="276" w:lineRule="auto"/>
        <w:rPr>
          <w:rFonts w:ascii="Times New Roman" w:hAnsi="Times New Roman" w:cs="Times New Roman"/>
          <w:sz w:val="24"/>
          <w:szCs w:val="24"/>
        </w:rPr>
      </w:pPr>
      <w:bookmarkStart w:id="5" w:name="bkPurpose"/>
      <w:bookmarkEnd w:id="5"/>
      <w:r>
        <w:rPr>
          <w:rFonts w:ascii="Times New Roman" w:hAnsi="Times New Roman" w:cs="Times New Roman"/>
          <w:sz w:val="24"/>
          <w:szCs w:val="24"/>
        </w:rPr>
        <w:t>The amending Act introduced p</w:t>
      </w:r>
      <w:r w:rsidR="000B2AC0" w:rsidRPr="000B2AC0">
        <w:rPr>
          <w:rFonts w:ascii="Times New Roman" w:hAnsi="Times New Roman" w:cs="Times New Roman"/>
          <w:sz w:val="24"/>
          <w:szCs w:val="24"/>
        </w:rPr>
        <w:t xml:space="preserve">aragraph 45A(1)(a) of the </w:t>
      </w:r>
      <w:r w:rsidR="000B2AC0">
        <w:rPr>
          <w:rFonts w:ascii="Times New Roman" w:hAnsi="Times New Roman" w:cs="Times New Roman"/>
          <w:sz w:val="24"/>
          <w:szCs w:val="24"/>
        </w:rPr>
        <w:t>Act</w:t>
      </w:r>
      <w:r>
        <w:rPr>
          <w:rFonts w:ascii="Times New Roman" w:hAnsi="Times New Roman" w:cs="Times New Roman"/>
          <w:sz w:val="24"/>
          <w:szCs w:val="24"/>
        </w:rPr>
        <w:t>, which</w:t>
      </w:r>
      <w:r w:rsidR="000B2AC0" w:rsidRPr="000B2AC0">
        <w:rPr>
          <w:rFonts w:ascii="Times New Roman" w:hAnsi="Times New Roman" w:cs="Times New Roman"/>
          <w:sz w:val="24"/>
          <w:szCs w:val="24"/>
        </w:rPr>
        <w:t xml:space="preserve"> provid</w:t>
      </w:r>
      <w:r w:rsidR="000B2AC0">
        <w:rPr>
          <w:rFonts w:ascii="Times New Roman" w:hAnsi="Times New Roman" w:cs="Times New Roman"/>
          <w:sz w:val="24"/>
          <w:szCs w:val="24"/>
        </w:rPr>
        <w:t>es</w:t>
      </w:r>
      <w:r w:rsidR="000B2AC0" w:rsidRPr="000B2AC0">
        <w:rPr>
          <w:rFonts w:ascii="Times New Roman" w:hAnsi="Times New Roman" w:cs="Times New Roman"/>
          <w:sz w:val="24"/>
          <w:szCs w:val="24"/>
        </w:rPr>
        <w:t xml:space="preserve"> APRA with the power to make rules by legislative instrument prescribing matters required or permitted by the FSSA. To this end, </w:t>
      </w:r>
      <w:r w:rsidR="00AE0AF3">
        <w:rPr>
          <w:rFonts w:ascii="Times New Roman" w:hAnsi="Times New Roman" w:cs="Times New Roman"/>
          <w:sz w:val="24"/>
          <w:szCs w:val="24"/>
        </w:rPr>
        <w:t>t</w:t>
      </w:r>
      <w:r w:rsidR="00AE0AF3" w:rsidRPr="00AE0AF3">
        <w:rPr>
          <w:rFonts w:ascii="Times New Roman" w:hAnsi="Times New Roman" w:cs="Times New Roman"/>
          <w:sz w:val="24"/>
          <w:szCs w:val="24"/>
        </w:rPr>
        <w:t>he purpose of the instrument is to make the FSSA Rules, which</w:t>
      </w:r>
      <w:r w:rsidR="00AE0AF3">
        <w:rPr>
          <w:rFonts w:ascii="Times New Roman" w:hAnsi="Times New Roman" w:cs="Times New Roman"/>
          <w:sz w:val="24"/>
          <w:szCs w:val="24"/>
        </w:rPr>
        <w:t xml:space="preserve"> prescribe</w:t>
      </w:r>
      <w:r w:rsidR="000B2AC0" w:rsidRPr="000B2AC0">
        <w:rPr>
          <w:rFonts w:ascii="Times New Roman" w:hAnsi="Times New Roman" w:cs="Times New Roman"/>
          <w:sz w:val="24"/>
          <w:szCs w:val="24"/>
        </w:rPr>
        <w:t>:</w:t>
      </w:r>
    </w:p>
    <w:p w14:paraId="4AD3D5F9" w14:textId="14164302" w:rsidR="000B2AC0" w:rsidRPr="000B2AC0" w:rsidRDefault="000B2AC0" w:rsidP="0027161C">
      <w:pPr>
        <w:pStyle w:val="BULLET1"/>
        <w:spacing w:line="276" w:lineRule="auto"/>
        <w:rPr>
          <w:rFonts w:ascii="Times New Roman" w:hAnsi="Times New Roman" w:cs="Times New Roman"/>
          <w:sz w:val="24"/>
          <w:szCs w:val="24"/>
        </w:rPr>
      </w:pPr>
      <w:r w:rsidRPr="000B2AC0">
        <w:rPr>
          <w:rFonts w:ascii="Times New Roman" w:hAnsi="Times New Roman" w:cs="Times New Roman"/>
          <w:sz w:val="24"/>
          <w:szCs w:val="24"/>
        </w:rPr>
        <w:t xml:space="preserve">matters that must be considered in determining whether a person is fit and proper for the purposes of the </w:t>
      </w:r>
      <w:r w:rsidR="001128A0">
        <w:rPr>
          <w:rFonts w:ascii="Times New Roman" w:hAnsi="Times New Roman" w:cs="Times New Roman"/>
          <w:sz w:val="24"/>
          <w:szCs w:val="24"/>
        </w:rPr>
        <w:t>Act</w:t>
      </w:r>
      <w:r w:rsidRPr="000B2AC0">
        <w:rPr>
          <w:rFonts w:ascii="Times New Roman" w:hAnsi="Times New Roman" w:cs="Times New Roman"/>
          <w:sz w:val="24"/>
          <w:szCs w:val="24"/>
        </w:rPr>
        <w:t xml:space="preserve"> (subsection 14A(2) of the </w:t>
      </w:r>
      <w:r>
        <w:rPr>
          <w:rFonts w:ascii="Times New Roman" w:hAnsi="Times New Roman" w:cs="Times New Roman"/>
          <w:sz w:val="24"/>
          <w:szCs w:val="24"/>
        </w:rPr>
        <w:t>Act</w:t>
      </w:r>
      <w:r w:rsidRPr="000B2AC0">
        <w:rPr>
          <w:rFonts w:ascii="Times New Roman" w:hAnsi="Times New Roman" w:cs="Times New Roman"/>
          <w:sz w:val="24"/>
          <w:szCs w:val="24"/>
        </w:rPr>
        <w:t xml:space="preserve">); </w:t>
      </w:r>
    </w:p>
    <w:p w14:paraId="3BC4944A" w14:textId="7C7B1072" w:rsidR="000B2AC0" w:rsidRPr="000B2AC0" w:rsidRDefault="000B2AC0" w:rsidP="0027161C">
      <w:pPr>
        <w:pStyle w:val="BULLET1"/>
        <w:spacing w:line="276" w:lineRule="auto"/>
        <w:rPr>
          <w:rFonts w:ascii="Times New Roman" w:hAnsi="Times New Roman" w:cs="Times New Roman"/>
          <w:sz w:val="24"/>
          <w:szCs w:val="24"/>
        </w:rPr>
      </w:pPr>
      <w:r w:rsidRPr="000B2AC0">
        <w:rPr>
          <w:rFonts w:ascii="Times New Roman" w:hAnsi="Times New Roman" w:cs="Times New Roman"/>
          <w:sz w:val="24"/>
          <w:szCs w:val="24"/>
        </w:rPr>
        <w:t xml:space="preserve">the meaning of ‘total resident assets’ used to determine whether a financial sector company’s assets are less than the </w:t>
      </w:r>
      <w:r w:rsidRPr="000B2AC0">
        <w:rPr>
          <w:rStyle w:val="hps-normal1"/>
          <w:rFonts w:ascii="Times New Roman" w:hAnsi="Times New Roman" w:cs="Times New Roman"/>
          <w:sz w:val="24"/>
          <w:szCs w:val="24"/>
        </w:rPr>
        <w:t xml:space="preserve">relevant assets threshold </w:t>
      </w:r>
      <w:r w:rsidRPr="000B2AC0">
        <w:rPr>
          <w:rFonts w:ascii="Times New Roman" w:hAnsi="Times New Roman" w:cs="Times New Roman"/>
          <w:sz w:val="24"/>
          <w:szCs w:val="24"/>
        </w:rPr>
        <w:t xml:space="preserve">(subsection 14A(5) of the </w:t>
      </w:r>
      <w:r>
        <w:rPr>
          <w:rFonts w:ascii="Times New Roman" w:hAnsi="Times New Roman" w:cs="Times New Roman"/>
          <w:sz w:val="24"/>
          <w:szCs w:val="24"/>
        </w:rPr>
        <w:t>Act</w:t>
      </w:r>
      <w:r w:rsidRPr="000B2AC0">
        <w:rPr>
          <w:rFonts w:ascii="Times New Roman" w:hAnsi="Times New Roman" w:cs="Times New Roman"/>
          <w:sz w:val="24"/>
          <w:szCs w:val="24"/>
        </w:rPr>
        <w:t>); and</w:t>
      </w:r>
    </w:p>
    <w:p w14:paraId="7F79A4C2" w14:textId="28FDFE79" w:rsidR="000B2AC0" w:rsidRPr="000B2AC0" w:rsidRDefault="000B2AC0" w:rsidP="0027161C">
      <w:pPr>
        <w:pStyle w:val="BULLET1"/>
        <w:spacing w:line="276" w:lineRule="auto"/>
        <w:rPr>
          <w:rFonts w:ascii="Times New Roman" w:hAnsi="Times New Roman" w:cs="Times New Roman"/>
          <w:sz w:val="24"/>
          <w:szCs w:val="24"/>
        </w:rPr>
      </w:pPr>
      <w:r w:rsidRPr="000B2AC0">
        <w:rPr>
          <w:rFonts w:ascii="Times New Roman" w:hAnsi="Times New Roman" w:cs="Times New Roman"/>
          <w:sz w:val="24"/>
          <w:szCs w:val="24"/>
        </w:rPr>
        <w:t>the information to be provided to APRA annually, as a condition of approval</w:t>
      </w:r>
      <w:r w:rsidR="001128A0">
        <w:rPr>
          <w:rFonts w:ascii="Times New Roman" w:hAnsi="Times New Roman" w:cs="Times New Roman"/>
          <w:sz w:val="24"/>
          <w:szCs w:val="24"/>
        </w:rPr>
        <w:t xml:space="preserve"> under subsection 14(1)(b) </w:t>
      </w:r>
      <w:r w:rsidRPr="000B2AC0">
        <w:rPr>
          <w:rFonts w:ascii="Times New Roman" w:hAnsi="Times New Roman" w:cs="Times New Roman"/>
          <w:sz w:val="24"/>
          <w:szCs w:val="24"/>
        </w:rPr>
        <w:t xml:space="preserve">(paragraph 16A(5)(b) of the </w:t>
      </w:r>
      <w:r>
        <w:rPr>
          <w:rFonts w:ascii="Times New Roman" w:hAnsi="Times New Roman" w:cs="Times New Roman"/>
          <w:sz w:val="24"/>
          <w:szCs w:val="24"/>
        </w:rPr>
        <w:t>Act</w:t>
      </w:r>
      <w:r w:rsidRPr="000B2AC0">
        <w:rPr>
          <w:rFonts w:ascii="Times New Roman" w:hAnsi="Times New Roman" w:cs="Times New Roman"/>
          <w:sz w:val="24"/>
          <w:szCs w:val="24"/>
        </w:rPr>
        <w:t>).</w:t>
      </w:r>
    </w:p>
    <w:p w14:paraId="152DD883" w14:textId="29EC21E4" w:rsidR="005B0BAF" w:rsidRDefault="005B0BAF" w:rsidP="0027161C">
      <w:pPr>
        <w:pStyle w:val="Heading"/>
        <w:spacing w:after="240" w:line="276" w:lineRule="auto"/>
        <w:rPr>
          <w:rFonts w:ascii="Times New Roman" w:hAnsi="Times New Roman"/>
          <w:b w:val="0"/>
          <w:sz w:val="24"/>
          <w:szCs w:val="24"/>
          <w:highlight w:val="yellow"/>
        </w:rPr>
      </w:pPr>
      <w:r w:rsidRPr="00FD728F">
        <w:rPr>
          <w:rFonts w:ascii="Times New Roman" w:hAnsi="Times New Roman"/>
          <w:b w:val="0"/>
          <w:sz w:val="24"/>
          <w:szCs w:val="24"/>
        </w:rPr>
        <w:t xml:space="preserve">Where </w:t>
      </w:r>
      <w:r w:rsidR="001128A0">
        <w:rPr>
          <w:rFonts w:ascii="Times New Roman" w:hAnsi="Times New Roman"/>
          <w:b w:val="0"/>
          <w:sz w:val="24"/>
          <w:szCs w:val="24"/>
        </w:rPr>
        <w:t xml:space="preserve">the </w:t>
      </w:r>
      <w:r w:rsidR="00A94262">
        <w:rPr>
          <w:rFonts w:ascii="Times New Roman" w:hAnsi="Times New Roman"/>
          <w:b w:val="0"/>
          <w:sz w:val="24"/>
          <w:szCs w:val="24"/>
        </w:rPr>
        <w:t>FSSA Rules</w:t>
      </w:r>
      <w:r>
        <w:rPr>
          <w:rFonts w:ascii="Times New Roman" w:hAnsi="Times New Roman"/>
          <w:b w:val="0"/>
          <w:sz w:val="24"/>
          <w:szCs w:val="24"/>
        </w:rPr>
        <w:t xml:space="preserve"> </w:t>
      </w:r>
      <w:r w:rsidR="00AA1493">
        <w:rPr>
          <w:rFonts w:ascii="Times New Roman" w:hAnsi="Times New Roman"/>
          <w:b w:val="0"/>
          <w:sz w:val="24"/>
          <w:szCs w:val="24"/>
        </w:rPr>
        <w:t>refers to</w:t>
      </w:r>
      <w:r w:rsidRPr="00FD728F">
        <w:rPr>
          <w:rFonts w:ascii="Times New Roman" w:hAnsi="Times New Roman"/>
          <w:b w:val="0"/>
          <w:sz w:val="24"/>
          <w:szCs w:val="24"/>
        </w:rPr>
        <w:t xml:space="preserve"> </w:t>
      </w:r>
      <w:r w:rsidR="009B2829">
        <w:rPr>
          <w:rFonts w:ascii="Times New Roman" w:hAnsi="Times New Roman"/>
          <w:b w:val="0"/>
          <w:sz w:val="24"/>
          <w:szCs w:val="24"/>
        </w:rPr>
        <w:t>an Act or</w:t>
      </w:r>
      <w:r w:rsidRPr="00FD728F">
        <w:rPr>
          <w:rFonts w:ascii="Times New Roman" w:hAnsi="Times New Roman"/>
          <w:b w:val="0"/>
          <w:sz w:val="24"/>
          <w:szCs w:val="24"/>
        </w:rPr>
        <w:t xml:space="preserve"> </w:t>
      </w:r>
      <w:r w:rsidR="00427C0F">
        <w:rPr>
          <w:rFonts w:ascii="Times New Roman" w:hAnsi="Times New Roman"/>
          <w:b w:val="0"/>
          <w:sz w:val="24"/>
          <w:szCs w:val="24"/>
        </w:rPr>
        <w:t xml:space="preserve">reporting </w:t>
      </w:r>
      <w:r w:rsidRPr="00FD728F">
        <w:rPr>
          <w:rFonts w:ascii="Times New Roman" w:hAnsi="Times New Roman"/>
          <w:b w:val="0"/>
          <w:sz w:val="24"/>
          <w:szCs w:val="24"/>
        </w:rPr>
        <w:t xml:space="preserve">standard, this is a reference to the </w:t>
      </w:r>
      <w:r w:rsidR="00AA1493">
        <w:rPr>
          <w:rFonts w:ascii="Times New Roman" w:hAnsi="Times New Roman"/>
          <w:b w:val="0"/>
          <w:sz w:val="24"/>
          <w:szCs w:val="24"/>
        </w:rPr>
        <w:t>document</w:t>
      </w:r>
      <w:r w:rsidRPr="00FD728F">
        <w:rPr>
          <w:rFonts w:ascii="Times New Roman" w:hAnsi="Times New Roman"/>
          <w:b w:val="0"/>
          <w:sz w:val="24"/>
          <w:szCs w:val="24"/>
        </w:rPr>
        <w:t xml:space="preserve"> as it exists from time to time</w:t>
      </w:r>
      <w:r w:rsidR="00157D65">
        <w:rPr>
          <w:rFonts w:ascii="Times New Roman" w:hAnsi="Times New Roman"/>
          <w:b w:val="0"/>
          <w:sz w:val="24"/>
          <w:szCs w:val="24"/>
        </w:rPr>
        <w:t>,</w:t>
      </w:r>
      <w:r w:rsidR="00157D65" w:rsidRPr="00157D65">
        <w:rPr>
          <w:b w:val="0"/>
          <w:sz w:val="22"/>
          <w:szCs w:val="20"/>
        </w:rPr>
        <w:t xml:space="preserve"> </w:t>
      </w:r>
      <w:r w:rsidR="00157D65" w:rsidRPr="00157D65">
        <w:rPr>
          <w:rFonts w:ascii="Times New Roman" w:hAnsi="Times New Roman"/>
          <w:b w:val="0"/>
          <w:sz w:val="24"/>
          <w:szCs w:val="24"/>
        </w:rPr>
        <w:t xml:space="preserve">and </w:t>
      </w:r>
      <w:r w:rsidR="0069678B">
        <w:rPr>
          <w:rFonts w:ascii="Times New Roman" w:hAnsi="Times New Roman"/>
          <w:b w:val="0"/>
          <w:sz w:val="24"/>
          <w:szCs w:val="24"/>
        </w:rPr>
        <w:t>which is</w:t>
      </w:r>
      <w:r w:rsidR="00157D65" w:rsidRPr="00157D65">
        <w:rPr>
          <w:rFonts w:ascii="Times New Roman" w:hAnsi="Times New Roman"/>
          <w:b w:val="0"/>
          <w:sz w:val="24"/>
          <w:szCs w:val="24"/>
        </w:rPr>
        <w:t xml:space="preserve"> available on the Federal Register of Legislation at </w:t>
      </w:r>
      <w:hyperlink r:id="rId13" w:history="1">
        <w:r w:rsidR="00157D65" w:rsidRPr="00157D65">
          <w:rPr>
            <w:rStyle w:val="Hyperlink"/>
            <w:rFonts w:ascii="Times New Roman" w:hAnsi="Times New Roman"/>
            <w:b w:val="0"/>
            <w:sz w:val="24"/>
            <w:szCs w:val="24"/>
          </w:rPr>
          <w:t>www.legislation.gov.au</w:t>
        </w:r>
      </w:hyperlink>
      <w:r w:rsidRPr="00FD728F">
        <w:rPr>
          <w:rFonts w:ascii="Times New Roman" w:hAnsi="Times New Roman"/>
          <w:b w:val="0"/>
          <w:sz w:val="24"/>
          <w:szCs w:val="24"/>
        </w:rPr>
        <w:t>.</w:t>
      </w:r>
    </w:p>
    <w:p w14:paraId="63BA98A8" w14:textId="77777777" w:rsidR="002436BD" w:rsidRDefault="002436BD" w:rsidP="0027161C">
      <w:pPr>
        <w:pStyle w:val="Heading"/>
        <w:numPr>
          <w:ilvl w:val="0"/>
          <w:numId w:val="2"/>
        </w:numPr>
        <w:spacing w:after="240" w:line="276" w:lineRule="auto"/>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087F51C2" w14:textId="4B8C451F" w:rsidR="002436BD" w:rsidRDefault="002436BD" w:rsidP="0027161C">
      <w:pPr>
        <w:pStyle w:val="Heading"/>
        <w:tabs>
          <w:tab w:val="left" w:pos="360"/>
        </w:tabs>
        <w:spacing w:after="240" w:line="276" w:lineRule="auto"/>
        <w:rPr>
          <w:rFonts w:ascii="Times New Roman" w:hAnsi="Times New Roman"/>
          <w:b w:val="0"/>
          <w:sz w:val="24"/>
          <w:szCs w:val="24"/>
        </w:rPr>
      </w:pPr>
      <w:r>
        <w:rPr>
          <w:rFonts w:ascii="Times New Roman" w:hAnsi="Times New Roman"/>
          <w:b w:val="0"/>
          <w:sz w:val="24"/>
          <w:szCs w:val="24"/>
        </w:rPr>
        <w:t xml:space="preserve">APRA undertook </w:t>
      </w:r>
      <w:r w:rsidR="000B2AC0">
        <w:rPr>
          <w:rFonts w:ascii="Times New Roman" w:hAnsi="Times New Roman"/>
          <w:b w:val="0"/>
          <w:sz w:val="24"/>
          <w:szCs w:val="24"/>
        </w:rPr>
        <w:t xml:space="preserve">a </w:t>
      </w:r>
      <w:r w:rsidR="001128A0">
        <w:rPr>
          <w:rFonts w:ascii="Times New Roman" w:hAnsi="Times New Roman"/>
          <w:b w:val="0"/>
          <w:sz w:val="24"/>
          <w:szCs w:val="24"/>
        </w:rPr>
        <w:t xml:space="preserve">public </w:t>
      </w:r>
      <w:r>
        <w:rPr>
          <w:rFonts w:ascii="Times New Roman" w:hAnsi="Times New Roman"/>
          <w:b w:val="0"/>
          <w:sz w:val="24"/>
          <w:szCs w:val="24"/>
        </w:rPr>
        <w:t xml:space="preserve">consultation on </w:t>
      </w:r>
      <w:r w:rsidR="00552D3E">
        <w:rPr>
          <w:rFonts w:ascii="Times New Roman" w:hAnsi="Times New Roman"/>
          <w:b w:val="0"/>
          <w:sz w:val="24"/>
          <w:szCs w:val="24"/>
        </w:rPr>
        <w:t>the</w:t>
      </w:r>
      <w:r>
        <w:rPr>
          <w:rFonts w:ascii="Times New Roman" w:hAnsi="Times New Roman"/>
          <w:b w:val="0"/>
          <w:sz w:val="24"/>
          <w:szCs w:val="24"/>
        </w:rPr>
        <w:t xml:space="preserve"> proposed </w:t>
      </w:r>
      <w:r w:rsidR="00981B96">
        <w:rPr>
          <w:rFonts w:ascii="Times New Roman" w:hAnsi="Times New Roman"/>
          <w:b w:val="0"/>
          <w:sz w:val="24"/>
          <w:szCs w:val="24"/>
        </w:rPr>
        <w:t>FSSA Rules</w:t>
      </w:r>
      <w:r>
        <w:rPr>
          <w:rFonts w:ascii="Times New Roman" w:hAnsi="Times New Roman"/>
          <w:b w:val="0"/>
          <w:sz w:val="24"/>
          <w:szCs w:val="24"/>
        </w:rPr>
        <w:t xml:space="preserve"> between </w:t>
      </w:r>
      <w:r w:rsidR="00981B96">
        <w:rPr>
          <w:rFonts w:ascii="Times New Roman" w:hAnsi="Times New Roman"/>
          <w:b w:val="0"/>
          <w:sz w:val="24"/>
          <w:szCs w:val="24"/>
        </w:rPr>
        <w:t>March 2019</w:t>
      </w:r>
      <w:r>
        <w:rPr>
          <w:rFonts w:ascii="Times New Roman" w:hAnsi="Times New Roman"/>
          <w:b w:val="0"/>
          <w:sz w:val="24"/>
          <w:szCs w:val="24"/>
        </w:rPr>
        <w:t xml:space="preserve"> </w:t>
      </w:r>
      <w:r w:rsidR="00981B96">
        <w:rPr>
          <w:rFonts w:ascii="Times New Roman" w:hAnsi="Times New Roman"/>
          <w:b w:val="0"/>
          <w:sz w:val="24"/>
          <w:szCs w:val="24"/>
        </w:rPr>
        <w:t>and</w:t>
      </w:r>
      <w:r>
        <w:rPr>
          <w:rFonts w:ascii="Times New Roman" w:hAnsi="Times New Roman"/>
          <w:b w:val="0"/>
          <w:sz w:val="24"/>
          <w:szCs w:val="24"/>
        </w:rPr>
        <w:t xml:space="preserve"> </w:t>
      </w:r>
      <w:r w:rsidR="00981B96">
        <w:rPr>
          <w:rFonts w:ascii="Times New Roman" w:hAnsi="Times New Roman"/>
          <w:b w:val="0"/>
          <w:sz w:val="24"/>
          <w:szCs w:val="24"/>
        </w:rPr>
        <w:t>May 2019</w:t>
      </w:r>
      <w:r>
        <w:rPr>
          <w:rFonts w:ascii="Times New Roman" w:hAnsi="Times New Roman"/>
          <w:b w:val="0"/>
          <w:sz w:val="24"/>
          <w:szCs w:val="24"/>
        </w:rPr>
        <w:t xml:space="preserve">. </w:t>
      </w:r>
      <w:r w:rsidR="00981B96">
        <w:rPr>
          <w:rFonts w:ascii="Times New Roman" w:hAnsi="Times New Roman"/>
          <w:b w:val="0"/>
          <w:sz w:val="24"/>
          <w:szCs w:val="24"/>
        </w:rPr>
        <w:t>A single s</w:t>
      </w:r>
      <w:r>
        <w:rPr>
          <w:rFonts w:ascii="Times New Roman" w:hAnsi="Times New Roman"/>
          <w:b w:val="0"/>
          <w:sz w:val="24"/>
          <w:szCs w:val="24"/>
        </w:rPr>
        <w:t>ubmission w</w:t>
      </w:r>
      <w:r w:rsidR="00981B96">
        <w:rPr>
          <w:rFonts w:ascii="Times New Roman" w:hAnsi="Times New Roman"/>
          <w:b w:val="0"/>
          <w:sz w:val="24"/>
          <w:szCs w:val="24"/>
        </w:rPr>
        <w:t>as</w:t>
      </w:r>
      <w:r>
        <w:rPr>
          <w:rFonts w:ascii="Times New Roman" w:hAnsi="Times New Roman"/>
          <w:b w:val="0"/>
          <w:sz w:val="24"/>
          <w:szCs w:val="24"/>
        </w:rPr>
        <w:t xml:space="preserve"> received</w:t>
      </w:r>
      <w:r w:rsidR="00981B96">
        <w:rPr>
          <w:rFonts w:ascii="Times New Roman" w:hAnsi="Times New Roman"/>
          <w:b w:val="0"/>
          <w:sz w:val="24"/>
          <w:szCs w:val="24"/>
        </w:rPr>
        <w:t>.</w:t>
      </w:r>
      <w:r>
        <w:rPr>
          <w:rFonts w:ascii="Times New Roman" w:hAnsi="Times New Roman"/>
          <w:b w:val="0"/>
          <w:sz w:val="24"/>
          <w:szCs w:val="24"/>
        </w:rPr>
        <w:t xml:space="preserve"> </w:t>
      </w:r>
    </w:p>
    <w:p w14:paraId="0C3E149A" w14:textId="62EE74DB" w:rsidR="00981B96" w:rsidRDefault="00981B96" w:rsidP="0027161C">
      <w:pPr>
        <w:pStyle w:val="Heading"/>
        <w:tabs>
          <w:tab w:val="left" w:pos="360"/>
        </w:tabs>
        <w:spacing w:after="240" w:line="276" w:lineRule="auto"/>
        <w:rPr>
          <w:rFonts w:ascii="Times New Roman" w:hAnsi="Times New Roman"/>
          <w:b w:val="0"/>
          <w:sz w:val="24"/>
          <w:szCs w:val="24"/>
        </w:rPr>
      </w:pPr>
      <w:bookmarkStart w:id="8" w:name="bkConsultation"/>
      <w:bookmarkStart w:id="9" w:name="bkRISNO"/>
      <w:bookmarkStart w:id="10" w:name="bkRIS"/>
      <w:bookmarkEnd w:id="8"/>
      <w:bookmarkEnd w:id="9"/>
      <w:r w:rsidRPr="00981B96">
        <w:rPr>
          <w:rFonts w:ascii="Times New Roman" w:hAnsi="Times New Roman"/>
          <w:b w:val="0"/>
          <w:sz w:val="24"/>
          <w:szCs w:val="24"/>
        </w:rPr>
        <w:t xml:space="preserve">The </w:t>
      </w:r>
      <w:r w:rsidR="00552D3E">
        <w:rPr>
          <w:rFonts w:ascii="Times New Roman" w:hAnsi="Times New Roman"/>
          <w:b w:val="0"/>
          <w:sz w:val="24"/>
          <w:szCs w:val="24"/>
        </w:rPr>
        <w:t>submission</w:t>
      </w:r>
      <w:r w:rsidR="00552D3E" w:rsidRPr="00981B96">
        <w:rPr>
          <w:rFonts w:ascii="Times New Roman" w:hAnsi="Times New Roman"/>
          <w:b w:val="0"/>
          <w:sz w:val="24"/>
          <w:szCs w:val="24"/>
        </w:rPr>
        <w:t xml:space="preserve"> </w:t>
      </w:r>
      <w:r w:rsidRPr="00981B96">
        <w:rPr>
          <w:rFonts w:ascii="Times New Roman" w:hAnsi="Times New Roman"/>
          <w:b w:val="0"/>
          <w:sz w:val="24"/>
          <w:szCs w:val="24"/>
        </w:rPr>
        <w:t xml:space="preserve">proposed </w:t>
      </w:r>
      <w:r w:rsidR="00D452F5">
        <w:rPr>
          <w:rFonts w:ascii="Times New Roman" w:hAnsi="Times New Roman"/>
          <w:b w:val="0"/>
          <w:sz w:val="24"/>
          <w:szCs w:val="24"/>
        </w:rPr>
        <w:t xml:space="preserve">that amendments be made </w:t>
      </w:r>
      <w:r w:rsidRPr="00981B96">
        <w:rPr>
          <w:rFonts w:ascii="Times New Roman" w:hAnsi="Times New Roman"/>
          <w:b w:val="0"/>
          <w:sz w:val="24"/>
          <w:szCs w:val="24"/>
        </w:rPr>
        <w:t xml:space="preserve">to the </w:t>
      </w:r>
      <w:r w:rsidR="000B2AC0">
        <w:rPr>
          <w:rFonts w:ascii="Times New Roman" w:hAnsi="Times New Roman"/>
          <w:b w:val="0"/>
          <w:sz w:val="24"/>
          <w:szCs w:val="24"/>
        </w:rPr>
        <w:t>Act</w:t>
      </w:r>
      <w:r w:rsidRPr="00981B96">
        <w:rPr>
          <w:rFonts w:ascii="Times New Roman" w:hAnsi="Times New Roman"/>
          <w:b w:val="0"/>
          <w:sz w:val="24"/>
          <w:szCs w:val="24"/>
        </w:rPr>
        <w:t xml:space="preserve"> </w:t>
      </w:r>
      <w:r w:rsidR="00D452F5">
        <w:rPr>
          <w:rFonts w:ascii="Times New Roman" w:hAnsi="Times New Roman"/>
          <w:b w:val="0"/>
          <w:sz w:val="24"/>
          <w:szCs w:val="24"/>
        </w:rPr>
        <w:t>or, in the alternative, that approvals or exemptions be granted,</w:t>
      </w:r>
      <w:r w:rsidR="00D452F5" w:rsidRPr="00981B96" w:rsidDel="00D452F5">
        <w:rPr>
          <w:rFonts w:ascii="Times New Roman" w:hAnsi="Times New Roman"/>
          <w:b w:val="0"/>
          <w:sz w:val="24"/>
          <w:szCs w:val="24"/>
        </w:rPr>
        <w:t xml:space="preserve"> </w:t>
      </w:r>
      <w:r w:rsidR="00D452F5">
        <w:rPr>
          <w:rFonts w:ascii="Times New Roman" w:hAnsi="Times New Roman"/>
          <w:b w:val="0"/>
          <w:sz w:val="24"/>
          <w:szCs w:val="24"/>
        </w:rPr>
        <w:t xml:space="preserve">in relation to </w:t>
      </w:r>
      <w:r w:rsidRPr="00981B96">
        <w:rPr>
          <w:rFonts w:ascii="Times New Roman" w:hAnsi="Times New Roman"/>
          <w:b w:val="0"/>
          <w:sz w:val="24"/>
          <w:szCs w:val="24"/>
        </w:rPr>
        <w:t xml:space="preserve">an ADI which is also a charity registered with the Australian Charities and Not-for-Profits Commission. This proposal falls outside of the power to </w:t>
      </w:r>
      <w:r w:rsidR="00D452F5">
        <w:rPr>
          <w:rFonts w:ascii="Times New Roman" w:hAnsi="Times New Roman"/>
          <w:b w:val="0"/>
          <w:sz w:val="24"/>
          <w:szCs w:val="24"/>
        </w:rPr>
        <w:t xml:space="preserve">make rules </w:t>
      </w:r>
      <w:r w:rsidRPr="00981B96">
        <w:rPr>
          <w:rFonts w:ascii="Times New Roman" w:hAnsi="Times New Roman"/>
          <w:b w:val="0"/>
          <w:sz w:val="24"/>
          <w:szCs w:val="24"/>
        </w:rPr>
        <w:t xml:space="preserve">under the </w:t>
      </w:r>
      <w:r>
        <w:rPr>
          <w:rFonts w:ascii="Times New Roman" w:hAnsi="Times New Roman"/>
          <w:b w:val="0"/>
          <w:sz w:val="24"/>
          <w:szCs w:val="24"/>
        </w:rPr>
        <w:t>Act</w:t>
      </w:r>
      <w:r w:rsidRPr="00981B96">
        <w:rPr>
          <w:rFonts w:ascii="Times New Roman" w:hAnsi="Times New Roman"/>
          <w:b w:val="0"/>
          <w:sz w:val="24"/>
          <w:szCs w:val="24"/>
        </w:rPr>
        <w:t>.</w:t>
      </w:r>
    </w:p>
    <w:p w14:paraId="447C7920" w14:textId="44A90427" w:rsidR="002436BD" w:rsidRDefault="00DF524E" w:rsidP="0027161C">
      <w:pPr>
        <w:pStyle w:val="Heading"/>
        <w:tabs>
          <w:tab w:val="left" w:pos="360"/>
        </w:tabs>
        <w:spacing w:after="240" w:line="276" w:lineRule="auto"/>
        <w:rPr>
          <w:rFonts w:ascii="Times New Roman" w:hAnsi="Times New Roman"/>
          <w:sz w:val="24"/>
          <w:szCs w:val="24"/>
        </w:rPr>
      </w:pPr>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34B6CC7E" w14:textId="77777777" w:rsidR="00D3484E" w:rsidRDefault="00D3484E" w:rsidP="0027161C">
      <w:pPr>
        <w:pStyle w:val="Heading"/>
        <w:spacing w:after="240" w:line="276" w:lineRule="auto"/>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this legislative instrument</w:t>
      </w:r>
      <w:r w:rsidRPr="00D3484E">
        <w:rPr>
          <w:rFonts w:ascii="Times New Roman" w:hAnsi="Times New Roman"/>
          <w:b w:val="0"/>
          <w:sz w:val="24"/>
          <w:szCs w:val="24"/>
        </w:rPr>
        <w:t>.</w:t>
      </w:r>
    </w:p>
    <w:p w14:paraId="63CFBA9D" w14:textId="77777777" w:rsidR="002436BD" w:rsidRPr="009F31C8" w:rsidRDefault="00DF524E" w:rsidP="0027161C">
      <w:pPr>
        <w:pStyle w:val="Heading"/>
        <w:tabs>
          <w:tab w:val="left" w:pos="360"/>
        </w:tabs>
        <w:spacing w:after="240" w:line="276" w:lineRule="auto"/>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B745E3D" w14:textId="21C0BEA8" w:rsidR="00AE0AF3" w:rsidRDefault="0030506B" w:rsidP="00BB426A">
      <w:pPr>
        <w:pStyle w:val="Heading"/>
        <w:spacing w:after="240" w:line="276" w:lineRule="auto"/>
        <w:rPr>
          <w:rFonts w:ascii="Times New Roman" w:hAnsi="Times New Roman"/>
          <w:sz w:val="24"/>
          <w:szCs w:val="24"/>
        </w:rPr>
      </w:pPr>
      <w:r w:rsidRPr="0030506B">
        <w:rPr>
          <w:rFonts w:ascii="Times New Roman" w:hAnsi="Times New Roman"/>
          <w:b w:val="0"/>
          <w:sz w:val="24"/>
          <w:szCs w:val="24"/>
        </w:rPr>
        <w:lastRenderedPageBreak/>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r w:rsidR="00AE0AF3">
        <w:rPr>
          <w:rFonts w:ascii="Times New Roman" w:hAnsi="Times New Roman"/>
          <w:sz w:val="24"/>
          <w:szCs w:val="24"/>
        </w:rPr>
        <w:br w:type="page"/>
      </w:r>
    </w:p>
    <w:p w14:paraId="6F2D349E" w14:textId="77777777" w:rsidR="00AE0AF3" w:rsidRDefault="00AE0AF3" w:rsidP="00AE0AF3">
      <w:pPr>
        <w:pStyle w:val="heading0"/>
        <w:spacing w:before="240" w:beforeAutospacing="0" w:after="360" w:afterAutospacing="0"/>
        <w:jc w:val="both"/>
        <w:rPr>
          <w:rFonts w:ascii="&amp;quot" w:hAnsi="&amp;quot"/>
          <w:b/>
          <w:bCs/>
          <w:color w:val="000000"/>
          <w:sz w:val="26"/>
          <w:szCs w:val="26"/>
        </w:rPr>
      </w:pPr>
      <w:r>
        <w:rPr>
          <w:rFonts w:ascii="&amp;quot" w:hAnsi="&amp;quot"/>
          <w:b/>
          <w:bCs/>
          <w:color w:val="000000"/>
          <w:sz w:val="26"/>
          <w:szCs w:val="26"/>
          <w:u w:val="single"/>
          <w:lang w:val="en-GB"/>
        </w:rPr>
        <w:lastRenderedPageBreak/>
        <w:t>ATTACHMENT A</w:t>
      </w:r>
    </w:p>
    <w:p w14:paraId="34487880" w14:textId="77777777" w:rsidR="00AE0AF3" w:rsidRDefault="00AE0AF3" w:rsidP="00AE0AF3">
      <w:pPr>
        <w:pStyle w:val="heading0"/>
        <w:spacing w:before="0" w:beforeAutospacing="0" w:after="240" w:afterAutospacing="0"/>
        <w:jc w:val="center"/>
        <w:rPr>
          <w:rFonts w:ascii="&amp;quot" w:hAnsi="&amp;quot"/>
          <w:b/>
          <w:bCs/>
          <w:color w:val="000000"/>
          <w:sz w:val="26"/>
          <w:szCs w:val="26"/>
        </w:rPr>
      </w:pPr>
      <w:r>
        <w:rPr>
          <w:rFonts w:ascii="&amp;quot" w:hAnsi="&amp;quot"/>
          <w:b/>
          <w:bCs/>
          <w:color w:val="000000"/>
        </w:rPr>
        <w:t>Statement of Compatibility with Human Rights</w:t>
      </w:r>
    </w:p>
    <w:p w14:paraId="5B439DF1" w14:textId="77777777" w:rsidR="00AE0AF3" w:rsidRPr="00945D8C" w:rsidRDefault="00AE0AF3" w:rsidP="00AE0AF3">
      <w:pPr>
        <w:pStyle w:val="Heading1"/>
        <w:spacing w:after="240" w:line="283" w:lineRule="atLeast"/>
        <w:jc w:val="center"/>
        <w:rPr>
          <w:rFonts w:ascii="Times New Roman" w:hAnsi="Times New Roman"/>
          <w:sz w:val="24"/>
          <w:szCs w:val="24"/>
        </w:rPr>
      </w:pPr>
      <w:r w:rsidRPr="00945D8C">
        <w:rPr>
          <w:rFonts w:ascii="Times New Roman" w:hAnsi="Times New Roman"/>
          <w:b w:val="0"/>
          <w:bCs w:val="0"/>
          <w:i/>
          <w:iCs/>
          <w:sz w:val="24"/>
          <w:szCs w:val="24"/>
        </w:rPr>
        <w:t>Prepared in accordance with Part 3 of the Human Rights (Parliamentary Scrutiny) Act 2011</w:t>
      </w:r>
    </w:p>
    <w:p w14:paraId="4C0EFF6A" w14:textId="320333D4" w:rsidR="00AE0AF3" w:rsidRPr="00945D8C" w:rsidRDefault="00AE0AF3" w:rsidP="00AE0AF3">
      <w:pPr>
        <w:spacing w:after="240"/>
        <w:jc w:val="center"/>
        <w:rPr>
          <w:rFonts w:ascii="Times New Roman" w:hAnsi="Times New Roman"/>
          <w:color w:val="000000"/>
          <w:sz w:val="24"/>
          <w:szCs w:val="24"/>
        </w:rPr>
      </w:pPr>
      <w:r w:rsidRPr="00945D8C">
        <w:rPr>
          <w:rFonts w:ascii="Times New Roman" w:hAnsi="Times New Roman"/>
          <w:b/>
          <w:bCs/>
          <w:color w:val="000000"/>
          <w:sz w:val="24"/>
          <w:szCs w:val="24"/>
        </w:rPr>
        <w:t>Financial Sector (Shareholdings) determination No. 1 of 2019</w:t>
      </w:r>
    </w:p>
    <w:p w14:paraId="76696FAE" w14:textId="77777777" w:rsidR="00AE0AF3" w:rsidRPr="00945D8C" w:rsidRDefault="00AE0AF3" w:rsidP="00AE0AF3">
      <w:pPr>
        <w:jc w:val="center"/>
        <w:rPr>
          <w:rFonts w:ascii="Times New Roman" w:hAnsi="Times New Roman"/>
          <w:color w:val="000000"/>
          <w:sz w:val="24"/>
          <w:szCs w:val="24"/>
        </w:rPr>
      </w:pPr>
      <w:r w:rsidRPr="00945D8C">
        <w:rPr>
          <w:rFonts w:ascii="Times New Roman" w:hAnsi="Times New Roman"/>
          <w:color w:val="000000"/>
          <w:sz w:val="24"/>
          <w:szCs w:val="24"/>
        </w:rPr>
        <w:t> </w:t>
      </w:r>
    </w:p>
    <w:p w14:paraId="45EE4ED0" w14:textId="7749C505"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t>This Legislative Instrument is compatible with the human rights and freedoms recognised or declared in the international instrument</w:t>
      </w:r>
      <w:r w:rsidR="009F31C8" w:rsidRPr="00945D8C">
        <w:rPr>
          <w:rFonts w:ascii="Times New Roman" w:hAnsi="Times New Roman"/>
          <w:color w:val="000000"/>
          <w:sz w:val="24"/>
          <w:szCs w:val="24"/>
        </w:rPr>
        <w:t>s</w:t>
      </w:r>
      <w:r w:rsidRPr="00945D8C">
        <w:rPr>
          <w:rFonts w:ascii="Times New Roman" w:hAnsi="Times New Roman"/>
          <w:color w:val="000000"/>
          <w:sz w:val="24"/>
          <w:szCs w:val="24"/>
        </w:rPr>
        <w:t xml:space="preserve"> listed in section 3 of the </w:t>
      </w:r>
      <w:r w:rsidRPr="00945D8C">
        <w:rPr>
          <w:rFonts w:ascii="Times New Roman" w:hAnsi="Times New Roman"/>
          <w:i/>
          <w:iCs/>
          <w:color w:val="000000"/>
          <w:sz w:val="24"/>
          <w:szCs w:val="24"/>
        </w:rPr>
        <w:t>Human Rights (Parliamentary Scrutiny) Act 2011</w:t>
      </w:r>
      <w:r w:rsidRPr="00945D8C">
        <w:rPr>
          <w:rFonts w:ascii="Times New Roman" w:hAnsi="Times New Roman"/>
          <w:color w:val="000000"/>
          <w:sz w:val="24"/>
          <w:szCs w:val="24"/>
        </w:rPr>
        <w:t xml:space="preserve"> (HRPS Act)</w:t>
      </w:r>
    </w:p>
    <w:p w14:paraId="62524AEA" w14:textId="77777777"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b/>
          <w:bCs/>
          <w:color w:val="000000"/>
          <w:sz w:val="24"/>
          <w:szCs w:val="24"/>
        </w:rPr>
        <w:t>Overview of the Legislative Instrument</w:t>
      </w:r>
    </w:p>
    <w:p w14:paraId="116632AC" w14:textId="1B9C0572"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t xml:space="preserve">The purpose of making this legislative instrument is to make the </w:t>
      </w:r>
      <w:r w:rsidR="009F31C8" w:rsidRPr="00945D8C">
        <w:rPr>
          <w:rFonts w:ascii="Times New Roman" w:hAnsi="Times New Roman"/>
          <w:i/>
          <w:color w:val="000000"/>
          <w:sz w:val="24"/>
          <w:szCs w:val="24"/>
        </w:rPr>
        <w:t>Financial Sector (Shareholdings) Rules 2019</w:t>
      </w:r>
      <w:r w:rsidR="009F31C8" w:rsidRPr="00945D8C">
        <w:rPr>
          <w:rFonts w:ascii="Times New Roman" w:hAnsi="Times New Roman"/>
          <w:color w:val="000000"/>
          <w:sz w:val="24"/>
          <w:szCs w:val="24"/>
        </w:rPr>
        <w:t xml:space="preserve"> (</w:t>
      </w:r>
      <w:r w:rsidRPr="00945D8C">
        <w:rPr>
          <w:rFonts w:ascii="Times New Roman" w:hAnsi="Times New Roman"/>
          <w:color w:val="000000"/>
          <w:sz w:val="24"/>
          <w:szCs w:val="24"/>
        </w:rPr>
        <w:t>FSSA Rules</w:t>
      </w:r>
      <w:r w:rsidR="009F31C8" w:rsidRPr="00945D8C">
        <w:rPr>
          <w:rFonts w:ascii="Times New Roman" w:hAnsi="Times New Roman"/>
          <w:color w:val="000000"/>
          <w:sz w:val="24"/>
          <w:szCs w:val="24"/>
        </w:rPr>
        <w:t>)</w:t>
      </w:r>
      <w:r w:rsidRPr="00945D8C">
        <w:rPr>
          <w:rFonts w:ascii="Times New Roman" w:hAnsi="Times New Roman"/>
          <w:color w:val="000000"/>
          <w:sz w:val="24"/>
          <w:szCs w:val="24"/>
        </w:rPr>
        <w:t>, which prescribe:</w:t>
      </w:r>
    </w:p>
    <w:p w14:paraId="0377C88E" w14:textId="38D402A7" w:rsidR="00AE0AF3" w:rsidRPr="00945D8C" w:rsidRDefault="00AE0AF3" w:rsidP="0008645B">
      <w:pPr>
        <w:pStyle w:val="BULLET1"/>
        <w:spacing w:line="276" w:lineRule="auto"/>
        <w:rPr>
          <w:rFonts w:ascii="Times New Roman" w:hAnsi="Times New Roman" w:cs="Times New Roman"/>
          <w:sz w:val="24"/>
          <w:szCs w:val="24"/>
        </w:rPr>
      </w:pPr>
      <w:r w:rsidRPr="00945D8C">
        <w:rPr>
          <w:rFonts w:ascii="Times New Roman" w:hAnsi="Times New Roman" w:cs="Times New Roman"/>
          <w:color w:val="000000"/>
          <w:sz w:val="24"/>
          <w:szCs w:val="24"/>
        </w:rPr>
        <w:t xml:space="preserve"> </w:t>
      </w:r>
      <w:r w:rsidRPr="00945D8C">
        <w:rPr>
          <w:rFonts w:ascii="Times New Roman" w:hAnsi="Times New Roman" w:cs="Times New Roman"/>
          <w:sz w:val="24"/>
          <w:szCs w:val="24"/>
        </w:rPr>
        <w:t xml:space="preserve">matters that </w:t>
      </w:r>
      <w:r w:rsidR="00FB7849" w:rsidRPr="00945D8C">
        <w:rPr>
          <w:rFonts w:ascii="Times New Roman" w:hAnsi="Times New Roman" w:cs="Times New Roman"/>
          <w:sz w:val="24"/>
          <w:szCs w:val="24"/>
        </w:rPr>
        <w:t xml:space="preserve">the Treasurer or the Treasurer’s delegate </w:t>
      </w:r>
      <w:r w:rsidRPr="00945D8C">
        <w:rPr>
          <w:rFonts w:ascii="Times New Roman" w:hAnsi="Times New Roman" w:cs="Times New Roman"/>
          <w:sz w:val="24"/>
          <w:szCs w:val="24"/>
        </w:rPr>
        <w:t xml:space="preserve">must consider in determining whether a person is fit and proper for the purposes of </w:t>
      </w:r>
      <w:r w:rsidR="00FB7849" w:rsidRPr="00945D8C">
        <w:rPr>
          <w:rFonts w:ascii="Times New Roman" w:hAnsi="Times New Roman" w:cs="Times New Roman"/>
          <w:sz w:val="24"/>
          <w:szCs w:val="24"/>
        </w:rPr>
        <w:t xml:space="preserve">holding a stake of more than 20 per cent in </w:t>
      </w:r>
      <w:r w:rsidR="0015253A" w:rsidRPr="00945D8C">
        <w:rPr>
          <w:rFonts w:ascii="Times New Roman" w:hAnsi="Times New Roman" w:cs="Times New Roman"/>
          <w:sz w:val="24"/>
          <w:szCs w:val="24"/>
        </w:rPr>
        <w:t>qualifying</w:t>
      </w:r>
      <w:r w:rsidR="00B65DAF" w:rsidRPr="00945D8C">
        <w:rPr>
          <w:rFonts w:ascii="Times New Roman" w:hAnsi="Times New Roman" w:cs="Times New Roman"/>
          <w:sz w:val="24"/>
          <w:szCs w:val="24"/>
        </w:rPr>
        <w:t xml:space="preserve"> financial sector companies </w:t>
      </w:r>
      <w:r w:rsidR="00FB7849" w:rsidRPr="00945D8C">
        <w:rPr>
          <w:rFonts w:ascii="Times New Roman" w:hAnsi="Times New Roman" w:cs="Times New Roman"/>
          <w:sz w:val="24"/>
          <w:szCs w:val="24"/>
        </w:rPr>
        <w:t xml:space="preserve">under </w:t>
      </w:r>
      <w:r w:rsidR="003C7170" w:rsidRPr="00945D8C">
        <w:rPr>
          <w:rFonts w:ascii="Times New Roman" w:hAnsi="Times New Roman" w:cs="Times New Roman"/>
          <w:sz w:val="24"/>
          <w:szCs w:val="24"/>
        </w:rPr>
        <w:t xml:space="preserve">the </w:t>
      </w:r>
      <w:r w:rsidR="003C7170" w:rsidRPr="00945D8C">
        <w:rPr>
          <w:rFonts w:ascii="Times New Roman" w:hAnsi="Times New Roman" w:cs="Times New Roman"/>
          <w:i/>
          <w:sz w:val="24"/>
          <w:szCs w:val="24"/>
        </w:rPr>
        <w:t>Financial Sector (Shareholdings) Act 1998</w:t>
      </w:r>
      <w:r w:rsidR="003C7170" w:rsidRPr="00945D8C">
        <w:rPr>
          <w:rFonts w:ascii="Times New Roman" w:hAnsi="Times New Roman" w:cs="Times New Roman"/>
          <w:sz w:val="24"/>
          <w:szCs w:val="24"/>
        </w:rPr>
        <w:t xml:space="preserve"> (</w:t>
      </w:r>
      <w:r w:rsidRPr="00945D8C">
        <w:rPr>
          <w:rFonts w:ascii="Times New Roman" w:hAnsi="Times New Roman" w:cs="Times New Roman"/>
          <w:sz w:val="24"/>
          <w:szCs w:val="24"/>
        </w:rPr>
        <w:t>the Act</w:t>
      </w:r>
      <w:r w:rsidR="003C7170" w:rsidRPr="00945D8C">
        <w:rPr>
          <w:rFonts w:ascii="Times New Roman" w:hAnsi="Times New Roman" w:cs="Times New Roman"/>
          <w:sz w:val="24"/>
          <w:szCs w:val="24"/>
        </w:rPr>
        <w:t>)</w:t>
      </w:r>
      <w:r w:rsidRPr="00945D8C">
        <w:rPr>
          <w:rFonts w:ascii="Times New Roman" w:hAnsi="Times New Roman" w:cs="Times New Roman"/>
          <w:sz w:val="24"/>
          <w:szCs w:val="24"/>
        </w:rPr>
        <w:t>;</w:t>
      </w:r>
      <w:r w:rsidR="00B65DAF" w:rsidRPr="00945D8C">
        <w:rPr>
          <w:rStyle w:val="FootnoteReference"/>
          <w:rFonts w:ascii="Times New Roman" w:hAnsi="Times New Roman" w:cs="Times New Roman"/>
          <w:sz w:val="24"/>
          <w:szCs w:val="24"/>
        </w:rPr>
        <w:footnoteReference w:id="2"/>
      </w:r>
      <w:r w:rsidRPr="00945D8C">
        <w:rPr>
          <w:rFonts w:ascii="Times New Roman" w:hAnsi="Times New Roman" w:cs="Times New Roman"/>
          <w:sz w:val="24"/>
          <w:szCs w:val="24"/>
        </w:rPr>
        <w:t xml:space="preserve"> </w:t>
      </w:r>
    </w:p>
    <w:p w14:paraId="180B206C" w14:textId="3990B935" w:rsidR="00AE0AF3" w:rsidRPr="00945D8C" w:rsidRDefault="00AE0AF3" w:rsidP="0008645B">
      <w:pPr>
        <w:pStyle w:val="BULLET1"/>
        <w:spacing w:line="276" w:lineRule="auto"/>
        <w:rPr>
          <w:rFonts w:ascii="Times New Roman" w:hAnsi="Times New Roman" w:cs="Times New Roman"/>
          <w:sz w:val="24"/>
          <w:szCs w:val="24"/>
        </w:rPr>
      </w:pPr>
      <w:r w:rsidRPr="00945D8C">
        <w:rPr>
          <w:rFonts w:ascii="Times New Roman" w:hAnsi="Times New Roman" w:cs="Times New Roman"/>
          <w:sz w:val="24"/>
          <w:szCs w:val="24"/>
        </w:rPr>
        <w:t xml:space="preserve">the meaning of ‘total resident assets’ used to determine whether a financial sector company’s assets are less than the </w:t>
      </w:r>
      <w:r w:rsidRPr="00945D8C">
        <w:rPr>
          <w:rStyle w:val="hps-normal1"/>
          <w:rFonts w:ascii="Times New Roman" w:hAnsi="Times New Roman" w:cs="Times New Roman"/>
          <w:sz w:val="24"/>
          <w:szCs w:val="24"/>
        </w:rPr>
        <w:t>relevant assets threshold</w:t>
      </w:r>
      <w:r w:rsidRPr="00945D8C">
        <w:rPr>
          <w:rFonts w:ascii="Times New Roman" w:hAnsi="Times New Roman" w:cs="Times New Roman"/>
          <w:sz w:val="24"/>
          <w:szCs w:val="24"/>
        </w:rPr>
        <w:t>; and</w:t>
      </w:r>
    </w:p>
    <w:p w14:paraId="34EA7929" w14:textId="1AB53F7D" w:rsidR="00AE0AF3" w:rsidRPr="00945D8C" w:rsidRDefault="00AE0AF3" w:rsidP="0008645B">
      <w:pPr>
        <w:pStyle w:val="BULLET1"/>
        <w:spacing w:line="276" w:lineRule="auto"/>
        <w:rPr>
          <w:rFonts w:ascii="Times New Roman" w:hAnsi="Times New Roman" w:cs="Times New Roman"/>
          <w:sz w:val="24"/>
          <w:szCs w:val="24"/>
        </w:rPr>
      </w:pPr>
      <w:r w:rsidRPr="00945D8C">
        <w:rPr>
          <w:rFonts w:ascii="Times New Roman" w:hAnsi="Times New Roman" w:cs="Times New Roman"/>
          <w:sz w:val="24"/>
          <w:szCs w:val="24"/>
        </w:rPr>
        <w:t xml:space="preserve">the information to be provided to APRA annually, as a condition of </w:t>
      </w:r>
      <w:r w:rsidR="003C7170" w:rsidRPr="00945D8C">
        <w:rPr>
          <w:rFonts w:ascii="Times New Roman" w:hAnsi="Times New Roman" w:cs="Times New Roman"/>
          <w:sz w:val="24"/>
          <w:szCs w:val="24"/>
        </w:rPr>
        <w:t xml:space="preserve">an </w:t>
      </w:r>
      <w:r w:rsidRPr="00945D8C">
        <w:rPr>
          <w:rFonts w:ascii="Times New Roman" w:hAnsi="Times New Roman" w:cs="Times New Roman"/>
          <w:sz w:val="24"/>
          <w:szCs w:val="24"/>
        </w:rPr>
        <w:t>approval</w:t>
      </w:r>
      <w:r w:rsidRPr="00945D8C">
        <w:rPr>
          <w:rFonts w:ascii="Times New Roman" w:hAnsi="Times New Roman" w:cs="Times New Roman"/>
          <w:color w:val="000000"/>
          <w:sz w:val="24"/>
          <w:szCs w:val="24"/>
        </w:rPr>
        <w:t xml:space="preserve"> </w:t>
      </w:r>
      <w:r w:rsidR="003C7170" w:rsidRPr="00945D8C">
        <w:rPr>
          <w:rFonts w:ascii="Times New Roman" w:hAnsi="Times New Roman" w:cs="Times New Roman"/>
          <w:color w:val="000000"/>
          <w:sz w:val="24"/>
          <w:szCs w:val="24"/>
        </w:rPr>
        <w:t xml:space="preserve">to hold a stake of more than 20 per cent in a </w:t>
      </w:r>
      <w:r w:rsidR="00560827" w:rsidRPr="00945D8C">
        <w:rPr>
          <w:rFonts w:ascii="Times New Roman" w:hAnsi="Times New Roman" w:cs="Times New Roman"/>
          <w:color w:val="000000"/>
          <w:sz w:val="24"/>
          <w:szCs w:val="24"/>
        </w:rPr>
        <w:t xml:space="preserve">qualifying </w:t>
      </w:r>
      <w:r w:rsidR="003C7170" w:rsidRPr="00945D8C">
        <w:rPr>
          <w:rFonts w:ascii="Times New Roman" w:hAnsi="Times New Roman" w:cs="Times New Roman"/>
          <w:color w:val="000000"/>
          <w:sz w:val="24"/>
          <w:szCs w:val="24"/>
        </w:rPr>
        <w:t>financial sector company.</w:t>
      </w:r>
    </w:p>
    <w:p w14:paraId="01448A27" w14:textId="7A3B889C" w:rsidR="00AE0AF3" w:rsidRPr="00945D8C" w:rsidRDefault="00C43601" w:rsidP="0008645B">
      <w:pPr>
        <w:pStyle w:val="BULLET1"/>
        <w:numPr>
          <w:ilvl w:val="0"/>
          <w:numId w:val="0"/>
        </w:numPr>
        <w:spacing w:line="276" w:lineRule="auto"/>
        <w:rPr>
          <w:rFonts w:ascii="Times New Roman" w:hAnsi="Times New Roman" w:cs="Times New Roman"/>
          <w:sz w:val="24"/>
          <w:szCs w:val="24"/>
        </w:rPr>
      </w:pPr>
      <w:r>
        <w:rPr>
          <w:rFonts w:ascii="Times New Roman" w:hAnsi="Times New Roman" w:cs="Times New Roman"/>
          <w:color w:val="000000"/>
          <w:sz w:val="24"/>
          <w:szCs w:val="24"/>
        </w:rPr>
        <w:t>The FSSA</w:t>
      </w:r>
      <w:r w:rsidR="00AE0AF3" w:rsidRPr="00945D8C">
        <w:rPr>
          <w:rFonts w:ascii="Times New Roman" w:hAnsi="Times New Roman" w:cs="Times New Roman"/>
          <w:color w:val="000000"/>
          <w:sz w:val="24"/>
          <w:szCs w:val="24"/>
        </w:rPr>
        <w:t xml:space="preserve"> Rules apply to applicants </w:t>
      </w:r>
      <w:r w:rsidR="003C7170" w:rsidRPr="00945D8C">
        <w:rPr>
          <w:rFonts w:ascii="Times New Roman" w:hAnsi="Times New Roman" w:cs="Times New Roman"/>
          <w:color w:val="000000"/>
          <w:sz w:val="24"/>
          <w:szCs w:val="24"/>
        </w:rPr>
        <w:t xml:space="preserve">for approval to hold a stake </w:t>
      </w:r>
      <w:r w:rsidRPr="00C43601">
        <w:rPr>
          <w:rFonts w:ascii="Times New Roman" w:hAnsi="Times New Roman" w:cs="Times New Roman"/>
          <w:color w:val="000000"/>
          <w:sz w:val="24"/>
          <w:szCs w:val="24"/>
        </w:rPr>
        <w:t>of more than 20 per cent in a new or recently established domestically-incorporated authorised deposit-taking institution, general insurer or life company with assets below the relevant threshold, or a 100 per cent holding company of such an entity</w:t>
      </w:r>
      <w:r w:rsidR="00AE0AF3" w:rsidRPr="00945D8C">
        <w:rPr>
          <w:rFonts w:ascii="Times New Roman" w:hAnsi="Times New Roman" w:cs="Times New Roman"/>
          <w:color w:val="000000"/>
          <w:sz w:val="24"/>
          <w:szCs w:val="24"/>
        </w:rPr>
        <w:t>.</w:t>
      </w:r>
    </w:p>
    <w:p w14:paraId="552C4238" w14:textId="77777777"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b/>
          <w:bCs/>
          <w:color w:val="000000"/>
          <w:sz w:val="24"/>
          <w:szCs w:val="24"/>
        </w:rPr>
        <w:t>Human rights implications</w:t>
      </w:r>
    </w:p>
    <w:p w14:paraId="1DF54D04" w14:textId="031A58BF"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lastRenderedPageBreak/>
        <w:t xml:space="preserve">APRA has assessed the instrument against the international instruments listed in section 3 of the HRPS Act and determined that </w:t>
      </w:r>
      <w:r w:rsidR="0008645B" w:rsidRPr="00945D8C">
        <w:rPr>
          <w:rFonts w:ascii="Times New Roman" w:hAnsi="Times New Roman"/>
          <w:color w:val="000000"/>
          <w:sz w:val="24"/>
          <w:szCs w:val="24"/>
        </w:rPr>
        <w:t xml:space="preserve">only </w:t>
      </w:r>
      <w:r w:rsidRPr="00945D8C">
        <w:rPr>
          <w:rFonts w:ascii="Times New Roman" w:hAnsi="Times New Roman"/>
          <w:color w:val="000000"/>
          <w:sz w:val="24"/>
          <w:szCs w:val="24"/>
        </w:rPr>
        <w:t>Article 17 of the International Covenant on Civil and Political Rights (ICCPR) is potentially of relevance to the instrument.</w:t>
      </w:r>
    </w:p>
    <w:p w14:paraId="669850CB" w14:textId="77777777"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7C605A61" w14:textId="3A2A1A8B" w:rsidR="00AE0AF3" w:rsidRPr="00945D8C" w:rsidRDefault="007F575E" w:rsidP="00560827">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t xml:space="preserve">The Act regulates the ownership and acquisitions of prudentially regulated financial institutions to minimise risks associated with a concentration of ownership and </w:t>
      </w:r>
      <w:r w:rsidR="00412510" w:rsidRPr="00945D8C">
        <w:rPr>
          <w:rFonts w:ascii="Times New Roman" w:hAnsi="Times New Roman"/>
          <w:color w:val="000000"/>
          <w:sz w:val="24"/>
          <w:szCs w:val="24"/>
        </w:rPr>
        <w:t xml:space="preserve">thereby </w:t>
      </w:r>
      <w:r w:rsidRPr="00945D8C">
        <w:rPr>
          <w:rFonts w:ascii="Times New Roman" w:hAnsi="Times New Roman"/>
          <w:color w:val="000000"/>
          <w:sz w:val="24"/>
          <w:szCs w:val="24"/>
        </w:rPr>
        <w:t xml:space="preserve">enhance the </w:t>
      </w:r>
      <w:r w:rsidR="00412510" w:rsidRPr="00945D8C">
        <w:rPr>
          <w:rFonts w:ascii="Times New Roman" w:hAnsi="Times New Roman"/>
          <w:color w:val="000000"/>
          <w:sz w:val="24"/>
          <w:szCs w:val="24"/>
        </w:rPr>
        <w:t>overall stability of</w:t>
      </w:r>
      <w:r w:rsidRPr="00945D8C">
        <w:rPr>
          <w:rFonts w:ascii="Times New Roman" w:hAnsi="Times New Roman"/>
          <w:color w:val="000000"/>
          <w:sz w:val="24"/>
          <w:szCs w:val="24"/>
        </w:rPr>
        <w:t xml:space="preserve"> the Australian financial system. </w:t>
      </w:r>
      <w:r w:rsidR="00560EA9" w:rsidRPr="00945D8C">
        <w:rPr>
          <w:rFonts w:ascii="Times New Roman" w:hAnsi="Times New Roman"/>
          <w:color w:val="000000"/>
          <w:sz w:val="24"/>
          <w:szCs w:val="24"/>
        </w:rPr>
        <w:t xml:space="preserve">Under section 13 of the Act, </w:t>
      </w:r>
      <w:r w:rsidR="00457428" w:rsidRPr="00945D8C">
        <w:rPr>
          <w:rFonts w:ascii="Times New Roman" w:hAnsi="Times New Roman"/>
          <w:color w:val="000000"/>
          <w:sz w:val="24"/>
          <w:szCs w:val="24"/>
        </w:rPr>
        <w:t xml:space="preserve">a person applying for approval to hold a stake of more than 20 per cent in a financial sector company may </w:t>
      </w:r>
      <w:r w:rsidR="002773A6" w:rsidRPr="00945D8C">
        <w:rPr>
          <w:rFonts w:ascii="Times New Roman" w:hAnsi="Times New Roman"/>
          <w:color w:val="000000"/>
          <w:sz w:val="24"/>
          <w:szCs w:val="24"/>
        </w:rPr>
        <w:t xml:space="preserve">apply for approval under </w:t>
      </w:r>
      <w:r w:rsidR="00560827" w:rsidRPr="00945D8C">
        <w:rPr>
          <w:rFonts w:ascii="Times New Roman" w:hAnsi="Times New Roman"/>
          <w:color w:val="000000"/>
          <w:sz w:val="24"/>
          <w:szCs w:val="24"/>
        </w:rPr>
        <w:t xml:space="preserve">a </w:t>
      </w:r>
      <w:r w:rsidR="002773A6" w:rsidRPr="00945D8C">
        <w:rPr>
          <w:rFonts w:ascii="Times New Roman" w:hAnsi="Times New Roman"/>
          <w:color w:val="000000"/>
          <w:sz w:val="24"/>
          <w:szCs w:val="24"/>
        </w:rPr>
        <w:t>‘national interest’</w:t>
      </w:r>
      <w:r w:rsidR="00560827" w:rsidRPr="00945D8C">
        <w:rPr>
          <w:rFonts w:ascii="Times New Roman" w:hAnsi="Times New Roman"/>
          <w:color w:val="000000"/>
          <w:sz w:val="24"/>
          <w:szCs w:val="24"/>
        </w:rPr>
        <w:t xml:space="preserve"> test</w:t>
      </w:r>
      <w:r w:rsidR="002773A6" w:rsidRPr="00945D8C">
        <w:rPr>
          <w:rFonts w:ascii="Times New Roman" w:hAnsi="Times New Roman"/>
          <w:color w:val="000000"/>
          <w:sz w:val="24"/>
          <w:szCs w:val="24"/>
        </w:rPr>
        <w:t xml:space="preserve"> or</w:t>
      </w:r>
      <w:r w:rsidR="00560827" w:rsidRPr="00945D8C">
        <w:rPr>
          <w:rFonts w:ascii="Times New Roman" w:hAnsi="Times New Roman"/>
          <w:color w:val="000000"/>
          <w:sz w:val="24"/>
          <w:szCs w:val="24"/>
        </w:rPr>
        <w:t xml:space="preserve"> </w:t>
      </w:r>
      <w:r w:rsidR="002773A6" w:rsidRPr="00945D8C">
        <w:rPr>
          <w:rFonts w:ascii="Times New Roman" w:hAnsi="Times New Roman"/>
          <w:color w:val="000000"/>
          <w:sz w:val="24"/>
          <w:szCs w:val="24"/>
        </w:rPr>
        <w:t xml:space="preserve">by </w:t>
      </w:r>
      <w:r w:rsidR="00457428" w:rsidRPr="00945D8C">
        <w:rPr>
          <w:rFonts w:ascii="Times New Roman" w:hAnsi="Times New Roman"/>
          <w:color w:val="000000"/>
          <w:sz w:val="24"/>
          <w:szCs w:val="24"/>
        </w:rPr>
        <w:t>satisfy</w:t>
      </w:r>
      <w:r w:rsidR="002773A6" w:rsidRPr="00945D8C">
        <w:rPr>
          <w:rFonts w:ascii="Times New Roman" w:hAnsi="Times New Roman"/>
          <w:color w:val="000000"/>
          <w:sz w:val="24"/>
          <w:szCs w:val="24"/>
        </w:rPr>
        <w:t>ing</w:t>
      </w:r>
      <w:r w:rsidR="00457428" w:rsidRPr="00945D8C">
        <w:rPr>
          <w:rFonts w:ascii="Times New Roman" w:hAnsi="Times New Roman"/>
          <w:color w:val="000000"/>
          <w:sz w:val="24"/>
          <w:szCs w:val="24"/>
        </w:rPr>
        <w:t xml:space="preserve"> the decision maker that the applicant </w:t>
      </w:r>
      <w:r w:rsidR="002773A6" w:rsidRPr="00945D8C">
        <w:rPr>
          <w:rFonts w:ascii="Times New Roman" w:hAnsi="Times New Roman"/>
          <w:color w:val="000000"/>
          <w:sz w:val="24"/>
          <w:szCs w:val="24"/>
        </w:rPr>
        <w:t>is a fit and proper person</w:t>
      </w:r>
      <w:r w:rsidR="00F60EC7" w:rsidRPr="00945D8C">
        <w:rPr>
          <w:rFonts w:ascii="Times New Roman" w:hAnsi="Times New Roman"/>
          <w:color w:val="000000"/>
          <w:sz w:val="24"/>
          <w:szCs w:val="24"/>
        </w:rPr>
        <w:t xml:space="preserve">. </w:t>
      </w:r>
      <w:r w:rsidR="00AD576D" w:rsidRPr="00945D8C">
        <w:rPr>
          <w:rFonts w:ascii="Times New Roman" w:hAnsi="Times New Roman"/>
          <w:color w:val="000000"/>
          <w:sz w:val="24"/>
          <w:szCs w:val="24"/>
        </w:rPr>
        <w:t xml:space="preserve">Applicants can include individual persons, and corporate entities. Corporate entities in demonstrating their fitness and propriety must also demonstrate that their </w:t>
      </w:r>
      <w:r w:rsidR="00AE0AF3" w:rsidRPr="00945D8C">
        <w:rPr>
          <w:rFonts w:ascii="Times New Roman" w:hAnsi="Times New Roman"/>
          <w:color w:val="000000"/>
          <w:sz w:val="24"/>
          <w:szCs w:val="24"/>
        </w:rPr>
        <w:t>directors</w:t>
      </w:r>
      <w:r w:rsidR="00AD576D" w:rsidRPr="00945D8C">
        <w:rPr>
          <w:rFonts w:ascii="Times New Roman" w:hAnsi="Times New Roman"/>
          <w:color w:val="000000"/>
          <w:sz w:val="24"/>
          <w:szCs w:val="24"/>
        </w:rPr>
        <w:t xml:space="preserve">, chief executive or equivalent persons </w:t>
      </w:r>
      <w:r w:rsidR="00AE0AF3" w:rsidRPr="00945D8C">
        <w:rPr>
          <w:rFonts w:ascii="Times New Roman" w:hAnsi="Times New Roman"/>
          <w:color w:val="000000"/>
          <w:sz w:val="24"/>
          <w:szCs w:val="24"/>
        </w:rPr>
        <w:t>a</w:t>
      </w:r>
      <w:r w:rsidR="00AD576D" w:rsidRPr="00945D8C">
        <w:rPr>
          <w:rFonts w:ascii="Times New Roman" w:hAnsi="Times New Roman"/>
          <w:color w:val="000000"/>
          <w:sz w:val="24"/>
          <w:szCs w:val="24"/>
        </w:rPr>
        <w:t>re fit and proper.</w:t>
      </w:r>
      <w:r w:rsidR="00AE0AF3" w:rsidRPr="00945D8C">
        <w:rPr>
          <w:rFonts w:ascii="Times New Roman" w:hAnsi="Times New Roman"/>
          <w:color w:val="000000"/>
          <w:sz w:val="24"/>
          <w:szCs w:val="24"/>
        </w:rPr>
        <w:t xml:space="preserve"> </w:t>
      </w:r>
      <w:r w:rsidR="00592E56" w:rsidRPr="00945D8C">
        <w:rPr>
          <w:rFonts w:ascii="Times New Roman" w:hAnsi="Times New Roman"/>
          <w:color w:val="000000"/>
          <w:sz w:val="24"/>
          <w:szCs w:val="24"/>
        </w:rPr>
        <w:t xml:space="preserve">Applicants </w:t>
      </w:r>
      <w:r w:rsidR="00D16200" w:rsidRPr="00945D8C">
        <w:rPr>
          <w:rFonts w:ascii="Times New Roman" w:hAnsi="Times New Roman"/>
          <w:color w:val="000000"/>
          <w:sz w:val="24"/>
          <w:szCs w:val="24"/>
        </w:rPr>
        <w:t xml:space="preserve">are expected </w:t>
      </w:r>
      <w:r w:rsidR="00592E56" w:rsidRPr="00945D8C">
        <w:rPr>
          <w:rFonts w:ascii="Times New Roman" w:hAnsi="Times New Roman"/>
          <w:color w:val="000000"/>
          <w:sz w:val="24"/>
          <w:szCs w:val="24"/>
        </w:rPr>
        <w:t xml:space="preserve">to provide </w:t>
      </w:r>
      <w:r w:rsidR="00F11E6E" w:rsidRPr="00945D8C">
        <w:rPr>
          <w:rFonts w:ascii="Times New Roman" w:hAnsi="Times New Roman"/>
          <w:color w:val="000000"/>
          <w:sz w:val="24"/>
          <w:szCs w:val="24"/>
        </w:rPr>
        <w:t xml:space="preserve">sufficient </w:t>
      </w:r>
      <w:r w:rsidR="00AE0AF3" w:rsidRPr="00945D8C">
        <w:rPr>
          <w:rFonts w:ascii="Times New Roman" w:hAnsi="Times New Roman"/>
          <w:color w:val="000000"/>
          <w:sz w:val="24"/>
          <w:szCs w:val="24"/>
        </w:rPr>
        <w:t xml:space="preserve">information </w:t>
      </w:r>
      <w:r w:rsidR="00CD12D4" w:rsidRPr="00945D8C">
        <w:rPr>
          <w:rFonts w:ascii="Times New Roman" w:hAnsi="Times New Roman"/>
          <w:color w:val="000000"/>
          <w:sz w:val="24"/>
          <w:szCs w:val="24"/>
        </w:rPr>
        <w:t xml:space="preserve">(which may include personal information </w:t>
      </w:r>
      <w:r w:rsidR="00AE0AF3" w:rsidRPr="00945D8C">
        <w:rPr>
          <w:rFonts w:ascii="Times New Roman" w:hAnsi="Times New Roman"/>
          <w:color w:val="000000"/>
          <w:sz w:val="24"/>
          <w:szCs w:val="24"/>
        </w:rPr>
        <w:t xml:space="preserve">about </w:t>
      </w:r>
      <w:r w:rsidR="00592E56" w:rsidRPr="00945D8C">
        <w:rPr>
          <w:rFonts w:ascii="Times New Roman" w:hAnsi="Times New Roman"/>
          <w:color w:val="000000"/>
          <w:sz w:val="24"/>
          <w:szCs w:val="24"/>
        </w:rPr>
        <w:t xml:space="preserve">themselves </w:t>
      </w:r>
      <w:r w:rsidR="0008645B" w:rsidRPr="00945D8C">
        <w:rPr>
          <w:rFonts w:ascii="Times New Roman" w:hAnsi="Times New Roman"/>
          <w:color w:val="000000"/>
          <w:sz w:val="24"/>
          <w:szCs w:val="24"/>
        </w:rPr>
        <w:t>or their</w:t>
      </w:r>
      <w:r w:rsidR="00AD576D" w:rsidRPr="00945D8C">
        <w:rPr>
          <w:rFonts w:ascii="Times New Roman" w:hAnsi="Times New Roman"/>
          <w:color w:val="000000"/>
          <w:sz w:val="24"/>
          <w:szCs w:val="24"/>
        </w:rPr>
        <w:t xml:space="preserve"> directors, chief executives or equivalent</w:t>
      </w:r>
      <w:r w:rsidR="00CD12D4" w:rsidRPr="00945D8C">
        <w:rPr>
          <w:rFonts w:ascii="Times New Roman" w:hAnsi="Times New Roman"/>
          <w:color w:val="000000"/>
          <w:sz w:val="24"/>
          <w:szCs w:val="24"/>
        </w:rPr>
        <w:t>)</w:t>
      </w:r>
      <w:r w:rsidR="0008645B" w:rsidRPr="00945D8C">
        <w:rPr>
          <w:rFonts w:ascii="Times New Roman" w:hAnsi="Times New Roman"/>
          <w:color w:val="000000"/>
          <w:sz w:val="24"/>
          <w:szCs w:val="24"/>
        </w:rPr>
        <w:t xml:space="preserve"> </w:t>
      </w:r>
      <w:r w:rsidR="00AE0AF3" w:rsidRPr="00945D8C">
        <w:rPr>
          <w:rFonts w:ascii="Times New Roman" w:hAnsi="Times New Roman"/>
          <w:color w:val="000000"/>
          <w:sz w:val="24"/>
          <w:szCs w:val="24"/>
        </w:rPr>
        <w:t xml:space="preserve">to </w:t>
      </w:r>
      <w:r w:rsidR="00C61060" w:rsidRPr="00945D8C">
        <w:rPr>
          <w:rFonts w:ascii="Times New Roman" w:hAnsi="Times New Roman"/>
          <w:color w:val="000000"/>
          <w:sz w:val="24"/>
          <w:szCs w:val="24"/>
        </w:rPr>
        <w:t>satisfy the decision maker under the relevant test</w:t>
      </w:r>
      <w:r w:rsidR="00AE0AF3" w:rsidRPr="00945D8C">
        <w:rPr>
          <w:rFonts w:ascii="Times New Roman" w:hAnsi="Times New Roman"/>
          <w:color w:val="000000"/>
          <w:sz w:val="24"/>
          <w:szCs w:val="24"/>
        </w:rPr>
        <w:t>.</w:t>
      </w:r>
      <w:r w:rsidR="00B26198" w:rsidRPr="00945D8C">
        <w:rPr>
          <w:rFonts w:ascii="Times New Roman" w:hAnsi="Times New Roman"/>
          <w:color w:val="000000"/>
          <w:sz w:val="24"/>
          <w:szCs w:val="24"/>
        </w:rPr>
        <w:t xml:space="preserve"> </w:t>
      </w:r>
    </w:p>
    <w:p w14:paraId="4E4B7754" w14:textId="173C7713" w:rsidR="00592E56" w:rsidRPr="00945D8C" w:rsidRDefault="00592E56" w:rsidP="00592E56">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t xml:space="preserve">The FSSA Rules prescribe matters that must be considered in determining whether a person is a fit and proper person, such as the honesty, integrity, reputation, competence, capability and financial soundness of the person.  However, the Rules do not limit the matters that may be considered.  </w:t>
      </w:r>
    </w:p>
    <w:p w14:paraId="772BF6CC" w14:textId="6E2657F3"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color w:val="000000"/>
          <w:sz w:val="24"/>
          <w:szCs w:val="24"/>
        </w:rPr>
        <w:t xml:space="preserve">The personal information </w:t>
      </w:r>
      <w:r w:rsidR="00C4487E" w:rsidRPr="00945D8C">
        <w:rPr>
          <w:rFonts w:ascii="Times New Roman" w:hAnsi="Times New Roman"/>
          <w:color w:val="000000"/>
          <w:sz w:val="24"/>
          <w:szCs w:val="24"/>
        </w:rPr>
        <w:t xml:space="preserve">that </w:t>
      </w:r>
      <w:r w:rsidR="001A3404" w:rsidRPr="00945D8C">
        <w:rPr>
          <w:rFonts w:ascii="Times New Roman" w:hAnsi="Times New Roman"/>
          <w:color w:val="000000"/>
          <w:sz w:val="24"/>
          <w:szCs w:val="24"/>
        </w:rPr>
        <w:t>applicants</w:t>
      </w:r>
      <w:r w:rsidRPr="00945D8C">
        <w:rPr>
          <w:rFonts w:ascii="Times New Roman" w:hAnsi="Times New Roman"/>
          <w:color w:val="000000"/>
          <w:sz w:val="24"/>
          <w:szCs w:val="24"/>
        </w:rPr>
        <w:t xml:space="preserve"> </w:t>
      </w:r>
      <w:r w:rsidR="001A3404" w:rsidRPr="00945D8C">
        <w:rPr>
          <w:rFonts w:ascii="Times New Roman" w:hAnsi="Times New Roman"/>
          <w:color w:val="000000"/>
          <w:sz w:val="24"/>
          <w:szCs w:val="24"/>
        </w:rPr>
        <w:t>provide to the decision maker</w:t>
      </w:r>
      <w:r w:rsidRPr="00945D8C">
        <w:rPr>
          <w:rFonts w:ascii="Times New Roman" w:hAnsi="Times New Roman"/>
          <w:color w:val="000000"/>
          <w:sz w:val="24"/>
          <w:szCs w:val="24"/>
        </w:rPr>
        <w:t xml:space="preserve"> </w:t>
      </w:r>
      <w:r w:rsidR="00C4487E" w:rsidRPr="00945D8C">
        <w:rPr>
          <w:rFonts w:ascii="Times New Roman" w:hAnsi="Times New Roman"/>
          <w:color w:val="000000"/>
          <w:sz w:val="24"/>
          <w:szCs w:val="24"/>
        </w:rPr>
        <w:t xml:space="preserve">for the purposes of demonstrating the matters prescribed </w:t>
      </w:r>
      <w:r w:rsidRPr="00945D8C">
        <w:rPr>
          <w:rFonts w:ascii="Times New Roman" w:hAnsi="Times New Roman"/>
          <w:color w:val="000000"/>
          <w:sz w:val="24"/>
          <w:szCs w:val="24"/>
        </w:rPr>
        <w:t xml:space="preserve">under </w:t>
      </w:r>
      <w:r w:rsidR="001A3404" w:rsidRPr="00945D8C">
        <w:rPr>
          <w:rFonts w:ascii="Times New Roman" w:hAnsi="Times New Roman"/>
          <w:color w:val="000000"/>
          <w:sz w:val="24"/>
          <w:szCs w:val="24"/>
        </w:rPr>
        <w:t>the FSSA Rules</w:t>
      </w:r>
      <w:r w:rsidRPr="00945D8C">
        <w:rPr>
          <w:rFonts w:ascii="Times New Roman" w:hAnsi="Times New Roman"/>
          <w:color w:val="000000"/>
          <w:sz w:val="24"/>
          <w:szCs w:val="24"/>
        </w:rPr>
        <w:t xml:space="preserve"> is essential to the effective operation of </w:t>
      </w:r>
      <w:r w:rsidR="001A3404" w:rsidRPr="00945D8C">
        <w:rPr>
          <w:rFonts w:ascii="Times New Roman" w:hAnsi="Times New Roman"/>
          <w:color w:val="000000"/>
          <w:sz w:val="24"/>
          <w:szCs w:val="24"/>
        </w:rPr>
        <w:t xml:space="preserve">the </w:t>
      </w:r>
      <w:r w:rsidR="00C4487E" w:rsidRPr="00945D8C">
        <w:rPr>
          <w:rFonts w:ascii="Times New Roman" w:hAnsi="Times New Roman"/>
          <w:color w:val="000000"/>
          <w:sz w:val="24"/>
          <w:szCs w:val="24"/>
        </w:rPr>
        <w:t xml:space="preserve">Act </w:t>
      </w:r>
      <w:r w:rsidR="00C61060" w:rsidRPr="00945D8C">
        <w:rPr>
          <w:rFonts w:ascii="Times New Roman" w:hAnsi="Times New Roman"/>
          <w:color w:val="000000"/>
          <w:sz w:val="24"/>
          <w:szCs w:val="24"/>
        </w:rPr>
        <w:t xml:space="preserve">to ensure </w:t>
      </w:r>
      <w:r w:rsidRPr="00945D8C">
        <w:rPr>
          <w:rFonts w:ascii="Times New Roman" w:hAnsi="Times New Roman"/>
          <w:color w:val="000000"/>
          <w:sz w:val="24"/>
          <w:szCs w:val="24"/>
        </w:rPr>
        <w:t xml:space="preserve">that only </w:t>
      </w:r>
      <w:r w:rsidR="001A3404" w:rsidRPr="00945D8C">
        <w:rPr>
          <w:rFonts w:ascii="Times New Roman" w:hAnsi="Times New Roman"/>
          <w:color w:val="000000"/>
          <w:sz w:val="24"/>
          <w:szCs w:val="24"/>
        </w:rPr>
        <w:t>persons</w:t>
      </w:r>
      <w:r w:rsidRPr="00945D8C">
        <w:rPr>
          <w:rFonts w:ascii="Times New Roman" w:hAnsi="Times New Roman"/>
          <w:color w:val="000000"/>
          <w:sz w:val="24"/>
          <w:szCs w:val="24"/>
        </w:rPr>
        <w:t xml:space="preserve"> with appropriate </w:t>
      </w:r>
      <w:r w:rsidR="0008645B" w:rsidRPr="00945D8C">
        <w:rPr>
          <w:rFonts w:ascii="Times New Roman" w:hAnsi="Times New Roman"/>
          <w:color w:val="000000"/>
          <w:sz w:val="24"/>
          <w:szCs w:val="24"/>
        </w:rPr>
        <w:t>reputation</w:t>
      </w:r>
      <w:r w:rsidRPr="00945D8C">
        <w:rPr>
          <w:rFonts w:ascii="Times New Roman" w:hAnsi="Times New Roman"/>
          <w:color w:val="000000"/>
          <w:sz w:val="24"/>
          <w:szCs w:val="24"/>
        </w:rPr>
        <w:t xml:space="preserve">, </w:t>
      </w:r>
      <w:r w:rsidR="0008645B" w:rsidRPr="00945D8C">
        <w:rPr>
          <w:rFonts w:ascii="Times New Roman" w:hAnsi="Times New Roman"/>
          <w:color w:val="000000"/>
          <w:sz w:val="24"/>
          <w:szCs w:val="24"/>
        </w:rPr>
        <w:t>competence and financial soundness</w:t>
      </w:r>
      <w:r w:rsidRPr="00945D8C">
        <w:rPr>
          <w:rFonts w:ascii="Times New Roman" w:hAnsi="Times New Roman"/>
          <w:color w:val="000000"/>
          <w:sz w:val="24"/>
          <w:szCs w:val="24"/>
        </w:rPr>
        <w:t xml:space="preserve"> </w:t>
      </w:r>
      <w:r w:rsidR="00D16200" w:rsidRPr="00945D8C">
        <w:rPr>
          <w:rFonts w:ascii="Times New Roman" w:hAnsi="Times New Roman"/>
          <w:color w:val="000000"/>
          <w:sz w:val="24"/>
          <w:szCs w:val="24"/>
        </w:rPr>
        <w:t xml:space="preserve">are able to control </w:t>
      </w:r>
      <w:r w:rsidR="00073A66" w:rsidRPr="00945D8C">
        <w:rPr>
          <w:rFonts w:ascii="Times New Roman" w:hAnsi="Times New Roman"/>
          <w:color w:val="000000"/>
          <w:sz w:val="24"/>
          <w:szCs w:val="24"/>
        </w:rPr>
        <w:t>financial sector companies</w:t>
      </w:r>
      <w:r w:rsidRPr="00945D8C">
        <w:rPr>
          <w:rFonts w:ascii="Times New Roman" w:hAnsi="Times New Roman"/>
          <w:color w:val="000000"/>
          <w:sz w:val="24"/>
          <w:szCs w:val="24"/>
        </w:rPr>
        <w:t xml:space="preserve">. This information ultimately supports </w:t>
      </w:r>
      <w:r w:rsidR="00C61060" w:rsidRPr="00945D8C">
        <w:rPr>
          <w:rFonts w:ascii="Times New Roman" w:hAnsi="Times New Roman"/>
          <w:color w:val="000000"/>
          <w:sz w:val="24"/>
          <w:szCs w:val="24"/>
        </w:rPr>
        <w:t xml:space="preserve">the objects of the </w:t>
      </w:r>
      <w:r w:rsidR="00C61060" w:rsidRPr="00945D8C">
        <w:rPr>
          <w:rFonts w:ascii="Times New Roman" w:hAnsi="Times New Roman"/>
          <w:i/>
          <w:color w:val="000000"/>
          <w:sz w:val="24"/>
          <w:szCs w:val="24"/>
        </w:rPr>
        <w:t>Banking Act 1959</w:t>
      </w:r>
      <w:r w:rsidR="00C61060" w:rsidRPr="00945D8C">
        <w:rPr>
          <w:rFonts w:ascii="Times New Roman" w:hAnsi="Times New Roman"/>
          <w:color w:val="000000"/>
          <w:sz w:val="24"/>
          <w:szCs w:val="24"/>
        </w:rPr>
        <w:t xml:space="preserve">, </w:t>
      </w:r>
      <w:r w:rsidR="00C61060" w:rsidRPr="00945D8C">
        <w:rPr>
          <w:rFonts w:ascii="Times New Roman" w:hAnsi="Times New Roman"/>
          <w:i/>
          <w:color w:val="000000"/>
          <w:sz w:val="24"/>
          <w:szCs w:val="24"/>
        </w:rPr>
        <w:t>Insurance Act 1973</w:t>
      </w:r>
      <w:r w:rsidR="00C61060" w:rsidRPr="00945D8C">
        <w:rPr>
          <w:rFonts w:ascii="Times New Roman" w:hAnsi="Times New Roman"/>
          <w:color w:val="000000"/>
          <w:sz w:val="24"/>
          <w:szCs w:val="24"/>
        </w:rPr>
        <w:t xml:space="preserve"> and </w:t>
      </w:r>
      <w:r w:rsidR="00C61060" w:rsidRPr="00945D8C">
        <w:rPr>
          <w:rFonts w:ascii="Times New Roman" w:hAnsi="Times New Roman"/>
          <w:i/>
          <w:color w:val="000000"/>
          <w:sz w:val="24"/>
          <w:szCs w:val="24"/>
        </w:rPr>
        <w:t>Life Insurance Act 1995</w:t>
      </w:r>
      <w:r w:rsidR="00C61060" w:rsidRPr="00945D8C">
        <w:rPr>
          <w:rFonts w:ascii="Times New Roman" w:hAnsi="Times New Roman"/>
          <w:color w:val="000000"/>
          <w:sz w:val="24"/>
          <w:szCs w:val="24"/>
        </w:rPr>
        <w:t xml:space="preserve"> to protect the interests of </w:t>
      </w:r>
      <w:r w:rsidR="005E0EE6" w:rsidRPr="00945D8C">
        <w:rPr>
          <w:rFonts w:ascii="Times New Roman" w:hAnsi="Times New Roman"/>
          <w:color w:val="000000"/>
          <w:sz w:val="24"/>
          <w:szCs w:val="24"/>
        </w:rPr>
        <w:t>depositors, policy</w:t>
      </w:r>
      <w:r w:rsidR="00C61060" w:rsidRPr="00945D8C">
        <w:rPr>
          <w:rFonts w:ascii="Times New Roman" w:hAnsi="Times New Roman"/>
          <w:color w:val="000000"/>
          <w:sz w:val="24"/>
          <w:szCs w:val="24"/>
        </w:rPr>
        <w:t>holders</w:t>
      </w:r>
      <w:r w:rsidR="005E0EE6" w:rsidRPr="00945D8C">
        <w:rPr>
          <w:rFonts w:ascii="Times New Roman" w:hAnsi="Times New Roman"/>
          <w:color w:val="000000"/>
          <w:sz w:val="24"/>
          <w:szCs w:val="24"/>
        </w:rPr>
        <w:t xml:space="preserve"> and owners of life insurance policies</w:t>
      </w:r>
      <w:r w:rsidR="00C61060" w:rsidRPr="00945D8C">
        <w:rPr>
          <w:rFonts w:ascii="Times New Roman" w:hAnsi="Times New Roman"/>
          <w:color w:val="000000"/>
          <w:sz w:val="24"/>
          <w:szCs w:val="24"/>
        </w:rPr>
        <w:t>, and to promote financial system stability in Australia</w:t>
      </w:r>
      <w:r w:rsidRPr="00945D8C">
        <w:rPr>
          <w:rFonts w:ascii="Times New Roman" w:hAnsi="Times New Roman"/>
          <w:color w:val="000000"/>
          <w:sz w:val="24"/>
          <w:szCs w:val="24"/>
        </w:rPr>
        <w:t>.</w:t>
      </w:r>
    </w:p>
    <w:p w14:paraId="050B0E50" w14:textId="700D20EC" w:rsidR="006E1133" w:rsidRPr="00945D8C" w:rsidDel="006E1133" w:rsidRDefault="0008645B">
      <w:pPr>
        <w:spacing w:after="240" w:line="276" w:lineRule="auto"/>
        <w:jc w:val="both"/>
        <w:rPr>
          <w:rFonts w:ascii="Times New Roman" w:hAnsi="Times New Roman"/>
          <w:color w:val="000000"/>
          <w:sz w:val="24"/>
          <w:szCs w:val="24"/>
          <w:shd w:val="clear" w:color="auto" w:fill="FFFFFF"/>
        </w:rPr>
      </w:pPr>
      <w:r w:rsidRPr="00945D8C">
        <w:rPr>
          <w:rFonts w:ascii="Times New Roman" w:hAnsi="Times New Roman"/>
          <w:color w:val="000000"/>
          <w:sz w:val="24"/>
          <w:szCs w:val="24"/>
          <w:shd w:val="clear" w:color="auto" w:fill="FFFFFF"/>
        </w:rPr>
        <w:t xml:space="preserve">Information </w:t>
      </w:r>
      <w:r w:rsidR="00FA033F" w:rsidRPr="00945D8C">
        <w:rPr>
          <w:rFonts w:ascii="Times New Roman" w:hAnsi="Times New Roman"/>
          <w:color w:val="000000"/>
          <w:sz w:val="24"/>
          <w:szCs w:val="24"/>
          <w:shd w:val="clear" w:color="auto" w:fill="FFFFFF"/>
        </w:rPr>
        <w:t xml:space="preserve">and documents </w:t>
      </w:r>
      <w:r w:rsidRPr="00945D8C">
        <w:rPr>
          <w:rFonts w:ascii="Times New Roman" w:hAnsi="Times New Roman"/>
          <w:color w:val="000000"/>
          <w:sz w:val="24"/>
          <w:szCs w:val="24"/>
          <w:shd w:val="clear" w:color="auto" w:fill="FFFFFF"/>
        </w:rPr>
        <w:t xml:space="preserve">provided to </w:t>
      </w:r>
      <w:r w:rsidR="00FA033F" w:rsidRPr="00945D8C">
        <w:rPr>
          <w:rFonts w:ascii="Times New Roman" w:hAnsi="Times New Roman"/>
          <w:color w:val="000000"/>
          <w:sz w:val="24"/>
          <w:szCs w:val="24"/>
          <w:shd w:val="clear" w:color="auto" w:fill="FFFFFF"/>
        </w:rPr>
        <w:t>the Treasurer or the Treasurer’s delegate are</w:t>
      </w:r>
      <w:r w:rsidRPr="00945D8C">
        <w:rPr>
          <w:rFonts w:ascii="Times New Roman" w:hAnsi="Times New Roman"/>
          <w:color w:val="000000"/>
          <w:sz w:val="24"/>
          <w:szCs w:val="24"/>
          <w:shd w:val="clear" w:color="auto" w:fill="FFFFFF"/>
        </w:rPr>
        <w:t xml:space="preserve"> protected information </w:t>
      </w:r>
      <w:r w:rsidR="00FA033F" w:rsidRPr="00945D8C">
        <w:rPr>
          <w:rFonts w:ascii="Times New Roman" w:hAnsi="Times New Roman"/>
          <w:color w:val="000000"/>
          <w:sz w:val="24"/>
          <w:szCs w:val="24"/>
          <w:shd w:val="clear" w:color="auto" w:fill="FFFFFF"/>
        </w:rPr>
        <w:t xml:space="preserve">and protected documents </w:t>
      </w:r>
      <w:r w:rsidRPr="00945D8C">
        <w:rPr>
          <w:rFonts w:ascii="Times New Roman" w:hAnsi="Times New Roman"/>
          <w:color w:val="000000"/>
          <w:sz w:val="24"/>
          <w:szCs w:val="24"/>
          <w:shd w:val="clear" w:color="auto" w:fill="FFFFFF"/>
        </w:rPr>
        <w:t xml:space="preserve">for the purposes of section 56 of the </w:t>
      </w:r>
      <w:r w:rsidRPr="00945D8C">
        <w:rPr>
          <w:rFonts w:ascii="Times New Roman" w:hAnsi="Times New Roman"/>
          <w:i/>
          <w:iCs/>
          <w:color w:val="000000"/>
          <w:sz w:val="24"/>
          <w:szCs w:val="24"/>
        </w:rPr>
        <w:lastRenderedPageBreak/>
        <w:t>Australian Prudential Regulation Authority Act 1998</w:t>
      </w:r>
      <w:r w:rsidRPr="00945D8C">
        <w:rPr>
          <w:rFonts w:ascii="Times New Roman" w:hAnsi="Times New Roman"/>
          <w:color w:val="000000"/>
          <w:sz w:val="24"/>
          <w:szCs w:val="24"/>
          <w:shd w:val="clear" w:color="auto" w:fill="FFFFFF"/>
        </w:rPr>
        <w:t xml:space="preserve"> and cannot be disclosed except under a limited range of circumstances provided for under that section. </w:t>
      </w:r>
    </w:p>
    <w:p w14:paraId="4CBF1F1E" w14:textId="61A4B061" w:rsidR="00AE0AF3" w:rsidRPr="00945D8C" w:rsidRDefault="00AE0AF3" w:rsidP="0008645B">
      <w:pPr>
        <w:spacing w:after="240" w:line="276" w:lineRule="auto"/>
        <w:jc w:val="both"/>
        <w:rPr>
          <w:rFonts w:ascii="Times New Roman" w:hAnsi="Times New Roman"/>
          <w:color w:val="000000"/>
          <w:sz w:val="24"/>
          <w:szCs w:val="24"/>
        </w:rPr>
      </w:pPr>
      <w:r w:rsidRPr="00945D8C">
        <w:rPr>
          <w:rFonts w:ascii="Times New Roman" w:hAnsi="Times New Roman"/>
          <w:b/>
          <w:bCs/>
          <w:color w:val="000000"/>
          <w:sz w:val="24"/>
          <w:szCs w:val="24"/>
        </w:rPr>
        <w:t>Conclusion</w:t>
      </w:r>
    </w:p>
    <w:p w14:paraId="7136E826" w14:textId="6DAFE5FB" w:rsidR="002436BD" w:rsidRPr="00945D8C" w:rsidRDefault="00BC249A" w:rsidP="000A2E27">
      <w:pPr>
        <w:spacing w:after="240" w:line="276" w:lineRule="auto"/>
        <w:jc w:val="both"/>
        <w:rPr>
          <w:rFonts w:ascii="Times New Roman" w:hAnsi="Times New Roman"/>
          <w:b/>
          <w:sz w:val="24"/>
          <w:szCs w:val="24"/>
        </w:rPr>
      </w:pPr>
      <w:r w:rsidRPr="00945D8C">
        <w:rPr>
          <w:rFonts w:ascii="Times New Roman" w:hAnsi="Times New Roman"/>
          <w:color w:val="000000"/>
          <w:sz w:val="24"/>
          <w:szCs w:val="24"/>
        </w:rPr>
        <w:t>Financial Sector (Shareholdings) determination No. 1 of 2019</w:t>
      </w:r>
      <w:r w:rsidR="00AE0AF3" w:rsidRPr="00945D8C">
        <w:rPr>
          <w:rFonts w:ascii="Times New Roman" w:hAnsi="Times New Roman"/>
          <w:color w:val="000000"/>
          <w:sz w:val="24"/>
          <w:szCs w:val="24"/>
        </w:rPr>
        <w:t xml:space="preserve"> is compatible with human rights because to the extent that this determination limits human rights, those limitations are reasonable, necessary and proportionate.</w:t>
      </w:r>
    </w:p>
    <w:p w14:paraId="630C93A0" w14:textId="77777777" w:rsidR="00B04B20" w:rsidRPr="00FA5345" w:rsidRDefault="00B04B20" w:rsidP="00D85E77">
      <w:pPr>
        <w:spacing w:after="240"/>
        <w:jc w:val="both"/>
      </w:pPr>
    </w:p>
    <w:sectPr w:rsidR="00B04B20"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81BE" w14:textId="77777777" w:rsidR="000A2E27" w:rsidRDefault="000A2E27" w:rsidP="00D85E77">
      <w:r>
        <w:separator/>
      </w:r>
    </w:p>
  </w:endnote>
  <w:endnote w:type="continuationSeparator" w:id="0">
    <w:p w14:paraId="15F0499D" w14:textId="77777777" w:rsidR="000A2E27" w:rsidRDefault="000A2E27" w:rsidP="00D85E77">
      <w:r>
        <w:continuationSeparator/>
      </w:r>
    </w:p>
  </w:endnote>
  <w:endnote w:type="continuationNotice" w:id="1">
    <w:p w14:paraId="33054497" w14:textId="77777777" w:rsidR="00291191" w:rsidRDefault="00291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095C3545" w14:textId="77777777" w:rsidR="000A2E27" w:rsidRPr="00D85E77" w:rsidRDefault="000A2E2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DD43A0">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3174513B" w14:textId="77777777" w:rsidR="000A2E27" w:rsidRDefault="000A2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851B2" w14:textId="77777777" w:rsidR="000A2E27" w:rsidRDefault="000A2E27" w:rsidP="00D85E77">
      <w:r>
        <w:separator/>
      </w:r>
    </w:p>
  </w:footnote>
  <w:footnote w:type="continuationSeparator" w:id="0">
    <w:p w14:paraId="0780D720" w14:textId="77777777" w:rsidR="000A2E27" w:rsidRDefault="000A2E27" w:rsidP="00D85E77">
      <w:r>
        <w:continuationSeparator/>
      </w:r>
    </w:p>
  </w:footnote>
  <w:footnote w:type="continuationNotice" w:id="1">
    <w:p w14:paraId="3924AD0F" w14:textId="77777777" w:rsidR="00291191" w:rsidRDefault="00291191"/>
  </w:footnote>
  <w:footnote w:id="2">
    <w:p w14:paraId="5C183FDC" w14:textId="03FC849A" w:rsidR="000A2E27" w:rsidRDefault="000A2E27">
      <w:pPr>
        <w:pStyle w:val="FootnoteText"/>
      </w:pPr>
      <w:r>
        <w:rPr>
          <w:rStyle w:val="FootnoteReference"/>
        </w:rPr>
        <w:footnoteRef/>
      </w:r>
      <w:r>
        <w:t xml:space="preserve"> </w:t>
      </w:r>
      <w:r w:rsidRPr="00945D8C">
        <w:rPr>
          <w:rFonts w:ascii="Times New Roman" w:hAnsi="Times New Roman"/>
        </w:rPr>
        <w:t>A ‘financial sector company’ is an authorised deposit-taking institution (such as a bank, credit union or building society), general insurer or life company, or a 100 per cent holding company of any of these entities.  The Treasurer’s power to approve an application to hold a stake of more than 20 per cent in a financial sector company that is below a specified asset limit has been delegated to certain APRA staff members.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D4"/>
    <w:rsid w:val="00022390"/>
    <w:rsid w:val="00027FCA"/>
    <w:rsid w:val="000401FC"/>
    <w:rsid w:val="00073A66"/>
    <w:rsid w:val="0008645B"/>
    <w:rsid w:val="000A2E27"/>
    <w:rsid w:val="000B2AC0"/>
    <w:rsid w:val="000B60B3"/>
    <w:rsid w:val="000E369C"/>
    <w:rsid w:val="001128A0"/>
    <w:rsid w:val="001252AB"/>
    <w:rsid w:val="0015253A"/>
    <w:rsid w:val="00157D65"/>
    <w:rsid w:val="00175689"/>
    <w:rsid w:val="00182FA1"/>
    <w:rsid w:val="001A3404"/>
    <w:rsid w:val="002436BD"/>
    <w:rsid w:val="00246723"/>
    <w:rsid w:val="0027161C"/>
    <w:rsid w:val="002773A6"/>
    <w:rsid w:val="00291191"/>
    <w:rsid w:val="002A73BD"/>
    <w:rsid w:val="00300FBC"/>
    <w:rsid w:val="0030506B"/>
    <w:rsid w:val="00310CF8"/>
    <w:rsid w:val="00354CB8"/>
    <w:rsid w:val="003802D4"/>
    <w:rsid w:val="003866AD"/>
    <w:rsid w:val="003A52A5"/>
    <w:rsid w:val="003C7170"/>
    <w:rsid w:val="003D5032"/>
    <w:rsid w:val="0040175E"/>
    <w:rsid w:val="00412510"/>
    <w:rsid w:val="00422164"/>
    <w:rsid w:val="00427C0F"/>
    <w:rsid w:val="00443A02"/>
    <w:rsid w:val="00444768"/>
    <w:rsid w:val="00457428"/>
    <w:rsid w:val="004819AE"/>
    <w:rsid w:val="004C3D07"/>
    <w:rsid w:val="004E2008"/>
    <w:rsid w:val="00552D3E"/>
    <w:rsid w:val="00560827"/>
    <w:rsid w:val="00560EA9"/>
    <w:rsid w:val="0056141D"/>
    <w:rsid w:val="005679EA"/>
    <w:rsid w:val="00592E56"/>
    <w:rsid w:val="005B0BAF"/>
    <w:rsid w:val="005E0EE6"/>
    <w:rsid w:val="005E5910"/>
    <w:rsid w:val="00622480"/>
    <w:rsid w:val="00647D58"/>
    <w:rsid w:val="00657678"/>
    <w:rsid w:val="00682865"/>
    <w:rsid w:val="00684F73"/>
    <w:rsid w:val="0069678B"/>
    <w:rsid w:val="006B093F"/>
    <w:rsid w:val="006D50AF"/>
    <w:rsid w:val="006E1133"/>
    <w:rsid w:val="007031F4"/>
    <w:rsid w:val="007049CF"/>
    <w:rsid w:val="00712E1A"/>
    <w:rsid w:val="007368AD"/>
    <w:rsid w:val="007428D4"/>
    <w:rsid w:val="00747AFF"/>
    <w:rsid w:val="00761B22"/>
    <w:rsid w:val="00785CDC"/>
    <w:rsid w:val="007C2298"/>
    <w:rsid w:val="007E472C"/>
    <w:rsid w:val="007E4B2A"/>
    <w:rsid w:val="007F575E"/>
    <w:rsid w:val="00830F66"/>
    <w:rsid w:val="00834194"/>
    <w:rsid w:val="00881660"/>
    <w:rsid w:val="00932EFA"/>
    <w:rsid w:val="00945D8C"/>
    <w:rsid w:val="009460E1"/>
    <w:rsid w:val="00967D16"/>
    <w:rsid w:val="00981B96"/>
    <w:rsid w:val="00996473"/>
    <w:rsid w:val="009A1526"/>
    <w:rsid w:val="009B2829"/>
    <w:rsid w:val="009B6879"/>
    <w:rsid w:val="009B6D17"/>
    <w:rsid w:val="009C5368"/>
    <w:rsid w:val="009F31C8"/>
    <w:rsid w:val="00A061BE"/>
    <w:rsid w:val="00A279AF"/>
    <w:rsid w:val="00A4133B"/>
    <w:rsid w:val="00A63A2B"/>
    <w:rsid w:val="00A94262"/>
    <w:rsid w:val="00AA1493"/>
    <w:rsid w:val="00AA3E4A"/>
    <w:rsid w:val="00AC2517"/>
    <w:rsid w:val="00AC7A56"/>
    <w:rsid w:val="00AD4016"/>
    <w:rsid w:val="00AD576D"/>
    <w:rsid w:val="00AE0AF3"/>
    <w:rsid w:val="00B04B20"/>
    <w:rsid w:val="00B12C52"/>
    <w:rsid w:val="00B1637D"/>
    <w:rsid w:val="00B26198"/>
    <w:rsid w:val="00B54DA0"/>
    <w:rsid w:val="00B64B2E"/>
    <w:rsid w:val="00B65DAF"/>
    <w:rsid w:val="00B85B6E"/>
    <w:rsid w:val="00BB1678"/>
    <w:rsid w:val="00BB426A"/>
    <w:rsid w:val="00BC249A"/>
    <w:rsid w:val="00BE36B6"/>
    <w:rsid w:val="00BF2953"/>
    <w:rsid w:val="00C302FA"/>
    <w:rsid w:val="00C43601"/>
    <w:rsid w:val="00C4487E"/>
    <w:rsid w:val="00C61060"/>
    <w:rsid w:val="00C841F9"/>
    <w:rsid w:val="00C948AA"/>
    <w:rsid w:val="00CA6CB3"/>
    <w:rsid w:val="00CB05B9"/>
    <w:rsid w:val="00CB384A"/>
    <w:rsid w:val="00CC3797"/>
    <w:rsid w:val="00CC6FDB"/>
    <w:rsid w:val="00CD12D4"/>
    <w:rsid w:val="00CD1947"/>
    <w:rsid w:val="00CE3EF2"/>
    <w:rsid w:val="00D119F5"/>
    <w:rsid w:val="00D16200"/>
    <w:rsid w:val="00D3484E"/>
    <w:rsid w:val="00D452F5"/>
    <w:rsid w:val="00D53B59"/>
    <w:rsid w:val="00D64906"/>
    <w:rsid w:val="00D71855"/>
    <w:rsid w:val="00D83531"/>
    <w:rsid w:val="00D85E77"/>
    <w:rsid w:val="00D87E36"/>
    <w:rsid w:val="00DB7BAD"/>
    <w:rsid w:val="00DD43A0"/>
    <w:rsid w:val="00DD48E7"/>
    <w:rsid w:val="00DF524E"/>
    <w:rsid w:val="00DF55CA"/>
    <w:rsid w:val="00E15497"/>
    <w:rsid w:val="00E154A3"/>
    <w:rsid w:val="00E16789"/>
    <w:rsid w:val="00E201A8"/>
    <w:rsid w:val="00E52DFE"/>
    <w:rsid w:val="00E61B19"/>
    <w:rsid w:val="00E73157"/>
    <w:rsid w:val="00E90C89"/>
    <w:rsid w:val="00E966A3"/>
    <w:rsid w:val="00EA07DE"/>
    <w:rsid w:val="00EC5653"/>
    <w:rsid w:val="00F11E6E"/>
    <w:rsid w:val="00F436BC"/>
    <w:rsid w:val="00F60EC7"/>
    <w:rsid w:val="00F75871"/>
    <w:rsid w:val="00F7706D"/>
    <w:rsid w:val="00F86822"/>
    <w:rsid w:val="00FA033F"/>
    <w:rsid w:val="00FA5345"/>
    <w:rsid w:val="00FA69B0"/>
    <w:rsid w:val="00FB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3F8A8A"/>
  <w15:docId w15:val="{A188F79D-C736-4016-9163-49AA9A8A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styleId="FootnoteText">
    <w:name w:val="footnote text"/>
    <w:basedOn w:val="Normal"/>
    <w:link w:val="FootnoteTextChar"/>
    <w:uiPriority w:val="99"/>
    <w:semiHidden/>
    <w:unhideWhenUsed/>
    <w:rsid w:val="004819AE"/>
    <w:rPr>
      <w:sz w:val="20"/>
    </w:rPr>
  </w:style>
  <w:style w:type="character" w:customStyle="1" w:styleId="FootnoteTextChar">
    <w:name w:val="Footnote Text Char"/>
    <w:basedOn w:val="DefaultParagraphFont"/>
    <w:link w:val="FootnoteText"/>
    <w:uiPriority w:val="99"/>
    <w:semiHidden/>
    <w:rsid w:val="004819AE"/>
    <w:rPr>
      <w:rFonts w:ascii="Trebuchet MS" w:eastAsia="Times New Roman" w:hAnsi="Trebuchet MS"/>
    </w:rPr>
  </w:style>
  <w:style w:type="character" w:styleId="FootnoteReference">
    <w:name w:val="footnote reference"/>
    <w:basedOn w:val="DefaultParagraphFont"/>
    <w:uiPriority w:val="99"/>
    <w:semiHidden/>
    <w:unhideWhenUsed/>
    <w:rsid w:val="004819AE"/>
    <w:rPr>
      <w:vertAlign w:val="superscript"/>
    </w:rPr>
  </w:style>
  <w:style w:type="paragraph" w:customStyle="1" w:styleId="BULLET1">
    <w:name w:val="BULLET 1"/>
    <w:basedOn w:val="Normal"/>
    <w:link w:val="BULLET1Char"/>
    <w:qFormat/>
    <w:rsid w:val="000B2AC0"/>
    <w:pPr>
      <w:numPr>
        <w:numId w:val="6"/>
      </w:numPr>
      <w:spacing w:after="240"/>
      <w:jc w:val="both"/>
    </w:pPr>
    <w:rPr>
      <w:rFonts w:ascii="Arial" w:eastAsiaTheme="minorEastAsia" w:hAnsi="Arial" w:cstheme="minorBidi"/>
      <w:szCs w:val="22"/>
    </w:rPr>
  </w:style>
  <w:style w:type="character" w:customStyle="1" w:styleId="BULLET1Char">
    <w:name w:val="BULLET 1 Char"/>
    <w:basedOn w:val="DefaultParagraphFont"/>
    <w:link w:val="BULLET1"/>
    <w:rsid w:val="000B2AC0"/>
    <w:rPr>
      <w:rFonts w:ascii="Arial" w:eastAsiaTheme="minorEastAsia" w:hAnsi="Arial" w:cstheme="minorBidi"/>
      <w:sz w:val="22"/>
      <w:szCs w:val="22"/>
    </w:rPr>
  </w:style>
  <w:style w:type="character" w:customStyle="1" w:styleId="hps-normal1">
    <w:name w:val="hps-normal1"/>
    <w:basedOn w:val="DefaultParagraphFont"/>
    <w:rsid w:val="000B2AC0"/>
  </w:style>
  <w:style w:type="paragraph" w:customStyle="1" w:styleId="heading0">
    <w:name w:val="heading"/>
    <w:basedOn w:val="Normal"/>
    <w:rsid w:val="00AE0AF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375226">
      <w:bodyDiv w:val="1"/>
      <w:marLeft w:val="0"/>
      <w:marRight w:val="0"/>
      <w:marTop w:val="0"/>
      <w:marBottom w:val="0"/>
      <w:divBdr>
        <w:top w:val="none" w:sz="0" w:space="0" w:color="auto"/>
        <w:left w:val="none" w:sz="0" w:space="0" w:color="auto"/>
        <w:bottom w:val="none" w:sz="0" w:space="0" w:color="auto"/>
        <w:right w:val="none" w:sz="0" w:space="0" w:color="auto"/>
      </w:divBdr>
    </w:div>
    <w:div w:id="12755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new%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D24B35907DCE24ABB216123958F0461" ma:contentTypeVersion="22" ma:contentTypeDescription="Create a new document." ma:contentTypeScope="" ma:versionID="69a3aab65efa9af63155f307ed0282e6">
  <xsd:schema xmlns:xsd="http://www.w3.org/2001/XMLSchema" xmlns:xs="http://www.w3.org/2001/XMLSchema" xmlns:p="http://schemas.microsoft.com/office/2006/metadata/properties" xmlns:ns1="814d62cb-2db6-4c25-ab62-b9075facbc11" targetNamespace="http://schemas.microsoft.com/office/2006/metadata/properties" ma:root="true" ma:fieldsID="a265f515a02792a4efe8cc031401cc86"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162067a9-05df-49bc-b7fb-8011e74ad611}" ma:internalName="TaxCatchAll" ma:showField="CatchAllData" ma:web="6df62069-470e-4469-aa96-79101b8e8d68">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162067a9-05df-49bc-b7fb-8011e74ad611}" ma:internalName="TaxCatchAllLabel" ma:readOnly="true" ma:showField="CatchAllDataLabel" ma:web="6df62069-470e-4469-aa96-79101b8e8d68">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27</Value>
      <Value>190</Value>
      <Value>191</Value>
      <Value>22</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SNH4FU4VQPFR-1624932995-1102</_dlc_DocId>
    <_dlc_DocIdUrl xmlns="814d62cb-2db6-4c25-ab62-b9075facbc11">
      <Url>https://im/teams/LICENSING/_layouts/15/DocIdRedir.aspx?ID=SNH4FU4VQPFR-1624932995-1102</Url>
      <Description>SNH4FU4VQPFR-1624932995-1102</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CF25-204A-4E9C-A33A-8C41061C135A}">
  <ds:schemaRefs>
    <ds:schemaRef ds:uri="http://schemas.microsoft.com/sharepoint/v3/contenttype/forms"/>
  </ds:schemaRefs>
</ds:datastoreItem>
</file>

<file path=customXml/itemProps2.xml><?xml version="1.0" encoding="utf-8"?>
<ds:datastoreItem xmlns:ds="http://schemas.openxmlformats.org/officeDocument/2006/customXml" ds:itemID="{ED5BBAC0-C994-473C-BF37-6C3F70F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72E45-AC27-4C94-95AD-52B82F99D05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869ADA-DA68-4B83-B556-15233D6E3CD6}">
  <ds:schemaRefs>
    <ds:schemaRef ds:uri="Microsoft.SharePoint.Taxonomy.ContentTypeSync"/>
  </ds:schemaRefs>
</ds:datastoreItem>
</file>

<file path=customXml/itemProps5.xml><?xml version="1.0" encoding="utf-8"?>
<ds:datastoreItem xmlns:ds="http://schemas.openxmlformats.org/officeDocument/2006/customXml" ds:itemID="{8FCB666C-A23D-4571-AF4E-B2B823F51EF4}">
  <ds:schemaRefs>
    <ds:schemaRef ds:uri="http://schemas.microsoft.com/sharepoint/events"/>
  </ds:schemaRefs>
</ds:datastoreItem>
</file>

<file path=customXml/itemProps6.xml><?xml version="1.0" encoding="utf-8"?>
<ds:datastoreItem xmlns:ds="http://schemas.openxmlformats.org/officeDocument/2006/customXml" ds:itemID="{9878536F-6D2F-43BE-82F3-90EC6546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prudential standard (April 2016).dotx</Template>
  <TotalTime>0</TotalTime>
  <Pages>4</Pages>
  <Words>1348</Words>
  <Characters>7565</Characters>
  <Application>Microsoft Office Word</Application>
  <DocSecurity>0</DocSecurity>
  <Lines>132</Lines>
  <Paragraphs>52</Paragraphs>
  <ScaleCrop>false</ScaleCrop>
  <HeadingPairs>
    <vt:vector size="2" baseType="variant">
      <vt:variant>
        <vt:lpstr>Title</vt:lpstr>
      </vt:variant>
      <vt:variant>
        <vt:i4>1</vt:i4>
      </vt:variant>
    </vt:vector>
  </HeadingPairs>
  <TitlesOfParts>
    <vt:vector size="1" baseType="lpstr">
      <vt:lpstr>FSSA Rules Explanatory Statement</vt:lpstr>
    </vt:vector>
  </TitlesOfParts>
  <Company>APRA</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FSSA Rules Explanatory Statement</dc:title>
  <dc:creator>Sullivan, David</dc:creator>
  <cp:keywords>[SEC=UNCLASSIFIED]</cp:keywords>
  <cp:lastModifiedBy>Favretto, Jane</cp:lastModifiedBy>
  <cp:revision>2</cp:revision>
  <cp:lastPrinted>2012-11-13T01:53:00Z</cp:lastPrinted>
  <dcterms:created xsi:type="dcterms:W3CDTF">2019-08-20T04:11:00Z</dcterms:created>
  <dcterms:modified xsi:type="dcterms:W3CDTF">2019-08-20T04:11:00Z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1446B5E771A042FE7EBE9039065E6F0A38134D8E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F5A18DAB8C524AA98B567E1C7690008C</vt:lpwstr>
  </property>
  <property fmtid="{D5CDD505-2E9C-101B-9397-08002B2CF9AE}" pid="16" name="PM_OriginationTimeStamp">
    <vt:lpwstr>2017-07-27T01:11:02Z</vt:lpwstr>
  </property>
  <property fmtid="{D5CDD505-2E9C-101B-9397-08002B2CF9AE}" pid="17" name="PM_Hash_Version">
    <vt:lpwstr>2016.1</vt:lpwstr>
  </property>
  <property fmtid="{D5CDD505-2E9C-101B-9397-08002B2CF9AE}" pid="18" name="PM_Hash_Salt_Prev">
    <vt:lpwstr>3680D3E932AE77F284832D3DE4C1CDCD</vt:lpwstr>
  </property>
  <property fmtid="{D5CDD505-2E9C-101B-9397-08002B2CF9AE}" pid="19" name="PM_Hash_Salt">
    <vt:lpwstr>3680D3E932AE77F284832D3DE4C1CDCD</vt:lpwstr>
  </property>
  <property fmtid="{D5CDD505-2E9C-101B-9397-08002B2CF9AE}" pid="20" name="PM_MinimumSecurityClassification">
    <vt:lpwstr/>
  </property>
  <property fmtid="{D5CDD505-2E9C-101B-9397-08002B2CF9AE}" pid="21" name="ContentTypeId">
    <vt:lpwstr>0x0101008CA7A4F8331B45C7B0D3158B4994D0CA0200ED24B35907DCE24ABB216123958F0461</vt:lpwstr>
  </property>
  <property fmtid="{D5CDD505-2E9C-101B-9397-08002B2CF9AE}" pid="22" name="APRAPeriod">
    <vt:lpwstr/>
  </property>
  <property fmtid="{D5CDD505-2E9C-101B-9397-08002B2CF9AE}" pid="23" name="APRACostCentre">
    <vt:lpwstr>191;#PAD300|98bbdbe4-d019-48eb-87c4-aa31a7f2f98f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2bcd262b-8b8f-4df8-a384-ece13c21c4dc</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190;#Precedent|197f51c4-dc37-4f46-99ec-cabda449ee10</vt:lpwstr>
  </property>
  <property fmtid="{D5CDD505-2E9C-101B-9397-08002B2CF9AE}" pid="32" name="APRAStatus">
    <vt:lpwstr>27;#Final|84d6b2d0-8498-4d62-bf46-bab38babbe9e</vt:lpwstr>
  </property>
  <property fmtid="{D5CDD505-2E9C-101B-9397-08002B2CF9AE}" pid="33" name="APRAActivity">
    <vt:lpwstr>22;#Prudential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{6df62069-470e-4469-aa96-79101b8e8d68}</vt:lpwstr>
  </property>
  <property fmtid="{D5CDD505-2E9C-101B-9397-08002B2CF9AE}" pid="40" name="RecordPoint_ActiveItemSiteId">
    <vt:lpwstr>{dc39aa68-9533-4ebd-af05-45684489d74f}</vt:lpwstr>
  </property>
  <property fmtid="{D5CDD505-2E9C-101B-9397-08002B2CF9AE}" pid="41" name="RecordPoint_ActiveItemListId">
    <vt:lpwstr>{4555132d-768e-427a-803e-8931f7468360}</vt:lpwstr>
  </property>
  <property fmtid="{D5CDD505-2E9C-101B-9397-08002B2CF9AE}" pid="42" name="RecordPoint_ActiveItemUniqueId">
    <vt:lpwstr>{2bcd262b-8b8f-4df8-a384-ece13c21c4dc}</vt:lpwstr>
  </property>
  <property fmtid="{D5CDD505-2E9C-101B-9397-08002B2CF9AE}" pid="43" name="RecordPoint_RecordNumberSubmitted">
    <vt:lpwstr>R0000794894</vt:lpwstr>
  </property>
  <property fmtid="{D5CDD505-2E9C-101B-9397-08002B2CF9AE}" pid="44" name="RecordPoint_SubmissionCompleted">
    <vt:lpwstr>2019-08-19T12:14:30.1281875+10:00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ies>
</file>