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004BA1" w14:textId="77777777" w:rsidR="00A46CED" w:rsidRDefault="00A46CED" w:rsidP="00A65BE4">
      <w:pPr>
        <w:pStyle w:val="Heading5"/>
        <w:ind w:left="0" w:firstLine="0"/>
        <w:jc w:val="center"/>
      </w:pPr>
      <w:r>
        <w:t>EXPLANATORY STATEMENT</w:t>
      </w:r>
    </w:p>
    <w:p w14:paraId="77620DDE" w14:textId="77777777" w:rsidR="000B41AE" w:rsidRDefault="000B41AE" w:rsidP="00654B0D">
      <w:pPr>
        <w:rPr>
          <w:bCs/>
          <w:color w:val="000000"/>
          <w:sz w:val="28"/>
          <w:szCs w:val="28"/>
        </w:rPr>
      </w:pPr>
    </w:p>
    <w:p w14:paraId="46DF8BB7" w14:textId="4EEA820F" w:rsidR="002B439C" w:rsidRPr="002A2F7F" w:rsidRDefault="009F3AA3" w:rsidP="009F3AA3">
      <w:pPr>
        <w:pStyle w:val="Heading2"/>
        <w:tabs>
          <w:tab w:val="clear" w:pos="720"/>
          <w:tab w:val="left" w:pos="-284"/>
          <w:tab w:val="left" w:pos="0"/>
        </w:tabs>
        <w:rPr>
          <w:rFonts w:ascii="Times New Roman" w:hAnsi="Times New Roman"/>
          <w:i/>
          <w:sz w:val="28"/>
          <w:szCs w:val="28"/>
        </w:rPr>
      </w:pPr>
      <w:bookmarkStart w:id="0" w:name="OLE_LINK3"/>
      <w:bookmarkStart w:id="1" w:name="OLE_LINK1"/>
      <w:bookmarkStart w:id="2" w:name="OLE_LINK2"/>
      <w:r w:rsidRPr="002A2F7F">
        <w:rPr>
          <w:rFonts w:ascii="Times New Roman" w:hAnsi="Times New Roman"/>
          <w:i/>
          <w:sz w:val="28"/>
          <w:szCs w:val="28"/>
        </w:rPr>
        <w:t xml:space="preserve">Veterans’ Entitlements (Partner Service Pension – Retention of Eligibility) Determination </w:t>
      </w:r>
      <w:r w:rsidR="002B439C" w:rsidRPr="002A2F7F">
        <w:rPr>
          <w:rFonts w:ascii="Times New Roman" w:hAnsi="Times New Roman"/>
          <w:i/>
          <w:sz w:val="28"/>
          <w:szCs w:val="28"/>
        </w:rPr>
        <w:t>2019</w:t>
      </w:r>
    </w:p>
    <w:bookmarkEnd w:id="0"/>
    <w:bookmarkEnd w:id="1"/>
    <w:bookmarkEnd w:id="2"/>
    <w:p w14:paraId="79790551" w14:textId="77777777" w:rsidR="009F3AA3" w:rsidRDefault="009F3AA3" w:rsidP="009F3AA3">
      <w:pPr>
        <w:rPr>
          <w:b/>
          <w:color w:val="000000"/>
          <w:sz w:val="28"/>
        </w:rPr>
      </w:pPr>
    </w:p>
    <w:p w14:paraId="19574CA0" w14:textId="77777777" w:rsidR="002B439C" w:rsidRPr="002B439C" w:rsidRDefault="002B439C" w:rsidP="002B439C">
      <w:pPr>
        <w:rPr>
          <w:color w:val="000000"/>
          <w:sz w:val="24"/>
          <w:szCs w:val="24"/>
          <w:u w:val="single"/>
        </w:rPr>
      </w:pPr>
      <w:r w:rsidRPr="002B439C">
        <w:rPr>
          <w:color w:val="000000"/>
          <w:sz w:val="24"/>
          <w:szCs w:val="24"/>
          <w:u w:val="single"/>
        </w:rPr>
        <w:t>Instrument 2019 No. R24</w:t>
      </w:r>
    </w:p>
    <w:p w14:paraId="6EDAF8DF" w14:textId="77777777" w:rsidR="002B439C" w:rsidRDefault="002B439C" w:rsidP="009F3AA3">
      <w:pPr>
        <w:rPr>
          <w:b/>
          <w:color w:val="000000"/>
          <w:sz w:val="28"/>
        </w:rPr>
      </w:pPr>
    </w:p>
    <w:p w14:paraId="32CDF3CE" w14:textId="77777777" w:rsidR="009F3AA3" w:rsidRPr="005C55F8" w:rsidRDefault="009F3AA3" w:rsidP="009F3AA3">
      <w:pPr>
        <w:rPr>
          <w:b/>
          <w:color w:val="000000"/>
          <w:sz w:val="24"/>
          <w:szCs w:val="24"/>
        </w:rPr>
      </w:pPr>
      <w:r w:rsidRPr="005C55F8">
        <w:rPr>
          <w:b/>
          <w:color w:val="000000"/>
          <w:sz w:val="24"/>
          <w:szCs w:val="24"/>
        </w:rPr>
        <w:t>EMPOWERING PROVISION</w:t>
      </w:r>
    </w:p>
    <w:p w14:paraId="220EF796" w14:textId="77777777" w:rsidR="009F3AA3" w:rsidRDefault="009F3AA3" w:rsidP="009F3AA3">
      <w:pPr>
        <w:rPr>
          <w:color w:val="000000"/>
          <w:sz w:val="28"/>
        </w:rPr>
      </w:pPr>
    </w:p>
    <w:p w14:paraId="333CEF7D" w14:textId="5EA44B0C" w:rsidR="009F3AA3" w:rsidRPr="002B439C" w:rsidRDefault="009F3AA3" w:rsidP="009F3AA3">
      <w:pPr>
        <w:rPr>
          <w:color w:val="000000"/>
          <w:sz w:val="24"/>
          <w:szCs w:val="24"/>
        </w:rPr>
      </w:pPr>
      <w:r w:rsidRPr="002B439C">
        <w:rPr>
          <w:color w:val="000000"/>
          <w:sz w:val="24"/>
          <w:szCs w:val="24"/>
        </w:rPr>
        <w:t>S</w:t>
      </w:r>
      <w:r w:rsidR="00EC77D4">
        <w:rPr>
          <w:color w:val="000000"/>
          <w:sz w:val="24"/>
          <w:szCs w:val="24"/>
        </w:rPr>
        <w:t>ubs</w:t>
      </w:r>
      <w:r w:rsidRPr="002B439C">
        <w:rPr>
          <w:color w:val="000000"/>
          <w:sz w:val="24"/>
          <w:szCs w:val="24"/>
        </w:rPr>
        <w:t>ection 38(2AD) of the</w:t>
      </w:r>
      <w:r w:rsidRPr="002B439C">
        <w:rPr>
          <w:i/>
          <w:color w:val="000000"/>
          <w:sz w:val="24"/>
          <w:szCs w:val="24"/>
        </w:rPr>
        <w:t xml:space="preserve"> Veterans’ Entitlements Act 1986</w:t>
      </w:r>
      <w:r w:rsidRPr="002B439C">
        <w:rPr>
          <w:color w:val="000000"/>
          <w:sz w:val="24"/>
          <w:szCs w:val="24"/>
        </w:rPr>
        <w:t xml:space="preserve"> (the Act)</w:t>
      </w:r>
      <w:r w:rsidRPr="002B439C">
        <w:rPr>
          <w:i/>
          <w:color w:val="000000"/>
          <w:sz w:val="24"/>
          <w:szCs w:val="24"/>
        </w:rPr>
        <w:t>.</w:t>
      </w:r>
      <w:r w:rsidRPr="002B439C">
        <w:rPr>
          <w:color w:val="000000"/>
          <w:sz w:val="24"/>
          <w:szCs w:val="24"/>
        </w:rPr>
        <w:t xml:space="preserve">  </w:t>
      </w:r>
    </w:p>
    <w:p w14:paraId="43BC5884" w14:textId="77777777" w:rsidR="009F3AA3" w:rsidRDefault="009F3AA3" w:rsidP="009F3AA3">
      <w:pPr>
        <w:rPr>
          <w:color w:val="000000"/>
          <w:sz w:val="28"/>
        </w:rPr>
      </w:pPr>
    </w:p>
    <w:p w14:paraId="12737A46" w14:textId="77777777" w:rsidR="009F3AA3" w:rsidRPr="005C55F8" w:rsidRDefault="009F3AA3" w:rsidP="009F3AA3">
      <w:pPr>
        <w:rPr>
          <w:b/>
          <w:color w:val="000000"/>
          <w:sz w:val="24"/>
          <w:szCs w:val="24"/>
        </w:rPr>
      </w:pPr>
      <w:r w:rsidRPr="005C55F8">
        <w:rPr>
          <w:b/>
          <w:color w:val="000000"/>
          <w:sz w:val="24"/>
          <w:szCs w:val="24"/>
        </w:rPr>
        <w:t>PURPOSE</w:t>
      </w:r>
    </w:p>
    <w:p w14:paraId="73267F75" w14:textId="77777777" w:rsidR="009F3AA3" w:rsidRDefault="009F3AA3" w:rsidP="009F3AA3">
      <w:pPr>
        <w:rPr>
          <w:color w:val="000000"/>
          <w:sz w:val="28"/>
        </w:rPr>
      </w:pPr>
    </w:p>
    <w:p w14:paraId="129A309D" w14:textId="0E89DA86" w:rsidR="00D24132" w:rsidRPr="00A3453A" w:rsidRDefault="006336D8" w:rsidP="00D24132">
      <w:pPr>
        <w:rPr>
          <w:color w:val="000000"/>
          <w:sz w:val="24"/>
          <w:szCs w:val="24"/>
          <w:u w:val="single"/>
        </w:rPr>
      </w:pPr>
      <w:r w:rsidRPr="004A7DC1">
        <w:rPr>
          <w:color w:val="000000"/>
          <w:sz w:val="24"/>
          <w:szCs w:val="24"/>
        </w:rPr>
        <w:t>The attached instrument (</w:t>
      </w:r>
      <w:r w:rsidRPr="004A7DC1">
        <w:rPr>
          <w:color w:val="000000"/>
          <w:sz w:val="24"/>
          <w:szCs w:val="24"/>
          <w:u w:val="single"/>
        </w:rPr>
        <w:t xml:space="preserve">Instrument 2019 No. R24) </w:t>
      </w:r>
      <w:r w:rsidR="0044334D" w:rsidRPr="004A7DC1">
        <w:rPr>
          <w:color w:val="000000"/>
          <w:sz w:val="24"/>
          <w:szCs w:val="24"/>
        </w:rPr>
        <w:t xml:space="preserve">made under </w:t>
      </w:r>
      <w:r w:rsidR="00D24132">
        <w:rPr>
          <w:color w:val="000000"/>
          <w:sz w:val="24"/>
          <w:szCs w:val="24"/>
        </w:rPr>
        <w:t>sub</w:t>
      </w:r>
      <w:r w:rsidR="0044334D" w:rsidRPr="004A7DC1">
        <w:rPr>
          <w:color w:val="000000"/>
          <w:sz w:val="24"/>
          <w:szCs w:val="24"/>
        </w:rPr>
        <w:t>section 38</w:t>
      </w:r>
      <w:r w:rsidR="00D24132">
        <w:rPr>
          <w:color w:val="000000"/>
          <w:sz w:val="24"/>
          <w:szCs w:val="24"/>
        </w:rPr>
        <w:t>(2AD)</w:t>
      </w:r>
      <w:r w:rsidR="0044334D" w:rsidRPr="004A7DC1">
        <w:rPr>
          <w:color w:val="000000"/>
          <w:sz w:val="24"/>
          <w:szCs w:val="24"/>
        </w:rPr>
        <w:t xml:space="preserve"> of the Act </w:t>
      </w:r>
      <w:r w:rsidRPr="004A7DC1">
        <w:rPr>
          <w:color w:val="000000"/>
          <w:sz w:val="24"/>
          <w:szCs w:val="24"/>
        </w:rPr>
        <w:t>sets out the circumstances in which</w:t>
      </w:r>
      <w:r w:rsidR="00D24132">
        <w:rPr>
          <w:color w:val="000000"/>
          <w:sz w:val="24"/>
          <w:szCs w:val="24"/>
        </w:rPr>
        <w:t xml:space="preserve"> the married or non-married former partner of a veteran </w:t>
      </w:r>
      <w:r w:rsidR="00D24132" w:rsidRPr="00A3453A">
        <w:rPr>
          <w:color w:val="000000"/>
          <w:sz w:val="24"/>
          <w:szCs w:val="24"/>
        </w:rPr>
        <w:t>will not lose the</w:t>
      </w:r>
      <w:r w:rsidR="00D24132">
        <w:rPr>
          <w:color w:val="000000"/>
          <w:sz w:val="24"/>
          <w:szCs w:val="24"/>
        </w:rPr>
        <w:t>ir</w:t>
      </w:r>
      <w:r w:rsidR="00D24132" w:rsidRPr="00A3453A">
        <w:rPr>
          <w:color w:val="000000"/>
          <w:sz w:val="24"/>
          <w:szCs w:val="24"/>
        </w:rPr>
        <w:t xml:space="preserve"> partner service pension</w:t>
      </w:r>
      <w:r w:rsidR="00D24132">
        <w:rPr>
          <w:color w:val="000000"/>
          <w:sz w:val="24"/>
          <w:szCs w:val="24"/>
        </w:rPr>
        <w:t xml:space="preserve"> </w:t>
      </w:r>
      <w:r w:rsidR="00D24132" w:rsidRPr="00A3453A">
        <w:rPr>
          <w:color w:val="000000"/>
          <w:sz w:val="24"/>
          <w:szCs w:val="24"/>
        </w:rPr>
        <w:t>despite being separated from the veteran for 12 months or more for a reason other than illness.</w:t>
      </w:r>
      <w:r w:rsidR="0069408B">
        <w:rPr>
          <w:color w:val="000000"/>
          <w:sz w:val="24"/>
          <w:szCs w:val="24"/>
        </w:rPr>
        <w:t xml:space="preserve"> </w:t>
      </w:r>
    </w:p>
    <w:p w14:paraId="774B98D9" w14:textId="77777777" w:rsidR="00D24132" w:rsidRDefault="00D24132" w:rsidP="00F27612">
      <w:pPr>
        <w:rPr>
          <w:sz w:val="24"/>
          <w:szCs w:val="24"/>
        </w:rPr>
      </w:pPr>
    </w:p>
    <w:p w14:paraId="37237E24" w14:textId="452A8119" w:rsidR="009D790B" w:rsidRDefault="00BA0370">
      <w:pPr>
        <w:rPr>
          <w:snapToGrid w:val="0"/>
          <w:color w:val="000000"/>
          <w:sz w:val="24"/>
          <w:szCs w:val="24"/>
          <w:lang w:eastAsia="en-US"/>
        </w:rPr>
      </w:pPr>
      <w:r w:rsidRPr="00CB3BC7">
        <w:rPr>
          <w:sz w:val="24"/>
          <w:szCs w:val="24"/>
        </w:rPr>
        <w:t>Th</w:t>
      </w:r>
      <w:r w:rsidR="00CB3BC7">
        <w:rPr>
          <w:sz w:val="24"/>
          <w:szCs w:val="24"/>
        </w:rPr>
        <w:t>e</w:t>
      </w:r>
      <w:r w:rsidR="00CB3BC7" w:rsidRPr="00503DF9">
        <w:rPr>
          <w:i/>
          <w:color w:val="000000"/>
          <w:sz w:val="24"/>
          <w:szCs w:val="24"/>
        </w:rPr>
        <w:t xml:space="preserve"> </w:t>
      </w:r>
      <w:r w:rsidR="00CB3BC7" w:rsidRPr="00636E62">
        <w:rPr>
          <w:i/>
          <w:color w:val="000000"/>
          <w:sz w:val="24"/>
          <w:szCs w:val="24"/>
        </w:rPr>
        <w:t xml:space="preserve">Veterans’ Entitlements </w:t>
      </w:r>
      <w:r w:rsidR="00CB3BC7" w:rsidRPr="00636E62">
        <w:rPr>
          <w:i/>
          <w:sz w:val="24"/>
          <w:szCs w:val="24"/>
        </w:rPr>
        <w:t>(Partner Service Pension — Retention of Eligibility</w:t>
      </w:r>
      <w:r w:rsidR="00CB3BC7">
        <w:rPr>
          <w:i/>
          <w:sz w:val="24"/>
          <w:szCs w:val="24"/>
        </w:rPr>
        <w:t xml:space="preserve"> for Non-illness Separated Spouse</w:t>
      </w:r>
      <w:r w:rsidR="00CB3BC7" w:rsidRPr="00636E62">
        <w:rPr>
          <w:i/>
          <w:sz w:val="24"/>
          <w:szCs w:val="24"/>
        </w:rPr>
        <w:t xml:space="preserve">) </w:t>
      </w:r>
      <w:r w:rsidR="00CB3BC7">
        <w:rPr>
          <w:i/>
          <w:color w:val="000000"/>
          <w:sz w:val="24"/>
          <w:szCs w:val="24"/>
        </w:rPr>
        <w:t xml:space="preserve">Determination R25/2009 </w:t>
      </w:r>
      <w:r w:rsidRPr="00CB3BC7">
        <w:rPr>
          <w:sz w:val="24"/>
          <w:szCs w:val="24"/>
        </w:rPr>
        <w:t>(</w:t>
      </w:r>
      <w:r w:rsidR="00D95304" w:rsidRPr="00CB3BC7">
        <w:rPr>
          <w:sz w:val="24"/>
          <w:szCs w:val="24"/>
        </w:rPr>
        <w:t>the c</w:t>
      </w:r>
      <w:r w:rsidRPr="00CB3BC7">
        <w:rPr>
          <w:color w:val="000000"/>
          <w:sz w:val="24"/>
          <w:szCs w:val="24"/>
        </w:rPr>
        <w:t>urrent instrument) which was made under subsection 38</w:t>
      </w:r>
      <w:r w:rsidRPr="00CB3BC7">
        <w:rPr>
          <w:snapToGrid w:val="0"/>
          <w:color w:val="000000"/>
          <w:sz w:val="24"/>
          <w:szCs w:val="24"/>
          <w:lang w:eastAsia="en-US"/>
        </w:rPr>
        <w:t xml:space="preserve">(2AD) </w:t>
      </w:r>
      <w:r w:rsidRPr="00CB3BC7">
        <w:rPr>
          <w:color w:val="000000"/>
          <w:sz w:val="24"/>
          <w:szCs w:val="24"/>
        </w:rPr>
        <w:t xml:space="preserve">of the Act will “sunset” (expire) on 1 October 2019 unless re-made. </w:t>
      </w:r>
      <w:r w:rsidR="00FB5A97" w:rsidRPr="00CB3BC7">
        <w:rPr>
          <w:color w:val="000000"/>
          <w:sz w:val="24"/>
          <w:szCs w:val="24"/>
        </w:rPr>
        <w:t xml:space="preserve">The current instrument applies only to the married spouse of a veteran (a non-illness separated spouse) and sets out the </w:t>
      </w:r>
      <w:r w:rsidR="00D24132" w:rsidRPr="00CB3BC7">
        <w:rPr>
          <w:color w:val="000000"/>
          <w:sz w:val="24"/>
          <w:szCs w:val="24"/>
        </w:rPr>
        <w:t xml:space="preserve">special domestic </w:t>
      </w:r>
      <w:r w:rsidR="00FB5A97" w:rsidRPr="00CB3BC7">
        <w:rPr>
          <w:color w:val="000000"/>
          <w:sz w:val="24"/>
          <w:szCs w:val="24"/>
        </w:rPr>
        <w:t>circumstances</w:t>
      </w:r>
      <w:r w:rsidR="000A301D">
        <w:rPr>
          <w:color w:val="000000"/>
          <w:sz w:val="24"/>
          <w:szCs w:val="24"/>
        </w:rPr>
        <w:t xml:space="preserve">, such as domestic violence, </w:t>
      </w:r>
      <w:r w:rsidR="006A3AA7">
        <w:rPr>
          <w:color w:val="000000"/>
          <w:sz w:val="24"/>
          <w:szCs w:val="24"/>
        </w:rPr>
        <w:t xml:space="preserve">where </w:t>
      </w:r>
      <w:r w:rsidR="00FB5A97" w:rsidRPr="00CB3BC7">
        <w:rPr>
          <w:color w:val="000000"/>
          <w:sz w:val="24"/>
          <w:szCs w:val="24"/>
        </w:rPr>
        <w:t xml:space="preserve">the spouse will not lose the partner service pension despite being separated from the veteran for 12 months or more for a reason other than illness. </w:t>
      </w:r>
      <w:r w:rsidR="00DE1203" w:rsidRPr="00CB3BC7">
        <w:rPr>
          <w:snapToGrid w:val="0"/>
          <w:color w:val="000000"/>
          <w:sz w:val="24"/>
          <w:szCs w:val="24"/>
          <w:lang w:eastAsia="en-US"/>
        </w:rPr>
        <w:t xml:space="preserve">The current instrument ceases to apply if the couple divorce. </w:t>
      </w:r>
      <w:r w:rsidR="00FB5A97" w:rsidRPr="00CB3BC7">
        <w:rPr>
          <w:color w:val="000000"/>
          <w:sz w:val="24"/>
          <w:szCs w:val="24"/>
        </w:rPr>
        <w:t xml:space="preserve">The Department of Veterans’ Affairs </w:t>
      </w:r>
      <w:r w:rsidR="00DE1203">
        <w:rPr>
          <w:color w:val="000000"/>
          <w:sz w:val="24"/>
          <w:szCs w:val="24"/>
        </w:rPr>
        <w:t xml:space="preserve">(DVA) </w:t>
      </w:r>
      <w:r w:rsidR="00FB5A97" w:rsidRPr="00CB3BC7">
        <w:rPr>
          <w:color w:val="000000"/>
          <w:sz w:val="24"/>
          <w:szCs w:val="24"/>
        </w:rPr>
        <w:t>reviewed the current instrument to determine whether it can be allowed to sunset and concluded that it is still required.</w:t>
      </w:r>
      <w:r w:rsidR="00FB5A97" w:rsidRPr="00CB3BC7">
        <w:rPr>
          <w:snapToGrid w:val="0"/>
          <w:color w:val="000000"/>
          <w:sz w:val="24"/>
          <w:szCs w:val="24"/>
          <w:lang w:eastAsia="en-US"/>
        </w:rPr>
        <w:t xml:space="preserve"> </w:t>
      </w:r>
    </w:p>
    <w:p w14:paraId="6C075296" w14:textId="0D4ACF78" w:rsidR="00DE1203" w:rsidRDefault="00DE1203">
      <w:pPr>
        <w:rPr>
          <w:snapToGrid w:val="0"/>
          <w:color w:val="000000"/>
          <w:sz w:val="24"/>
          <w:szCs w:val="24"/>
          <w:lang w:eastAsia="en-US"/>
        </w:rPr>
      </w:pPr>
    </w:p>
    <w:p w14:paraId="2926ED39" w14:textId="7A62DE73" w:rsidR="00CF2DAD" w:rsidRDefault="009D790B" w:rsidP="009D790B">
      <w:pPr>
        <w:rPr>
          <w:sz w:val="24"/>
          <w:szCs w:val="24"/>
        </w:rPr>
      </w:pPr>
      <w:r>
        <w:rPr>
          <w:sz w:val="24"/>
          <w:szCs w:val="24"/>
        </w:rPr>
        <w:t xml:space="preserve">Section 38 of the Act </w:t>
      </w:r>
      <w:r w:rsidR="002B292D">
        <w:rPr>
          <w:sz w:val="24"/>
          <w:szCs w:val="24"/>
        </w:rPr>
        <w:t xml:space="preserve">was </w:t>
      </w:r>
      <w:r w:rsidR="00165679">
        <w:rPr>
          <w:sz w:val="24"/>
          <w:szCs w:val="24"/>
        </w:rPr>
        <w:t xml:space="preserve">subsequently </w:t>
      </w:r>
      <w:r>
        <w:rPr>
          <w:sz w:val="24"/>
          <w:szCs w:val="24"/>
        </w:rPr>
        <w:t xml:space="preserve">amended by the </w:t>
      </w:r>
      <w:r w:rsidRPr="00BA6B25">
        <w:rPr>
          <w:i/>
          <w:sz w:val="24"/>
        </w:rPr>
        <w:t>Veterans’ Affairs Legislation Amendment (</w:t>
      </w:r>
      <w:r w:rsidR="008D7844">
        <w:rPr>
          <w:i/>
          <w:sz w:val="24"/>
        </w:rPr>
        <w:t xml:space="preserve">Partner Service Pension and Other </w:t>
      </w:r>
      <w:r w:rsidRPr="00BA6B25">
        <w:rPr>
          <w:i/>
          <w:sz w:val="24"/>
        </w:rPr>
        <w:t>Measures)</w:t>
      </w:r>
      <w:r>
        <w:rPr>
          <w:sz w:val="24"/>
        </w:rPr>
        <w:t xml:space="preserve"> </w:t>
      </w:r>
      <w:r>
        <w:rPr>
          <w:rFonts w:ascii="Times" w:hAnsi="Times"/>
          <w:i/>
          <w:sz w:val="24"/>
          <w:szCs w:val="24"/>
        </w:rPr>
        <w:t>Act</w:t>
      </w:r>
      <w:r w:rsidRPr="00991105">
        <w:rPr>
          <w:rFonts w:ascii="Times" w:hAnsi="Times"/>
          <w:i/>
          <w:sz w:val="24"/>
          <w:szCs w:val="24"/>
        </w:rPr>
        <w:t xml:space="preserve"> 2019</w:t>
      </w:r>
      <w:r>
        <w:rPr>
          <w:rFonts w:ascii="Times" w:hAnsi="Times"/>
          <w:i/>
          <w:sz w:val="24"/>
          <w:szCs w:val="24"/>
        </w:rPr>
        <w:t xml:space="preserve"> </w:t>
      </w:r>
      <w:r>
        <w:rPr>
          <w:rFonts w:ascii="Times" w:hAnsi="Times"/>
          <w:sz w:val="24"/>
          <w:szCs w:val="24"/>
        </w:rPr>
        <w:t xml:space="preserve">(the Amending Act). </w:t>
      </w:r>
      <w:r w:rsidRPr="0048347D">
        <w:rPr>
          <w:rFonts w:ascii="Times" w:hAnsi="Times"/>
          <w:sz w:val="24"/>
          <w:szCs w:val="24"/>
        </w:rPr>
        <w:t xml:space="preserve">The amendments </w:t>
      </w:r>
      <w:r w:rsidRPr="0048347D">
        <w:rPr>
          <w:rFonts w:ascii="Times" w:hAnsi="Times"/>
          <w:sz w:val="24"/>
        </w:rPr>
        <w:t xml:space="preserve">made </w:t>
      </w:r>
      <w:r w:rsidR="00D24132">
        <w:rPr>
          <w:rFonts w:ascii="Times" w:hAnsi="Times"/>
          <w:sz w:val="24"/>
        </w:rPr>
        <w:t xml:space="preserve">to the </w:t>
      </w:r>
      <w:r w:rsidR="00CF2DAD" w:rsidRPr="002B439C">
        <w:rPr>
          <w:i/>
          <w:color w:val="000000"/>
          <w:sz w:val="24"/>
          <w:szCs w:val="24"/>
        </w:rPr>
        <w:t>Veterans’ Entitlements Act 1986</w:t>
      </w:r>
      <w:r w:rsidR="00CF2DAD" w:rsidRPr="002B439C">
        <w:rPr>
          <w:color w:val="000000"/>
          <w:sz w:val="24"/>
          <w:szCs w:val="24"/>
        </w:rPr>
        <w:t xml:space="preserve"> </w:t>
      </w:r>
      <w:r w:rsidRPr="0048347D">
        <w:rPr>
          <w:rFonts w:ascii="Times" w:hAnsi="Times"/>
          <w:sz w:val="24"/>
        </w:rPr>
        <w:t xml:space="preserve">by </w:t>
      </w:r>
      <w:r w:rsidRPr="0048347D">
        <w:rPr>
          <w:rFonts w:ascii="Times" w:hAnsi="Times"/>
          <w:sz w:val="24"/>
          <w:szCs w:val="24"/>
        </w:rPr>
        <w:t xml:space="preserve">Schedule </w:t>
      </w:r>
      <w:r w:rsidR="008D7844">
        <w:rPr>
          <w:rFonts w:ascii="Times" w:hAnsi="Times"/>
          <w:sz w:val="24"/>
          <w:szCs w:val="24"/>
        </w:rPr>
        <w:t>1</w:t>
      </w:r>
      <w:r w:rsidRPr="0048347D">
        <w:rPr>
          <w:rFonts w:ascii="Times" w:hAnsi="Times"/>
          <w:sz w:val="24"/>
          <w:szCs w:val="24"/>
        </w:rPr>
        <w:t xml:space="preserve"> </w:t>
      </w:r>
      <w:r>
        <w:rPr>
          <w:rFonts w:ascii="Times" w:hAnsi="Times"/>
          <w:sz w:val="24"/>
          <w:szCs w:val="24"/>
        </w:rPr>
        <w:t xml:space="preserve">of </w:t>
      </w:r>
      <w:r>
        <w:rPr>
          <w:sz w:val="24"/>
          <w:szCs w:val="24"/>
        </w:rPr>
        <w:t xml:space="preserve">the Amending Act </w:t>
      </w:r>
      <w:r w:rsidR="00CF2DAD">
        <w:rPr>
          <w:sz w:val="24"/>
          <w:szCs w:val="24"/>
        </w:rPr>
        <w:t>streamline</w:t>
      </w:r>
      <w:r w:rsidR="002B292D">
        <w:rPr>
          <w:sz w:val="24"/>
          <w:szCs w:val="24"/>
        </w:rPr>
        <w:t>d</w:t>
      </w:r>
      <w:r w:rsidR="00CF2DAD">
        <w:rPr>
          <w:sz w:val="24"/>
          <w:szCs w:val="24"/>
        </w:rPr>
        <w:t xml:space="preserve"> </w:t>
      </w:r>
      <w:r w:rsidR="008D7844">
        <w:rPr>
          <w:sz w:val="24"/>
          <w:szCs w:val="24"/>
        </w:rPr>
        <w:t xml:space="preserve">eligibility </w:t>
      </w:r>
      <w:r w:rsidR="00CF2DAD">
        <w:rPr>
          <w:sz w:val="24"/>
          <w:szCs w:val="24"/>
        </w:rPr>
        <w:t>for partner service pension by removing the inequities which currently exist between married and non-married former partners</w:t>
      </w:r>
      <w:r w:rsidR="000A301D">
        <w:rPr>
          <w:sz w:val="24"/>
          <w:szCs w:val="24"/>
        </w:rPr>
        <w:t xml:space="preserve"> of a veteran</w:t>
      </w:r>
      <w:r w:rsidR="00CF2DAD">
        <w:rPr>
          <w:sz w:val="24"/>
          <w:szCs w:val="24"/>
        </w:rPr>
        <w:t xml:space="preserve">. </w:t>
      </w:r>
      <w:r w:rsidR="00165679">
        <w:rPr>
          <w:sz w:val="24"/>
          <w:szCs w:val="24"/>
        </w:rPr>
        <w:t>Those amendments commence, or are taken to have commenced, on 20 September</w:t>
      </w:r>
      <w:r w:rsidR="00AB0007">
        <w:rPr>
          <w:sz w:val="24"/>
          <w:szCs w:val="24"/>
        </w:rPr>
        <w:t> </w:t>
      </w:r>
      <w:r w:rsidR="00165679">
        <w:rPr>
          <w:sz w:val="24"/>
          <w:szCs w:val="24"/>
        </w:rPr>
        <w:t>2019.</w:t>
      </w:r>
    </w:p>
    <w:p w14:paraId="10193365" w14:textId="1C65497A" w:rsidR="00CF2DAD" w:rsidRDefault="00CF2DAD" w:rsidP="009D790B">
      <w:pPr>
        <w:rPr>
          <w:sz w:val="24"/>
          <w:szCs w:val="24"/>
        </w:rPr>
      </w:pPr>
    </w:p>
    <w:p w14:paraId="6D4260DD" w14:textId="61455ABE" w:rsidR="00DE1203" w:rsidRDefault="00DE1203" w:rsidP="00DE1203">
      <w:pPr>
        <w:tabs>
          <w:tab w:val="left" w:pos="1134"/>
        </w:tabs>
        <w:rPr>
          <w:color w:val="000000"/>
          <w:sz w:val="24"/>
          <w:szCs w:val="24"/>
        </w:rPr>
      </w:pPr>
      <w:r>
        <w:rPr>
          <w:color w:val="000000"/>
          <w:sz w:val="24"/>
          <w:szCs w:val="24"/>
        </w:rPr>
        <w:t xml:space="preserve">The current instrument is being re-made to reflect the </w:t>
      </w:r>
      <w:r w:rsidR="00CF2DAD" w:rsidRPr="00CB3BC7">
        <w:rPr>
          <w:sz w:val="24"/>
          <w:szCs w:val="24"/>
        </w:rPr>
        <w:t>amen</w:t>
      </w:r>
      <w:r>
        <w:rPr>
          <w:sz w:val="24"/>
          <w:szCs w:val="24"/>
        </w:rPr>
        <w:t xml:space="preserve">dments made by the Amending Act. Accordingly, </w:t>
      </w:r>
      <w:r w:rsidR="00CF2DAD" w:rsidRPr="00CB3BC7">
        <w:rPr>
          <w:color w:val="000000"/>
          <w:sz w:val="24"/>
          <w:szCs w:val="24"/>
        </w:rPr>
        <w:t>the attached instrument</w:t>
      </w:r>
      <w:r w:rsidR="00AB0007">
        <w:rPr>
          <w:color w:val="000000"/>
          <w:sz w:val="24"/>
          <w:szCs w:val="24"/>
        </w:rPr>
        <w:t xml:space="preserve"> </w:t>
      </w:r>
      <w:r>
        <w:rPr>
          <w:color w:val="000000"/>
          <w:sz w:val="24"/>
          <w:szCs w:val="24"/>
        </w:rPr>
        <w:t>is being</w:t>
      </w:r>
      <w:r w:rsidR="00CB3BC7">
        <w:rPr>
          <w:color w:val="000000"/>
          <w:sz w:val="24"/>
          <w:szCs w:val="24"/>
        </w:rPr>
        <w:t xml:space="preserve"> expanded so that </w:t>
      </w:r>
      <w:r w:rsidR="00AB0007">
        <w:rPr>
          <w:color w:val="000000"/>
          <w:sz w:val="24"/>
          <w:szCs w:val="24"/>
        </w:rPr>
        <w:t xml:space="preserve">it </w:t>
      </w:r>
      <w:r w:rsidR="00CF2DAD" w:rsidRPr="00CB3BC7">
        <w:rPr>
          <w:color w:val="000000"/>
          <w:sz w:val="24"/>
          <w:szCs w:val="24"/>
        </w:rPr>
        <w:t xml:space="preserve">applies </w:t>
      </w:r>
      <w:r w:rsidR="0069408B" w:rsidRPr="00CB3BC7">
        <w:rPr>
          <w:color w:val="000000"/>
          <w:sz w:val="24"/>
          <w:szCs w:val="24"/>
        </w:rPr>
        <w:t xml:space="preserve">not only </w:t>
      </w:r>
      <w:r w:rsidR="00CF2DAD" w:rsidRPr="00CB3BC7">
        <w:rPr>
          <w:color w:val="000000"/>
          <w:sz w:val="24"/>
          <w:szCs w:val="24"/>
        </w:rPr>
        <w:t xml:space="preserve">to </w:t>
      </w:r>
      <w:r w:rsidR="00CF2DAD" w:rsidRPr="0069408B">
        <w:rPr>
          <w:rFonts w:eastAsia="Calibri"/>
          <w:color w:val="000000"/>
          <w:sz w:val="24"/>
          <w:szCs w:val="24"/>
          <w:lang w:eastAsia="en-US"/>
        </w:rPr>
        <w:t xml:space="preserve">the </w:t>
      </w:r>
      <w:r w:rsidR="00CF2DAD" w:rsidRPr="00CB3BC7">
        <w:rPr>
          <w:color w:val="000000"/>
          <w:sz w:val="24"/>
          <w:szCs w:val="24"/>
        </w:rPr>
        <w:t>spouse of a veteran</w:t>
      </w:r>
      <w:r w:rsidR="0069408B" w:rsidRPr="00CB3BC7">
        <w:rPr>
          <w:color w:val="000000"/>
          <w:sz w:val="24"/>
          <w:szCs w:val="24"/>
        </w:rPr>
        <w:t xml:space="preserve"> but also to </w:t>
      </w:r>
      <w:r w:rsidR="00CF2DAD" w:rsidRPr="00CB3BC7">
        <w:rPr>
          <w:color w:val="000000"/>
          <w:sz w:val="24"/>
          <w:szCs w:val="24"/>
        </w:rPr>
        <w:t>the de facto partner of a veteran</w:t>
      </w:r>
      <w:r w:rsidR="00AB0007">
        <w:rPr>
          <w:color w:val="000000"/>
          <w:sz w:val="24"/>
          <w:szCs w:val="24"/>
        </w:rPr>
        <w:t xml:space="preserve"> and </w:t>
      </w:r>
      <w:r w:rsidR="0069408B" w:rsidRPr="00CB3BC7">
        <w:rPr>
          <w:color w:val="000000"/>
          <w:sz w:val="24"/>
          <w:szCs w:val="24"/>
        </w:rPr>
        <w:t xml:space="preserve">the member of a </w:t>
      </w:r>
      <w:r w:rsidR="00CF2DAD" w:rsidRPr="00CB3BC7">
        <w:rPr>
          <w:color w:val="000000"/>
          <w:sz w:val="24"/>
          <w:szCs w:val="24"/>
        </w:rPr>
        <w:t>registered</w:t>
      </w:r>
      <w:r w:rsidR="0069408B" w:rsidRPr="00CB3BC7">
        <w:rPr>
          <w:color w:val="000000"/>
          <w:sz w:val="24"/>
          <w:szCs w:val="24"/>
        </w:rPr>
        <w:t xml:space="preserve"> relationship with a veteran</w:t>
      </w:r>
      <w:r w:rsidR="00BB145F">
        <w:rPr>
          <w:color w:val="000000"/>
          <w:sz w:val="24"/>
          <w:szCs w:val="24"/>
        </w:rPr>
        <w:t xml:space="preserve">, where they have </w:t>
      </w:r>
      <w:r w:rsidR="00BB145F" w:rsidRPr="00A3453A">
        <w:rPr>
          <w:color w:val="000000"/>
          <w:sz w:val="24"/>
          <w:szCs w:val="24"/>
        </w:rPr>
        <w:t>separated from the veteran for 12 months or more for a reason other than illness.</w:t>
      </w:r>
      <w:r w:rsidR="00BB145F">
        <w:rPr>
          <w:color w:val="000000"/>
          <w:sz w:val="24"/>
          <w:szCs w:val="24"/>
        </w:rPr>
        <w:t xml:space="preserve"> </w:t>
      </w:r>
      <w:r w:rsidR="0069408B" w:rsidRPr="00CB3BC7">
        <w:rPr>
          <w:color w:val="000000"/>
          <w:sz w:val="24"/>
          <w:szCs w:val="24"/>
        </w:rPr>
        <w:t xml:space="preserve">A registered relationship refers to a relationship registered under the law of a State or Territory prescribed for the purposes of section 2E of the </w:t>
      </w:r>
      <w:r w:rsidR="0069408B" w:rsidRPr="00CB3BC7">
        <w:rPr>
          <w:i/>
          <w:color w:val="000000"/>
          <w:sz w:val="24"/>
          <w:szCs w:val="24"/>
        </w:rPr>
        <w:t xml:space="preserve">Acts Interpretation Act 1901 </w:t>
      </w:r>
      <w:r w:rsidR="0069408B" w:rsidRPr="00CB3BC7">
        <w:rPr>
          <w:color w:val="000000"/>
          <w:sz w:val="24"/>
          <w:szCs w:val="24"/>
        </w:rPr>
        <w:t>as a kind of relationship prescribed for the purposes of that section.</w:t>
      </w:r>
      <w:r w:rsidR="00BB145F">
        <w:rPr>
          <w:color w:val="000000"/>
          <w:sz w:val="24"/>
          <w:szCs w:val="24"/>
        </w:rPr>
        <w:t xml:space="preserve"> Further, the attached instrument </w:t>
      </w:r>
      <w:r w:rsidR="000A301D">
        <w:rPr>
          <w:color w:val="000000"/>
          <w:sz w:val="24"/>
          <w:szCs w:val="24"/>
        </w:rPr>
        <w:t xml:space="preserve">will continue to </w:t>
      </w:r>
      <w:r w:rsidR="00BB145F">
        <w:rPr>
          <w:color w:val="000000"/>
          <w:sz w:val="24"/>
          <w:szCs w:val="24"/>
        </w:rPr>
        <w:t xml:space="preserve">apply to the separated partner of a veteran (married or non-married) even if they divorce or the relationship ceases to be registered. </w:t>
      </w:r>
      <w:r>
        <w:rPr>
          <w:color w:val="000000"/>
          <w:sz w:val="24"/>
          <w:szCs w:val="24"/>
        </w:rPr>
        <w:t xml:space="preserve">The changes to the attached instrument are beneficial </w:t>
      </w:r>
      <w:r>
        <w:rPr>
          <w:sz w:val="24"/>
          <w:szCs w:val="24"/>
        </w:rPr>
        <w:t xml:space="preserve">in nature in terms of their </w:t>
      </w:r>
      <w:r w:rsidRPr="00B33BF0">
        <w:rPr>
          <w:sz w:val="24"/>
          <w:szCs w:val="24"/>
        </w:rPr>
        <w:t>impact on clients</w:t>
      </w:r>
      <w:r>
        <w:rPr>
          <w:sz w:val="24"/>
          <w:szCs w:val="24"/>
        </w:rPr>
        <w:t xml:space="preserve">. </w:t>
      </w:r>
    </w:p>
    <w:p w14:paraId="39401ACE" w14:textId="7494BFD3" w:rsidR="00165679" w:rsidRPr="006A3AA7" w:rsidRDefault="00165679" w:rsidP="00165679">
      <w:pPr>
        <w:rPr>
          <w:snapToGrid w:val="0"/>
          <w:color w:val="000000"/>
          <w:sz w:val="24"/>
          <w:szCs w:val="24"/>
          <w:lang w:eastAsia="en-US"/>
        </w:rPr>
      </w:pPr>
      <w:r>
        <w:rPr>
          <w:color w:val="000000"/>
          <w:sz w:val="24"/>
          <w:szCs w:val="24"/>
        </w:rPr>
        <w:lastRenderedPageBreak/>
        <w:t>However, t</w:t>
      </w:r>
      <w:r w:rsidRPr="00CB3BC7">
        <w:rPr>
          <w:color w:val="000000"/>
          <w:sz w:val="24"/>
          <w:szCs w:val="24"/>
        </w:rPr>
        <w:t xml:space="preserve">he special domestic circumstances </w:t>
      </w:r>
      <w:r>
        <w:rPr>
          <w:color w:val="000000"/>
          <w:sz w:val="24"/>
          <w:szCs w:val="24"/>
        </w:rPr>
        <w:t xml:space="preserve">specified </w:t>
      </w:r>
      <w:r w:rsidRPr="00CB3BC7">
        <w:rPr>
          <w:color w:val="000000"/>
          <w:sz w:val="24"/>
          <w:szCs w:val="24"/>
        </w:rPr>
        <w:t xml:space="preserve">under the attached instrument remain the same as the special domestic circumstances specified under the current instrument. </w:t>
      </w:r>
      <w:r w:rsidR="00DE1203">
        <w:rPr>
          <w:color w:val="000000"/>
          <w:sz w:val="24"/>
          <w:szCs w:val="24"/>
        </w:rPr>
        <w:t xml:space="preserve">On reviewing </w:t>
      </w:r>
      <w:r w:rsidR="00DE1203" w:rsidRPr="00CB3BC7">
        <w:rPr>
          <w:color w:val="000000"/>
          <w:sz w:val="24"/>
          <w:szCs w:val="24"/>
        </w:rPr>
        <w:t>the current instrument</w:t>
      </w:r>
      <w:r w:rsidR="00DE1203">
        <w:rPr>
          <w:color w:val="000000"/>
          <w:sz w:val="24"/>
          <w:szCs w:val="24"/>
        </w:rPr>
        <w:t xml:space="preserve">, DVA concluded the special domestic circumstances were satisfactory and an extension of those circumstances was not required. </w:t>
      </w:r>
      <w:r w:rsidRPr="00CB3BC7">
        <w:rPr>
          <w:snapToGrid w:val="0"/>
          <w:color w:val="000000"/>
          <w:sz w:val="24"/>
          <w:szCs w:val="24"/>
          <w:lang w:eastAsia="en-US"/>
        </w:rPr>
        <w:t xml:space="preserve">The special domestic circumstances are that the veteran’s behaviour, arising from a mental condition, was such that it forced the </w:t>
      </w:r>
      <w:r>
        <w:rPr>
          <w:snapToGrid w:val="0"/>
          <w:color w:val="000000"/>
          <w:sz w:val="24"/>
          <w:szCs w:val="24"/>
          <w:lang w:eastAsia="en-US"/>
        </w:rPr>
        <w:t>married or unmarried partner of the veteran</w:t>
      </w:r>
      <w:r w:rsidRPr="00CB3BC7">
        <w:rPr>
          <w:snapToGrid w:val="0"/>
          <w:color w:val="000000"/>
          <w:sz w:val="24"/>
          <w:szCs w:val="24"/>
          <w:lang w:eastAsia="en-US"/>
        </w:rPr>
        <w:t xml:space="preserve"> to leave their domestic environment</w:t>
      </w:r>
      <w:r>
        <w:rPr>
          <w:snapToGrid w:val="0"/>
          <w:color w:val="000000"/>
          <w:sz w:val="24"/>
          <w:szCs w:val="24"/>
          <w:lang w:eastAsia="en-US"/>
        </w:rPr>
        <w:t xml:space="preserve"> </w:t>
      </w:r>
      <w:r w:rsidRPr="00CB3BC7">
        <w:rPr>
          <w:color w:val="000000"/>
          <w:sz w:val="24"/>
          <w:szCs w:val="24"/>
        </w:rPr>
        <w:t xml:space="preserve">because </w:t>
      </w:r>
      <w:r>
        <w:rPr>
          <w:color w:val="000000"/>
          <w:sz w:val="24"/>
          <w:szCs w:val="24"/>
        </w:rPr>
        <w:t xml:space="preserve">it was </w:t>
      </w:r>
      <w:r w:rsidRPr="00CB3BC7">
        <w:rPr>
          <w:color w:val="000000"/>
          <w:sz w:val="24"/>
          <w:szCs w:val="24"/>
        </w:rPr>
        <w:t>u</w:t>
      </w:r>
      <w:r>
        <w:rPr>
          <w:color w:val="000000"/>
          <w:sz w:val="24"/>
          <w:szCs w:val="24"/>
        </w:rPr>
        <w:t>nsafe or abusive for the partner or any child of the partner</w:t>
      </w:r>
      <w:r w:rsidRPr="00CB3BC7">
        <w:rPr>
          <w:snapToGrid w:val="0"/>
          <w:color w:val="000000"/>
          <w:sz w:val="24"/>
          <w:szCs w:val="24"/>
          <w:lang w:eastAsia="en-US"/>
        </w:rPr>
        <w:t>.</w:t>
      </w:r>
      <w:r w:rsidR="00AB0007">
        <w:rPr>
          <w:snapToGrid w:val="0"/>
          <w:color w:val="000000"/>
          <w:sz w:val="24"/>
          <w:szCs w:val="24"/>
          <w:lang w:eastAsia="en-US"/>
        </w:rPr>
        <w:t xml:space="preserve"> </w:t>
      </w:r>
    </w:p>
    <w:p w14:paraId="6B513084" w14:textId="77777777" w:rsidR="00165679" w:rsidRDefault="00165679" w:rsidP="00165679">
      <w:pPr>
        <w:rPr>
          <w:color w:val="000000"/>
          <w:sz w:val="24"/>
          <w:szCs w:val="24"/>
        </w:rPr>
      </w:pPr>
    </w:p>
    <w:p w14:paraId="75E1871A" w14:textId="77777777" w:rsidR="009F3AA3" w:rsidRPr="005C55F8" w:rsidRDefault="009F3AA3" w:rsidP="009F3AA3">
      <w:pPr>
        <w:rPr>
          <w:b/>
          <w:color w:val="000000"/>
          <w:sz w:val="24"/>
          <w:szCs w:val="24"/>
        </w:rPr>
      </w:pPr>
      <w:r w:rsidRPr="005C55F8">
        <w:rPr>
          <w:b/>
          <w:color w:val="000000"/>
          <w:sz w:val="24"/>
          <w:szCs w:val="24"/>
        </w:rPr>
        <w:t>CONSULTATION</w:t>
      </w:r>
    </w:p>
    <w:p w14:paraId="6808ED0D" w14:textId="09DD621A" w:rsidR="009F3AA3" w:rsidRDefault="009F3AA3" w:rsidP="009F3AA3">
      <w:pPr>
        <w:rPr>
          <w:color w:val="000000"/>
          <w:sz w:val="24"/>
          <w:szCs w:val="24"/>
        </w:rPr>
      </w:pPr>
    </w:p>
    <w:p w14:paraId="0D0928E2" w14:textId="4DFF4F49" w:rsidR="003B2DF8" w:rsidRDefault="003B2DF8" w:rsidP="009F3AA3">
      <w:pPr>
        <w:rPr>
          <w:color w:val="000000"/>
          <w:sz w:val="24"/>
          <w:szCs w:val="24"/>
        </w:rPr>
      </w:pPr>
      <w:r>
        <w:rPr>
          <w:color w:val="000000"/>
          <w:sz w:val="24"/>
          <w:szCs w:val="24"/>
        </w:rPr>
        <w:t xml:space="preserve">The changes to this instrument stem from the 2019-20 Budget measure, </w:t>
      </w:r>
      <w:r w:rsidRPr="00C332B6">
        <w:rPr>
          <w:i/>
          <w:color w:val="000000"/>
          <w:sz w:val="24"/>
          <w:szCs w:val="24"/>
        </w:rPr>
        <w:t>Partner Service Pension – eligibility alignment</w:t>
      </w:r>
      <w:r>
        <w:rPr>
          <w:color w:val="000000"/>
          <w:sz w:val="24"/>
          <w:szCs w:val="24"/>
        </w:rPr>
        <w:t xml:space="preserve">. Consultation with veteran and community groups was not undertaken prior to the announcement of the measure, however, feedback received since that time has been positive.  </w:t>
      </w:r>
    </w:p>
    <w:p w14:paraId="02C1925F" w14:textId="27BCE355" w:rsidR="003B2DF8" w:rsidRDefault="003B2DF8" w:rsidP="009F3AA3">
      <w:pPr>
        <w:rPr>
          <w:color w:val="000000"/>
          <w:sz w:val="24"/>
          <w:szCs w:val="24"/>
        </w:rPr>
      </w:pPr>
    </w:p>
    <w:p w14:paraId="1469FD89" w14:textId="291C673B" w:rsidR="003B2DF8" w:rsidRPr="00B50D57" w:rsidRDefault="003B2DF8" w:rsidP="009F3AA3">
      <w:pPr>
        <w:rPr>
          <w:color w:val="000000"/>
          <w:sz w:val="24"/>
          <w:szCs w:val="24"/>
        </w:rPr>
      </w:pPr>
      <w:r>
        <w:rPr>
          <w:color w:val="000000"/>
          <w:sz w:val="24"/>
          <w:szCs w:val="24"/>
        </w:rPr>
        <w:t xml:space="preserve">The Department of Human Services (DHS) has been consulted in the context of planning and delivering Information and Communication Technology (ICT) changes necessary to implement the Budget measure. DHS provides ICT services to DVA through a shared services arrangement.  </w:t>
      </w:r>
      <w:r w:rsidR="00C332B6">
        <w:rPr>
          <w:color w:val="000000"/>
          <w:sz w:val="24"/>
          <w:szCs w:val="24"/>
        </w:rPr>
        <w:t>With the exception of normal consultation with the Department of Finance as part of the Budget process, c</w:t>
      </w:r>
      <w:r>
        <w:rPr>
          <w:color w:val="000000"/>
          <w:sz w:val="24"/>
          <w:szCs w:val="24"/>
        </w:rPr>
        <w:t>onsultation with other agencies has not been undertaken as Partner Service Pension is a DVA-specific payment.</w:t>
      </w:r>
    </w:p>
    <w:p w14:paraId="58ABA745" w14:textId="77777777" w:rsidR="009F3AA3" w:rsidRPr="00B50D57" w:rsidRDefault="009F3AA3" w:rsidP="009F3AA3">
      <w:pPr>
        <w:rPr>
          <w:b/>
          <w:color w:val="000000"/>
          <w:sz w:val="24"/>
          <w:szCs w:val="24"/>
        </w:rPr>
      </w:pPr>
    </w:p>
    <w:p w14:paraId="18B85B53" w14:textId="709A3422" w:rsidR="00B50D57" w:rsidRPr="005C55F8" w:rsidRDefault="00B50D57" w:rsidP="00B50D57">
      <w:pPr>
        <w:rPr>
          <w:b/>
          <w:color w:val="000000"/>
          <w:sz w:val="24"/>
          <w:szCs w:val="24"/>
        </w:rPr>
      </w:pPr>
      <w:r w:rsidRPr="005C55F8">
        <w:rPr>
          <w:b/>
          <w:color w:val="000000"/>
          <w:sz w:val="24"/>
          <w:szCs w:val="24"/>
        </w:rPr>
        <w:t>RETROSPECTIVITY</w:t>
      </w:r>
    </w:p>
    <w:p w14:paraId="54D8BDF9" w14:textId="77777777" w:rsidR="008C5C5B" w:rsidRDefault="008C5C5B" w:rsidP="008C5C5B">
      <w:pPr>
        <w:pStyle w:val="BodyTextIndent2"/>
        <w:ind w:left="0" w:firstLine="0"/>
        <w:rPr>
          <w:color w:val="000000"/>
          <w:szCs w:val="24"/>
        </w:rPr>
      </w:pPr>
    </w:p>
    <w:p w14:paraId="15F224FB" w14:textId="24D350C0" w:rsidR="00F8453A" w:rsidRPr="00A3453A" w:rsidRDefault="00F8453A" w:rsidP="008C5C5B">
      <w:pPr>
        <w:pStyle w:val="BodyTextIndent2"/>
        <w:ind w:left="0" w:firstLine="0"/>
        <w:rPr>
          <w:color w:val="000000"/>
          <w:szCs w:val="24"/>
        </w:rPr>
      </w:pPr>
      <w:r>
        <w:rPr>
          <w:color w:val="000000"/>
          <w:szCs w:val="24"/>
        </w:rPr>
        <w:t>T</w:t>
      </w:r>
      <w:r w:rsidR="008C5C5B" w:rsidRPr="00A3453A">
        <w:rPr>
          <w:color w:val="000000"/>
          <w:szCs w:val="24"/>
        </w:rPr>
        <w:t>he attached legislative inst</w:t>
      </w:r>
      <w:r w:rsidR="009A79AB" w:rsidRPr="00A3453A">
        <w:rPr>
          <w:color w:val="000000"/>
          <w:szCs w:val="24"/>
        </w:rPr>
        <w:t xml:space="preserve">rument </w:t>
      </w:r>
      <w:r>
        <w:rPr>
          <w:color w:val="000000"/>
          <w:szCs w:val="24"/>
        </w:rPr>
        <w:t xml:space="preserve">commences, or is taken to have commenced, on </w:t>
      </w:r>
      <w:r w:rsidR="009A79AB" w:rsidRPr="00A3453A">
        <w:rPr>
          <w:color w:val="000000"/>
          <w:szCs w:val="24"/>
        </w:rPr>
        <w:t xml:space="preserve">20 September 2019. </w:t>
      </w:r>
    </w:p>
    <w:p w14:paraId="424F936A" w14:textId="1320A219" w:rsidR="00BF30DE" w:rsidRDefault="00F8453A" w:rsidP="00BF30DE">
      <w:pPr>
        <w:pStyle w:val="BodyTextIndent2"/>
        <w:spacing w:before="240"/>
        <w:ind w:left="0" w:firstLine="0"/>
        <w:rPr>
          <w:color w:val="000000"/>
          <w:szCs w:val="24"/>
        </w:rPr>
      </w:pPr>
      <w:r>
        <w:rPr>
          <w:color w:val="000000"/>
          <w:szCs w:val="24"/>
        </w:rPr>
        <w:t>However, any</w:t>
      </w:r>
      <w:r w:rsidR="00BF30DE">
        <w:rPr>
          <w:color w:val="000000"/>
          <w:szCs w:val="24"/>
        </w:rPr>
        <w:t xml:space="preserve"> retrospective commencement will not contravene subsection 12(2) of the</w:t>
      </w:r>
      <w:bookmarkStart w:id="3" w:name="_GoBack"/>
      <w:bookmarkEnd w:id="3"/>
      <w:r w:rsidR="00BF30DE">
        <w:rPr>
          <w:color w:val="000000"/>
          <w:szCs w:val="24"/>
        </w:rPr>
        <w:t xml:space="preserve"> </w:t>
      </w:r>
      <w:r w:rsidR="00BF30DE">
        <w:rPr>
          <w:i/>
          <w:color w:val="000000"/>
          <w:szCs w:val="24"/>
        </w:rPr>
        <w:t>Legislation Act 2003</w:t>
      </w:r>
      <w:r w:rsidR="00BF30DE">
        <w:rPr>
          <w:color w:val="000000"/>
          <w:szCs w:val="24"/>
        </w:rPr>
        <w:t xml:space="preserve"> (a provision of a legislative instrument is of no effect if it takes effect before registration and disadvantages a person or imposes liabilities on a person other than the Commonwealth) because the changes implemented by the attached instrument are beneficial in nature; the changes do not disadvantage any person or impose a liability on a person other than the Commonwealth. </w:t>
      </w:r>
    </w:p>
    <w:p w14:paraId="610D81D9" w14:textId="77777777" w:rsidR="00BF30DE" w:rsidRDefault="00BF30DE" w:rsidP="00BF30DE">
      <w:pPr>
        <w:rPr>
          <w:color w:val="000000"/>
          <w:sz w:val="24"/>
          <w:szCs w:val="24"/>
        </w:rPr>
      </w:pPr>
    </w:p>
    <w:p w14:paraId="53010CDE" w14:textId="6F80C332" w:rsidR="00BF30DE" w:rsidRDefault="00BF30DE" w:rsidP="00BF30DE">
      <w:pPr>
        <w:rPr>
          <w:sz w:val="24"/>
          <w:szCs w:val="24"/>
        </w:rPr>
      </w:pPr>
      <w:r>
        <w:rPr>
          <w:color w:val="000000"/>
          <w:sz w:val="24"/>
          <w:szCs w:val="24"/>
        </w:rPr>
        <w:t xml:space="preserve">The </w:t>
      </w:r>
      <w:r w:rsidR="00D37DFF">
        <w:rPr>
          <w:color w:val="000000"/>
          <w:sz w:val="24"/>
          <w:szCs w:val="24"/>
        </w:rPr>
        <w:t xml:space="preserve">attached </w:t>
      </w:r>
      <w:r>
        <w:rPr>
          <w:color w:val="000000"/>
          <w:sz w:val="24"/>
          <w:szCs w:val="24"/>
        </w:rPr>
        <w:t xml:space="preserve">instrument </w:t>
      </w:r>
      <w:r w:rsidRPr="00615B85">
        <w:rPr>
          <w:rFonts w:ascii="Times" w:hAnsi="Times"/>
          <w:sz w:val="24"/>
          <w:szCs w:val="24"/>
        </w:rPr>
        <w:t>extend</w:t>
      </w:r>
      <w:r>
        <w:rPr>
          <w:rFonts w:ascii="Times" w:hAnsi="Times"/>
          <w:sz w:val="24"/>
          <w:szCs w:val="24"/>
        </w:rPr>
        <w:t>s eligibility o</w:t>
      </w:r>
      <w:r w:rsidR="009178CD">
        <w:rPr>
          <w:rFonts w:ascii="Times" w:hAnsi="Times"/>
          <w:sz w:val="24"/>
          <w:szCs w:val="24"/>
        </w:rPr>
        <w:t xml:space="preserve">f partner service pension </w:t>
      </w:r>
      <w:r>
        <w:rPr>
          <w:rFonts w:ascii="Times" w:hAnsi="Times"/>
          <w:sz w:val="24"/>
          <w:szCs w:val="24"/>
        </w:rPr>
        <w:t xml:space="preserve">to </w:t>
      </w:r>
      <w:r w:rsidR="009178CD">
        <w:rPr>
          <w:sz w:val="24"/>
          <w:szCs w:val="24"/>
        </w:rPr>
        <w:t>former de facto partners of veterans</w:t>
      </w:r>
      <w:r w:rsidR="00D37DFF">
        <w:rPr>
          <w:sz w:val="24"/>
          <w:szCs w:val="24"/>
        </w:rPr>
        <w:t xml:space="preserve"> </w:t>
      </w:r>
      <w:r w:rsidR="009178CD">
        <w:rPr>
          <w:sz w:val="24"/>
          <w:szCs w:val="24"/>
        </w:rPr>
        <w:t xml:space="preserve">and persons who were formerly in a registered relationship with a veteran in </w:t>
      </w:r>
      <w:r w:rsidR="009178CD">
        <w:rPr>
          <w:color w:val="000000"/>
          <w:sz w:val="24"/>
          <w:szCs w:val="24"/>
        </w:rPr>
        <w:t>special domestic circumstances</w:t>
      </w:r>
      <w:r>
        <w:rPr>
          <w:rFonts w:ascii="Times" w:hAnsi="Times"/>
          <w:sz w:val="24"/>
          <w:szCs w:val="24"/>
        </w:rPr>
        <w:t>.</w:t>
      </w:r>
      <w:r w:rsidR="00D37DFF">
        <w:rPr>
          <w:rFonts w:ascii="Times" w:hAnsi="Times"/>
          <w:sz w:val="24"/>
          <w:szCs w:val="24"/>
        </w:rPr>
        <w:t xml:space="preserve"> </w:t>
      </w:r>
      <w:r w:rsidR="00D37DFF">
        <w:rPr>
          <w:sz w:val="24"/>
          <w:szCs w:val="24"/>
        </w:rPr>
        <w:t xml:space="preserve">Non-illness separated spouses of veterans in special domestic circumstances continue to be covered by the attached instrument. </w:t>
      </w:r>
    </w:p>
    <w:p w14:paraId="6A577A1C" w14:textId="77777777" w:rsidR="00BF30DE" w:rsidRPr="00E879CA" w:rsidRDefault="00BF30DE" w:rsidP="00BF30DE">
      <w:pPr>
        <w:tabs>
          <w:tab w:val="left" w:pos="1134"/>
        </w:tabs>
        <w:rPr>
          <w:color w:val="000000"/>
          <w:sz w:val="24"/>
          <w:szCs w:val="24"/>
        </w:rPr>
      </w:pPr>
    </w:p>
    <w:p w14:paraId="4C3CE053" w14:textId="1E3FA888" w:rsidR="009F3AA3" w:rsidRPr="005C55F8" w:rsidRDefault="009F3AA3" w:rsidP="009F3AA3">
      <w:pPr>
        <w:rPr>
          <w:b/>
          <w:color w:val="000000"/>
          <w:sz w:val="24"/>
          <w:szCs w:val="24"/>
        </w:rPr>
      </w:pPr>
      <w:r w:rsidRPr="005C55F8">
        <w:rPr>
          <w:b/>
          <w:color w:val="000000"/>
          <w:sz w:val="24"/>
          <w:szCs w:val="24"/>
        </w:rPr>
        <w:t>DOCUMENTS INCORPORATED</w:t>
      </w:r>
      <w:r w:rsidR="008C5C5B" w:rsidRPr="005C55F8">
        <w:rPr>
          <w:b/>
          <w:color w:val="000000"/>
          <w:sz w:val="24"/>
          <w:szCs w:val="24"/>
        </w:rPr>
        <w:t xml:space="preserve"> B</w:t>
      </w:r>
      <w:r w:rsidRPr="005C55F8">
        <w:rPr>
          <w:b/>
          <w:color w:val="000000"/>
          <w:sz w:val="24"/>
          <w:szCs w:val="24"/>
        </w:rPr>
        <w:t>Y</w:t>
      </w:r>
      <w:r w:rsidR="008C5C5B" w:rsidRPr="005C55F8">
        <w:rPr>
          <w:b/>
          <w:color w:val="000000"/>
          <w:sz w:val="24"/>
          <w:szCs w:val="24"/>
        </w:rPr>
        <w:t xml:space="preserve"> </w:t>
      </w:r>
      <w:r w:rsidRPr="005C55F8">
        <w:rPr>
          <w:b/>
          <w:color w:val="000000"/>
          <w:sz w:val="24"/>
          <w:szCs w:val="24"/>
        </w:rPr>
        <w:t>REFERENCE</w:t>
      </w:r>
    </w:p>
    <w:p w14:paraId="5676BD52" w14:textId="77777777" w:rsidR="009F3AA3" w:rsidRDefault="009F3AA3" w:rsidP="009F3AA3">
      <w:pPr>
        <w:rPr>
          <w:color w:val="000000"/>
          <w:sz w:val="28"/>
        </w:rPr>
      </w:pPr>
    </w:p>
    <w:p w14:paraId="2449E595" w14:textId="75A0D1B1" w:rsidR="009F3AA3" w:rsidRPr="00B50D57" w:rsidRDefault="009F3AA3" w:rsidP="009F3AA3">
      <w:pPr>
        <w:rPr>
          <w:color w:val="000000"/>
          <w:sz w:val="24"/>
          <w:szCs w:val="24"/>
        </w:rPr>
      </w:pPr>
      <w:r w:rsidRPr="00B50D57">
        <w:rPr>
          <w:color w:val="000000"/>
          <w:sz w:val="24"/>
          <w:szCs w:val="24"/>
        </w:rPr>
        <w:t>No</w:t>
      </w:r>
      <w:r w:rsidR="00B50D57" w:rsidRPr="00B50D57">
        <w:rPr>
          <w:color w:val="000000"/>
          <w:sz w:val="24"/>
          <w:szCs w:val="24"/>
        </w:rPr>
        <w:t>ne</w:t>
      </w:r>
      <w:r w:rsidRPr="00B50D57">
        <w:rPr>
          <w:color w:val="000000"/>
          <w:sz w:val="24"/>
          <w:szCs w:val="24"/>
        </w:rPr>
        <w:t>.</w:t>
      </w:r>
    </w:p>
    <w:p w14:paraId="09E564F7" w14:textId="77777777" w:rsidR="00B50D57" w:rsidRPr="00CB3BC7" w:rsidRDefault="00B50D57" w:rsidP="00B50D57">
      <w:pPr>
        <w:pStyle w:val="ActHead5"/>
        <w:rPr>
          <w:b w:val="0"/>
          <w:color w:val="000000"/>
          <w:szCs w:val="24"/>
        </w:rPr>
      </w:pPr>
      <w:r w:rsidRPr="00CB3BC7">
        <w:rPr>
          <w:color w:val="000000"/>
          <w:szCs w:val="24"/>
        </w:rPr>
        <w:t>REGULATORY IMPACT</w:t>
      </w:r>
    </w:p>
    <w:p w14:paraId="405F12C6" w14:textId="77777777" w:rsidR="00B50D57" w:rsidRDefault="00B50D57" w:rsidP="00B50D57">
      <w:pPr>
        <w:spacing w:before="240"/>
        <w:rPr>
          <w:i/>
          <w:color w:val="000000"/>
          <w:sz w:val="24"/>
          <w:szCs w:val="24"/>
        </w:rPr>
      </w:pPr>
      <w:r w:rsidRPr="00840C08">
        <w:rPr>
          <w:color w:val="000000"/>
          <w:sz w:val="24"/>
          <w:szCs w:val="24"/>
        </w:rPr>
        <w:t>None</w:t>
      </w:r>
      <w:r>
        <w:rPr>
          <w:color w:val="000000"/>
          <w:sz w:val="24"/>
          <w:szCs w:val="24"/>
        </w:rPr>
        <w:t xml:space="preserve">. </w:t>
      </w:r>
    </w:p>
    <w:p w14:paraId="1A6014DE" w14:textId="77777777" w:rsidR="00B50D57" w:rsidRPr="00CB3BC7" w:rsidRDefault="00B50D57" w:rsidP="00B50D57">
      <w:pPr>
        <w:pStyle w:val="ActHead5"/>
        <w:rPr>
          <w:color w:val="000000"/>
          <w:szCs w:val="24"/>
        </w:rPr>
      </w:pPr>
      <w:r w:rsidRPr="00CB3BC7">
        <w:rPr>
          <w:color w:val="000000"/>
          <w:szCs w:val="24"/>
        </w:rPr>
        <w:t>HUMAN RIGHTS STATEMENT</w:t>
      </w:r>
    </w:p>
    <w:p w14:paraId="730D4171" w14:textId="77777777" w:rsidR="00B50D57" w:rsidRDefault="00B50D57" w:rsidP="00B50D57">
      <w:pPr>
        <w:spacing w:before="240"/>
        <w:jc w:val="both"/>
        <w:rPr>
          <w:sz w:val="24"/>
          <w:szCs w:val="24"/>
        </w:rPr>
      </w:pPr>
      <w:r w:rsidRPr="000A51A1">
        <w:rPr>
          <w:sz w:val="24"/>
          <w:szCs w:val="24"/>
        </w:rPr>
        <w:t xml:space="preserve">Prepared in accordance with Part 3 of the </w:t>
      </w:r>
      <w:r w:rsidRPr="000A51A1">
        <w:rPr>
          <w:i/>
          <w:sz w:val="24"/>
          <w:szCs w:val="24"/>
        </w:rPr>
        <w:t>Human Rights (Parliamentary Scrutiny) Act 2011</w:t>
      </w:r>
      <w:r w:rsidRPr="000A51A1">
        <w:rPr>
          <w:sz w:val="24"/>
          <w:szCs w:val="24"/>
        </w:rPr>
        <w:t>.</w:t>
      </w:r>
      <w:r>
        <w:rPr>
          <w:sz w:val="24"/>
          <w:szCs w:val="24"/>
        </w:rPr>
        <w:t xml:space="preserve">  </w:t>
      </w:r>
    </w:p>
    <w:p w14:paraId="49763548" w14:textId="77777777" w:rsidR="00301BB5" w:rsidRPr="005644B8" w:rsidRDefault="00301BB5" w:rsidP="00301BB5">
      <w:pPr>
        <w:autoSpaceDE w:val="0"/>
        <w:autoSpaceDN w:val="0"/>
        <w:adjustRightInd w:val="0"/>
        <w:rPr>
          <w:sz w:val="24"/>
          <w:szCs w:val="24"/>
        </w:rPr>
      </w:pPr>
    </w:p>
    <w:p w14:paraId="56E6D6FC" w14:textId="36A3798E" w:rsidR="00301BB5" w:rsidRDefault="00301BB5" w:rsidP="00301BB5">
      <w:pPr>
        <w:rPr>
          <w:sz w:val="24"/>
        </w:rPr>
      </w:pPr>
      <w:r>
        <w:rPr>
          <w:sz w:val="24"/>
        </w:rPr>
        <w:t xml:space="preserve">The instrument </w:t>
      </w:r>
      <w:r w:rsidRPr="00E24FC8">
        <w:rPr>
          <w:sz w:val="24"/>
        </w:rPr>
        <w:t xml:space="preserve">engages the </w:t>
      </w:r>
      <w:r>
        <w:rPr>
          <w:sz w:val="24"/>
        </w:rPr>
        <w:t>R</w:t>
      </w:r>
      <w:r w:rsidRPr="00E24FC8">
        <w:rPr>
          <w:sz w:val="24"/>
        </w:rPr>
        <w:t xml:space="preserve">ight to </w:t>
      </w:r>
      <w:r>
        <w:rPr>
          <w:sz w:val="24"/>
        </w:rPr>
        <w:t>S</w:t>
      </w:r>
      <w:r w:rsidRPr="00E24FC8">
        <w:rPr>
          <w:sz w:val="24"/>
        </w:rPr>
        <w:t xml:space="preserve">ocial </w:t>
      </w:r>
      <w:r>
        <w:rPr>
          <w:sz w:val="24"/>
        </w:rPr>
        <w:t>S</w:t>
      </w:r>
      <w:r w:rsidRPr="00E24FC8">
        <w:rPr>
          <w:sz w:val="24"/>
        </w:rPr>
        <w:t>ecurity under Article 9</w:t>
      </w:r>
      <w:r w:rsidR="00613F3A">
        <w:rPr>
          <w:sz w:val="24"/>
        </w:rPr>
        <w:t xml:space="preserve"> and</w:t>
      </w:r>
      <w:r>
        <w:rPr>
          <w:sz w:val="24"/>
        </w:rPr>
        <w:t xml:space="preserve"> the Right to an Adequate Standard of Living under Article 11 </w:t>
      </w:r>
      <w:r w:rsidRPr="00E24FC8">
        <w:rPr>
          <w:sz w:val="24"/>
        </w:rPr>
        <w:t>of the International Covenant on Economic, Soci</w:t>
      </w:r>
      <w:r>
        <w:rPr>
          <w:sz w:val="24"/>
        </w:rPr>
        <w:t xml:space="preserve">al and Cultural Rights (ICESCR). </w:t>
      </w:r>
    </w:p>
    <w:p w14:paraId="70D2547D" w14:textId="77777777" w:rsidR="00301BB5" w:rsidRPr="00D13150" w:rsidRDefault="00301BB5" w:rsidP="00301BB5">
      <w:pPr>
        <w:spacing w:before="120" w:after="120"/>
        <w:rPr>
          <w:i/>
          <w:sz w:val="24"/>
          <w:szCs w:val="24"/>
        </w:rPr>
      </w:pPr>
      <w:r w:rsidRPr="00D13150">
        <w:rPr>
          <w:i/>
          <w:sz w:val="24"/>
          <w:szCs w:val="24"/>
        </w:rPr>
        <w:t xml:space="preserve">Right to </w:t>
      </w:r>
      <w:r>
        <w:rPr>
          <w:i/>
          <w:sz w:val="24"/>
          <w:szCs w:val="24"/>
        </w:rPr>
        <w:t>S</w:t>
      </w:r>
      <w:r w:rsidRPr="00D13150">
        <w:rPr>
          <w:i/>
          <w:sz w:val="24"/>
          <w:szCs w:val="24"/>
        </w:rPr>
        <w:t xml:space="preserve">ocial </w:t>
      </w:r>
      <w:r>
        <w:rPr>
          <w:i/>
          <w:sz w:val="24"/>
          <w:szCs w:val="24"/>
        </w:rPr>
        <w:t>S</w:t>
      </w:r>
      <w:r w:rsidRPr="00D13150">
        <w:rPr>
          <w:i/>
          <w:sz w:val="24"/>
          <w:szCs w:val="24"/>
        </w:rPr>
        <w:t>ecurity</w:t>
      </w:r>
    </w:p>
    <w:p w14:paraId="50004289" w14:textId="53FCEC0E" w:rsidR="00301BB5" w:rsidRDefault="00AE09D0" w:rsidP="00301BB5">
      <w:pPr>
        <w:spacing w:before="120" w:after="120"/>
        <w:rPr>
          <w:sz w:val="24"/>
        </w:rPr>
      </w:pPr>
      <w:r w:rsidRPr="00D13150">
        <w:rPr>
          <w:sz w:val="24"/>
          <w:szCs w:val="24"/>
        </w:rPr>
        <w:t>Article 9 of the ICESCR states “States Parties … recognize the right of everyone to social security</w:t>
      </w:r>
      <w:r w:rsidRPr="00D13150">
        <w:rPr>
          <w:sz w:val="24"/>
        </w:rPr>
        <w:t>,</w:t>
      </w:r>
      <w:r>
        <w:rPr>
          <w:sz w:val="24"/>
        </w:rPr>
        <w:t xml:space="preserve"> including social insurance”</w:t>
      </w:r>
      <w:r w:rsidRPr="00E24FC8">
        <w:rPr>
          <w:sz w:val="24"/>
        </w:rPr>
        <w:t>.</w:t>
      </w:r>
      <w:r>
        <w:rPr>
          <w:sz w:val="24"/>
        </w:rPr>
        <w:t xml:space="preserve"> </w:t>
      </w:r>
      <w:r w:rsidRPr="0037713F">
        <w:rPr>
          <w:sz w:val="24"/>
          <w:szCs w:val="24"/>
        </w:rPr>
        <w:t>The right to social security requires that a system be established under domestic law, and that public authorities must take responsibility for the effective administration of the system. The social security scheme must provide a minimum essential level of benefits to all individuals and families that will enable them to acquire at least essential health care, basic shelter and housing, water and sanitation, foodstuffs, and the most basic forms of education</w:t>
      </w:r>
      <w:r w:rsidR="00301BB5">
        <w:rPr>
          <w:sz w:val="24"/>
        </w:rPr>
        <w:t>”.</w:t>
      </w:r>
    </w:p>
    <w:p w14:paraId="350556D0" w14:textId="77777777" w:rsidR="00301BB5" w:rsidRPr="002F0AB7" w:rsidRDefault="00301BB5" w:rsidP="00301BB5">
      <w:pPr>
        <w:spacing w:before="120" w:after="120"/>
        <w:rPr>
          <w:i/>
          <w:sz w:val="24"/>
          <w:szCs w:val="24"/>
        </w:rPr>
      </w:pPr>
      <w:r>
        <w:rPr>
          <w:i/>
          <w:sz w:val="24"/>
          <w:szCs w:val="24"/>
        </w:rPr>
        <w:t>Right to an Adequate Standard of Living</w:t>
      </w:r>
    </w:p>
    <w:p w14:paraId="28E0499F" w14:textId="77777777" w:rsidR="00301BB5" w:rsidRDefault="00301BB5" w:rsidP="00301BB5">
      <w:pPr>
        <w:spacing w:before="120" w:after="120"/>
        <w:rPr>
          <w:sz w:val="24"/>
        </w:rPr>
      </w:pPr>
      <w:r>
        <w:rPr>
          <w:sz w:val="24"/>
          <w:szCs w:val="24"/>
        </w:rPr>
        <w:t>Article 11 of the ICESCR states “</w:t>
      </w:r>
      <w:r w:rsidRPr="003A6D30">
        <w:rPr>
          <w:sz w:val="24"/>
        </w:rPr>
        <w:t>The States Parties… recognize the right of everyone to an adequate standard of living for himself and his family, including adequate food, clothing and housing, and to the continuous improvement of living conditions. The States Parties will take appropriate steps to ensure the realization of this right, recognizing to this effect the essential importance of international co-operation based on free consent</w:t>
      </w:r>
      <w:r>
        <w:rPr>
          <w:sz w:val="24"/>
        </w:rPr>
        <w:t>”.</w:t>
      </w:r>
    </w:p>
    <w:p w14:paraId="4ADA0571" w14:textId="77777777" w:rsidR="00301BB5" w:rsidRPr="0061120B" w:rsidRDefault="00301BB5" w:rsidP="00301BB5">
      <w:pPr>
        <w:pStyle w:val="NormalWeb"/>
        <w:textAlignment w:val="top"/>
        <w:rPr>
          <w:i/>
          <w:color w:val="000000"/>
          <w:lang w:val="en-US"/>
        </w:rPr>
      </w:pPr>
      <w:r w:rsidRPr="0061120B">
        <w:rPr>
          <w:i/>
          <w:color w:val="000000"/>
          <w:lang w:val="en-US"/>
        </w:rPr>
        <w:t>Overview</w:t>
      </w:r>
    </w:p>
    <w:p w14:paraId="1F258E5C" w14:textId="74CB5315" w:rsidR="00613F3A" w:rsidRPr="00434B47" w:rsidRDefault="00434B47" w:rsidP="00613F3A">
      <w:pPr>
        <w:rPr>
          <w:color w:val="000000"/>
          <w:sz w:val="24"/>
          <w:szCs w:val="24"/>
        </w:rPr>
      </w:pPr>
      <w:r>
        <w:rPr>
          <w:snapToGrid w:val="0"/>
          <w:color w:val="000000"/>
          <w:sz w:val="24"/>
          <w:szCs w:val="24"/>
          <w:lang w:eastAsia="en-US"/>
        </w:rPr>
        <w:t>S</w:t>
      </w:r>
      <w:r w:rsidR="00613F3A" w:rsidRPr="002B439C">
        <w:rPr>
          <w:snapToGrid w:val="0"/>
          <w:color w:val="000000"/>
          <w:sz w:val="24"/>
          <w:szCs w:val="24"/>
          <w:lang w:eastAsia="en-US"/>
        </w:rPr>
        <w:t xml:space="preserve">ubsection </w:t>
      </w:r>
      <w:r w:rsidR="00613F3A" w:rsidRPr="002B439C">
        <w:rPr>
          <w:color w:val="000000"/>
          <w:sz w:val="24"/>
          <w:szCs w:val="24"/>
        </w:rPr>
        <w:t xml:space="preserve">38(2AD) of the Act </w:t>
      </w:r>
      <w:r w:rsidR="002E6FA9" w:rsidRPr="002B439C">
        <w:rPr>
          <w:snapToGrid w:val="0"/>
          <w:color w:val="000000"/>
          <w:sz w:val="24"/>
          <w:szCs w:val="24"/>
          <w:lang w:eastAsia="en-US"/>
        </w:rPr>
        <w:t>enables the Repatriation Commission to make a legislative instrument setting out the circumstances</w:t>
      </w:r>
      <w:r>
        <w:rPr>
          <w:snapToGrid w:val="0"/>
          <w:color w:val="000000"/>
          <w:sz w:val="24"/>
          <w:szCs w:val="24"/>
          <w:lang w:eastAsia="en-US"/>
        </w:rPr>
        <w:t xml:space="preserve"> </w:t>
      </w:r>
      <w:r w:rsidR="00EC77D4">
        <w:rPr>
          <w:color w:val="000000"/>
          <w:sz w:val="24"/>
          <w:szCs w:val="24"/>
        </w:rPr>
        <w:t>in which</w:t>
      </w:r>
      <w:r w:rsidR="009178CD">
        <w:rPr>
          <w:color w:val="000000"/>
          <w:sz w:val="24"/>
          <w:szCs w:val="24"/>
        </w:rPr>
        <w:t xml:space="preserve"> </w:t>
      </w:r>
      <w:r w:rsidR="00715E01">
        <w:rPr>
          <w:color w:val="000000"/>
          <w:sz w:val="24"/>
          <w:szCs w:val="24"/>
        </w:rPr>
        <w:t xml:space="preserve">the married or non-married former partner of a veteran </w:t>
      </w:r>
      <w:r w:rsidR="00301BB5" w:rsidRPr="002B439C">
        <w:rPr>
          <w:color w:val="000000"/>
          <w:sz w:val="24"/>
          <w:szCs w:val="24"/>
        </w:rPr>
        <w:t>will not lose the partner-service pension despite being separated from the veteran for 12 months or more for a reason other than illness.</w:t>
      </w:r>
      <w:r w:rsidR="00613F3A">
        <w:rPr>
          <w:snapToGrid w:val="0"/>
          <w:color w:val="000000"/>
          <w:sz w:val="24"/>
          <w:szCs w:val="24"/>
          <w:lang w:eastAsia="en-US"/>
        </w:rPr>
        <w:t xml:space="preserve"> The circumstances are that </w:t>
      </w:r>
      <w:r w:rsidR="00613F3A" w:rsidRPr="002B439C">
        <w:rPr>
          <w:snapToGrid w:val="0"/>
          <w:color w:val="000000"/>
          <w:sz w:val="24"/>
          <w:szCs w:val="24"/>
          <w:lang w:eastAsia="en-US"/>
        </w:rPr>
        <w:t xml:space="preserve">the veteran’s behaviour, arising from a mental condition, was such that it forced </w:t>
      </w:r>
      <w:r w:rsidR="00613F3A">
        <w:rPr>
          <w:snapToGrid w:val="0"/>
          <w:color w:val="000000"/>
          <w:sz w:val="24"/>
          <w:szCs w:val="24"/>
          <w:lang w:eastAsia="en-US"/>
        </w:rPr>
        <w:t xml:space="preserve">the </w:t>
      </w:r>
      <w:r w:rsidR="00715E01">
        <w:rPr>
          <w:snapToGrid w:val="0"/>
          <w:color w:val="000000"/>
          <w:sz w:val="24"/>
          <w:szCs w:val="24"/>
          <w:lang w:eastAsia="en-US"/>
        </w:rPr>
        <w:t>partner</w:t>
      </w:r>
      <w:r w:rsidR="009178CD">
        <w:rPr>
          <w:snapToGrid w:val="0"/>
          <w:color w:val="000000"/>
          <w:sz w:val="24"/>
          <w:szCs w:val="24"/>
          <w:lang w:eastAsia="en-US"/>
        </w:rPr>
        <w:t xml:space="preserve"> </w:t>
      </w:r>
      <w:r w:rsidR="00613F3A">
        <w:rPr>
          <w:snapToGrid w:val="0"/>
          <w:color w:val="000000"/>
          <w:sz w:val="24"/>
          <w:szCs w:val="24"/>
          <w:lang w:eastAsia="en-US"/>
        </w:rPr>
        <w:t>to leave their</w:t>
      </w:r>
      <w:r w:rsidR="00613F3A" w:rsidRPr="002B439C">
        <w:rPr>
          <w:snapToGrid w:val="0"/>
          <w:color w:val="000000"/>
          <w:sz w:val="24"/>
          <w:szCs w:val="24"/>
          <w:lang w:eastAsia="en-US"/>
        </w:rPr>
        <w:t xml:space="preserve"> domestic environment.</w:t>
      </w:r>
    </w:p>
    <w:p w14:paraId="5333CC83" w14:textId="77777777" w:rsidR="00301BB5" w:rsidRPr="00434B47" w:rsidRDefault="00301BB5" w:rsidP="00301BB5">
      <w:pPr>
        <w:tabs>
          <w:tab w:val="left" w:pos="1134"/>
        </w:tabs>
        <w:rPr>
          <w:snapToGrid w:val="0"/>
          <w:color w:val="000000"/>
          <w:sz w:val="24"/>
          <w:szCs w:val="24"/>
          <w:lang w:eastAsia="en-US"/>
        </w:rPr>
      </w:pPr>
    </w:p>
    <w:p w14:paraId="44554687" w14:textId="104E51C1" w:rsidR="00301BB5" w:rsidRPr="00434B47" w:rsidRDefault="00301BB5" w:rsidP="00301BB5">
      <w:pPr>
        <w:rPr>
          <w:sz w:val="24"/>
          <w:szCs w:val="24"/>
        </w:rPr>
      </w:pPr>
      <w:r w:rsidRPr="00434B47">
        <w:rPr>
          <w:sz w:val="24"/>
          <w:szCs w:val="24"/>
        </w:rPr>
        <w:t xml:space="preserve">The </w:t>
      </w:r>
      <w:r w:rsidR="00613F3A" w:rsidRPr="00434B47">
        <w:rPr>
          <w:sz w:val="24"/>
          <w:szCs w:val="24"/>
        </w:rPr>
        <w:t>continued payment of a partner</w:t>
      </w:r>
      <w:r w:rsidR="00715E01">
        <w:rPr>
          <w:sz w:val="24"/>
          <w:szCs w:val="24"/>
        </w:rPr>
        <w:t xml:space="preserve"> </w:t>
      </w:r>
      <w:r w:rsidR="00613F3A" w:rsidRPr="00434B47">
        <w:rPr>
          <w:sz w:val="24"/>
          <w:szCs w:val="24"/>
        </w:rPr>
        <w:t xml:space="preserve">service pension to </w:t>
      </w:r>
      <w:r w:rsidR="00715E01">
        <w:rPr>
          <w:color w:val="000000"/>
          <w:sz w:val="24"/>
          <w:szCs w:val="24"/>
        </w:rPr>
        <w:t xml:space="preserve">a </w:t>
      </w:r>
      <w:r w:rsidR="009178CD">
        <w:rPr>
          <w:color w:val="000000"/>
          <w:sz w:val="24"/>
          <w:szCs w:val="24"/>
        </w:rPr>
        <w:t xml:space="preserve">person </w:t>
      </w:r>
      <w:r w:rsidR="00434B47" w:rsidRPr="00434B47">
        <w:rPr>
          <w:color w:val="000000"/>
          <w:sz w:val="24"/>
          <w:szCs w:val="24"/>
        </w:rPr>
        <w:t xml:space="preserve">after </w:t>
      </w:r>
      <w:r w:rsidR="00EC77D4">
        <w:rPr>
          <w:color w:val="000000"/>
          <w:sz w:val="24"/>
          <w:szCs w:val="24"/>
        </w:rPr>
        <w:t>having been forced to leave</w:t>
      </w:r>
      <w:r w:rsidR="00434B47" w:rsidRPr="00434B47">
        <w:rPr>
          <w:color w:val="000000"/>
          <w:sz w:val="24"/>
          <w:szCs w:val="24"/>
        </w:rPr>
        <w:t xml:space="preserve"> their domestic environment </w:t>
      </w:r>
      <w:r w:rsidRPr="00434B47">
        <w:rPr>
          <w:sz w:val="24"/>
          <w:szCs w:val="24"/>
        </w:rPr>
        <w:t xml:space="preserve">will impact positively on the </w:t>
      </w:r>
      <w:r w:rsidR="009178CD">
        <w:rPr>
          <w:sz w:val="24"/>
          <w:szCs w:val="24"/>
        </w:rPr>
        <w:t>person</w:t>
      </w:r>
      <w:r w:rsidR="00434B47" w:rsidRPr="00434B47">
        <w:rPr>
          <w:sz w:val="24"/>
          <w:szCs w:val="24"/>
        </w:rPr>
        <w:t xml:space="preserve">’s </w:t>
      </w:r>
      <w:r w:rsidRPr="00434B47">
        <w:rPr>
          <w:sz w:val="24"/>
          <w:szCs w:val="24"/>
        </w:rPr>
        <w:t xml:space="preserve">living standards.  </w:t>
      </w:r>
    </w:p>
    <w:p w14:paraId="56A3B098" w14:textId="77777777" w:rsidR="00301BB5" w:rsidRPr="0061120B" w:rsidRDefault="00301BB5" w:rsidP="00301BB5">
      <w:pPr>
        <w:pStyle w:val="NormalWeb"/>
        <w:textAlignment w:val="top"/>
        <w:rPr>
          <w:i/>
          <w:color w:val="000000"/>
          <w:lang w:val="en-US"/>
        </w:rPr>
      </w:pPr>
      <w:r w:rsidRPr="0061120B">
        <w:rPr>
          <w:i/>
          <w:color w:val="000000"/>
          <w:lang w:val="en-US"/>
        </w:rPr>
        <w:t>Conclusion</w:t>
      </w:r>
    </w:p>
    <w:p w14:paraId="60BA9A1F" w14:textId="58EBD1A9" w:rsidR="00301BB5" w:rsidRPr="0061120B" w:rsidRDefault="00301BB5" w:rsidP="00301BB5">
      <w:pPr>
        <w:spacing w:before="120" w:after="120"/>
        <w:rPr>
          <w:sz w:val="24"/>
          <w:szCs w:val="24"/>
        </w:rPr>
      </w:pPr>
      <w:r w:rsidRPr="0061120B">
        <w:rPr>
          <w:color w:val="000000"/>
          <w:sz w:val="24"/>
          <w:szCs w:val="24"/>
          <w:lang w:val="en-US"/>
        </w:rPr>
        <w:t xml:space="preserve">The attached instrument </w:t>
      </w:r>
      <w:r>
        <w:rPr>
          <w:color w:val="000000"/>
          <w:sz w:val="24"/>
          <w:szCs w:val="24"/>
          <w:lang w:val="en-US"/>
        </w:rPr>
        <w:t xml:space="preserve">engages positively with </w:t>
      </w:r>
      <w:r w:rsidRPr="0061120B">
        <w:rPr>
          <w:color w:val="000000"/>
          <w:sz w:val="24"/>
          <w:szCs w:val="24"/>
          <w:lang w:val="en-US"/>
        </w:rPr>
        <w:t>the Right to Social Security</w:t>
      </w:r>
      <w:r w:rsidR="00434B47">
        <w:rPr>
          <w:color w:val="000000"/>
          <w:sz w:val="24"/>
          <w:szCs w:val="24"/>
          <w:lang w:val="en-US"/>
        </w:rPr>
        <w:t xml:space="preserve"> and</w:t>
      </w:r>
      <w:r w:rsidRPr="0061120B">
        <w:rPr>
          <w:color w:val="000000"/>
          <w:sz w:val="24"/>
          <w:szCs w:val="24"/>
          <w:lang w:val="en-US"/>
        </w:rPr>
        <w:t xml:space="preserve"> </w:t>
      </w:r>
      <w:r>
        <w:rPr>
          <w:color w:val="000000"/>
          <w:sz w:val="24"/>
          <w:szCs w:val="24"/>
          <w:lang w:val="en-US"/>
        </w:rPr>
        <w:t xml:space="preserve">the </w:t>
      </w:r>
      <w:r w:rsidRPr="0061120B">
        <w:rPr>
          <w:sz w:val="24"/>
          <w:szCs w:val="24"/>
        </w:rPr>
        <w:t>Right to</w:t>
      </w:r>
      <w:r>
        <w:rPr>
          <w:sz w:val="24"/>
          <w:szCs w:val="24"/>
        </w:rPr>
        <w:t xml:space="preserve"> an Adequate Standard of L</w:t>
      </w:r>
      <w:r w:rsidR="00434B47">
        <w:rPr>
          <w:sz w:val="24"/>
          <w:szCs w:val="24"/>
        </w:rPr>
        <w:t>iving</w:t>
      </w:r>
      <w:r w:rsidRPr="0061120B">
        <w:rPr>
          <w:sz w:val="24"/>
          <w:szCs w:val="24"/>
        </w:rPr>
        <w:t xml:space="preserve">. </w:t>
      </w:r>
    </w:p>
    <w:p w14:paraId="71B78E78" w14:textId="77777777" w:rsidR="00301BB5" w:rsidRPr="0061120B" w:rsidRDefault="00301BB5" w:rsidP="00301BB5">
      <w:pPr>
        <w:jc w:val="both"/>
        <w:rPr>
          <w:color w:val="000000"/>
          <w:sz w:val="24"/>
          <w:szCs w:val="24"/>
          <w:lang w:val="en-US"/>
        </w:rPr>
      </w:pPr>
    </w:p>
    <w:p w14:paraId="29E1916C" w14:textId="77777777" w:rsidR="00301BB5" w:rsidRPr="00734B6F" w:rsidRDefault="00301BB5" w:rsidP="00301BB5">
      <w:pPr>
        <w:jc w:val="both"/>
        <w:rPr>
          <w:color w:val="000000"/>
          <w:sz w:val="24"/>
          <w:szCs w:val="24"/>
          <w:lang w:val="en-US"/>
        </w:rPr>
      </w:pPr>
      <w:r w:rsidRPr="0061120B">
        <w:rPr>
          <w:sz w:val="24"/>
          <w:szCs w:val="24"/>
        </w:rPr>
        <w:t>Accordingly, the attached instrument is considered to be “human rights compatible”.</w:t>
      </w:r>
      <w:r w:rsidRPr="00734B6F">
        <w:rPr>
          <w:sz w:val="24"/>
          <w:szCs w:val="24"/>
        </w:rPr>
        <w:t xml:space="preserve"> </w:t>
      </w:r>
    </w:p>
    <w:p w14:paraId="348F5943" w14:textId="77777777" w:rsidR="00B50D57" w:rsidRDefault="00B50D57" w:rsidP="00B50D57">
      <w:pPr>
        <w:pStyle w:val="Default"/>
        <w:autoSpaceDE/>
        <w:autoSpaceDN/>
        <w:adjustRightInd/>
        <w:rPr>
          <w:lang w:val="en-US"/>
        </w:rPr>
      </w:pPr>
    </w:p>
    <w:p w14:paraId="7A60258B" w14:textId="77777777" w:rsidR="00B50D57" w:rsidRDefault="00B50D57" w:rsidP="00B50D57">
      <w:pPr>
        <w:pStyle w:val="Default"/>
        <w:autoSpaceDE/>
        <w:autoSpaceDN/>
        <w:adjustRightInd/>
        <w:rPr>
          <w:lang w:val="en-US"/>
        </w:rPr>
      </w:pPr>
    </w:p>
    <w:p w14:paraId="558D4D44" w14:textId="77777777" w:rsidR="00B50D57" w:rsidRDefault="00B50D57" w:rsidP="00B50D57">
      <w:pPr>
        <w:pStyle w:val="Default"/>
        <w:rPr>
          <w:bCs/>
        </w:rPr>
      </w:pPr>
      <w:r>
        <w:rPr>
          <w:bCs/>
        </w:rPr>
        <w:t>Repatriation Commission</w:t>
      </w:r>
    </w:p>
    <w:p w14:paraId="28DA08A4" w14:textId="77777777" w:rsidR="00B50D57" w:rsidRDefault="00B50D57" w:rsidP="00B50D57">
      <w:pPr>
        <w:pStyle w:val="Default"/>
        <w:rPr>
          <w:bCs/>
        </w:rPr>
      </w:pPr>
      <w:r w:rsidRPr="000A51A1">
        <w:rPr>
          <w:bCs/>
        </w:rPr>
        <w:t>Rule-Maker</w:t>
      </w:r>
    </w:p>
    <w:p w14:paraId="4F8A3460" w14:textId="77777777" w:rsidR="00B50D57" w:rsidRPr="00394452" w:rsidRDefault="00B50D57" w:rsidP="00EC77D4">
      <w:pPr>
        <w:pStyle w:val="ActHead5"/>
        <w:rPr>
          <w:b w:val="0"/>
          <w:color w:val="000000"/>
          <w:szCs w:val="24"/>
        </w:rPr>
      </w:pPr>
      <w:r w:rsidRPr="00394452">
        <w:rPr>
          <w:color w:val="000000"/>
          <w:szCs w:val="24"/>
        </w:rPr>
        <w:t xml:space="preserve">FURTHER EXPLANATION OF PROVISIONS </w:t>
      </w:r>
    </w:p>
    <w:p w14:paraId="04081494" w14:textId="77777777" w:rsidR="00B50D57" w:rsidRPr="00394452" w:rsidRDefault="00B50D57" w:rsidP="00EC77D4">
      <w:pPr>
        <w:pStyle w:val="Default"/>
        <w:autoSpaceDE/>
        <w:adjustRightInd/>
      </w:pPr>
      <w:r w:rsidRPr="00394452">
        <w:t xml:space="preserve">See: </w:t>
      </w:r>
      <w:r w:rsidRPr="00394452">
        <w:rPr>
          <w:u w:val="single"/>
        </w:rPr>
        <w:t>Attachment A</w:t>
      </w:r>
    </w:p>
    <w:p w14:paraId="30FD8BB5" w14:textId="33FBF199" w:rsidR="00B50D57" w:rsidRDefault="00B50D57">
      <w:pPr>
        <w:rPr>
          <w:color w:val="000000"/>
          <w:sz w:val="28"/>
        </w:rPr>
      </w:pPr>
      <w:r>
        <w:rPr>
          <w:color w:val="000000"/>
          <w:sz w:val="28"/>
        </w:rPr>
        <w:br w:type="page"/>
      </w:r>
    </w:p>
    <w:p w14:paraId="6370559E" w14:textId="77777777" w:rsidR="00B50D57" w:rsidRDefault="00B50D57" w:rsidP="009F3AA3">
      <w:pPr>
        <w:rPr>
          <w:color w:val="000000"/>
          <w:sz w:val="28"/>
        </w:rPr>
      </w:pPr>
    </w:p>
    <w:p w14:paraId="4031921E" w14:textId="77777777" w:rsidR="00B50D57" w:rsidRDefault="00B50D57" w:rsidP="00B50D57">
      <w:pPr>
        <w:rPr>
          <w:color w:val="000000"/>
          <w:sz w:val="24"/>
          <w:szCs w:val="24"/>
          <w:u w:val="single"/>
        </w:rPr>
      </w:pPr>
      <w:r w:rsidRPr="00252833">
        <w:rPr>
          <w:color w:val="000000"/>
          <w:sz w:val="24"/>
          <w:szCs w:val="24"/>
          <w:u w:val="single"/>
        </w:rPr>
        <w:t>Attachment A</w:t>
      </w:r>
    </w:p>
    <w:p w14:paraId="48BF595F" w14:textId="77777777" w:rsidR="00B50D57" w:rsidRDefault="00B50D57" w:rsidP="00B50D57">
      <w:pPr>
        <w:spacing w:before="240"/>
        <w:rPr>
          <w:b/>
          <w:color w:val="000000"/>
          <w:sz w:val="24"/>
          <w:szCs w:val="24"/>
        </w:rPr>
      </w:pPr>
      <w:r>
        <w:rPr>
          <w:b/>
          <w:color w:val="000000"/>
          <w:sz w:val="24"/>
          <w:szCs w:val="24"/>
        </w:rPr>
        <w:t xml:space="preserve">FURTHER EXPLANATION OF PROVISIONS  </w:t>
      </w:r>
    </w:p>
    <w:p w14:paraId="6FD46E7F" w14:textId="77777777" w:rsidR="00B50D57" w:rsidRPr="002769D1" w:rsidRDefault="00B50D57" w:rsidP="00B50D57">
      <w:pPr>
        <w:pStyle w:val="ActHead5"/>
        <w:rPr>
          <w:b w:val="0"/>
          <w:color w:val="000000"/>
          <w:szCs w:val="24"/>
          <w:u w:val="single"/>
        </w:rPr>
      </w:pPr>
      <w:r w:rsidRPr="002769D1">
        <w:rPr>
          <w:b w:val="0"/>
          <w:color w:val="000000"/>
          <w:szCs w:val="24"/>
          <w:u w:val="single"/>
        </w:rPr>
        <w:t>Section 1</w:t>
      </w:r>
    </w:p>
    <w:p w14:paraId="54552FEC" w14:textId="0E790B2F" w:rsidR="00B50D57" w:rsidRPr="00EC77D4" w:rsidRDefault="00B50D57" w:rsidP="00EC77D4">
      <w:pPr>
        <w:spacing w:before="240"/>
        <w:rPr>
          <w:b/>
          <w:color w:val="000000"/>
          <w:sz w:val="36"/>
          <w:szCs w:val="36"/>
        </w:rPr>
      </w:pPr>
      <w:r w:rsidRPr="00EC77D4">
        <w:rPr>
          <w:color w:val="000000"/>
          <w:sz w:val="24"/>
          <w:szCs w:val="24"/>
          <w:lang w:val="en-US"/>
        </w:rPr>
        <w:t xml:space="preserve">This section provides that the name </w:t>
      </w:r>
      <w:r w:rsidRPr="00EC77D4">
        <w:rPr>
          <w:color w:val="000000"/>
          <w:sz w:val="24"/>
          <w:szCs w:val="24"/>
        </w:rPr>
        <w:t>of the instrument is t</w:t>
      </w:r>
      <w:r w:rsidRPr="00EC77D4">
        <w:rPr>
          <w:color w:val="000000"/>
          <w:sz w:val="24"/>
          <w:szCs w:val="24"/>
          <w:lang w:val="en-GB"/>
        </w:rPr>
        <w:t xml:space="preserve">he </w:t>
      </w:r>
      <w:r w:rsidRPr="00EC77D4">
        <w:rPr>
          <w:i/>
          <w:color w:val="000000"/>
          <w:sz w:val="24"/>
          <w:szCs w:val="24"/>
        </w:rPr>
        <w:t xml:space="preserve">Veterans’ Entitlements </w:t>
      </w:r>
      <w:r w:rsidRPr="00EC77D4">
        <w:rPr>
          <w:i/>
          <w:sz w:val="24"/>
          <w:szCs w:val="24"/>
        </w:rPr>
        <w:t xml:space="preserve">(Partner Service Pension — Retention of Eligibility) </w:t>
      </w:r>
      <w:r w:rsidRPr="00EC77D4">
        <w:rPr>
          <w:i/>
          <w:color w:val="000000"/>
          <w:sz w:val="24"/>
          <w:szCs w:val="24"/>
        </w:rPr>
        <w:t>Determination 2019</w:t>
      </w:r>
      <w:r w:rsidRPr="00EC77D4">
        <w:rPr>
          <w:color w:val="000000"/>
          <w:sz w:val="24"/>
          <w:szCs w:val="24"/>
        </w:rPr>
        <w:t>.</w:t>
      </w:r>
    </w:p>
    <w:p w14:paraId="6891A7F2" w14:textId="77777777" w:rsidR="00B50D57" w:rsidRPr="002769D1" w:rsidRDefault="00B50D57" w:rsidP="00B50D57">
      <w:pPr>
        <w:pStyle w:val="ActHead5"/>
        <w:rPr>
          <w:b w:val="0"/>
          <w:color w:val="000000"/>
          <w:szCs w:val="24"/>
          <w:u w:val="single"/>
        </w:rPr>
      </w:pPr>
      <w:r w:rsidRPr="002769D1">
        <w:rPr>
          <w:b w:val="0"/>
          <w:color w:val="000000"/>
          <w:szCs w:val="24"/>
          <w:u w:val="single"/>
        </w:rPr>
        <w:t>Section 2</w:t>
      </w:r>
    </w:p>
    <w:p w14:paraId="36E4CCE0" w14:textId="17907DC9" w:rsidR="00B50D57" w:rsidRDefault="00B50D57" w:rsidP="00B50D57">
      <w:pPr>
        <w:spacing w:before="240"/>
        <w:rPr>
          <w:color w:val="000000"/>
          <w:sz w:val="24"/>
          <w:szCs w:val="24"/>
          <w:lang w:val="en-GB"/>
        </w:rPr>
      </w:pPr>
      <w:r w:rsidRPr="006E0168">
        <w:rPr>
          <w:color w:val="000000"/>
          <w:sz w:val="24"/>
          <w:szCs w:val="24"/>
          <w:lang w:val="en-US"/>
        </w:rPr>
        <w:t xml:space="preserve">This </w:t>
      </w:r>
      <w:r>
        <w:rPr>
          <w:color w:val="000000"/>
          <w:sz w:val="24"/>
          <w:szCs w:val="24"/>
          <w:lang w:val="en-US"/>
        </w:rPr>
        <w:t xml:space="preserve">section provides that the </w:t>
      </w:r>
      <w:r>
        <w:rPr>
          <w:color w:val="000000"/>
          <w:sz w:val="24"/>
          <w:szCs w:val="24"/>
          <w:lang w:val="en-GB"/>
        </w:rPr>
        <w:t>i</w:t>
      </w:r>
      <w:r w:rsidRPr="00AF4A81">
        <w:rPr>
          <w:color w:val="000000"/>
          <w:sz w:val="24"/>
          <w:szCs w:val="24"/>
          <w:lang w:val="en-GB"/>
        </w:rPr>
        <w:t xml:space="preserve">nstrument </w:t>
      </w:r>
      <w:r>
        <w:rPr>
          <w:color w:val="000000"/>
          <w:sz w:val="24"/>
          <w:szCs w:val="24"/>
          <w:lang w:val="en-GB"/>
        </w:rPr>
        <w:t>is to commence</w:t>
      </w:r>
      <w:r w:rsidR="009A79AB">
        <w:rPr>
          <w:color w:val="000000"/>
          <w:sz w:val="24"/>
          <w:szCs w:val="24"/>
          <w:lang w:val="en-GB"/>
        </w:rPr>
        <w:t>, or is taken to have commenced,</w:t>
      </w:r>
      <w:r>
        <w:rPr>
          <w:color w:val="000000"/>
          <w:sz w:val="24"/>
          <w:szCs w:val="24"/>
          <w:lang w:val="en-GB"/>
        </w:rPr>
        <w:t xml:space="preserve"> on </w:t>
      </w:r>
      <w:r w:rsidRPr="00A3453A">
        <w:rPr>
          <w:color w:val="000000"/>
          <w:sz w:val="24"/>
          <w:szCs w:val="24"/>
          <w:lang w:val="en-GB"/>
        </w:rPr>
        <w:t>20 September 2019.</w:t>
      </w:r>
    </w:p>
    <w:p w14:paraId="02947EAD" w14:textId="77777777" w:rsidR="00B50D57" w:rsidRPr="002769D1" w:rsidRDefault="00B50D57" w:rsidP="00B50D57">
      <w:pPr>
        <w:pStyle w:val="ActHead5"/>
        <w:rPr>
          <w:b w:val="0"/>
          <w:color w:val="000000"/>
          <w:szCs w:val="24"/>
          <w:u w:val="single"/>
        </w:rPr>
      </w:pPr>
      <w:r w:rsidRPr="002769D1">
        <w:rPr>
          <w:b w:val="0"/>
          <w:color w:val="000000"/>
          <w:szCs w:val="24"/>
          <w:u w:val="single"/>
        </w:rPr>
        <w:t>Section 3</w:t>
      </w:r>
    </w:p>
    <w:p w14:paraId="15CC6966" w14:textId="39CD53CB" w:rsidR="00B50D57" w:rsidRDefault="00B50D57" w:rsidP="00B50D57">
      <w:pPr>
        <w:spacing w:before="240"/>
        <w:rPr>
          <w:color w:val="000000"/>
          <w:sz w:val="24"/>
          <w:szCs w:val="24"/>
          <w:lang w:val="en-GB"/>
        </w:rPr>
      </w:pPr>
      <w:r w:rsidRPr="00B10FD1">
        <w:rPr>
          <w:sz w:val="24"/>
          <w:szCs w:val="24"/>
        </w:rPr>
        <w:t xml:space="preserve">This section </w:t>
      </w:r>
      <w:r w:rsidR="00EC77D4">
        <w:rPr>
          <w:sz w:val="24"/>
          <w:szCs w:val="24"/>
        </w:rPr>
        <w:t xml:space="preserve">provides the authority for </w:t>
      </w:r>
      <w:r w:rsidR="00FE187D">
        <w:rPr>
          <w:sz w:val="24"/>
          <w:szCs w:val="24"/>
        </w:rPr>
        <w:t xml:space="preserve">making </w:t>
      </w:r>
      <w:r w:rsidRPr="00B10FD1">
        <w:rPr>
          <w:sz w:val="24"/>
          <w:szCs w:val="24"/>
        </w:rPr>
        <w:t>the instrument</w:t>
      </w:r>
      <w:r w:rsidR="00EC77D4">
        <w:rPr>
          <w:sz w:val="24"/>
          <w:szCs w:val="24"/>
        </w:rPr>
        <w:t xml:space="preserve"> is </w:t>
      </w:r>
      <w:r w:rsidRPr="0072257F">
        <w:rPr>
          <w:sz w:val="24"/>
          <w:szCs w:val="24"/>
        </w:rPr>
        <w:t>subsection 38(2AD)</w:t>
      </w:r>
      <w:r w:rsidRPr="00630037">
        <w:t xml:space="preserve"> </w:t>
      </w:r>
      <w:r w:rsidRPr="002A4207">
        <w:rPr>
          <w:color w:val="000000"/>
          <w:sz w:val="24"/>
          <w:szCs w:val="24"/>
          <w:lang w:val="en-GB"/>
        </w:rPr>
        <w:t>of</w:t>
      </w:r>
      <w:r w:rsidRPr="00BC5A49">
        <w:rPr>
          <w:color w:val="000000"/>
          <w:sz w:val="24"/>
          <w:szCs w:val="24"/>
          <w:lang w:val="en-GB"/>
        </w:rPr>
        <w:t xml:space="preserve"> the </w:t>
      </w:r>
      <w:r w:rsidRPr="00BC5A49">
        <w:rPr>
          <w:i/>
          <w:color w:val="000000"/>
          <w:sz w:val="24"/>
          <w:szCs w:val="24"/>
          <w:lang w:val="en-GB"/>
        </w:rPr>
        <w:t>Veterans’</w:t>
      </w:r>
      <w:r w:rsidRPr="00E11643">
        <w:rPr>
          <w:i/>
          <w:color w:val="000000"/>
          <w:sz w:val="24"/>
          <w:szCs w:val="24"/>
          <w:lang w:val="en-GB"/>
        </w:rPr>
        <w:t xml:space="preserve"> Entitlements Act 1986</w:t>
      </w:r>
      <w:r w:rsidR="00364911">
        <w:rPr>
          <w:color w:val="000000"/>
          <w:sz w:val="24"/>
          <w:szCs w:val="24"/>
          <w:lang w:val="en-GB"/>
        </w:rPr>
        <w:t xml:space="preserve"> (the Act)</w:t>
      </w:r>
      <w:r>
        <w:rPr>
          <w:color w:val="000000"/>
          <w:sz w:val="24"/>
          <w:szCs w:val="24"/>
          <w:lang w:val="en-GB"/>
        </w:rPr>
        <w:t>.</w:t>
      </w:r>
      <w:r w:rsidR="007254CD">
        <w:rPr>
          <w:color w:val="000000"/>
          <w:sz w:val="24"/>
          <w:szCs w:val="24"/>
          <w:lang w:val="en-GB"/>
        </w:rPr>
        <w:t xml:space="preserve"> </w:t>
      </w:r>
      <w:r w:rsidR="007254CD">
        <w:rPr>
          <w:sz w:val="24"/>
          <w:szCs w:val="24"/>
        </w:rPr>
        <w:t>S</w:t>
      </w:r>
      <w:r w:rsidR="007254CD" w:rsidRPr="0072257F">
        <w:rPr>
          <w:sz w:val="24"/>
          <w:szCs w:val="24"/>
        </w:rPr>
        <w:t>ubsection 38(2AD)</w:t>
      </w:r>
      <w:r w:rsidR="007254CD" w:rsidRPr="00630037">
        <w:t xml:space="preserve"> </w:t>
      </w:r>
      <w:r w:rsidR="007254CD" w:rsidRPr="002A4207">
        <w:rPr>
          <w:color w:val="000000"/>
          <w:sz w:val="24"/>
          <w:szCs w:val="24"/>
          <w:lang w:val="en-GB"/>
        </w:rPr>
        <w:t>of</w:t>
      </w:r>
      <w:r w:rsidR="007254CD" w:rsidRPr="00BC5A49">
        <w:rPr>
          <w:color w:val="000000"/>
          <w:sz w:val="24"/>
          <w:szCs w:val="24"/>
          <w:lang w:val="en-GB"/>
        </w:rPr>
        <w:t xml:space="preserve"> the</w:t>
      </w:r>
      <w:r w:rsidR="007254CD">
        <w:rPr>
          <w:color w:val="000000"/>
          <w:sz w:val="24"/>
          <w:szCs w:val="24"/>
          <w:lang w:val="en-GB"/>
        </w:rPr>
        <w:t xml:space="preserve"> Act was in force when the instrument was made. </w:t>
      </w:r>
    </w:p>
    <w:p w14:paraId="545D49BB" w14:textId="77777777" w:rsidR="008C5C5B" w:rsidRDefault="008C5C5B" w:rsidP="008C5C5B">
      <w:pPr>
        <w:rPr>
          <w:color w:val="000000"/>
          <w:sz w:val="24"/>
          <w:szCs w:val="24"/>
        </w:rPr>
      </w:pPr>
    </w:p>
    <w:p w14:paraId="5EDF5DF8" w14:textId="4069154A" w:rsidR="0045256E" w:rsidRDefault="007254CD" w:rsidP="0045256E">
      <w:pPr>
        <w:rPr>
          <w:color w:val="000000"/>
          <w:sz w:val="24"/>
          <w:szCs w:val="24"/>
        </w:rPr>
      </w:pPr>
      <w:r w:rsidRPr="00A3453A">
        <w:rPr>
          <w:sz w:val="24"/>
          <w:szCs w:val="24"/>
        </w:rPr>
        <w:t xml:space="preserve">Schedule 1of </w:t>
      </w:r>
      <w:r>
        <w:rPr>
          <w:sz w:val="24"/>
          <w:szCs w:val="24"/>
        </w:rPr>
        <w:t xml:space="preserve">the </w:t>
      </w:r>
      <w:r w:rsidRPr="00BA6B25">
        <w:rPr>
          <w:i/>
          <w:sz w:val="24"/>
        </w:rPr>
        <w:t>Veterans’ Affairs Legislation Amendment (</w:t>
      </w:r>
      <w:r>
        <w:rPr>
          <w:i/>
          <w:sz w:val="24"/>
        </w:rPr>
        <w:t xml:space="preserve">Partner Service Pension and Other </w:t>
      </w:r>
      <w:r w:rsidRPr="00BA6B25">
        <w:rPr>
          <w:i/>
          <w:sz w:val="24"/>
        </w:rPr>
        <w:t>Measures)</w:t>
      </w:r>
      <w:r>
        <w:rPr>
          <w:sz w:val="24"/>
        </w:rPr>
        <w:t xml:space="preserve"> </w:t>
      </w:r>
      <w:r>
        <w:rPr>
          <w:rFonts w:ascii="Times" w:hAnsi="Times"/>
          <w:i/>
          <w:sz w:val="24"/>
          <w:szCs w:val="24"/>
        </w:rPr>
        <w:t>Act</w:t>
      </w:r>
      <w:r w:rsidRPr="00991105">
        <w:rPr>
          <w:rFonts w:ascii="Times" w:hAnsi="Times"/>
          <w:i/>
          <w:sz w:val="24"/>
          <w:szCs w:val="24"/>
        </w:rPr>
        <w:t xml:space="preserve"> 2019</w:t>
      </w:r>
      <w:r>
        <w:rPr>
          <w:rFonts w:ascii="Times" w:hAnsi="Times"/>
          <w:i/>
          <w:sz w:val="24"/>
          <w:szCs w:val="24"/>
        </w:rPr>
        <w:t xml:space="preserve"> </w:t>
      </w:r>
      <w:r>
        <w:rPr>
          <w:rFonts w:ascii="Times" w:hAnsi="Times"/>
          <w:sz w:val="24"/>
          <w:szCs w:val="24"/>
        </w:rPr>
        <w:t xml:space="preserve">amended </w:t>
      </w:r>
      <w:r>
        <w:rPr>
          <w:color w:val="000000"/>
          <w:sz w:val="24"/>
          <w:szCs w:val="24"/>
        </w:rPr>
        <w:t xml:space="preserve">paragraphs 38(1)(b) and (g) of the Act to include non-married former partners of a veteran. </w:t>
      </w:r>
      <w:r w:rsidR="0045256E">
        <w:rPr>
          <w:color w:val="000000"/>
          <w:sz w:val="24"/>
          <w:szCs w:val="24"/>
        </w:rPr>
        <w:t>Previously, paragraphs 38(1)(b) and (g) of the Act</w:t>
      </w:r>
      <w:r w:rsidR="0045256E" w:rsidRPr="00A3453A">
        <w:rPr>
          <w:color w:val="000000"/>
          <w:sz w:val="24"/>
          <w:szCs w:val="24"/>
          <w:lang w:val="en-US"/>
        </w:rPr>
        <w:t xml:space="preserve"> </w:t>
      </w:r>
      <w:r w:rsidR="0045256E">
        <w:rPr>
          <w:color w:val="000000"/>
          <w:sz w:val="24"/>
          <w:szCs w:val="24"/>
          <w:lang w:val="en-US"/>
        </w:rPr>
        <w:t xml:space="preserve">applied only to the married </w:t>
      </w:r>
      <w:r w:rsidR="00CB5627">
        <w:rPr>
          <w:color w:val="000000"/>
          <w:sz w:val="24"/>
          <w:szCs w:val="24"/>
          <w:lang w:val="en-US"/>
        </w:rPr>
        <w:t xml:space="preserve">former </w:t>
      </w:r>
      <w:r w:rsidR="0045256E">
        <w:rPr>
          <w:color w:val="000000"/>
          <w:sz w:val="24"/>
          <w:szCs w:val="24"/>
          <w:lang w:val="en-US"/>
        </w:rPr>
        <w:t xml:space="preserve">partner of a veteran. </w:t>
      </w:r>
      <w:r>
        <w:rPr>
          <w:color w:val="000000"/>
          <w:sz w:val="24"/>
          <w:szCs w:val="24"/>
        </w:rPr>
        <w:t xml:space="preserve">The instrument applies </w:t>
      </w:r>
      <w:r w:rsidR="0045256E">
        <w:rPr>
          <w:color w:val="000000"/>
          <w:sz w:val="24"/>
          <w:szCs w:val="24"/>
        </w:rPr>
        <w:t xml:space="preserve">to </w:t>
      </w:r>
      <w:r w:rsidR="00CB5627">
        <w:rPr>
          <w:color w:val="000000"/>
          <w:sz w:val="24"/>
          <w:szCs w:val="24"/>
        </w:rPr>
        <w:t xml:space="preserve">both </w:t>
      </w:r>
      <w:r w:rsidR="0045256E">
        <w:rPr>
          <w:color w:val="000000"/>
          <w:sz w:val="24"/>
          <w:szCs w:val="24"/>
        </w:rPr>
        <w:t xml:space="preserve">married and </w:t>
      </w:r>
      <w:r>
        <w:rPr>
          <w:color w:val="000000"/>
          <w:sz w:val="24"/>
          <w:szCs w:val="24"/>
        </w:rPr>
        <w:t>non-married former partners of a veteran</w:t>
      </w:r>
      <w:r w:rsidR="00CB5627">
        <w:rPr>
          <w:color w:val="000000"/>
          <w:sz w:val="24"/>
          <w:szCs w:val="24"/>
        </w:rPr>
        <w:t xml:space="preserve"> in reliance on paragraphs 38(1)(b) and (g) of the Act</w:t>
      </w:r>
      <w:r w:rsidR="0045256E">
        <w:rPr>
          <w:color w:val="000000"/>
          <w:sz w:val="24"/>
          <w:szCs w:val="24"/>
        </w:rPr>
        <w:t xml:space="preserve">. </w:t>
      </w:r>
      <w:r w:rsidR="00CB5627">
        <w:rPr>
          <w:color w:val="000000"/>
          <w:sz w:val="24"/>
          <w:szCs w:val="24"/>
        </w:rPr>
        <w:t xml:space="preserve">However, </w:t>
      </w:r>
      <w:r w:rsidR="00CB5627">
        <w:rPr>
          <w:color w:val="000000"/>
          <w:sz w:val="24"/>
          <w:szCs w:val="24"/>
          <w:lang w:val="en-US"/>
        </w:rPr>
        <w:t>a</w:t>
      </w:r>
      <w:r w:rsidR="0045256E" w:rsidRPr="00A3453A">
        <w:rPr>
          <w:color w:val="000000"/>
          <w:sz w:val="24"/>
          <w:szCs w:val="24"/>
          <w:lang w:val="en-US"/>
        </w:rPr>
        <w:t xml:space="preserve">t the time of making the instrument, </w:t>
      </w:r>
      <w:r w:rsidR="0045256E" w:rsidRPr="00A3453A">
        <w:rPr>
          <w:color w:val="000000"/>
          <w:sz w:val="24"/>
          <w:szCs w:val="24"/>
        </w:rPr>
        <w:t xml:space="preserve">those amendments </w:t>
      </w:r>
      <w:r w:rsidR="0045256E">
        <w:rPr>
          <w:color w:val="000000"/>
          <w:sz w:val="24"/>
          <w:szCs w:val="24"/>
        </w:rPr>
        <w:t>to paragraphs 38(1)(b) and (g) of the Act</w:t>
      </w:r>
      <w:r w:rsidR="0045256E" w:rsidRPr="00A3453A">
        <w:rPr>
          <w:color w:val="000000"/>
          <w:sz w:val="24"/>
          <w:szCs w:val="24"/>
          <w:lang w:val="en-US"/>
        </w:rPr>
        <w:t xml:space="preserve"> </w:t>
      </w:r>
      <w:r w:rsidR="0045256E" w:rsidRPr="00A3453A">
        <w:rPr>
          <w:color w:val="000000"/>
          <w:sz w:val="24"/>
          <w:szCs w:val="24"/>
        </w:rPr>
        <w:t>h</w:t>
      </w:r>
      <w:r w:rsidR="0045256E" w:rsidRPr="00A3453A">
        <w:rPr>
          <w:color w:val="000000"/>
          <w:sz w:val="24"/>
          <w:szCs w:val="24"/>
          <w:lang w:val="en-US"/>
        </w:rPr>
        <w:t>ad not commenced.  </w:t>
      </w:r>
      <w:r w:rsidR="0045256E" w:rsidRPr="00A3453A">
        <w:rPr>
          <w:sz w:val="24"/>
          <w:szCs w:val="24"/>
        </w:rPr>
        <w:t>Schedule 1 commences</w:t>
      </w:r>
      <w:r w:rsidR="0045256E">
        <w:rPr>
          <w:sz w:val="24"/>
          <w:szCs w:val="24"/>
        </w:rPr>
        <w:t>,</w:t>
      </w:r>
      <w:r w:rsidR="0045256E" w:rsidRPr="00A3453A">
        <w:rPr>
          <w:sz w:val="24"/>
          <w:szCs w:val="24"/>
        </w:rPr>
        <w:t xml:space="preserve"> </w:t>
      </w:r>
      <w:r w:rsidR="0045256E">
        <w:rPr>
          <w:sz w:val="24"/>
          <w:szCs w:val="24"/>
        </w:rPr>
        <w:t xml:space="preserve">or is taken to have commenced, </w:t>
      </w:r>
      <w:r w:rsidR="0045256E" w:rsidRPr="00A3453A">
        <w:rPr>
          <w:sz w:val="24"/>
          <w:szCs w:val="24"/>
        </w:rPr>
        <w:t>on 20 September 2019.</w:t>
      </w:r>
      <w:r w:rsidR="0045256E" w:rsidRPr="00A3453A">
        <w:rPr>
          <w:color w:val="000000"/>
          <w:sz w:val="24"/>
          <w:szCs w:val="24"/>
        </w:rPr>
        <w:t xml:space="preserve"> </w:t>
      </w:r>
    </w:p>
    <w:p w14:paraId="1DBF6BB4" w14:textId="64951E7F" w:rsidR="007254CD" w:rsidRDefault="007254CD" w:rsidP="007254CD">
      <w:pPr>
        <w:rPr>
          <w:color w:val="000000"/>
          <w:sz w:val="24"/>
          <w:szCs w:val="24"/>
        </w:rPr>
      </w:pPr>
    </w:p>
    <w:p w14:paraId="765E41A5" w14:textId="3C526D24" w:rsidR="008C5C5B" w:rsidRPr="00A3453A" w:rsidRDefault="008C5C5B" w:rsidP="00A3453A">
      <w:pPr>
        <w:rPr>
          <w:color w:val="000000"/>
          <w:sz w:val="24"/>
          <w:szCs w:val="24"/>
        </w:rPr>
      </w:pPr>
      <w:r w:rsidRPr="00A3453A">
        <w:rPr>
          <w:color w:val="000000"/>
          <w:sz w:val="24"/>
          <w:szCs w:val="24"/>
          <w:lang w:val="en-US"/>
        </w:rPr>
        <w:t xml:space="preserve">Accordingly, the instrument is made in reliance on section 4 of the </w:t>
      </w:r>
      <w:r w:rsidRPr="00A3453A">
        <w:rPr>
          <w:i/>
          <w:iCs/>
          <w:color w:val="000000"/>
          <w:sz w:val="24"/>
          <w:szCs w:val="24"/>
          <w:lang w:val="en-US"/>
        </w:rPr>
        <w:t>Acts Interpretation Act 1901</w:t>
      </w:r>
      <w:r w:rsidRPr="00A3453A">
        <w:rPr>
          <w:color w:val="000000"/>
          <w:sz w:val="24"/>
          <w:szCs w:val="24"/>
          <w:lang w:val="en-US"/>
        </w:rPr>
        <w:t xml:space="preserve"> which provides for the exercise of the instrument-making power as if the relevant </w:t>
      </w:r>
      <w:r w:rsidR="009C4A90" w:rsidRPr="00A3453A">
        <w:rPr>
          <w:color w:val="000000"/>
          <w:sz w:val="24"/>
          <w:szCs w:val="24"/>
          <w:lang w:val="en-US"/>
        </w:rPr>
        <w:t>commencement</w:t>
      </w:r>
      <w:r w:rsidR="0045256E">
        <w:rPr>
          <w:color w:val="000000"/>
          <w:sz w:val="24"/>
          <w:szCs w:val="24"/>
          <w:lang w:val="en-US"/>
        </w:rPr>
        <w:t xml:space="preserve"> had occurred. The relevant commencement in this instance is the commencement of </w:t>
      </w:r>
      <w:r w:rsidR="0045256E" w:rsidRPr="00A3453A">
        <w:rPr>
          <w:sz w:val="24"/>
          <w:szCs w:val="24"/>
        </w:rPr>
        <w:t xml:space="preserve">Schedule 1of </w:t>
      </w:r>
      <w:r w:rsidR="0045256E">
        <w:rPr>
          <w:sz w:val="24"/>
          <w:szCs w:val="24"/>
        </w:rPr>
        <w:t xml:space="preserve">the </w:t>
      </w:r>
      <w:r w:rsidR="0045256E" w:rsidRPr="00BA6B25">
        <w:rPr>
          <w:i/>
          <w:sz w:val="24"/>
        </w:rPr>
        <w:t>Veterans’ Affairs Legislation Amendment (</w:t>
      </w:r>
      <w:r w:rsidR="0045256E">
        <w:rPr>
          <w:i/>
          <w:sz w:val="24"/>
        </w:rPr>
        <w:t xml:space="preserve">Partner Service Pension and Other </w:t>
      </w:r>
      <w:r w:rsidR="0045256E" w:rsidRPr="00BA6B25">
        <w:rPr>
          <w:i/>
          <w:sz w:val="24"/>
        </w:rPr>
        <w:t>Measures)</w:t>
      </w:r>
      <w:r w:rsidR="0045256E">
        <w:rPr>
          <w:sz w:val="24"/>
        </w:rPr>
        <w:t xml:space="preserve"> </w:t>
      </w:r>
      <w:r w:rsidR="0045256E">
        <w:rPr>
          <w:rFonts w:ascii="Times" w:hAnsi="Times"/>
          <w:i/>
          <w:sz w:val="24"/>
          <w:szCs w:val="24"/>
        </w:rPr>
        <w:t>Act</w:t>
      </w:r>
      <w:r w:rsidR="0045256E" w:rsidRPr="00991105">
        <w:rPr>
          <w:rFonts w:ascii="Times" w:hAnsi="Times"/>
          <w:i/>
          <w:sz w:val="24"/>
          <w:szCs w:val="24"/>
        </w:rPr>
        <w:t xml:space="preserve"> 2019</w:t>
      </w:r>
      <w:r w:rsidR="0045256E">
        <w:rPr>
          <w:rFonts w:ascii="Times" w:hAnsi="Times"/>
          <w:i/>
          <w:sz w:val="24"/>
          <w:szCs w:val="24"/>
        </w:rPr>
        <w:t xml:space="preserve"> </w:t>
      </w:r>
      <w:r w:rsidR="0045256E">
        <w:rPr>
          <w:color w:val="000000"/>
          <w:sz w:val="24"/>
          <w:szCs w:val="24"/>
          <w:lang w:val="en-US"/>
        </w:rPr>
        <w:t>which amended</w:t>
      </w:r>
      <w:r w:rsidR="0045256E">
        <w:rPr>
          <w:rFonts w:ascii="Times" w:hAnsi="Times"/>
          <w:sz w:val="24"/>
          <w:szCs w:val="24"/>
        </w:rPr>
        <w:t xml:space="preserve"> </w:t>
      </w:r>
      <w:r w:rsidR="0045256E">
        <w:rPr>
          <w:color w:val="000000"/>
          <w:sz w:val="24"/>
          <w:szCs w:val="24"/>
        </w:rPr>
        <w:t>paragraphs 38(1)(b) and (g) of the Act</w:t>
      </w:r>
      <w:r w:rsidRPr="00A3453A">
        <w:rPr>
          <w:color w:val="000000"/>
          <w:sz w:val="24"/>
          <w:szCs w:val="24"/>
          <w:lang w:val="en-US"/>
        </w:rPr>
        <w:t>.</w:t>
      </w:r>
    </w:p>
    <w:p w14:paraId="5DF42A86" w14:textId="77777777" w:rsidR="00B50D57" w:rsidRPr="002769D1" w:rsidRDefault="00B50D57" w:rsidP="00B50D57">
      <w:pPr>
        <w:pStyle w:val="ActHead5"/>
        <w:rPr>
          <w:b w:val="0"/>
          <w:color w:val="000000"/>
          <w:szCs w:val="24"/>
          <w:u w:val="single"/>
          <w:lang w:val="en-GB" w:eastAsia="ja-JP"/>
        </w:rPr>
      </w:pPr>
      <w:r w:rsidRPr="002769D1">
        <w:rPr>
          <w:b w:val="0"/>
          <w:color w:val="000000"/>
          <w:szCs w:val="24"/>
          <w:u w:val="single"/>
          <w:lang w:val="en-GB" w:eastAsia="ja-JP"/>
        </w:rPr>
        <w:t>Section 4</w:t>
      </w:r>
    </w:p>
    <w:p w14:paraId="3B6AED15" w14:textId="5069C4EC" w:rsidR="009178CD" w:rsidRPr="00A3453A" w:rsidRDefault="00B50D57" w:rsidP="00A3453A">
      <w:pPr>
        <w:spacing w:before="240"/>
        <w:rPr>
          <w:sz w:val="24"/>
          <w:szCs w:val="24"/>
        </w:rPr>
      </w:pPr>
      <w:r w:rsidRPr="00A3453A">
        <w:rPr>
          <w:sz w:val="24"/>
          <w:szCs w:val="24"/>
          <w:lang w:val="en-GB" w:eastAsia="ja-JP"/>
        </w:rPr>
        <w:t xml:space="preserve">This section is a purpose provision. </w:t>
      </w:r>
      <w:r w:rsidRPr="00A3453A">
        <w:rPr>
          <w:sz w:val="24"/>
          <w:szCs w:val="24"/>
        </w:rPr>
        <w:t xml:space="preserve">The purpose of this instrument is to set out </w:t>
      </w:r>
      <w:r w:rsidR="009178CD" w:rsidRPr="00A3453A">
        <w:rPr>
          <w:sz w:val="24"/>
          <w:szCs w:val="24"/>
        </w:rPr>
        <w:t xml:space="preserve">the circumstances in which </w:t>
      </w:r>
      <w:r w:rsidR="00715E01">
        <w:rPr>
          <w:color w:val="000000"/>
          <w:sz w:val="24"/>
          <w:szCs w:val="24"/>
        </w:rPr>
        <w:t xml:space="preserve">the married or non-married former partner of a veteran </w:t>
      </w:r>
      <w:r w:rsidR="009178CD" w:rsidRPr="00A3453A">
        <w:rPr>
          <w:sz w:val="24"/>
          <w:szCs w:val="24"/>
        </w:rPr>
        <w:t xml:space="preserve">retains eligibility for a partner service pension, despite being separated from </w:t>
      </w:r>
      <w:r w:rsidR="00A41597">
        <w:rPr>
          <w:sz w:val="24"/>
          <w:szCs w:val="24"/>
        </w:rPr>
        <w:t>the</w:t>
      </w:r>
      <w:r w:rsidR="009178CD" w:rsidRPr="00A3453A">
        <w:rPr>
          <w:sz w:val="24"/>
          <w:szCs w:val="24"/>
        </w:rPr>
        <w:t xml:space="preserve"> veteran for more than 12 months</w:t>
      </w:r>
      <w:r w:rsidR="00715E01">
        <w:rPr>
          <w:sz w:val="24"/>
          <w:szCs w:val="24"/>
        </w:rPr>
        <w:t>.</w:t>
      </w:r>
    </w:p>
    <w:p w14:paraId="530A8942" w14:textId="77777777" w:rsidR="00B50D57" w:rsidRPr="002769D1" w:rsidRDefault="00B50D57" w:rsidP="00B50D57">
      <w:pPr>
        <w:pStyle w:val="ActHead5"/>
        <w:rPr>
          <w:b w:val="0"/>
          <w:color w:val="000000"/>
          <w:szCs w:val="24"/>
          <w:u w:val="single"/>
        </w:rPr>
      </w:pPr>
      <w:r w:rsidRPr="002769D1">
        <w:rPr>
          <w:b w:val="0"/>
          <w:color w:val="000000"/>
          <w:szCs w:val="24"/>
          <w:u w:val="single"/>
        </w:rPr>
        <w:t>Section 5</w:t>
      </w:r>
    </w:p>
    <w:p w14:paraId="253B4758" w14:textId="0F86AA46" w:rsidR="00B50D57" w:rsidRDefault="00B50D57" w:rsidP="00B50D57">
      <w:pPr>
        <w:spacing w:before="240"/>
        <w:rPr>
          <w:rFonts w:eastAsia="Calibri"/>
          <w:color w:val="000000"/>
          <w:sz w:val="24"/>
          <w:szCs w:val="24"/>
          <w:lang w:val="en-GB" w:eastAsia="en-US"/>
        </w:rPr>
      </w:pPr>
      <w:r w:rsidRPr="00E51904">
        <w:rPr>
          <w:rFonts w:eastAsia="Calibri"/>
          <w:color w:val="000000"/>
          <w:sz w:val="24"/>
          <w:szCs w:val="24"/>
          <w:lang w:val="en-GB" w:eastAsia="en-US"/>
        </w:rPr>
        <w:t xml:space="preserve">This </w:t>
      </w:r>
      <w:r>
        <w:rPr>
          <w:rFonts w:eastAsia="Calibri"/>
          <w:color w:val="000000"/>
          <w:sz w:val="24"/>
          <w:szCs w:val="24"/>
          <w:lang w:val="en-GB" w:eastAsia="en-US"/>
        </w:rPr>
        <w:t xml:space="preserve">is the definitions </w:t>
      </w:r>
      <w:r w:rsidRPr="00E51904">
        <w:rPr>
          <w:rFonts w:eastAsia="Calibri"/>
          <w:color w:val="000000"/>
          <w:sz w:val="24"/>
          <w:szCs w:val="24"/>
          <w:lang w:val="en-GB" w:eastAsia="en-US"/>
        </w:rPr>
        <w:t>section</w:t>
      </w:r>
      <w:r>
        <w:rPr>
          <w:rFonts w:eastAsia="Calibri"/>
          <w:color w:val="000000"/>
          <w:sz w:val="24"/>
          <w:szCs w:val="24"/>
          <w:lang w:val="en-GB" w:eastAsia="en-US"/>
        </w:rPr>
        <w:t xml:space="preserve">. </w:t>
      </w:r>
    </w:p>
    <w:p w14:paraId="23EFB570" w14:textId="5A0EFD81" w:rsidR="00A41597" w:rsidRPr="005C55F8" w:rsidRDefault="00A41597" w:rsidP="005C55F8">
      <w:pPr>
        <w:spacing w:before="240"/>
        <w:rPr>
          <w:i/>
          <w:color w:val="000000"/>
          <w:sz w:val="24"/>
          <w:szCs w:val="24"/>
          <w:lang w:val="en-GB"/>
        </w:rPr>
      </w:pPr>
      <w:r w:rsidRPr="005C55F8">
        <w:rPr>
          <w:rFonts w:eastAsia="Calibri"/>
          <w:color w:val="000000"/>
          <w:sz w:val="24"/>
          <w:szCs w:val="24"/>
          <w:lang w:val="en-GB" w:eastAsia="en-US"/>
        </w:rPr>
        <w:t xml:space="preserve">The term </w:t>
      </w:r>
      <w:r w:rsidRPr="00087949">
        <w:rPr>
          <w:rFonts w:eastAsia="Calibri"/>
          <w:color w:val="000000"/>
          <w:sz w:val="24"/>
          <w:szCs w:val="24"/>
          <w:lang w:val="en-GB" w:eastAsia="en-US"/>
        </w:rPr>
        <w:t>‘</w:t>
      </w:r>
      <w:r w:rsidR="00E247A2" w:rsidRPr="00CB5627">
        <w:rPr>
          <w:sz w:val="24"/>
          <w:szCs w:val="24"/>
        </w:rPr>
        <w:t>former partner of a veteran</w:t>
      </w:r>
      <w:r w:rsidRPr="00CB5627">
        <w:rPr>
          <w:sz w:val="24"/>
          <w:szCs w:val="24"/>
        </w:rPr>
        <w:t xml:space="preserve">’ </w:t>
      </w:r>
      <w:r>
        <w:rPr>
          <w:sz w:val="24"/>
          <w:szCs w:val="24"/>
        </w:rPr>
        <w:t xml:space="preserve">is defined as </w:t>
      </w:r>
      <w:r w:rsidRPr="005C55F8">
        <w:rPr>
          <w:sz w:val="24"/>
          <w:szCs w:val="24"/>
        </w:rPr>
        <w:t>a person to whom paragraph 38(1AA)(a)</w:t>
      </w:r>
      <w:r w:rsidR="00A83ADD">
        <w:rPr>
          <w:sz w:val="24"/>
          <w:szCs w:val="24"/>
        </w:rPr>
        <w:t xml:space="preserve">, </w:t>
      </w:r>
      <w:r w:rsidR="00821ADB" w:rsidRPr="005C55F8">
        <w:rPr>
          <w:sz w:val="24"/>
          <w:szCs w:val="24"/>
        </w:rPr>
        <w:t>(</w:t>
      </w:r>
      <w:r w:rsidRPr="005C55F8">
        <w:rPr>
          <w:sz w:val="24"/>
          <w:szCs w:val="24"/>
        </w:rPr>
        <w:t xml:space="preserve">b) or (c) of the </w:t>
      </w:r>
      <w:r w:rsidRPr="005C55F8">
        <w:rPr>
          <w:i/>
          <w:sz w:val="24"/>
          <w:szCs w:val="24"/>
        </w:rPr>
        <w:t xml:space="preserve">Act </w:t>
      </w:r>
      <w:r w:rsidRPr="005C55F8">
        <w:rPr>
          <w:sz w:val="24"/>
          <w:szCs w:val="24"/>
        </w:rPr>
        <w:t>applies.</w:t>
      </w:r>
      <w:r>
        <w:rPr>
          <w:sz w:val="24"/>
          <w:szCs w:val="24"/>
        </w:rPr>
        <w:t xml:space="preserve"> It refers to </w:t>
      </w:r>
      <w:r>
        <w:rPr>
          <w:color w:val="000000"/>
          <w:sz w:val="24"/>
          <w:szCs w:val="24"/>
        </w:rPr>
        <w:t>the married or non-married partner of a veteran</w:t>
      </w:r>
      <w:r w:rsidR="00087949">
        <w:rPr>
          <w:color w:val="000000"/>
          <w:sz w:val="24"/>
          <w:szCs w:val="24"/>
        </w:rPr>
        <w:t xml:space="preserve"> who </w:t>
      </w:r>
      <w:r w:rsidR="00087949">
        <w:rPr>
          <w:color w:val="000000"/>
          <w:sz w:val="24"/>
          <w:szCs w:val="24"/>
        </w:rPr>
        <w:lastRenderedPageBreak/>
        <w:t>has separated from the veteran, and is living separately and apart from the veteran on a permanent basis for a reason other than illness.</w:t>
      </w:r>
    </w:p>
    <w:p w14:paraId="6782E110" w14:textId="77777777" w:rsidR="00B50D57" w:rsidRPr="002769D1" w:rsidRDefault="00B50D57" w:rsidP="00CB5627">
      <w:pPr>
        <w:pStyle w:val="ActHead5"/>
        <w:spacing w:after="240"/>
        <w:rPr>
          <w:b w:val="0"/>
          <w:color w:val="000000"/>
          <w:szCs w:val="24"/>
          <w:u w:val="single"/>
        </w:rPr>
      </w:pPr>
      <w:r w:rsidRPr="002769D1">
        <w:rPr>
          <w:b w:val="0"/>
          <w:color w:val="000000"/>
          <w:szCs w:val="24"/>
          <w:u w:val="single"/>
        </w:rPr>
        <w:t xml:space="preserve">Section </w:t>
      </w:r>
      <w:r>
        <w:rPr>
          <w:b w:val="0"/>
          <w:color w:val="000000"/>
          <w:szCs w:val="24"/>
          <w:u w:val="single"/>
        </w:rPr>
        <w:t>6</w:t>
      </w:r>
    </w:p>
    <w:p w14:paraId="59BACF1A" w14:textId="496F3F38" w:rsidR="00EE4E13" w:rsidRDefault="00E247A2" w:rsidP="00CB3BC7">
      <w:pPr>
        <w:tabs>
          <w:tab w:val="left" w:pos="1134"/>
        </w:tabs>
        <w:rPr>
          <w:snapToGrid w:val="0"/>
          <w:color w:val="000000"/>
          <w:sz w:val="24"/>
          <w:szCs w:val="24"/>
          <w:lang w:eastAsia="en-US"/>
        </w:rPr>
      </w:pPr>
      <w:r>
        <w:rPr>
          <w:snapToGrid w:val="0"/>
          <w:color w:val="000000"/>
          <w:sz w:val="24"/>
          <w:szCs w:val="24"/>
          <w:lang w:eastAsia="en-US"/>
        </w:rPr>
        <w:t xml:space="preserve">This section sets out the circumstances where the former partner of a veteran remains eligible for a partner service pension despite being </w:t>
      </w:r>
      <w:r w:rsidR="00EF56BE" w:rsidRPr="00EC77D4">
        <w:rPr>
          <w:snapToGrid w:val="0"/>
          <w:color w:val="000000"/>
          <w:sz w:val="24"/>
          <w:szCs w:val="24"/>
          <w:lang w:eastAsia="en-US"/>
        </w:rPr>
        <w:t xml:space="preserve">separated from the veteran for </w:t>
      </w:r>
      <w:r>
        <w:rPr>
          <w:snapToGrid w:val="0"/>
          <w:color w:val="000000"/>
          <w:sz w:val="24"/>
          <w:szCs w:val="24"/>
          <w:lang w:eastAsia="en-US"/>
        </w:rPr>
        <w:t xml:space="preserve">more than </w:t>
      </w:r>
      <w:r w:rsidR="00EF56BE" w:rsidRPr="00EC77D4">
        <w:rPr>
          <w:snapToGrid w:val="0"/>
          <w:color w:val="000000"/>
          <w:sz w:val="24"/>
          <w:szCs w:val="24"/>
          <w:lang w:eastAsia="en-US"/>
        </w:rPr>
        <w:t>12 months.</w:t>
      </w:r>
      <w:r w:rsidR="00715E01">
        <w:rPr>
          <w:snapToGrid w:val="0"/>
          <w:color w:val="000000"/>
          <w:sz w:val="24"/>
          <w:szCs w:val="24"/>
          <w:lang w:eastAsia="en-US"/>
        </w:rPr>
        <w:t xml:space="preserve"> </w:t>
      </w:r>
    </w:p>
    <w:p w14:paraId="4BD930EB" w14:textId="77777777" w:rsidR="0017336C" w:rsidRDefault="0017336C" w:rsidP="00CB3BC7">
      <w:pPr>
        <w:tabs>
          <w:tab w:val="left" w:pos="1134"/>
        </w:tabs>
        <w:rPr>
          <w:color w:val="000000"/>
          <w:sz w:val="24"/>
          <w:szCs w:val="24"/>
        </w:rPr>
      </w:pPr>
    </w:p>
    <w:p w14:paraId="283B0378" w14:textId="37E7E1E3" w:rsidR="00EF56BE" w:rsidRPr="00EC77D4" w:rsidRDefault="00EF56BE" w:rsidP="00EF56BE">
      <w:pPr>
        <w:rPr>
          <w:color w:val="000000"/>
          <w:sz w:val="24"/>
          <w:szCs w:val="24"/>
        </w:rPr>
      </w:pPr>
      <w:r w:rsidRPr="00EC77D4">
        <w:rPr>
          <w:color w:val="000000"/>
          <w:sz w:val="24"/>
          <w:szCs w:val="24"/>
        </w:rPr>
        <w:t>Th</w:t>
      </w:r>
      <w:r w:rsidR="00EE4E13">
        <w:rPr>
          <w:color w:val="000000"/>
          <w:sz w:val="24"/>
          <w:szCs w:val="24"/>
        </w:rPr>
        <w:t>e</w:t>
      </w:r>
      <w:r w:rsidRPr="00EC77D4">
        <w:rPr>
          <w:color w:val="000000"/>
          <w:sz w:val="24"/>
          <w:szCs w:val="24"/>
        </w:rPr>
        <w:t xml:space="preserve"> circumstances are that on the first day the </w:t>
      </w:r>
      <w:r w:rsidR="00EE4E13">
        <w:rPr>
          <w:color w:val="000000"/>
          <w:sz w:val="24"/>
          <w:szCs w:val="24"/>
        </w:rPr>
        <w:t>former partner of a veteran</w:t>
      </w:r>
      <w:r w:rsidRPr="00EC77D4">
        <w:rPr>
          <w:color w:val="000000"/>
          <w:sz w:val="24"/>
          <w:szCs w:val="24"/>
        </w:rPr>
        <w:t xml:space="preserve"> ceased residing in the same residence as the veteran</w:t>
      </w:r>
      <w:r w:rsidR="00872762">
        <w:rPr>
          <w:color w:val="000000"/>
          <w:sz w:val="24"/>
          <w:szCs w:val="24"/>
        </w:rPr>
        <w:t xml:space="preserve"> (the first separate residence day)</w:t>
      </w:r>
      <w:r w:rsidRPr="00EC77D4">
        <w:rPr>
          <w:color w:val="000000"/>
          <w:sz w:val="24"/>
          <w:szCs w:val="24"/>
        </w:rPr>
        <w:t>, the veteran had a psychological or other mental health incapacity caused by:</w:t>
      </w:r>
    </w:p>
    <w:p w14:paraId="7B00EB28" w14:textId="77777777" w:rsidR="00EF56BE" w:rsidRPr="00EC77D4" w:rsidRDefault="00EF56BE" w:rsidP="00EF56BE">
      <w:pPr>
        <w:ind w:left="720" w:hanging="720"/>
        <w:rPr>
          <w:color w:val="000000"/>
          <w:sz w:val="24"/>
          <w:szCs w:val="24"/>
        </w:rPr>
      </w:pPr>
    </w:p>
    <w:p w14:paraId="6D4A5231" w14:textId="77777777" w:rsidR="00EF56BE" w:rsidRPr="00EC77D4" w:rsidRDefault="00EF56BE" w:rsidP="00EF56BE">
      <w:pPr>
        <w:numPr>
          <w:ilvl w:val="0"/>
          <w:numId w:val="28"/>
        </w:numPr>
        <w:rPr>
          <w:color w:val="000000"/>
          <w:sz w:val="24"/>
          <w:szCs w:val="24"/>
        </w:rPr>
      </w:pPr>
      <w:r w:rsidRPr="00EC77D4">
        <w:rPr>
          <w:color w:val="000000"/>
          <w:sz w:val="24"/>
          <w:szCs w:val="24"/>
        </w:rPr>
        <w:t>a war-caused injury or war-caused disease and the Repatriation Commission has determined that the veteran is entitled to a pension for the injury or disease; or</w:t>
      </w:r>
    </w:p>
    <w:p w14:paraId="57401AF5" w14:textId="77777777" w:rsidR="00EF56BE" w:rsidRPr="00EC77D4" w:rsidRDefault="00EF56BE" w:rsidP="00EF56BE">
      <w:pPr>
        <w:numPr>
          <w:ilvl w:val="0"/>
          <w:numId w:val="28"/>
        </w:numPr>
        <w:spacing w:after="240"/>
        <w:rPr>
          <w:color w:val="000000"/>
          <w:sz w:val="24"/>
          <w:szCs w:val="24"/>
        </w:rPr>
      </w:pPr>
      <w:r w:rsidRPr="00EC77D4">
        <w:rPr>
          <w:color w:val="000000"/>
          <w:sz w:val="24"/>
          <w:szCs w:val="24"/>
        </w:rPr>
        <w:t>a defence-caused injury or defence-caused disease and the Repatriation Commission has determined that the veteran, as a member of the Defence Force or of a Peacekeeping Force is entitled to a pension for the injury or disease; or</w:t>
      </w:r>
    </w:p>
    <w:p w14:paraId="51571E44" w14:textId="77777777" w:rsidR="00EF56BE" w:rsidRPr="00EC77D4" w:rsidRDefault="00EF56BE" w:rsidP="00EF56BE">
      <w:pPr>
        <w:numPr>
          <w:ilvl w:val="0"/>
          <w:numId w:val="28"/>
        </w:numPr>
        <w:spacing w:after="240"/>
        <w:rPr>
          <w:color w:val="000000"/>
          <w:sz w:val="24"/>
          <w:szCs w:val="24"/>
        </w:rPr>
      </w:pPr>
      <w:r w:rsidRPr="00EC77D4">
        <w:rPr>
          <w:color w:val="000000"/>
          <w:sz w:val="24"/>
          <w:szCs w:val="24"/>
        </w:rPr>
        <w:t xml:space="preserve">a service injury or service disease, as defined in the </w:t>
      </w:r>
      <w:r w:rsidRPr="00EC77D4">
        <w:rPr>
          <w:i/>
          <w:color w:val="000000"/>
          <w:sz w:val="24"/>
          <w:szCs w:val="24"/>
        </w:rPr>
        <w:t>Military Rehabilitation and Compensation Act 2004</w:t>
      </w:r>
      <w:r w:rsidRPr="00EC77D4">
        <w:rPr>
          <w:color w:val="000000"/>
          <w:sz w:val="24"/>
          <w:szCs w:val="24"/>
        </w:rPr>
        <w:t>, and the Military Rehabilitation and Compensation Commission has accepted liability for the injury or disease; or</w:t>
      </w:r>
    </w:p>
    <w:p w14:paraId="1630FACF" w14:textId="78BA7B8F" w:rsidR="00EF56BE" w:rsidRPr="00EC77D4" w:rsidRDefault="00EF56BE" w:rsidP="00EF56BE">
      <w:pPr>
        <w:numPr>
          <w:ilvl w:val="0"/>
          <w:numId w:val="28"/>
        </w:numPr>
        <w:spacing w:after="240"/>
        <w:rPr>
          <w:color w:val="000000"/>
          <w:sz w:val="24"/>
          <w:szCs w:val="24"/>
        </w:rPr>
      </w:pPr>
      <w:r w:rsidRPr="00EC77D4">
        <w:rPr>
          <w:color w:val="000000"/>
          <w:sz w:val="24"/>
          <w:szCs w:val="24"/>
        </w:rPr>
        <w:t xml:space="preserve">a disease or disorder in subsection 85(2) of the </w:t>
      </w:r>
      <w:r w:rsidRPr="00EC77D4">
        <w:rPr>
          <w:i/>
          <w:color w:val="000000"/>
          <w:sz w:val="24"/>
          <w:szCs w:val="24"/>
        </w:rPr>
        <w:t>Veterans’ Entitlements Act 1986</w:t>
      </w:r>
      <w:r w:rsidR="00EC77D4">
        <w:rPr>
          <w:color w:val="000000"/>
          <w:sz w:val="24"/>
          <w:szCs w:val="24"/>
        </w:rPr>
        <w:t xml:space="preserve">, </w:t>
      </w:r>
      <w:r w:rsidRPr="00EC77D4">
        <w:rPr>
          <w:color w:val="000000"/>
          <w:sz w:val="24"/>
          <w:szCs w:val="24"/>
        </w:rPr>
        <w:t xml:space="preserve">namely </w:t>
      </w:r>
      <w:r w:rsidR="00EC77D4">
        <w:rPr>
          <w:sz w:val="24"/>
          <w:szCs w:val="24"/>
        </w:rPr>
        <w:t xml:space="preserve">malignant neoplasia or </w:t>
      </w:r>
      <w:r w:rsidRPr="00EC77D4">
        <w:rPr>
          <w:sz w:val="24"/>
          <w:szCs w:val="24"/>
        </w:rPr>
        <w:t xml:space="preserve">pulmonary tuberculosis, </w:t>
      </w:r>
      <w:r w:rsidRPr="00EC77D4">
        <w:rPr>
          <w:color w:val="000000"/>
          <w:sz w:val="24"/>
          <w:szCs w:val="24"/>
        </w:rPr>
        <w:t>and for which the veteran receives treatment under that Act; or</w:t>
      </w:r>
    </w:p>
    <w:p w14:paraId="5A099E79" w14:textId="539BE8D6" w:rsidR="00EF56BE" w:rsidRPr="00EC77D4" w:rsidRDefault="00EF56BE" w:rsidP="00EF56BE">
      <w:pPr>
        <w:numPr>
          <w:ilvl w:val="0"/>
          <w:numId w:val="28"/>
        </w:numPr>
        <w:rPr>
          <w:color w:val="000000"/>
          <w:sz w:val="24"/>
          <w:szCs w:val="24"/>
        </w:rPr>
      </w:pPr>
      <w:r w:rsidRPr="00EC77D4">
        <w:rPr>
          <w:color w:val="000000"/>
          <w:sz w:val="24"/>
          <w:szCs w:val="24"/>
        </w:rPr>
        <w:t xml:space="preserve">a condition described in a determination under paragraph 88A(1)(a) of the </w:t>
      </w:r>
      <w:r w:rsidRPr="00EC77D4">
        <w:rPr>
          <w:i/>
          <w:color w:val="000000"/>
          <w:sz w:val="24"/>
          <w:szCs w:val="24"/>
        </w:rPr>
        <w:t>Veterans’ Entitlements Act 1986</w:t>
      </w:r>
      <w:r w:rsidR="00087949">
        <w:rPr>
          <w:color w:val="000000"/>
          <w:sz w:val="24"/>
          <w:szCs w:val="24"/>
        </w:rPr>
        <w:t>.</w:t>
      </w:r>
      <w:r w:rsidRPr="00EC77D4">
        <w:rPr>
          <w:color w:val="000000"/>
          <w:sz w:val="24"/>
          <w:szCs w:val="24"/>
        </w:rPr>
        <w:t xml:space="preserve">  </w:t>
      </w:r>
    </w:p>
    <w:p w14:paraId="3E115BA7" w14:textId="080D0772" w:rsidR="00EF56BE" w:rsidRDefault="00087949" w:rsidP="00087949">
      <w:pPr>
        <w:spacing w:before="240"/>
        <w:rPr>
          <w:color w:val="000000"/>
          <w:sz w:val="24"/>
          <w:szCs w:val="24"/>
        </w:rPr>
      </w:pPr>
      <w:r>
        <w:rPr>
          <w:color w:val="000000"/>
          <w:sz w:val="24"/>
          <w:szCs w:val="24"/>
        </w:rPr>
        <w:t xml:space="preserve">In addition, </w:t>
      </w:r>
      <w:r w:rsidR="00EF56BE" w:rsidRPr="00EC77D4">
        <w:rPr>
          <w:color w:val="000000"/>
          <w:sz w:val="24"/>
          <w:szCs w:val="24"/>
        </w:rPr>
        <w:t xml:space="preserve">the Repatriation Commission </w:t>
      </w:r>
      <w:r>
        <w:rPr>
          <w:color w:val="000000"/>
          <w:sz w:val="24"/>
          <w:szCs w:val="24"/>
        </w:rPr>
        <w:t xml:space="preserve">must be </w:t>
      </w:r>
      <w:r w:rsidR="00EF56BE" w:rsidRPr="00EC77D4">
        <w:rPr>
          <w:color w:val="000000"/>
          <w:sz w:val="24"/>
          <w:szCs w:val="24"/>
        </w:rPr>
        <w:t>satisfied that, before the</w:t>
      </w:r>
      <w:r w:rsidR="00872762">
        <w:rPr>
          <w:color w:val="000000"/>
          <w:sz w:val="24"/>
          <w:szCs w:val="24"/>
        </w:rPr>
        <w:t xml:space="preserve"> first separate residence day</w:t>
      </w:r>
      <w:r>
        <w:rPr>
          <w:color w:val="000000"/>
          <w:sz w:val="24"/>
          <w:szCs w:val="24"/>
        </w:rPr>
        <w:t>,</w:t>
      </w:r>
      <w:r w:rsidR="00EF56BE" w:rsidRPr="00EC77D4">
        <w:rPr>
          <w:color w:val="000000"/>
          <w:sz w:val="24"/>
          <w:szCs w:val="24"/>
        </w:rPr>
        <w:t xml:space="preserve"> the domestic environment shared by the veteran and </w:t>
      </w:r>
      <w:r>
        <w:rPr>
          <w:color w:val="000000"/>
          <w:sz w:val="24"/>
          <w:szCs w:val="24"/>
        </w:rPr>
        <w:t xml:space="preserve">his or her </w:t>
      </w:r>
      <w:r w:rsidR="00E247A2">
        <w:rPr>
          <w:color w:val="000000"/>
          <w:sz w:val="24"/>
          <w:szCs w:val="24"/>
        </w:rPr>
        <w:t xml:space="preserve">former </w:t>
      </w:r>
      <w:r w:rsidR="00EE4E13">
        <w:rPr>
          <w:color w:val="000000"/>
          <w:sz w:val="24"/>
          <w:szCs w:val="24"/>
        </w:rPr>
        <w:t xml:space="preserve">partner </w:t>
      </w:r>
      <w:r w:rsidR="00EF56BE" w:rsidRPr="00EC77D4">
        <w:rPr>
          <w:color w:val="000000"/>
          <w:sz w:val="24"/>
          <w:szCs w:val="24"/>
        </w:rPr>
        <w:t xml:space="preserve">was, because of the veteran’s behaviour, unsafe or abusive for the </w:t>
      </w:r>
      <w:r w:rsidR="00E247A2">
        <w:rPr>
          <w:color w:val="000000"/>
          <w:sz w:val="24"/>
          <w:szCs w:val="24"/>
        </w:rPr>
        <w:t xml:space="preserve">former </w:t>
      </w:r>
      <w:r w:rsidR="00EE4E13">
        <w:rPr>
          <w:color w:val="000000"/>
          <w:sz w:val="24"/>
          <w:szCs w:val="24"/>
        </w:rPr>
        <w:t xml:space="preserve">partner </w:t>
      </w:r>
      <w:r w:rsidR="00EF56BE" w:rsidRPr="00EC77D4">
        <w:rPr>
          <w:color w:val="000000"/>
          <w:sz w:val="24"/>
          <w:szCs w:val="24"/>
        </w:rPr>
        <w:t xml:space="preserve">or any child of the </w:t>
      </w:r>
      <w:r w:rsidR="00E247A2">
        <w:rPr>
          <w:color w:val="000000"/>
          <w:sz w:val="24"/>
          <w:szCs w:val="24"/>
        </w:rPr>
        <w:t xml:space="preserve">former </w:t>
      </w:r>
      <w:r w:rsidR="009178CD">
        <w:rPr>
          <w:color w:val="000000"/>
          <w:sz w:val="24"/>
          <w:szCs w:val="24"/>
        </w:rPr>
        <w:t>p</w:t>
      </w:r>
      <w:r w:rsidR="00EE4E13">
        <w:rPr>
          <w:color w:val="000000"/>
          <w:sz w:val="24"/>
          <w:szCs w:val="24"/>
        </w:rPr>
        <w:t>artner</w:t>
      </w:r>
      <w:r w:rsidR="00EF56BE" w:rsidRPr="00EC77D4">
        <w:rPr>
          <w:color w:val="000000"/>
          <w:sz w:val="24"/>
          <w:szCs w:val="24"/>
        </w:rPr>
        <w:t>.</w:t>
      </w:r>
    </w:p>
    <w:p w14:paraId="76D7654A" w14:textId="3BA3F440" w:rsidR="00E247A2" w:rsidRPr="002769D1" w:rsidRDefault="00E247A2" w:rsidP="00E247A2">
      <w:pPr>
        <w:pStyle w:val="ActHead5"/>
        <w:rPr>
          <w:b w:val="0"/>
          <w:color w:val="000000"/>
          <w:szCs w:val="24"/>
          <w:u w:val="single"/>
        </w:rPr>
      </w:pPr>
      <w:r w:rsidRPr="002769D1">
        <w:rPr>
          <w:b w:val="0"/>
          <w:color w:val="000000"/>
          <w:szCs w:val="24"/>
          <w:u w:val="single"/>
        </w:rPr>
        <w:t xml:space="preserve">Section </w:t>
      </w:r>
      <w:r>
        <w:rPr>
          <w:b w:val="0"/>
          <w:color w:val="000000"/>
          <w:szCs w:val="24"/>
          <w:u w:val="single"/>
        </w:rPr>
        <w:t>7</w:t>
      </w:r>
    </w:p>
    <w:p w14:paraId="4055BA00" w14:textId="77777777" w:rsidR="00E247A2" w:rsidRDefault="00E247A2" w:rsidP="00E247A2">
      <w:pPr>
        <w:tabs>
          <w:tab w:val="left" w:pos="1134"/>
        </w:tabs>
        <w:rPr>
          <w:snapToGrid w:val="0"/>
          <w:color w:val="000000"/>
          <w:sz w:val="24"/>
          <w:szCs w:val="24"/>
          <w:lang w:eastAsia="en-US"/>
        </w:rPr>
      </w:pPr>
    </w:p>
    <w:p w14:paraId="6B8E8402" w14:textId="6BDB8C6C" w:rsidR="00E247A2" w:rsidRDefault="00E247A2" w:rsidP="005C55F8">
      <w:pPr>
        <w:rPr>
          <w:color w:val="000000"/>
          <w:sz w:val="24"/>
          <w:szCs w:val="24"/>
        </w:rPr>
      </w:pPr>
      <w:r>
        <w:rPr>
          <w:snapToGrid w:val="0"/>
          <w:color w:val="000000"/>
          <w:sz w:val="24"/>
          <w:szCs w:val="24"/>
          <w:lang w:eastAsia="en-US"/>
        </w:rPr>
        <w:t xml:space="preserve">This section repeals the </w:t>
      </w:r>
      <w:r w:rsidRPr="00636E62">
        <w:rPr>
          <w:i/>
          <w:color w:val="000000"/>
          <w:sz w:val="24"/>
          <w:szCs w:val="24"/>
        </w:rPr>
        <w:t xml:space="preserve">Veterans’ Entitlements </w:t>
      </w:r>
      <w:r w:rsidRPr="00636E62">
        <w:rPr>
          <w:i/>
          <w:sz w:val="24"/>
          <w:szCs w:val="24"/>
        </w:rPr>
        <w:t>(Partner Service Pension — Retention of Eligibility</w:t>
      </w:r>
      <w:r>
        <w:rPr>
          <w:i/>
          <w:sz w:val="24"/>
          <w:szCs w:val="24"/>
        </w:rPr>
        <w:t xml:space="preserve"> for Non-illness Separated Spouse</w:t>
      </w:r>
      <w:r w:rsidRPr="00636E62">
        <w:rPr>
          <w:i/>
          <w:sz w:val="24"/>
          <w:szCs w:val="24"/>
        </w:rPr>
        <w:t xml:space="preserve">) </w:t>
      </w:r>
      <w:r>
        <w:rPr>
          <w:i/>
          <w:color w:val="000000"/>
          <w:sz w:val="24"/>
          <w:szCs w:val="24"/>
        </w:rPr>
        <w:t>Determination R25/2009</w:t>
      </w:r>
      <w:r>
        <w:rPr>
          <w:color w:val="000000"/>
          <w:sz w:val="24"/>
          <w:szCs w:val="24"/>
        </w:rPr>
        <w:t>.</w:t>
      </w:r>
    </w:p>
    <w:p w14:paraId="2DE8B7AC" w14:textId="1FFCEA9A" w:rsidR="00E247A2" w:rsidRPr="002769D1" w:rsidRDefault="00E247A2" w:rsidP="00E247A2">
      <w:pPr>
        <w:pStyle w:val="ActHead5"/>
        <w:rPr>
          <w:b w:val="0"/>
          <w:color w:val="000000"/>
          <w:szCs w:val="24"/>
          <w:u w:val="single"/>
        </w:rPr>
      </w:pPr>
      <w:r w:rsidRPr="002769D1">
        <w:rPr>
          <w:b w:val="0"/>
          <w:color w:val="000000"/>
          <w:szCs w:val="24"/>
          <w:u w:val="single"/>
        </w:rPr>
        <w:t xml:space="preserve">Section </w:t>
      </w:r>
      <w:r>
        <w:rPr>
          <w:b w:val="0"/>
          <w:color w:val="000000"/>
          <w:szCs w:val="24"/>
          <w:u w:val="single"/>
        </w:rPr>
        <w:t>8</w:t>
      </w:r>
    </w:p>
    <w:p w14:paraId="53DAFFAD" w14:textId="77777777" w:rsidR="00E247A2" w:rsidRDefault="00E247A2" w:rsidP="00E247A2">
      <w:pPr>
        <w:tabs>
          <w:tab w:val="left" w:pos="1134"/>
        </w:tabs>
        <w:rPr>
          <w:snapToGrid w:val="0"/>
          <w:color w:val="000000"/>
          <w:sz w:val="24"/>
          <w:szCs w:val="24"/>
          <w:lang w:eastAsia="en-US"/>
        </w:rPr>
      </w:pPr>
    </w:p>
    <w:p w14:paraId="564FD967" w14:textId="7D77573F" w:rsidR="00E247A2" w:rsidRDefault="00E247A2" w:rsidP="005C55F8">
      <w:pPr>
        <w:rPr>
          <w:snapToGrid w:val="0"/>
          <w:color w:val="000000"/>
          <w:sz w:val="24"/>
          <w:szCs w:val="24"/>
          <w:lang w:eastAsia="en-US"/>
        </w:rPr>
      </w:pPr>
      <w:r>
        <w:rPr>
          <w:snapToGrid w:val="0"/>
          <w:color w:val="000000"/>
          <w:sz w:val="24"/>
          <w:szCs w:val="24"/>
          <w:lang w:eastAsia="en-US"/>
        </w:rPr>
        <w:t xml:space="preserve">This section is a transitional provision. It provides that the </w:t>
      </w:r>
      <w:r w:rsidRPr="00636E62">
        <w:rPr>
          <w:i/>
          <w:color w:val="000000"/>
          <w:sz w:val="24"/>
          <w:szCs w:val="24"/>
        </w:rPr>
        <w:t xml:space="preserve">Veterans’ Entitlements </w:t>
      </w:r>
      <w:r w:rsidRPr="00636E62">
        <w:rPr>
          <w:i/>
          <w:sz w:val="24"/>
          <w:szCs w:val="24"/>
        </w:rPr>
        <w:t>(Partner Service Pension — Retention of Eligibility</w:t>
      </w:r>
      <w:r>
        <w:rPr>
          <w:i/>
          <w:sz w:val="24"/>
          <w:szCs w:val="24"/>
        </w:rPr>
        <w:t xml:space="preserve"> for</w:t>
      </w:r>
      <w:r w:rsidRPr="00E247A2">
        <w:rPr>
          <w:i/>
          <w:sz w:val="24"/>
          <w:szCs w:val="24"/>
        </w:rPr>
        <w:t xml:space="preserve"> </w:t>
      </w:r>
      <w:r>
        <w:rPr>
          <w:i/>
          <w:sz w:val="24"/>
          <w:szCs w:val="24"/>
        </w:rPr>
        <w:t>Non-illness Separated Spouse</w:t>
      </w:r>
      <w:r w:rsidRPr="00636E62">
        <w:rPr>
          <w:i/>
          <w:sz w:val="24"/>
          <w:szCs w:val="24"/>
        </w:rPr>
        <w:t xml:space="preserve">) </w:t>
      </w:r>
      <w:r>
        <w:rPr>
          <w:i/>
          <w:color w:val="000000"/>
          <w:sz w:val="24"/>
          <w:szCs w:val="24"/>
        </w:rPr>
        <w:t xml:space="preserve">Determination R25/2009 </w:t>
      </w:r>
      <w:r>
        <w:rPr>
          <w:color w:val="000000"/>
          <w:sz w:val="24"/>
          <w:szCs w:val="24"/>
        </w:rPr>
        <w:t xml:space="preserve">continues to apply to </w:t>
      </w:r>
      <w:r w:rsidR="0017336C">
        <w:rPr>
          <w:color w:val="000000"/>
          <w:sz w:val="24"/>
          <w:szCs w:val="24"/>
        </w:rPr>
        <w:t>the non-illness separated spouse of a veteran,</w:t>
      </w:r>
      <w:r>
        <w:rPr>
          <w:color w:val="000000"/>
          <w:sz w:val="24"/>
          <w:szCs w:val="24"/>
        </w:rPr>
        <w:t xml:space="preserve"> despite its repeal</w:t>
      </w:r>
      <w:r>
        <w:rPr>
          <w:snapToGrid w:val="0"/>
          <w:color w:val="000000"/>
          <w:sz w:val="24"/>
          <w:szCs w:val="24"/>
          <w:lang w:eastAsia="en-US"/>
        </w:rPr>
        <w:t xml:space="preserve">. </w:t>
      </w:r>
    </w:p>
    <w:p w14:paraId="53613FA1" w14:textId="6CA4C820" w:rsidR="00E247A2" w:rsidRPr="005C55F8" w:rsidRDefault="00E247A2" w:rsidP="005C55F8">
      <w:pPr>
        <w:rPr>
          <w:color w:val="000000"/>
          <w:sz w:val="24"/>
          <w:szCs w:val="24"/>
        </w:rPr>
      </w:pPr>
    </w:p>
    <w:sectPr w:rsidR="00E247A2" w:rsidRPr="005C55F8" w:rsidSect="00F117DD">
      <w:headerReference w:type="even" r:id="rId8"/>
      <w:headerReference w:type="default" r:id="rId9"/>
      <w:footerReference w:type="default" r:id="rId10"/>
      <w:headerReference w:type="first" r:id="rId11"/>
      <w:pgSz w:w="11906" w:h="16838"/>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1EFB57" w14:textId="77777777" w:rsidR="00DB200D" w:rsidRDefault="00DB200D">
      <w:r>
        <w:separator/>
      </w:r>
    </w:p>
  </w:endnote>
  <w:endnote w:type="continuationSeparator" w:id="0">
    <w:p w14:paraId="6C68D399" w14:textId="77777777" w:rsidR="00DB200D" w:rsidRDefault="00DB2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735B43" w14:textId="534AB286" w:rsidR="00F117DD" w:rsidRDefault="00F117DD">
    <w:pPr>
      <w:pStyle w:val="Footer"/>
      <w:jc w:val="right"/>
    </w:pPr>
    <w:r>
      <w:fldChar w:fldCharType="begin"/>
    </w:r>
    <w:r>
      <w:instrText xml:space="preserve"> PAGE   \* MERGEFORMAT </w:instrText>
    </w:r>
    <w:r>
      <w:fldChar w:fldCharType="separate"/>
    </w:r>
    <w:r w:rsidR="003B749A">
      <w:rPr>
        <w:noProof/>
      </w:rPr>
      <w:t>2</w:t>
    </w:r>
    <w:r>
      <w:rPr>
        <w:noProof/>
      </w:rPr>
      <w:fldChar w:fldCharType="end"/>
    </w:r>
  </w:p>
  <w:p w14:paraId="4B80E039" w14:textId="77777777" w:rsidR="00F117DD" w:rsidRDefault="00F117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A81C61" w14:textId="77777777" w:rsidR="00DB200D" w:rsidRDefault="00DB200D">
      <w:r>
        <w:separator/>
      </w:r>
    </w:p>
  </w:footnote>
  <w:footnote w:type="continuationSeparator" w:id="0">
    <w:p w14:paraId="130A8E24" w14:textId="77777777" w:rsidR="00DB200D" w:rsidRDefault="00DB20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951622" w14:textId="77777777" w:rsidR="0086040A" w:rsidRDefault="0086040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A7EEBC5" w14:textId="77777777" w:rsidR="0086040A" w:rsidRDefault="0086040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27E8CC" w14:textId="77777777" w:rsidR="0086040A" w:rsidRDefault="0086040A">
    <w:pPr>
      <w:pStyle w:val="Header"/>
      <w:framePr w:wrap="around" w:vAnchor="text" w:hAnchor="margin" w:xAlign="right" w:y="1"/>
      <w:rPr>
        <w:rStyle w:val="PageNumber"/>
      </w:rPr>
    </w:pPr>
  </w:p>
  <w:p w14:paraId="781AB898" w14:textId="77777777" w:rsidR="0086040A" w:rsidRDefault="0086040A">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314E4" w14:textId="2899AC0A" w:rsidR="00831F39" w:rsidRDefault="00831F39" w:rsidP="00831F39">
    <w:pPr>
      <w:pStyle w:val="Header"/>
      <w:jc w:val="center"/>
      <w:rPr>
        <w: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B2658"/>
    <w:multiLevelType w:val="hybridMultilevel"/>
    <w:tmpl w:val="4664D9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49063E"/>
    <w:multiLevelType w:val="hybridMultilevel"/>
    <w:tmpl w:val="9A401C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46120F4"/>
    <w:multiLevelType w:val="hybridMultilevel"/>
    <w:tmpl w:val="638672EE"/>
    <w:lvl w:ilvl="0" w:tplc="C1AA23BC">
      <w:start w:val="1"/>
      <w:numFmt w:val="lowerLetter"/>
      <w:lvlText w:val="(%1)"/>
      <w:lvlJc w:val="left"/>
      <w:pPr>
        <w:ind w:left="1440" w:hanging="360"/>
      </w:pPr>
      <w:rPr>
        <w:rFonts w:hint="default"/>
        <w:i w: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0488119E"/>
    <w:multiLevelType w:val="hybridMultilevel"/>
    <w:tmpl w:val="427E6AFE"/>
    <w:lvl w:ilvl="0" w:tplc="7B9A503A">
      <w:start w:val="8"/>
      <w:numFmt w:val="decimal"/>
      <w:lvlText w:val="%1"/>
      <w:lvlJc w:val="left"/>
      <w:pPr>
        <w:ind w:left="5038" w:hanging="360"/>
      </w:pPr>
      <w:rPr>
        <w:rFonts w:hint="default"/>
      </w:rPr>
    </w:lvl>
    <w:lvl w:ilvl="1" w:tplc="0C090019" w:tentative="1">
      <w:start w:val="1"/>
      <w:numFmt w:val="lowerLetter"/>
      <w:lvlText w:val="%2."/>
      <w:lvlJc w:val="left"/>
      <w:pPr>
        <w:ind w:left="5758" w:hanging="360"/>
      </w:pPr>
    </w:lvl>
    <w:lvl w:ilvl="2" w:tplc="0C09001B" w:tentative="1">
      <w:start w:val="1"/>
      <w:numFmt w:val="lowerRoman"/>
      <w:lvlText w:val="%3."/>
      <w:lvlJc w:val="right"/>
      <w:pPr>
        <w:ind w:left="6478" w:hanging="180"/>
      </w:pPr>
    </w:lvl>
    <w:lvl w:ilvl="3" w:tplc="0C09000F" w:tentative="1">
      <w:start w:val="1"/>
      <w:numFmt w:val="decimal"/>
      <w:lvlText w:val="%4."/>
      <w:lvlJc w:val="left"/>
      <w:pPr>
        <w:ind w:left="7198" w:hanging="360"/>
      </w:pPr>
    </w:lvl>
    <w:lvl w:ilvl="4" w:tplc="0C090019" w:tentative="1">
      <w:start w:val="1"/>
      <w:numFmt w:val="lowerLetter"/>
      <w:lvlText w:val="%5."/>
      <w:lvlJc w:val="left"/>
      <w:pPr>
        <w:ind w:left="7918" w:hanging="360"/>
      </w:pPr>
    </w:lvl>
    <w:lvl w:ilvl="5" w:tplc="0C09001B" w:tentative="1">
      <w:start w:val="1"/>
      <w:numFmt w:val="lowerRoman"/>
      <w:lvlText w:val="%6."/>
      <w:lvlJc w:val="right"/>
      <w:pPr>
        <w:ind w:left="8638" w:hanging="180"/>
      </w:pPr>
    </w:lvl>
    <w:lvl w:ilvl="6" w:tplc="0C09000F" w:tentative="1">
      <w:start w:val="1"/>
      <w:numFmt w:val="decimal"/>
      <w:lvlText w:val="%7."/>
      <w:lvlJc w:val="left"/>
      <w:pPr>
        <w:ind w:left="9358" w:hanging="360"/>
      </w:pPr>
    </w:lvl>
    <w:lvl w:ilvl="7" w:tplc="0C090019" w:tentative="1">
      <w:start w:val="1"/>
      <w:numFmt w:val="lowerLetter"/>
      <w:lvlText w:val="%8."/>
      <w:lvlJc w:val="left"/>
      <w:pPr>
        <w:ind w:left="10078" w:hanging="360"/>
      </w:pPr>
    </w:lvl>
    <w:lvl w:ilvl="8" w:tplc="0C09001B" w:tentative="1">
      <w:start w:val="1"/>
      <w:numFmt w:val="lowerRoman"/>
      <w:lvlText w:val="%9."/>
      <w:lvlJc w:val="right"/>
      <w:pPr>
        <w:ind w:left="10798" w:hanging="180"/>
      </w:pPr>
    </w:lvl>
  </w:abstractNum>
  <w:abstractNum w:abstractNumId="4" w15:restartNumberingAfterBreak="0">
    <w:nsid w:val="0B805454"/>
    <w:multiLevelType w:val="hybridMultilevel"/>
    <w:tmpl w:val="73307156"/>
    <w:lvl w:ilvl="0" w:tplc="7EF281F8">
      <w:start w:val="1"/>
      <w:numFmt w:val="lowerLetter"/>
      <w:lvlText w:val="(%1)"/>
      <w:lvlJc w:val="left"/>
      <w:pPr>
        <w:ind w:left="1080" w:hanging="360"/>
      </w:pPr>
      <w:rPr>
        <w:rFonts w:cs="Times New Roman" w:hint="default"/>
        <w:sz w:val="24"/>
        <w:szCs w:val="24"/>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5" w15:restartNumberingAfterBreak="0">
    <w:nsid w:val="21CF4186"/>
    <w:multiLevelType w:val="hybridMultilevel"/>
    <w:tmpl w:val="C0169410"/>
    <w:lvl w:ilvl="0" w:tplc="C1AA23BC">
      <w:start w:val="1"/>
      <w:numFmt w:val="lowerLetter"/>
      <w:lvlText w:val="(%1)"/>
      <w:lvlJc w:val="left"/>
      <w:pPr>
        <w:ind w:left="1080" w:hanging="360"/>
      </w:pPr>
      <w:rPr>
        <w:rFonts w:hint="default"/>
        <w:i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271452BC"/>
    <w:multiLevelType w:val="hybridMultilevel"/>
    <w:tmpl w:val="329A8A6C"/>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7" w15:restartNumberingAfterBreak="0">
    <w:nsid w:val="2953116E"/>
    <w:multiLevelType w:val="hybridMultilevel"/>
    <w:tmpl w:val="FC8E9D2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09038F0"/>
    <w:multiLevelType w:val="hybridMultilevel"/>
    <w:tmpl w:val="CF046DF4"/>
    <w:lvl w:ilvl="0" w:tplc="7B24A8F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39332ACA"/>
    <w:multiLevelType w:val="hybridMultilevel"/>
    <w:tmpl w:val="EF96F93A"/>
    <w:lvl w:ilvl="0" w:tplc="C1AA23BC">
      <w:start w:val="1"/>
      <w:numFmt w:val="lowerLetter"/>
      <w:lvlText w:val="(%1)"/>
      <w:lvlJc w:val="left"/>
      <w:pPr>
        <w:ind w:left="1080" w:hanging="360"/>
      </w:pPr>
      <w:rPr>
        <w:rFonts w:hint="default"/>
        <w:i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3E3B15A9"/>
    <w:multiLevelType w:val="hybridMultilevel"/>
    <w:tmpl w:val="6EA41E6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37D47E1"/>
    <w:multiLevelType w:val="hybridMultilevel"/>
    <w:tmpl w:val="A9DAC464"/>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4F233E90"/>
    <w:multiLevelType w:val="hybridMultilevel"/>
    <w:tmpl w:val="A47CCE66"/>
    <w:lvl w:ilvl="0" w:tplc="0040FE3A">
      <w:start w:val="1"/>
      <w:numFmt w:val="lowerLetter"/>
      <w:lvlText w:val="(%1)"/>
      <w:lvlJc w:val="left"/>
      <w:pPr>
        <w:ind w:left="1080" w:hanging="360"/>
      </w:pPr>
      <w:rPr>
        <w:rFonts w:cs="Times New Roman"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50DE1959"/>
    <w:multiLevelType w:val="hybridMultilevel"/>
    <w:tmpl w:val="A79CB3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1B13467"/>
    <w:multiLevelType w:val="hybridMultilevel"/>
    <w:tmpl w:val="DBB8C47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72028E0"/>
    <w:multiLevelType w:val="hybridMultilevel"/>
    <w:tmpl w:val="DBB8C476"/>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5B6D40F7"/>
    <w:multiLevelType w:val="hybridMultilevel"/>
    <w:tmpl w:val="6A98A876"/>
    <w:lvl w:ilvl="0" w:tplc="0C090001">
      <w:start w:val="1"/>
      <w:numFmt w:val="bullet"/>
      <w:lvlText w:val=""/>
      <w:lvlJc w:val="left"/>
      <w:pPr>
        <w:tabs>
          <w:tab w:val="num" w:pos="1079"/>
        </w:tabs>
        <w:ind w:left="1079" w:hanging="360"/>
      </w:pPr>
      <w:rPr>
        <w:rFonts w:ascii="Symbol" w:hAnsi="Symbol" w:hint="default"/>
      </w:rPr>
    </w:lvl>
    <w:lvl w:ilvl="1" w:tplc="0C090003">
      <w:start w:val="1"/>
      <w:numFmt w:val="bullet"/>
      <w:lvlText w:val="o"/>
      <w:lvlJc w:val="left"/>
      <w:pPr>
        <w:tabs>
          <w:tab w:val="num" w:pos="1799"/>
        </w:tabs>
        <w:ind w:left="1799" w:hanging="360"/>
      </w:pPr>
      <w:rPr>
        <w:rFonts w:ascii="Courier New" w:hAnsi="Courier New" w:cs="Courier New" w:hint="default"/>
      </w:rPr>
    </w:lvl>
    <w:lvl w:ilvl="2" w:tplc="0C090005">
      <w:start w:val="1"/>
      <w:numFmt w:val="bullet"/>
      <w:lvlText w:val=""/>
      <w:lvlJc w:val="left"/>
      <w:pPr>
        <w:tabs>
          <w:tab w:val="num" w:pos="2519"/>
        </w:tabs>
        <w:ind w:left="2519" w:hanging="360"/>
      </w:pPr>
      <w:rPr>
        <w:rFonts w:ascii="Wingdings" w:hAnsi="Wingdings" w:hint="default"/>
      </w:rPr>
    </w:lvl>
    <w:lvl w:ilvl="3" w:tplc="0C090001">
      <w:start w:val="1"/>
      <w:numFmt w:val="bullet"/>
      <w:lvlText w:val=""/>
      <w:lvlJc w:val="left"/>
      <w:pPr>
        <w:tabs>
          <w:tab w:val="num" w:pos="3239"/>
        </w:tabs>
        <w:ind w:left="3239" w:hanging="360"/>
      </w:pPr>
      <w:rPr>
        <w:rFonts w:ascii="Symbol" w:hAnsi="Symbol" w:hint="default"/>
      </w:rPr>
    </w:lvl>
    <w:lvl w:ilvl="4" w:tplc="0C090003">
      <w:start w:val="1"/>
      <w:numFmt w:val="bullet"/>
      <w:lvlText w:val="o"/>
      <w:lvlJc w:val="left"/>
      <w:pPr>
        <w:tabs>
          <w:tab w:val="num" w:pos="3959"/>
        </w:tabs>
        <w:ind w:left="3959" w:hanging="360"/>
      </w:pPr>
      <w:rPr>
        <w:rFonts w:ascii="Courier New" w:hAnsi="Courier New" w:cs="Courier New" w:hint="default"/>
      </w:rPr>
    </w:lvl>
    <w:lvl w:ilvl="5" w:tplc="0C090005">
      <w:start w:val="1"/>
      <w:numFmt w:val="bullet"/>
      <w:lvlText w:val=""/>
      <w:lvlJc w:val="left"/>
      <w:pPr>
        <w:tabs>
          <w:tab w:val="num" w:pos="4679"/>
        </w:tabs>
        <w:ind w:left="4679" w:hanging="360"/>
      </w:pPr>
      <w:rPr>
        <w:rFonts w:ascii="Wingdings" w:hAnsi="Wingdings" w:hint="default"/>
      </w:rPr>
    </w:lvl>
    <w:lvl w:ilvl="6" w:tplc="0C090001">
      <w:start w:val="1"/>
      <w:numFmt w:val="bullet"/>
      <w:lvlText w:val=""/>
      <w:lvlJc w:val="left"/>
      <w:pPr>
        <w:tabs>
          <w:tab w:val="num" w:pos="5399"/>
        </w:tabs>
        <w:ind w:left="5399" w:hanging="360"/>
      </w:pPr>
      <w:rPr>
        <w:rFonts w:ascii="Symbol" w:hAnsi="Symbol" w:hint="default"/>
      </w:rPr>
    </w:lvl>
    <w:lvl w:ilvl="7" w:tplc="0C090003">
      <w:start w:val="1"/>
      <w:numFmt w:val="bullet"/>
      <w:lvlText w:val="o"/>
      <w:lvlJc w:val="left"/>
      <w:pPr>
        <w:tabs>
          <w:tab w:val="num" w:pos="6119"/>
        </w:tabs>
        <w:ind w:left="6119" w:hanging="360"/>
      </w:pPr>
      <w:rPr>
        <w:rFonts w:ascii="Courier New" w:hAnsi="Courier New" w:cs="Courier New" w:hint="default"/>
      </w:rPr>
    </w:lvl>
    <w:lvl w:ilvl="8" w:tplc="0C090005">
      <w:start w:val="1"/>
      <w:numFmt w:val="bullet"/>
      <w:lvlText w:val=""/>
      <w:lvlJc w:val="left"/>
      <w:pPr>
        <w:tabs>
          <w:tab w:val="num" w:pos="6839"/>
        </w:tabs>
        <w:ind w:left="6839" w:hanging="360"/>
      </w:pPr>
      <w:rPr>
        <w:rFonts w:ascii="Wingdings" w:hAnsi="Wingdings" w:hint="default"/>
      </w:rPr>
    </w:lvl>
  </w:abstractNum>
  <w:abstractNum w:abstractNumId="17" w15:restartNumberingAfterBreak="0">
    <w:nsid w:val="64000FE5"/>
    <w:multiLevelType w:val="hybridMultilevel"/>
    <w:tmpl w:val="D2F0E3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4EF7765"/>
    <w:multiLevelType w:val="hybridMultilevel"/>
    <w:tmpl w:val="617E90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62B3D0D"/>
    <w:multiLevelType w:val="hybridMultilevel"/>
    <w:tmpl w:val="D28033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9A35C14"/>
    <w:multiLevelType w:val="hybridMultilevel"/>
    <w:tmpl w:val="295C2F6C"/>
    <w:lvl w:ilvl="0" w:tplc="CA940B44">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BFB3F47"/>
    <w:multiLevelType w:val="hybridMultilevel"/>
    <w:tmpl w:val="B01211F2"/>
    <w:lvl w:ilvl="0" w:tplc="0C090001">
      <w:start w:val="1"/>
      <w:numFmt w:val="bullet"/>
      <w:lvlText w:val=""/>
      <w:lvlJc w:val="left"/>
      <w:pPr>
        <w:tabs>
          <w:tab w:val="num" w:pos="1440"/>
        </w:tabs>
        <w:ind w:left="1440" w:hanging="360"/>
      </w:pPr>
      <w:rPr>
        <w:rFonts w:ascii="Symbol" w:hAnsi="Symbol" w:hint="default"/>
      </w:rPr>
    </w:lvl>
    <w:lvl w:ilvl="1" w:tplc="0C090003">
      <w:start w:val="1"/>
      <w:numFmt w:val="bullet"/>
      <w:lvlText w:val="o"/>
      <w:lvlJc w:val="left"/>
      <w:pPr>
        <w:tabs>
          <w:tab w:val="num" w:pos="2160"/>
        </w:tabs>
        <w:ind w:left="2160" w:hanging="360"/>
      </w:pPr>
      <w:rPr>
        <w:rFonts w:ascii="Courier New" w:hAnsi="Courier New" w:cs="Courier New" w:hint="default"/>
      </w:rPr>
    </w:lvl>
    <w:lvl w:ilvl="2" w:tplc="0C090005">
      <w:start w:val="1"/>
      <w:numFmt w:val="bullet"/>
      <w:lvlText w:val=""/>
      <w:lvlJc w:val="left"/>
      <w:pPr>
        <w:tabs>
          <w:tab w:val="num" w:pos="2880"/>
        </w:tabs>
        <w:ind w:left="2880" w:hanging="360"/>
      </w:pPr>
      <w:rPr>
        <w:rFonts w:ascii="Wingdings" w:hAnsi="Wingdings" w:hint="default"/>
      </w:rPr>
    </w:lvl>
    <w:lvl w:ilvl="3" w:tplc="0C090001">
      <w:start w:val="1"/>
      <w:numFmt w:val="bullet"/>
      <w:lvlText w:val=""/>
      <w:lvlJc w:val="left"/>
      <w:pPr>
        <w:tabs>
          <w:tab w:val="num" w:pos="3600"/>
        </w:tabs>
        <w:ind w:left="3600" w:hanging="360"/>
      </w:pPr>
      <w:rPr>
        <w:rFonts w:ascii="Symbol" w:hAnsi="Symbol" w:hint="default"/>
      </w:rPr>
    </w:lvl>
    <w:lvl w:ilvl="4" w:tplc="0C090003">
      <w:start w:val="1"/>
      <w:numFmt w:val="bullet"/>
      <w:lvlText w:val="o"/>
      <w:lvlJc w:val="left"/>
      <w:pPr>
        <w:tabs>
          <w:tab w:val="num" w:pos="4320"/>
        </w:tabs>
        <w:ind w:left="4320" w:hanging="360"/>
      </w:pPr>
      <w:rPr>
        <w:rFonts w:ascii="Courier New" w:hAnsi="Courier New" w:cs="Courier New" w:hint="default"/>
      </w:rPr>
    </w:lvl>
    <w:lvl w:ilvl="5" w:tplc="0C090005">
      <w:start w:val="1"/>
      <w:numFmt w:val="bullet"/>
      <w:lvlText w:val=""/>
      <w:lvlJc w:val="left"/>
      <w:pPr>
        <w:tabs>
          <w:tab w:val="num" w:pos="5040"/>
        </w:tabs>
        <w:ind w:left="5040" w:hanging="360"/>
      </w:pPr>
      <w:rPr>
        <w:rFonts w:ascii="Wingdings" w:hAnsi="Wingdings" w:hint="default"/>
      </w:rPr>
    </w:lvl>
    <w:lvl w:ilvl="6" w:tplc="0C090001">
      <w:start w:val="1"/>
      <w:numFmt w:val="bullet"/>
      <w:lvlText w:val=""/>
      <w:lvlJc w:val="left"/>
      <w:pPr>
        <w:tabs>
          <w:tab w:val="num" w:pos="5760"/>
        </w:tabs>
        <w:ind w:left="5760" w:hanging="360"/>
      </w:pPr>
      <w:rPr>
        <w:rFonts w:ascii="Symbol" w:hAnsi="Symbol" w:hint="default"/>
      </w:rPr>
    </w:lvl>
    <w:lvl w:ilvl="7" w:tplc="0C090003">
      <w:start w:val="1"/>
      <w:numFmt w:val="bullet"/>
      <w:lvlText w:val="o"/>
      <w:lvlJc w:val="left"/>
      <w:pPr>
        <w:tabs>
          <w:tab w:val="num" w:pos="6480"/>
        </w:tabs>
        <w:ind w:left="6480" w:hanging="360"/>
      </w:pPr>
      <w:rPr>
        <w:rFonts w:ascii="Courier New" w:hAnsi="Courier New" w:cs="Courier New" w:hint="default"/>
      </w:rPr>
    </w:lvl>
    <w:lvl w:ilvl="8" w:tplc="0C090005">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6CF30067"/>
    <w:multiLevelType w:val="hybridMultilevel"/>
    <w:tmpl w:val="5FE41634"/>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E295D88"/>
    <w:multiLevelType w:val="hybridMultilevel"/>
    <w:tmpl w:val="270ED1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06E71DB"/>
    <w:multiLevelType w:val="hybridMultilevel"/>
    <w:tmpl w:val="53EAA57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5" w15:restartNumberingAfterBreak="0">
    <w:nsid w:val="71341682"/>
    <w:multiLevelType w:val="hybridMultilevel"/>
    <w:tmpl w:val="70BC63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5DC526C"/>
    <w:multiLevelType w:val="hybridMultilevel"/>
    <w:tmpl w:val="8B9EBA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6614228"/>
    <w:multiLevelType w:val="hybridMultilevel"/>
    <w:tmpl w:val="65E2E618"/>
    <w:lvl w:ilvl="0" w:tplc="7262B712">
      <w:start w:val="1"/>
      <w:numFmt w:val="lowerRoman"/>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8" w15:restartNumberingAfterBreak="0">
    <w:nsid w:val="7AFC6233"/>
    <w:multiLevelType w:val="hybridMultilevel"/>
    <w:tmpl w:val="A47CCE66"/>
    <w:lvl w:ilvl="0" w:tplc="0040FE3A">
      <w:start w:val="1"/>
      <w:numFmt w:val="lowerLetter"/>
      <w:lvlText w:val="(%1)"/>
      <w:lvlJc w:val="left"/>
      <w:pPr>
        <w:ind w:left="1080" w:hanging="360"/>
      </w:pPr>
      <w:rPr>
        <w:rFonts w:cs="Times New Roman"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15:restartNumberingAfterBreak="0">
    <w:nsid w:val="7BF64DAB"/>
    <w:multiLevelType w:val="hybridMultilevel"/>
    <w:tmpl w:val="AEECFFE2"/>
    <w:lvl w:ilvl="0" w:tplc="7EF281F8">
      <w:start w:val="1"/>
      <w:numFmt w:val="lowerLetter"/>
      <w:lvlText w:val="(%1)"/>
      <w:lvlJc w:val="left"/>
      <w:pPr>
        <w:ind w:left="1860" w:hanging="360"/>
      </w:pPr>
      <w:rPr>
        <w:rFonts w:cs="Times New Roman" w:hint="default"/>
        <w:sz w:val="24"/>
        <w:szCs w:val="24"/>
      </w:rPr>
    </w:lvl>
    <w:lvl w:ilvl="1" w:tplc="0C090019" w:tentative="1">
      <w:start w:val="1"/>
      <w:numFmt w:val="lowerLetter"/>
      <w:lvlText w:val="%2."/>
      <w:lvlJc w:val="left"/>
      <w:pPr>
        <w:ind w:left="2580" w:hanging="360"/>
      </w:pPr>
    </w:lvl>
    <w:lvl w:ilvl="2" w:tplc="0C09001B" w:tentative="1">
      <w:start w:val="1"/>
      <w:numFmt w:val="lowerRoman"/>
      <w:lvlText w:val="%3."/>
      <w:lvlJc w:val="right"/>
      <w:pPr>
        <w:ind w:left="3300" w:hanging="180"/>
      </w:pPr>
    </w:lvl>
    <w:lvl w:ilvl="3" w:tplc="0C09000F" w:tentative="1">
      <w:start w:val="1"/>
      <w:numFmt w:val="decimal"/>
      <w:lvlText w:val="%4."/>
      <w:lvlJc w:val="left"/>
      <w:pPr>
        <w:ind w:left="4020" w:hanging="360"/>
      </w:pPr>
    </w:lvl>
    <w:lvl w:ilvl="4" w:tplc="0C090019" w:tentative="1">
      <w:start w:val="1"/>
      <w:numFmt w:val="lowerLetter"/>
      <w:lvlText w:val="%5."/>
      <w:lvlJc w:val="left"/>
      <w:pPr>
        <w:ind w:left="4740" w:hanging="360"/>
      </w:pPr>
    </w:lvl>
    <w:lvl w:ilvl="5" w:tplc="0C09001B" w:tentative="1">
      <w:start w:val="1"/>
      <w:numFmt w:val="lowerRoman"/>
      <w:lvlText w:val="%6."/>
      <w:lvlJc w:val="right"/>
      <w:pPr>
        <w:ind w:left="5460" w:hanging="180"/>
      </w:pPr>
    </w:lvl>
    <w:lvl w:ilvl="6" w:tplc="0C09000F" w:tentative="1">
      <w:start w:val="1"/>
      <w:numFmt w:val="decimal"/>
      <w:lvlText w:val="%7."/>
      <w:lvlJc w:val="left"/>
      <w:pPr>
        <w:ind w:left="6180" w:hanging="360"/>
      </w:pPr>
    </w:lvl>
    <w:lvl w:ilvl="7" w:tplc="0C090019" w:tentative="1">
      <w:start w:val="1"/>
      <w:numFmt w:val="lowerLetter"/>
      <w:lvlText w:val="%8."/>
      <w:lvlJc w:val="left"/>
      <w:pPr>
        <w:ind w:left="6900" w:hanging="360"/>
      </w:pPr>
    </w:lvl>
    <w:lvl w:ilvl="8" w:tplc="0C09001B" w:tentative="1">
      <w:start w:val="1"/>
      <w:numFmt w:val="lowerRoman"/>
      <w:lvlText w:val="%9."/>
      <w:lvlJc w:val="right"/>
      <w:pPr>
        <w:ind w:left="7620" w:hanging="180"/>
      </w:pPr>
    </w:lvl>
  </w:abstractNum>
  <w:num w:numId="1">
    <w:abstractNumId w:val="13"/>
  </w:num>
  <w:num w:numId="2">
    <w:abstractNumId w:val="17"/>
  </w:num>
  <w:num w:numId="3">
    <w:abstractNumId w:val="2"/>
  </w:num>
  <w:num w:numId="4">
    <w:abstractNumId w:val="1"/>
  </w:num>
  <w:num w:numId="5">
    <w:abstractNumId w:val="9"/>
  </w:num>
  <w:num w:numId="6">
    <w:abstractNumId w:val="27"/>
  </w:num>
  <w:num w:numId="7">
    <w:abstractNumId w:val="1"/>
  </w:num>
  <w:num w:numId="8">
    <w:abstractNumId w:val="14"/>
  </w:num>
  <w:num w:numId="9">
    <w:abstractNumId w:val="11"/>
  </w:num>
  <w:num w:numId="10">
    <w:abstractNumId w:val="15"/>
  </w:num>
  <w:num w:numId="11">
    <w:abstractNumId w:val="20"/>
  </w:num>
  <w:num w:numId="12">
    <w:abstractNumId w:val="5"/>
  </w:num>
  <w:num w:numId="13">
    <w:abstractNumId w:val="19"/>
  </w:num>
  <w:num w:numId="14">
    <w:abstractNumId w:val="25"/>
  </w:num>
  <w:num w:numId="15">
    <w:abstractNumId w:val="10"/>
  </w:num>
  <w:num w:numId="16">
    <w:abstractNumId w:val="22"/>
  </w:num>
  <w:num w:numId="17">
    <w:abstractNumId w:val="4"/>
  </w:num>
  <w:num w:numId="18">
    <w:abstractNumId w:val="3"/>
  </w:num>
  <w:num w:numId="19">
    <w:abstractNumId w:val="8"/>
  </w:num>
  <w:num w:numId="20">
    <w:abstractNumId w:val="29"/>
  </w:num>
  <w:num w:numId="21">
    <w:abstractNumId w:val="7"/>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23"/>
  </w:num>
  <w:num w:numId="25">
    <w:abstractNumId w:val="12"/>
  </w:num>
  <w:num w:numId="26">
    <w:abstractNumId w:val="28"/>
  </w:num>
  <w:num w:numId="27">
    <w:abstractNumId w:val="16"/>
  </w:num>
  <w:num w:numId="28">
    <w:abstractNumId w:val="21"/>
  </w:num>
  <w:num w:numId="29">
    <w:abstractNumId w:val="18"/>
  </w:num>
  <w:num w:numId="30">
    <w:abstractNumId w:val="26"/>
  </w:num>
  <w:num w:numId="31">
    <w:abstractNumId w:val="2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activeWritingStyle w:appName="MSWord" w:lang="en-AU" w:vendorID="64" w:dllVersion="131078" w:nlCheck="1" w:checkStyle="1"/>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21C"/>
    <w:rsid w:val="00000A0E"/>
    <w:rsid w:val="000014AB"/>
    <w:rsid w:val="00002080"/>
    <w:rsid w:val="00002733"/>
    <w:rsid w:val="00003071"/>
    <w:rsid w:val="000040AD"/>
    <w:rsid w:val="0000547E"/>
    <w:rsid w:val="00006423"/>
    <w:rsid w:val="0001186B"/>
    <w:rsid w:val="00011DDE"/>
    <w:rsid w:val="00012639"/>
    <w:rsid w:val="00012AE1"/>
    <w:rsid w:val="00013226"/>
    <w:rsid w:val="000149A5"/>
    <w:rsid w:val="000158AF"/>
    <w:rsid w:val="00016800"/>
    <w:rsid w:val="000205CC"/>
    <w:rsid w:val="00020DEC"/>
    <w:rsid w:val="00022087"/>
    <w:rsid w:val="000243EA"/>
    <w:rsid w:val="00024CF9"/>
    <w:rsid w:val="0002553E"/>
    <w:rsid w:val="00026F8A"/>
    <w:rsid w:val="00027354"/>
    <w:rsid w:val="0003109C"/>
    <w:rsid w:val="00031AD3"/>
    <w:rsid w:val="00031CB8"/>
    <w:rsid w:val="000366B4"/>
    <w:rsid w:val="000401EC"/>
    <w:rsid w:val="00040D79"/>
    <w:rsid w:val="000432EB"/>
    <w:rsid w:val="0004373B"/>
    <w:rsid w:val="0004464A"/>
    <w:rsid w:val="00044D28"/>
    <w:rsid w:val="0004659E"/>
    <w:rsid w:val="00047158"/>
    <w:rsid w:val="00047B5B"/>
    <w:rsid w:val="000511F7"/>
    <w:rsid w:val="00051783"/>
    <w:rsid w:val="00052CD8"/>
    <w:rsid w:val="00054856"/>
    <w:rsid w:val="000558E0"/>
    <w:rsid w:val="000574F4"/>
    <w:rsid w:val="00057DC0"/>
    <w:rsid w:val="00057F41"/>
    <w:rsid w:val="000610D8"/>
    <w:rsid w:val="00062BA6"/>
    <w:rsid w:val="00063C64"/>
    <w:rsid w:val="00063E97"/>
    <w:rsid w:val="00064780"/>
    <w:rsid w:val="000654EA"/>
    <w:rsid w:val="00065ED7"/>
    <w:rsid w:val="00066861"/>
    <w:rsid w:val="00066DD9"/>
    <w:rsid w:val="000709DE"/>
    <w:rsid w:val="00070A7F"/>
    <w:rsid w:val="00072229"/>
    <w:rsid w:val="00072489"/>
    <w:rsid w:val="00072A88"/>
    <w:rsid w:val="000730CC"/>
    <w:rsid w:val="0007316C"/>
    <w:rsid w:val="000733D6"/>
    <w:rsid w:val="00074815"/>
    <w:rsid w:val="00077226"/>
    <w:rsid w:val="000774EF"/>
    <w:rsid w:val="00077EE8"/>
    <w:rsid w:val="000805C9"/>
    <w:rsid w:val="0008108C"/>
    <w:rsid w:val="00081245"/>
    <w:rsid w:val="0008163A"/>
    <w:rsid w:val="00084603"/>
    <w:rsid w:val="00084727"/>
    <w:rsid w:val="00087775"/>
    <w:rsid w:val="00087949"/>
    <w:rsid w:val="00090DAB"/>
    <w:rsid w:val="00095359"/>
    <w:rsid w:val="00095A60"/>
    <w:rsid w:val="00096ABB"/>
    <w:rsid w:val="000A16F1"/>
    <w:rsid w:val="000A301D"/>
    <w:rsid w:val="000A47BF"/>
    <w:rsid w:val="000A51A1"/>
    <w:rsid w:val="000B011A"/>
    <w:rsid w:val="000B23AF"/>
    <w:rsid w:val="000B3138"/>
    <w:rsid w:val="000B41AE"/>
    <w:rsid w:val="000B5FC1"/>
    <w:rsid w:val="000B6741"/>
    <w:rsid w:val="000C0274"/>
    <w:rsid w:val="000C036A"/>
    <w:rsid w:val="000C3472"/>
    <w:rsid w:val="000C57B3"/>
    <w:rsid w:val="000C641F"/>
    <w:rsid w:val="000C73EC"/>
    <w:rsid w:val="000C7517"/>
    <w:rsid w:val="000C79C9"/>
    <w:rsid w:val="000D19DD"/>
    <w:rsid w:val="000D5D6A"/>
    <w:rsid w:val="000D5F20"/>
    <w:rsid w:val="000D6659"/>
    <w:rsid w:val="000D75AE"/>
    <w:rsid w:val="000D79E4"/>
    <w:rsid w:val="000E38B3"/>
    <w:rsid w:val="000E3B0F"/>
    <w:rsid w:val="000E534A"/>
    <w:rsid w:val="000E5597"/>
    <w:rsid w:val="000E654D"/>
    <w:rsid w:val="000E7301"/>
    <w:rsid w:val="000F14AF"/>
    <w:rsid w:val="000F2361"/>
    <w:rsid w:val="000F5A6D"/>
    <w:rsid w:val="00100A0E"/>
    <w:rsid w:val="001016B5"/>
    <w:rsid w:val="00103736"/>
    <w:rsid w:val="00104087"/>
    <w:rsid w:val="00105D3B"/>
    <w:rsid w:val="00106761"/>
    <w:rsid w:val="00106F87"/>
    <w:rsid w:val="001074D3"/>
    <w:rsid w:val="00110368"/>
    <w:rsid w:val="0011715D"/>
    <w:rsid w:val="001217BE"/>
    <w:rsid w:val="00121FE8"/>
    <w:rsid w:val="00122C91"/>
    <w:rsid w:val="00125221"/>
    <w:rsid w:val="00125D76"/>
    <w:rsid w:val="00130A65"/>
    <w:rsid w:val="001313FB"/>
    <w:rsid w:val="00132A77"/>
    <w:rsid w:val="00133275"/>
    <w:rsid w:val="001341EF"/>
    <w:rsid w:val="001354D6"/>
    <w:rsid w:val="0013646D"/>
    <w:rsid w:val="00136C1B"/>
    <w:rsid w:val="00136ED6"/>
    <w:rsid w:val="00136FCC"/>
    <w:rsid w:val="00137D82"/>
    <w:rsid w:val="00137FF7"/>
    <w:rsid w:val="00140DA0"/>
    <w:rsid w:val="00140EA8"/>
    <w:rsid w:val="00140FD6"/>
    <w:rsid w:val="00143F97"/>
    <w:rsid w:val="001447A2"/>
    <w:rsid w:val="001479C0"/>
    <w:rsid w:val="001515CB"/>
    <w:rsid w:val="0015394B"/>
    <w:rsid w:val="00154563"/>
    <w:rsid w:val="00154F4C"/>
    <w:rsid w:val="0015539B"/>
    <w:rsid w:val="00156582"/>
    <w:rsid w:val="001565F4"/>
    <w:rsid w:val="00160CAE"/>
    <w:rsid w:val="00163448"/>
    <w:rsid w:val="001636D6"/>
    <w:rsid w:val="00165110"/>
    <w:rsid w:val="00165679"/>
    <w:rsid w:val="001656A5"/>
    <w:rsid w:val="00165A52"/>
    <w:rsid w:val="00166059"/>
    <w:rsid w:val="0017161B"/>
    <w:rsid w:val="00171F90"/>
    <w:rsid w:val="0017299C"/>
    <w:rsid w:val="0017336C"/>
    <w:rsid w:val="00174743"/>
    <w:rsid w:val="00175B17"/>
    <w:rsid w:val="00176453"/>
    <w:rsid w:val="00181BC8"/>
    <w:rsid w:val="00185B49"/>
    <w:rsid w:val="00186477"/>
    <w:rsid w:val="00186B51"/>
    <w:rsid w:val="00190C67"/>
    <w:rsid w:val="00191665"/>
    <w:rsid w:val="00192C84"/>
    <w:rsid w:val="00192DB7"/>
    <w:rsid w:val="00193318"/>
    <w:rsid w:val="00193AB5"/>
    <w:rsid w:val="00197294"/>
    <w:rsid w:val="001A0406"/>
    <w:rsid w:val="001A1EFE"/>
    <w:rsid w:val="001A5AC2"/>
    <w:rsid w:val="001A600E"/>
    <w:rsid w:val="001A6348"/>
    <w:rsid w:val="001A6E6F"/>
    <w:rsid w:val="001A7A0A"/>
    <w:rsid w:val="001A7E8B"/>
    <w:rsid w:val="001B0E1C"/>
    <w:rsid w:val="001B1F6E"/>
    <w:rsid w:val="001B655F"/>
    <w:rsid w:val="001C1AE8"/>
    <w:rsid w:val="001C1BBF"/>
    <w:rsid w:val="001C48E6"/>
    <w:rsid w:val="001C77FF"/>
    <w:rsid w:val="001C7A3D"/>
    <w:rsid w:val="001D1DE9"/>
    <w:rsid w:val="001D217D"/>
    <w:rsid w:val="001D24F8"/>
    <w:rsid w:val="001D3597"/>
    <w:rsid w:val="001D50DC"/>
    <w:rsid w:val="001D59D5"/>
    <w:rsid w:val="001D658E"/>
    <w:rsid w:val="001D7913"/>
    <w:rsid w:val="001E2E41"/>
    <w:rsid w:val="001E2EE6"/>
    <w:rsid w:val="001E48FA"/>
    <w:rsid w:val="001E6E9E"/>
    <w:rsid w:val="001E7FBB"/>
    <w:rsid w:val="001F17EA"/>
    <w:rsid w:val="001F1906"/>
    <w:rsid w:val="001F3C07"/>
    <w:rsid w:val="001F597C"/>
    <w:rsid w:val="001F7913"/>
    <w:rsid w:val="001F7C01"/>
    <w:rsid w:val="00201CDD"/>
    <w:rsid w:val="002045CB"/>
    <w:rsid w:val="002052B5"/>
    <w:rsid w:val="00211CCB"/>
    <w:rsid w:val="00213C94"/>
    <w:rsid w:val="00213D0B"/>
    <w:rsid w:val="002152FA"/>
    <w:rsid w:val="002176BD"/>
    <w:rsid w:val="002209DB"/>
    <w:rsid w:val="002227E6"/>
    <w:rsid w:val="00222FF1"/>
    <w:rsid w:val="00223183"/>
    <w:rsid w:val="0022426C"/>
    <w:rsid w:val="00225896"/>
    <w:rsid w:val="00226671"/>
    <w:rsid w:val="00230544"/>
    <w:rsid w:val="002306E2"/>
    <w:rsid w:val="00231D8E"/>
    <w:rsid w:val="00232963"/>
    <w:rsid w:val="00234E3F"/>
    <w:rsid w:val="00235686"/>
    <w:rsid w:val="00237F9B"/>
    <w:rsid w:val="00240148"/>
    <w:rsid w:val="00240DD4"/>
    <w:rsid w:val="00241F5B"/>
    <w:rsid w:val="00243ED5"/>
    <w:rsid w:val="002460A1"/>
    <w:rsid w:val="00246A36"/>
    <w:rsid w:val="00247817"/>
    <w:rsid w:val="00247B03"/>
    <w:rsid w:val="00251233"/>
    <w:rsid w:val="00251242"/>
    <w:rsid w:val="00251A9D"/>
    <w:rsid w:val="00252833"/>
    <w:rsid w:val="002547BF"/>
    <w:rsid w:val="00254B98"/>
    <w:rsid w:val="00256423"/>
    <w:rsid w:val="00257688"/>
    <w:rsid w:val="002627BD"/>
    <w:rsid w:val="0026280B"/>
    <w:rsid w:val="00266585"/>
    <w:rsid w:val="00267D03"/>
    <w:rsid w:val="00271030"/>
    <w:rsid w:val="0027123B"/>
    <w:rsid w:val="00271D16"/>
    <w:rsid w:val="00272369"/>
    <w:rsid w:val="00275194"/>
    <w:rsid w:val="00275C89"/>
    <w:rsid w:val="00275EBF"/>
    <w:rsid w:val="002764FA"/>
    <w:rsid w:val="002769D1"/>
    <w:rsid w:val="00276A27"/>
    <w:rsid w:val="00280121"/>
    <w:rsid w:val="0028231F"/>
    <w:rsid w:val="002830B1"/>
    <w:rsid w:val="002836E5"/>
    <w:rsid w:val="00283AFE"/>
    <w:rsid w:val="00284A16"/>
    <w:rsid w:val="0028521F"/>
    <w:rsid w:val="0028583E"/>
    <w:rsid w:val="0028631D"/>
    <w:rsid w:val="00286B26"/>
    <w:rsid w:val="00292B01"/>
    <w:rsid w:val="00293884"/>
    <w:rsid w:val="0029448B"/>
    <w:rsid w:val="00294EC6"/>
    <w:rsid w:val="002964D5"/>
    <w:rsid w:val="00296C41"/>
    <w:rsid w:val="002A0F6D"/>
    <w:rsid w:val="002A1E3E"/>
    <w:rsid w:val="002A26F7"/>
    <w:rsid w:val="002A2F7F"/>
    <w:rsid w:val="002A421C"/>
    <w:rsid w:val="002A6225"/>
    <w:rsid w:val="002B2270"/>
    <w:rsid w:val="002B292D"/>
    <w:rsid w:val="002B412A"/>
    <w:rsid w:val="002B439C"/>
    <w:rsid w:val="002B44CF"/>
    <w:rsid w:val="002B4D20"/>
    <w:rsid w:val="002B51D4"/>
    <w:rsid w:val="002B6886"/>
    <w:rsid w:val="002C1164"/>
    <w:rsid w:val="002C42B2"/>
    <w:rsid w:val="002C6150"/>
    <w:rsid w:val="002C6EAF"/>
    <w:rsid w:val="002C6EBC"/>
    <w:rsid w:val="002D24FD"/>
    <w:rsid w:val="002D425F"/>
    <w:rsid w:val="002D68BB"/>
    <w:rsid w:val="002E2061"/>
    <w:rsid w:val="002E3F46"/>
    <w:rsid w:val="002E5DF6"/>
    <w:rsid w:val="002E6FA9"/>
    <w:rsid w:val="002F142C"/>
    <w:rsid w:val="002F21D8"/>
    <w:rsid w:val="002F3C8A"/>
    <w:rsid w:val="002F5C84"/>
    <w:rsid w:val="002F7590"/>
    <w:rsid w:val="002F77F9"/>
    <w:rsid w:val="00300A2A"/>
    <w:rsid w:val="00301BB5"/>
    <w:rsid w:val="00303F1C"/>
    <w:rsid w:val="00306BCB"/>
    <w:rsid w:val="00307276"/>
    <w:rsid w:val="003103A1"/>
    <w:rsid w:val="00312A75"/>
    <w:rsid w:val="00312F0F"/>
    <w:rsid w:val="00313B04"/>
    <w:rsid w:val="00315603"/>
    <w:rsid w:val="003246D8"/>
    <w:rsid w:val="00325513"/>
    <w:rsid w:val="00327866"/>
    <w:rsid w:val="003310F6"/>
    <w:rsid w:val="00331266"/>
    <w:rsid w:val="003313FE"/>
    <w:rsid w:val="003324D0"/>
    <w:rsid w:val="00332B93"/>
    <w:rsid w:val="00333CC9"/>
    <w:rsid w:val="00334EC5"/>
    <w:rsid w:val="00335C89"/>
    <w:rsid w:val="00337797"/>
    <w:rsid w:val="0034008D"/>
    <w:rsid w:val="003406C8"/>
    <w:rsid w:val="00340723"/>
    <w:rsid w:val="00340D63"/>
    <w:rsid w:val="0034243A"/>
    <w:rsid w:val="00343524"/>
    <w:rsid w:val="0034499E"/>
    <w:rsid w:val="0034541F"/>
    <w:rsid w:val="00346F27"/>
    <w:rsid w:val="003471F6"/>
    <w:rsid w:val="0035256D"/>
    <w:rsid w:val="00353F13"/>
    <w:rsid w:val="00354733"/>
    <w:rsid w:val="00355E84"/>
    <w:rsid w:val="003572D7"/>
    <w:rsid w:val="00361C23"/>
    <w:rsid w:val="0036480A"/>
    <w:rsid w:val="00364911"/>
    <w:rsid w:val="00364E8E"/>
    <w:rsid w:val="0036527B"/>
    <w:rsid w:val="0036568B"/>
    <w:rsid w:val="003657A8"/>
    <w:rsid w:val="00372073"/>
    <w:rsid w:val="00373E65"/>
    <w:rsid w:val="00376C26"/>
    <w:rsid w:val="00380F92"/>
    <w:rsid w:val="00382A82"/>
    <w:rsid w:val="00382D20"/>
    <w:rsid w:val="00383540"/>
    <w:rsid w:val="00383947"/>
    <w:rsid w:val="0038413A"/>
    <w:rsid w:val="00392CC4"/>
    <w:rsid w:val="00395767"/>
    <w:rsid w:val="00396095"/>
    <w:rsid w:val="00396EED"/>
    <w:rsid w:val="003974B5"/>
    <w:rsid w:val="0039797F"/>
    <w:rsid w:val="003A129D"/>
    <w:rsid w:val="003A5090"/>
    <w:rsid w:val="003A5A70"/>
    <w:rsid w:val="003A697B"/>
    <w:rsid w:val="003A75BB"/>
    <w:rsid w:val="003B2DF8"/>
    <w:rsid w:val="003B316F"/>
    <w:rsid w:val="003B38E4"/>
    <w:rsid w:val="003B6020"/>
    <w:rsid w:val="003B749A"/>
    <w:rsid w:val="003B794E"/>
    <w:rsid w:val="003C0FA8"/>
    <w:rsid w:val="003C1913"/>
    <w:rsid w:val="003C31D1"/>
    <w:rsid w:val="003C610B"/>
    <w:rsid w:val="003D096E"/>
    <w:rsid w:val="003D2BDB"/>
    <w:rsid w:val="003D3203"/>
    <w:rsid w:val="003D4773"/>
    <w:rsid w:val="003D7FC7"/>
    <w:rsid w:val="003E4B49"/>
    <w:rsid w:val="003E4EBD"/>
    <w:rsid w:val="003E7674"/>
    <w:rsid w:val="003F1995"/>
    <w:rsid w:val="003F27D5"/>
    <w:rsid w:val="003F524F"/>
    <w:rsid w:val="003F58C1"/>
    <w:rsid w:val="003F6014"/>
    <w:rsid w:val="003F7BDC"/>
    <w:rsid w:val="00401EED"/>
    <w:rsid w:val="00402131"/>
    <w:rsid w:val="004022B7"/>
    <w:rsid w:val="00402957"/>
    <w:rsid w:val="004059FE"/>
    <w:rsid w:val="00405D66"/>
    <w:rsid w:val="00405E1F"/>
    <w:rsid w:val="0040678B"/>
    <w:rsid w:val="00407C33"/>
    <w:rsid w:val="004105F3"/>
    <w:rsid w:val="004122C9"/>
    <w:rsid w:val="00412C4B"/>
    <w:rsid w:val="00413A19"/>
    <w:rsid w:val="00413CAD"/>
    <w:rsid w:val="00415464"/>
    <w:rsid w:val="004163F1"/>
    <w:rsid w:val="00416C24"/>
    <w:rsid w:val="004173D1"/>
    <w:rsid w:val="00420F81"/>
    <w:rsid w:val="00422D43"/>
    <w:rsid w:val="00423145"/>
    <w:rsid w:val="0042338C"/>
    <w:rsid w:val="00425DB9"/>
    <w:rsid w:val="004273B5"/>
    <w:rsid w:val="0043252A"/>
    <w:rsid w:val="00432B1B"/>
    <w:rsid w:val="00433117"/>
    <w:rsid w:val="00433AF7"/>
    <w:rsid w:val="00434B47"/>
    <w:rsid w:val="00434C6C"/>
    <w:rsid w:val="00435CF7"/>
    <w:rsid w:val="00435D9C"/>
    <w:rsid w:val="00441BDA"/>
    <w:rsid w:val="0044334D"/>
    <w:rsid w:val="004435EB"/>
    <w:rsid w:val="00443851"/>
    <w:rsid w:val="004455BA"/>
    <w:rsid w:val="00446192"/>
    <w:rsid w:val="00446EEB"/>
    <w:rsid w:val="0045256E"/>
    <w:rsid w:val="00452DE5"/>
    <w:rsid w:val="004541A9"/>
    <w:rsid w:val="00454B09"/>
    <w:rsid w:val="00455F01"/>
    <w:rsid w:val="0045771D"/>
    <w:rsid w:val="00460414"/>
    <w:rsid w:val="00462BA0"/>
    <w:rsid w:val="00470EF4"/>
    <w:rsid w:val="0047316E"/>
    <w:rsid w:val="004745C0"/>
    <w:rsid w:val="004812ED"/>
    <w:rsid w:val="00485511"/>
    <w:rsid w:val="00486B36"/>
    <w:rsid w:val="00490DD8"/>
    <w:rsid w:val="00491DEF"/>
    <w:rsid w:val="00492924"/>
    <w:rsid w:val="004931B4"/>
    <w:rsid w:val="0049323A"/>
    <w:rsid w:val="004935DE"/>
    <w:rsid w:val="0049372D"/>
    <w:rsid w:val="00494DC0"/>
    <w:rsid w:val="00495825"/>
    <w:rsid w:val="0049621C"/>
    <w:rsid w:val="004969B4"/>
    <w:rsid w:val="004A0327"/>
    <w:rsid w:val="004A0C66"/>
    <w:rsid w:val="004A10D0"/>
    <w:rsid w:val="004A1C4D"/>
    <w:rsid w:val="004A1E56"/>
    <w:rsid w:val="004A4058"/>
    <w:rsid w:val="004A5029"/>
    <w:rsid w:val="004A555F"/>
    <w:rsid w:val="004A7DC1"/>
    <w:rsid w:val="004B062A"/>
    <w:rsid w:val="004B15E5"/>
    <w:rsid w:val="004B18C9"/>
    <w:rsid w:val="004B5483"/>
    <w:rsid w:val="004B5617"/>
    <w:rsid w:val="004B590C"/>
    <w:rsid w:val="004B6F13"/>
    <w:rsid w:val="004B7136"/>
    <w:rsid w:val="004C00A8"/>
    <w:rsid w:val="004C0B2B"/>
    <w:rsid w:val="004C0C2B"/>
    <w:rsid w:val="004C13F2"/>
    <w:rsid w:val="004C28E8"/>
    <w:rsid w:val="004C486C"/>
    <w:rsid w:val="004C4D8C"/>
    <w:rsid w:val="004C567F"/>
    <w:rsid w:val="004C5C1D"/>
    <w:rsid w:val="004D0FF0"/>
    <w:rsid w:val="004D17C1"/>
    <w:rsid w:val="004D202E"/>
    <w:rsid w:val="004D29BD"/>
    <w:rsid w:val="004D31A1"/>
    <w:rsid w:val="004D37E2"/>
    <w:rsid w:val="004D4026"/>
    <w:rsid w:val="004D4631"/>
    <w:rsid w:val="004E074D"/>
    <w:rsid w:val="004E1605"/>
    <w:rsid w:val="004E1938"/>
    <w:rsid w:val="004E1954"/>
    <w:rsid w:val="004E2C3D"/>
    <w:rsid w:val="004E2E48"/>
    <w:rsid w:val="004E4EF9"/>
    <w:rsid w:val="004E520C"/>
    <w:rsid w:val="004E5D5C"/>
    <w:rsid w:val="004E7829"/>
    <w:rsid w:val="004F08DF"/>
    <w:rsid w:val="004F16E1"/>
    <w:rsid w:val="004F2131"/>
    <w:rsid w:val="004F5152"/>
    <w:rsid w:val="004F5F77"/>
    <w:rsid w:val="004F5F9F"/>
    <w:rsid w:val="004F6DDB"/>
    <w:rsid w:val="004F7198"/>
    <w:rsid w:val="00501537"/>
    <w:rsid w:val="0050454C"/>
    <w:rsid w:val="005108A4"/>
    <w:rsid w:val="005112F3"/>
    <w:rsid w:val="005117B7"/>
    <w:rsid w:val="005135F7"/>
    <w:rsid w:val="00514970"/>
    <w:rsid w:val="0051550C"/>
    <w:rsid w:val="0051644F"/>
    <w:rsid w:val="00516F63"/>
    <w:rsid w:val="005221D6"/>
    <w:rsid w:val="00524297"/>
    <w:rsid w:val="0052566A"/>
    <w:rsid w:val="0052754C"/>
    <w:rsid w:val="00527B26"/>
    <w:rsid w:val="00530351"/>
    <w:rsid w:val="005304D3"/>
    <w:rsid w:val="0053232C"/>
    <w:rsid w:val="005358D3"/>
    <w:rsid w:val="00535C9A"/>
    <w:rsid w:val="00535DCD"/>
    <w:rsid w:val="005449D1"/>
    <w:rsid w:val="00544B00"/>
    <w:rsid w:val="00546FF2"/>
    <w:rsid w:val="005473B8"/>
    <w:rsid w:val="00547C56"/>
    <w:rsid w:val="00550C1E"/>
    <w:rsid w:val="0055210C"/>
    <w:rsid w:val="0055300E"/>
    <w:rsid w:val="00555358"/>
    <w:rsid w:val="00555D49"/>
    <w:rsid w:val="0055602D"/>
    <w:rsid w:val="005567C7"/>
    <w:rsid w:val="00560818"/>
    <w:rsid w:val="0056106C"/>
    <w:rsid w:val="0056254B"/>
    <w:rsid w:val="005636D1"/>
    <w:rsid w:val="005655B1"/>
    <w:rsid w:val="0057058A"/>
    <w:rsid w:val="00570C9E"/>
    <w:rsid w:val="00573C0A"/>
    <w:rsid w:val="005756A3"/>
    <w:rsid w:val="005759DB"/>
    <w:rsid w:val="00576651"/>
    <w:rsid w:val="00583420"/>
    <w:rsid w:val="00586163"/>
    <w:rsid w:val="00586BF3"/>
    <w:rsid w:val="0058781A"/>
    <w:rsid w:val="00590EDA"/>
    <w:rsid w:val="00591EAA"/>
    <w:rsid w:val="005924B5"/>
    <w:rsid w:val="00592574"/>
    <w:rsid w:val="0059340C"/>
    <w:rsid w:val="00594B29"/>
    <w:rsid w:val="005A176E"/>
    <w:rsid w:val="005A4E8E"/>
    <w:rsid w:val="005A546D"/>
    <w:rsid w:val="005A7238"/>
    <w:rsid w:val="005A7347"/>
    <w:rsid w:val="005A749D"/>
    <w:rsid w:val="005A787E"/>
    <w:rsid w:val="005B01E4"/>
    <w:rsid w:val="005B185A"/>
    <w:rsid w:val="005B2166"/>
    <w:rsid w:val="005B23B8"/>
    <w:rsid w:val="005B3751"/>
    <w:rsid w:val="005B51BF"/>
    <w:rsid w:val="005B5513"/>
    <w:rsid w:val="005B7319"/>
    <w:rsid w:val="005B7930"/>
    <w:rsid w:val="005C0777"/>
    <w:rsid w:val="005C422F"/>
    <w:rsid w:val="005C42D7"/>
    <w:rsid w:val="005C55F8"/>
    <w:rsid w:val="005C5B89"/>
    <w:rsid w:val="005C64A2"/>
    <w:rsid w:val="005C681A"/>
    <w:rsid w:val="005C6D27"/>
    <w:rsid w:val="005C7326"/>
    <w:rsid w:val="005C7F9A"/>
    <w:rsid w:val="005D0247"/>
    <w:rsid w:val="005D4EAF"/>
    <w:rsid w:val="005D76C7"/>
    <w:rsid w:val="005D7B4C"/>
    <w:rsid w:val="005E0C01"/>
    <w:rsid w:val="005E112C"/>
    <w:rsid w:val="005E65E1"/>
    <w:rsid w:val="005E68AC"/>
    <w:rsid w:val="005E6D76"/>
    <w:rsid w:val="005F2C54"/>
    <w:rsid w:val="005F316F"/>
    <w:rsid w:val="005F61FC"/>
    <w:rsid w:val="005F69BA"/>
    <w:rsid w:val="005F7AFE"/>
    <w:rsid w:val="00600C8F"/>
    <w:rsid w:val="006013E0"/>
    <w:rsid w:val="00602DFC"/>
    <w:rsid w:val="00603D2D"/>
    <w:rsid w:val="00606447"/>
    <w:rsid w:val="006101A2"/>
    <w:rsid w:val="00610304"/>
    <w:rsid w:val="006122DD"/>
    <w:rsid w:val="00612455"/>
    <w:rsid w:val="00613DD3"/>
    <w:rsid w:val="00613F3A"/>
    <w:rsid w:val="006170F6"/>
    <w:rsid w:val="0062345C"/>
    <w:rsid w:val="006241B9"/>
    <w:rsid w:val="006253BF"/>
    <w:rsid w:val="00626F6A"/>
    <w:rsid w:val="006303F9"/>
    <w:rsid w:val="00630FB7"/>
    <w:rsid w:val="006310CA"/>
    <w:rsid w:val="00632B62"/>
    <w:rsid w:val="006336D8"/>
    <w:rsid w:val="00633915"/>
    <w:rsid w:val="00634E10"/>
    <w:rsid w:val="006409FB"/>
    <w:rsid w:val="00640AF3"/>
    <w:rsid w:val="00642E88"/>
    <w:rsid w:val="006430F9"/>
    <w:rsid w:val="0064322D"/>
    <w:rsid w:val="00643829"/>
    <w:rsid w:val="00644BEB"/>
    <w:rsid w:val="006463E6"/>
    <w:rsid w:val="00646E94"/>
    <w:rsid w:val="00647262"/>
    <w:rsid w:val="00647825"/>
    <w:rsid w:val="0064784E"/>
    <w:rsid w:val="00651C29"/>
    <w:rsid w:val="0065342B"/>
    <w:rsid w:val="00653765"/>
    <w:rsid w:val="00654B0D"/>
    <w:rsid w:val="006564DE"/>
    <w:rsid w:val="00657137"/>
    <w:rsid w:val="00660115"/>
    <w:rsid w:val="0066013F"/>
    <w:rsid w:val="00660301"/>
    <w:rsid w:val="0066186E"/>
    <w:rsid w:val="00663F48"/>
    <w:rsid w:val="00666B60"/>
    <w:rsid w:val="006670D9"/>
    <w:rsid w:val="00670853"/>
    <w:rsid w:val="006746CC"/>
    <w:rsid w:val="00676248"/>
    <w:rsid w:val="006765A6"/>
    <w:rsid w:val="00676D15"/>
    <w:rsid w:val="00677DC4"/>
    <w:rsid w:val="00681C63"/>
    <w:rsid w:val="00681F75"/>
    <w:rsid w:val="00682AE1"/>
    <w:rsid w:val="006849C9"/>
    <w:rsid w:val="00684CF9"/>
    <w:rsid w:val="00691AE3"/>
    <w:rsid w:val="0069218A"/>
    <w:rsid w:val="00693959"/>
    <w:rsid w:val="0069408B"/>
    <w:rsid w:val="00696E2E"/>
    <w:rsid w:val="00697719"/>
    <w:rsid w:val="006A024E"/>
    <w:rsid w:val="006A0DE7"/>
    <w:rsid w:val="006A3AA7"/>
    <w:rsid w:val="006A425C"/>
    <w:rsid w:val="006A458F"/>
    <w:rsid w:val="006B225B"/>
    <w:rsid w:val="006B2392"/>
    <w:rsid w:val="006B5581"/>
    <w:rsid w:val="006B5ADF"/>
    <w:rsid w:val="006B6757"/>
    <w:rsid w:val="006C0CD9"/>
    <w:rsid w:val="006C346E"/>
    <w:rsid w:val="006C4624"/>
    <w:rsid w:val="006C48C8"/>
    <w:rsid w:val="006C5691"/>
    <w:rsid w:val="006C5FD8"/>
    <w:rsid w:val="006C76E6"/>
    <w:rsid w:val="006D078D"/>
    <w:rsid w:val="006D196A"/>
    <w:rsid w:val="006D1E1A"/>
    <w:rsid w:val="006D3080"/>
    <w:rsid w:val="006D594A"/>
    <w:rsid w:val="006D67D3"/>
    <w:rsid w:val="006D73D4"/>
    <w:rsid w:val="006E0168"/>
    <w:rsid w:val="006E1048"/>
    <w:rsid w:val="006E2B64"/>
    <w:rsid w:val="006E325B"/>
    <w:rsid w:val="006E36C4"/>
    <w:rsid w:val="006E63ED"/>
    <w:rsid w:val="006E6C05"/>
    <w:rsid w:val="006E7535"/>
    <w:rsid w:val="006F0F38"/>
    <w:rsid w:val="006F11F2"/>
    <w:rsid w:val="006F28EE"/>
    <w:rsid w:val="006F3AFF"/>
    <w:rsid w:val="006F6DD8"/>
    <w:rsid w:val="0070122A"/>
    <w:rsid w:val="00703CF6"/>
    <w:rsid w:val="00704C77"/>
    <w:rsid w:val="007055D3"/>
    <w:rsid w:val="0071077A"/>
    <w:rsid w:val="007109A9"/>
    <w:rsid w:val="00711233"/>
    <w:rsid w:val="0071139A"/>
    <w:rsid w:val="00711F0C"/>
    <w:rsid w:val="00714705"/>
    <w:rsid w:val="00714B4E"/>
    <w:rsid w:val="00715E01"/>
    <w:rsid w:val="00717DE5"/>
    <w:rsid w:val="00723EE2"/>
    <w:rsid w:val="007250CB"/>
    <w:rsid w:val="007250FB"/>
    <w:rsid w:val="007254CD"/>
    <w:rsid w:val="00727931"/>
    <w:rsid w:val="00727DE6"/>
    <w:rsid w:val="00730365"/>
    <w:rsid w:val="00731096"/>
    <w:rsid w:val="007343E1"/>
    <w:rsid w:val="00734B6F"/>
    <w:rsid w:val="00735829"/>
    <w:rsid w:val="00735B58"/>
    <w:rsid w:val="007368F5"/>
    <w:rsid w:val="00736CE4"/>
    <w:rsid w:val="00737AA8"/>
    <w:rsid w:val="00737E1E"/>
    <w:rsid w:val="0074173E"/>
    <w:rsid w:val="007424A8"/>
    <w:rsid w:val="00742793"/>
    <w:rsid w:val="00743B01"/>
    <w:rsid w:val="0074586D"/>
    <w:rsid w:val="0075004F"/>
    <w:rsid w:val="00750C7C"/>
    <w:rsid w:val="00750D8C"/>
    <w:rsid w:val="00752449"/>
    <w:rsid w:val="007533ED"/>
    <w:rsid w:val="00753CEA"/>
    <w:rsid w:val="00754742"/>
    <w:rsid w:val="00755776"/>
    <w:rsid w:val="007571A1"/>
    <w:rsid w:val="0076028C"/>
    <w:rsid w:val="00760851"/>
    <w:rsid w:val="007630A5"/>
    <w:rsid w:val="0076327B"/>
    <w:rsid w:val="0076567B"/>
    <w:rsid w:val="00770B1A"/>
    <w:rsid w:val="00770D5F"/>
    <w:rsid w:val="00773B66"/>
    <w:rsid w:val="0077506E"/>
    <w:rsid w:val="007750BE"/>
    <w:rsid w:val="00777955"/>
    <w:rsid w:val="00777E89"/>
    <w:rsid w:val="0078010C"/>
    <w:rsid w:val="0078071A"/>
    <w:rsid w:val="00780DA0"/>
    <w:rsid w:val="00781A8A"/>
    <w:rsid w:val="007832AE"/>
    <w:rsid w:val="00783D26"/>
    <w:rsid w:val="00784367"/>
    <w:rsid w:val="007861FF"/>
    <w:rsid w:val="0078696D"/>
    <w:rsid w:val="00787DA5"/>
    <w:rsid w:val="0079477E"/>
    <w:rsid w:val="00795C37"/>
    <w:rsid w:val="00797977"/>
    <w:rsid w:val="007A34BB"/>
    <w:rsid w:val="007A3A67"/>
    <w:rsid w:val="007A4FCA"/>
    <w:rsid w:val="007A7D6B"/>
    <w:rsid w:val="007A7F9D"/>
    <w:rsid w:val="007B04F4"/>
    <w:rsid w:val="007B0DF2"/>
    <w:rsid w:val="007B461F"/>
    <w:rsid w:val="007B58AA"/>
    <w:rsid w:val="007B7D6D"/>
    <w:rsid w:val="007C151D"/>
    <w:rsid w:val="007C4DA5"/>
    <w:rsid w:val="007C6E83"/>
    <w:rsid w:val="007C7B5A"/>
    <w:rsid w:val="007D037B"/>
    <w:rsid w:val="007D0792"/>
    <w:rsid w:val="007D34F0"/>
    <w:rsid w:val="007D4192"/>
    <w:rsid w:val="007D494D"/>
    <w:rsid w:val="007D690A"/>
    <w:rsid w:val="007E0588"/>
    <w:rsid w:val="007E19B1"/>
    <w:rsid w:val="007E32B5"/>
    <w:rsid w:val="007E564A"/>
    <w:rsid w:val="007F01EF"/>
    <w:rsid w:val="007F0AD4"/>
    <w:rsid w:val="007F0F6E"/>
    <w:rsid w:val="007F2393"/>
    <w:rsid w:val="007F2F7E"/>
    <w:rsid w:val="007F5D11"/>
    <w:rsid w:val="0080057F"/>
    <w:rsid w:val="00801491"/>
    <w:rsid w:val="00801DCC"/>
    <w:rsid w:val="008058EB"/>
    <w:rsid w:val="00805AD7"/>
    <w:rsid w:val="00807155"/>
    <w:rsid w:val="00810FD9"/>
    <w:rsid w:val="0081381D"/>
    <w:rsid w:val="00813C8C"/>
    <w:rsid w:val="00813CA1"/>
    <w:rsid w:val="00814B99"/>
    <w:rsid w:val="008153A0"/>
    <w:rsid w:val="00815B01"/>
    <w:rsid w:val="00815D9E"/>
    <w:rsid w:val="00821188"/>
    <w:rsid w:val="00821ADB"/>
    <w:rsid w:val="0082276A"/>
    <w:rsid w:val="00825D39"/>
    <w:rsid w:val="00830CA0"/>
    <w:rsid w:val="0083175F"/>
    <w:rsid w:val="00831F39"/>
    <w:rsid w:val="008322B5"/>
    <w:rsid w:val="0083258A"/>
    <w:rsid w:val="008335DE"/>
    <w:rsid w:val="00834C09"/>
    <w:rsid w:val="00840C08"/>
    <w:rsid w:val="00841355"/>
    <w:rsid w:val="00841864"/>
    <w:rsid w:val="008440A4"/>
    <w:rsid w:val="00844BE9"/>
    <w:rsid w:val="008451B8"/>
    <w:rsid w:val="0084545A"/>
    <w:rsid w:val="008464ED"/>
    <w:rsid w:val="008466A6"/>
    <w:rsid w:val="00847503"/>
    <w:rsid w:val="008475F1"/>
    <w:rsid w:val="008500CC"/>
    <w:rsid w:val="00853ADC"/>
    <w:rsid w:val="00853E7C"/>
    <w:rsid w:val="008549D9"/>
    <w:rsid w:val="00854A8C"/>
    <w:rsid w:val="00855474"/>
    <w:rsid w:val="00856B4D"/>
    <w:rsid w:val="00856FFA"/>
    <w:rsid w:val="0086040A"/>
    <w:rsid w:val="00860C4E"/>
    <w:rsid w:val="0086187F"/>
    <w:rsid w:val="00861CB1"/>
    <w:rsid w:val="00862099"/>
    <w:rsid w:val="00863F49"/>
    <w:rsid w:val="00864B6E"/>
    <w:rsid w:val="008675CA"/>
    <w:rsid w:val="00867920"/>
    <w:rsid w:val="00870E18"/>
    <w:rsid w:val="00872762"/>
    <w:rsid w:val="00873F0E"/>
    <w:rsid w:val="0087419B"/>
    <w:rsid w:val="00874667"/>
    <w:rsid w:val="00875A82"/>
    <w:rsid w:val="008761CE"/>
    <w:rsid w:val="00880B5F"/>
    <w:rsid w:val="00882025"/>
    <w:rsid w:val="00882255"/>
    <w:rsid w:val="00884184"/>
    <w:rsid w:val="00884F6F"/>
    <w:rsid w:val="0089070F"/>
    <w:rsid w:val="0089111A"/>
    <w:rsid w:val="00891413"/>
    <w:rsid w:val="00891FFC"/>
    <w:rsid w:val="00892228"/>
    <w:rsid w:val="008924A5"/>
    <w:rsid w:val="00893D67"/>
    <w:rsid w:val="008A0B60"/>
    <w:rsid w:val="008A2816"/>
    <w:rsid w:val="008A2C96"/>
    <w:rsid w:val="008A2E5F"/>
    <w:rsid w:val="008A3EC8"/>
    <w:rsid w:val="008A453B"/>
    <w:rsid w:val="008A4B55"/>
    <w:rsid w:val="008A5181"/>
    <w:rsid w:val="008A52D5"/>
    <w:rsid w:val="008A64F8"/>
    <w:rsid w:val="008A6BA2"/>
    <w:rsid w:val="008B0A11"/>
    <w:rsid w:val="008B15D7"/>
    <w:rsid w:val="008B2D34"/>
    <w:rsid w:val="008B36CD"/>
    <w:rsid w:val="008B5A5F"/>
    <w:rsid w:val="008B6AA8"/>
    <w:rsid w:val="008B75CA"/>
    <w:rsid w:val="008C03B0"/>
    <w:rsid w:val="008C5C5B"/>
    <w:rsid w:val="008D03AA"/>
    <w:rsid w:val="008D06DA"/>
    <w:rsid w:val="008D16A0"/>
    <w:rsid w:val="008D2A55"/>
    <w:rsid w:val="008D2FA9"/>
    <w:rsid w:val="008D4396"/>
    <w:rsid w:val="008D49D1"/>
    <w:rsid w:val="008D57A0"/>
    <w:rsid w:val="008D7844"/>
    <w:rsid w:val="008E23A6"/>
    <w:rsid w:val="008E2875"/>
    <w:rsid w:val="008E2A7E"/>
    <w:rsid w:val="008E2D4B"/>
    <w:rsid w:val="008E367F"/>
    <w:rsid w:val="008E417A"/>
    <w:rsid w:val="008E51CD"/>
    <w:rsid w:val="008E5A48"/>
    <w:rsid w:val="008E6F7B"/>
    <w:rsid w:val="008E7E5F"/>
    <w:rsid w:val="008F12C6"/>
    <w:rsid w:val="008F20CD"/>
    <w:rsid w:val="008F216A"/>
    <w:rsid w:val="008F235B"/>
    <w:rsid w:val="008F326E"/>
    <w:rsid w:val="008F4629"/>
    <w:rsid w:val="008F726F"/>
    <w:rsid w:val="00901747"/>
    <w:rsid w:val="009040DA"/>
    <w:rsid w:val="00910060"/>
    <w:rsid w:val="0091184D"/>
    <w:rsid w:val="009129D1"/>
    <w:rsid w:val="00912C76"/>
    <w:rsid w:val="00912D5B"/>
    <w:rsid w:val="0091314C"/>
    <w:rsid w:val="00913741"/>
    <w:rsid w:val="00916127"/>
    <w:rsid w:val="0091666C"/>
    <w:rsid w:val="009178CD"/>
    <w:rsid w:val="00920538"/>
    <w:rsid w:val="00920F6B"/>
    <w:rsid w:val="00921F1E"/>
    <w:rsid w:val="009223D3"/>
    <w:rsid w:val="00923959"/>
    <w:rsid w:val="00923BEF"/>
    <w:rsid w:val="00925724"/>
    <w:rsid w:val="00926682"/>
    <w:rsid w:val="009302A9"/>
    <w:rsid w:val="009306E2"/>
    <w:rsid w:val="00931C78"/>
    <w:rsid w:val="00933698"/>
    <w:rsid w:val="0094113F"/>
    <w:rsid w:val="00942EC3"/>
    <w:rsid w:val="0094492A"/>
    <w:rsid w:val="00944AC4"/>
    <w:rsid w:val="00945A09"/>
    <w:rsid w:val="00947502"/>
    <w:rsid w:val="00947DBA"/>
    <w:rsid w:val="009510D5"/>
    <w:rsid w:val="00951386"/>
    <w:rsid w:val="009519F0"/>
    <w:rsid w:val="00951DCF"/>
    <w:rsid w:val="009521C5"/>
    <w:rsid w:val="009534ED"/>
    <w:rsid w:val="00955001"/>
    <w:rsid w:val="0095508A"/>
    <w:rsid w:val="009570D1"/>
    <w:rsid w:val="009600C6"/>
    <w:rsid w:val="00962766"/>
    <w:rsid w:val="00962901"/>
    <w:rsid w:val="0096354E"/>
    <w:rsid w:val="009651A8"/>
    <w:rsid w:val="009658C8"/>
    <w:rsid w:val="0096789E"/>
    <w:rsid w:val="00971E04"/>
    <w:rsid w:val="009722D3"/>
    <w:rsid w:val="00972A10"/>
    <w:rsid w:val="00972A76"/>
    <w:rsid w:val="00975341"/>
    <w:rsid w:val="00976C83"/>
    <w:rsid w:val="0097753D"/>
    <w:rsid w:val="00987A8C"/>
    <w:rsid w:val="00987AAD"/>
    <w:rsid w:val="0099096E"/>
    <w:rsid w:val="0099382A"/>
    <w:rsid w:val="009A1222"/>
    <w:rsid w:val="009A2377"/>
    <w:rsid w:val="009A41E8"/>
    <w:rsid w:val="009A443D"/>
    <w:rsid w:val="009A5F6C"/>
    <w:rsid w:val="009A6967"/>
    <w:rsid w:val="009A71A5"/>
    <w:rsid w:val="009A79AB"/>
    <w:rsid w:val="009A7B2C"/>
    <w:rsid w:val="009B0510"/>
    <w:rsid w:val="009B2293"/>
    <w:rsid w:val="009B2411"/>
    <w:rsid w:val="009B25DA"/>
    <w:rsid w:val="009B25FC"/>
    <w:rsid w:val="009B37AC"/>
    <w:rsid w:val="009B3894"/>
    <w:rsid w:val="009B4303"/>
    <w:rsid w:val="009B438C"/>
    <w:rsid w:val="009B4E23"/>
    <w:rsid w:val="009B5D59"/>
    <w:rsid w:val="009B7CBB"/>
    <w:rsid w:val="009C0796"/>
    <w:rsid w:val="009C1972"/>
    <w:rsid w:val="009C4A90"/>
    <w:rsid w:val="009D419D"/>
    <w:rsid w:val="009D4374"/>
    <w:rsid w:val="009D594D"/>
    <w:rsid w:val="009D5A0A"/>
    <w:rsid w:val="009D7791"/>
    <w:rsid w:val="009D790B"/>
    <w:rsid w:val="009E01F3"/>
    <w:rsid w:val="009E03FD"/>
    <w:rsid w:val="009E1CA6"/>
    <w:rsid w:val="009E216C"/>
    <w:rsid w:val="009E5038"/>
    <w:rsid w:val="009E6212"/>
    <w:rsid w:val="009E7B94"/>
    <w:rsid w:val="009F10A2"/>
    <w:rsid w:val="009F2599"/>
    <w:rsid w:val="009F377D"/>
    <w:rsid w:val="009F3AA3"/>
    <w:rsid w:val="009F452D"/>
    <w:rsid w:val="009F6B11"/>
    <w:rsid w:val="009F71BA"/>
    <w:rsid w:val="009F746B"/>
    <w:rsid w:val="009F7B95"/>
    <w:rsid w:val="00A05D10"/>
    <w:rsid w:val="00A11575"/>
    <w:rsid w:val="00A1652A"/>
    <w:rsid w:val="00A16A98"/>
    <w:rsid w:val="00A20DB5"/>
    <w:rsid w:val="00A258A9"/>
    <w:rsid w:val="00A25EE1"/>
    <w:rsid w:val="00A260AC"/>
    <w:rsid w:val="00A26552"/>
    <w:rsid w:val="00A27643"/>
    <w:rsid w:val="00A27C3C"/>
    <w:rsid w:val="00A3097B"/>
    <w:rsid w:val="00A314CF"/>
    <w:rsid w:val="00A3364B"/>
    <w:rsid w:val="00A33F10"/>
    <w:rsid w:val="00A34150"/>
    <w:rsid w:val="00A3453A"/>
    <w:rsid w:val="00A349AF"/>
    <w:rsid w:val="00A35C72"/>
    <w:rsid w:val="00A41597"/>
    <w:rsid w:val="00A44D2E"/>
    <w:rsid w:val="00A46CED"/>
    <w:rsid w:val="00A47A31"/>
    <w:rsid w:val="00A50CD7"/>
    <w:rsid w:val="00A50E82"/>
    <w:rsid w:val="00A516FC"/>
    <w:rsid w:val="00A52153"/>
    <w:rsid w:val="00A602A0"/>
    <w:rsid w:val="00A61E18"/>
    <w:rsid w:val="00A64DCF"/>
    <w:rsid w:val="00A65BE4"/>
    <w:rsid w:val="00A665D8"/>
    <w:rsid w:val="00A70E85"/>
    <w:rsid w:val="00A73022"/>
    <w:rsid w:val="00A733F6"/>
    <w:rsid w:val="00A748C0"/>
    <w:rsid w:val="00A7572E"/>
    <w:rsid w:val="00A75BE3"/>
    <w:rsid w:val="00A770F4"/>
    <w:rsid w:val="00A81EE2"/>
    <w:rsid w:val="00A83ADD"/>
    <w:rsid w:val="00A84CC0"/>
    <w:rsid w:val="00A84E5B"/>
    <w:rsid w:val="00A85B8A"/>
    <w:rsid w:val="00A86F11"/>
    <w:rsid w:val="00A875E2"/>
    <w:rsid w:val="00A92F12"/>
    <w:rsid w:val="00A94293"/>
    <w:rsid w:val="00A952F0"/>
    <w:rsid w:val="00A9540E"/>
    <w:rsid w:val="00A954F7"/>
    <w:rsid w:val="00A956D3"/>
    <w:rsid w:val="00A96AF3"/>
    <w:rsid w:val="00A96CB6"/>
    <w:rsid w:val="00A96FBD"/>
    <w:rsid w:val="00A97A53"/>
    <w:rsid w:val="00AA09DF"/>
    <w:rsid w:val="00AA206C"/>
    <w:rsid w:val="00AA27E1"/>
    <w:rsid w:val="00AA3C9D"/>
    <w:rsid w:val="00AA5D3C"/>
    <w:rsid w:val="00AA68CB"/>
    <w:rsid w:val="00AB0007"/>
    <w:rsid w:val="00AB0E22"/>
    <w:rsid w:val="00AB15D2"/>
    <w:rsid w:val="00AB171C"/>
    <w:rsid w:val="00AB2E8E"/>
    <w:rsid w:val="00AB319B"/>
    <w:rsid w:val="00AB6126"/>
    <w:rsid w:val="00AC32D9"/>
    <w:rsid w:val="00AC5257"/>
    <w:rsid w:val="00AC7574"/>
    <w:rsid w:val="00AD1952"/>
    <w:rsid w:val="00AD2762"/>
    <w:rsid w:val="00AD33A2"/>
    <w:rsid w:val="00AD368C"/>
    <w:rsid w:val="00AD5AEB"/>
    <w:rsid w:val="00AD5C1D"/>
    <w:rsid w:val="00AD6960"/>
    <w:rsid w:val="00AE09D0"/>
    <w:rsid w:val="00AE3181"/>
    <w:rsid w:val="00AE4BE8"/>
    <w:rsid w:val="00AE69CA"/>
    <w:rsid w:val="00AE6E8C"/>
    <w:rsid w:val="00AF116A"/>
    <w:rsid w:val="00AF4157"/>
    <w:rsid w:val="00AF6325"/>
    <w:rsid w:val="00B012E2"/>
    <w:rsid w:val="00B03617"/>
    <w:rsid w:val="00B03962"/>
    <w:rsid w:val="00B0702A"/>
    <w:rsid w:val="00B10066"/>
    <w:rsid w:val="00B10FD1"/>
    <w:rsid w:val="00B12B69"/>
    <w:rsid w:val="00B1547C"/>
    <w:rsid w:val="00B15901"/>
    <w:rsid w:val="00B16CF7"/>
    <w:rsid w:val="00B202E2"/>
    <w:rsid w:val="00B23CBB"/>
    <w:rsid w:val="00B27063"/>
    <w:rsid w:val="00B30144"/>
    <w:rsid w:val="00B323FD"/>
    <w:rsid w:val="00B32B31"/>
    <w:rsid w:val="00B32CCD"/>
    <w:rsid w:val="00B32D56"/>
    <w:rsid w:val="00B34CC0"/>
    <w:rsid w:val="00B34E0F"/>
    <w:rsid w:val="00B35ABA"/>
    <w:rsid w:val="00B376E4"/>
    <w:rsid w:val="00B40E29"/>
    <w:rsid w:val="00B42A85"/>
    <w:rsid w:val="00B42CB9"/>
    <w:rsid w:val="00B433C2"/>
    <w:rsid w:val="00B43ECD"/>
    <w:rsid w:val="00B44765"/>
    <w:rsid w:val="00B44994"/>
    <w:rsid w:val="00B50444"/>
    <w:rsid w:val="00B50D57"/>
    <w:rsid w:val="00B52C9D"/>
    <w:rsid w:val="00B52F44"/>
    <w:rsid w:val="00B539DB"/>
    <w:rsid w:val="00B568E3"/>
    <w:rsid w:val="00B642C0"/>
    <w:rsid w:val="00B64409"/>
    <w:rsid w:val="00B64AEB"/>
    <w:rsid w:val="00B652F6"/>
    <w:rsid w:val="00B65F16"/>
    <w:rsid w:val="00B71ECD"/>
    <w:rsid w:val="00B7346F"/>
    <w:rsid w:val="00B74973"/>
    <w:rsid w:val="00B756DD"/>
    <w:rsid w:val="00B80734"/>
    <w:rsid w:val="00B80AA0"/>
    <w:rsid w:val="00B80F66"/>
    <w:rsid w:val="00B834A3"/>
    <w:rsid w:val="00B83780"/>
    <w:rsid w:val="00B91592"/>
    <w:rsid w:val="00B94ABF"/>
    <w:rsid w:val="00B954E3"/>
    <w:rsid w:val="00B96635"/>
    <w:rsid w:val="00B977C0"/>
    <w:rsid w:val="00BA0370"/>
    <w:rsid w:val="00BA03A7"/>
    <w:rsid w:val="00BA3394"/>
    <w:rsid w:val="00BA33C7"/>
    <w:rsid w:val="00BA3E5E"/>
    <w:rsid w:val="00BA4776"/>
    <w:rsid w:val="00BA4E53"/>
    <w:rsid w:val="00BA7EB4"/>
    <w:rsid w:val="00BB145F"/>
    <w:rsid w:val="00BB1CE8"/>
    <w:rsid w:val="00BB39FF"/>
    <w:rsid w:val="00BB54DD"/>
    <w:rsid w:val="00BB6421"/>
    <w:rsid w:val="00BB65EA"/>
    <w:rsid w:val="00BB68FB"/>
    <w:rsid w:val="00BB6AC0"/>
    <w:rsid w:val="00BB7F8A"/>
    <w:rsid w:val="00BC3CE0"/>
    <w:rsid w:val="00BC4984"/>
    <w:rsid w:val="00BC4CB1"/>
    <w:rsid w:val="00BC4E3B"/>
    <w:rsid w:val="00BC6951"/>
    <w:rsid w:val="00BC724D"/>
    <w:rsid w:val="00BC7B6E"/>
    <w:rsid w:val="00BD0A3E"/>
    <w:rsid w:val="00BD1502"/>
    <w:rsid w:val="00BD296D"/>
    <w:rsid w:val="00BD2E9B"/>
    <w:rsid w:val="00BD3900"/>
    <w:rsid w:val="00BD6345"/>
    <w:rsid w:val="00BD6529"/>
    <w:rsid w:val="00BD7C52"/>
    <w:rsid w:val="00BE2412"/>
    <w:rsid w:val="00BE2FE2"/>
    <w:rsid w:val="00BE37DD"/>
    <w:rsid w:val="00BE52A1"/>
    <w:rsid w:val="00BE6F9A"/>
    <w:rsid w:val="00BF2148"/>
    <w:rsid w:val="00BF246B"/>
    <w:rsid w:val="00BF30DE"/>
    <w:rsid w:val="00BF5861"/>
    <w:rsid w:val="00BF6E32"/>
    <w:rsid w:val="00C004A9"/>
    <w:rsid w:val="00C012B0"/>
    <w:rsid w:val="00C017DF"/>
    <w:rsid w:val="00C04CEF"/>
    <w:rsid w:val="00C05D6B"/>
    <w:rsid w:val="00C06C75"/>
    <w:rsid w:val="00C070F9"/>
    <w:rsid w:val="00C10806"/>
    <w:rsid w:val="00C10D99"/>
    <w:rsid w:val="00C14130"/>
    <w:rsid w:val="00C162D7"/>
    <w:rsid w:val="00C162EC"/>
    <w:rsid w:val="00C17972"/>
    <w:rsid w:val="00C23129"/>
    <w:rsid w:val="00C238D1"/>
    <w:rsid w:val="00C23B1E"/>
    <w:rsid w:val="00C259A3"/>
    <w:rsid w:val="00C30D4E"/>
    <w:rsid w:val="00C332B6"/>
    <w:rsid w:val="00C4163E"/>
    <w:rsid w:val="00C4196B"/>
    <w:rsid w:val="00C421C3"/>
    <w:rsid w:val="00C4513E"/>
    <w:rsid w:val="00C4527C"/>
    <w:rsid w:val="00C463C6"/>
    <w:rsid w:val="00C46797"/>
    <w:rsid w:val="00C50C7A"/>
    <w:rsid w:val="00C51B43"/>
    <w:rsid w:val="00C53B8A"/>
    <w:rsid w:val="00C5441F"/>
    <w:rsid w:val="00C5588C"/>
    <w:rsid w:val="00C55A85"/>
    <w:rsid w:val="00C567C5"/>
    <w:rsid w:val="00C578E6"/>
    <w:rsid w:val="00C60038"/>
    <w:rsid w:val="00C601E7"/>
    <w:rsid w:val="00C6052B"/>
    <w:rsid w:val="00C60879"/>
    <w:rsid w:val="00C60CE4"/>
    <w:rsid w:val="00C632DE"/>
    <w:rsid w:val="00C63BAC"/>
    <w:rsid w:val="00C63C5D"/>
    <w:rsid w:val="00C63CAA"/>
    <w:rsid w:val="00C63DD8"/>
    <w:rsid w:val="00C650B0"/>
    <w:rsid w:val="00C65175"/>
    <w:rsid w:val="00C655EE"/>
    <w:rsid w:val="00C65D99"/>
    <w:rsid w:val="00C66973"/>
    <w:rsid w:val="00C7142F"/>
    <w:rsid w:val="00C71D84"/>
    <w:rsid w:val="00C74362"/>
    <w:rsid w:val="00C81200"/>
    <w:rsid w:val="00C81DFE"/>
    <w:rsid w:val="00C84145"/>
    <w:rsid w:val="00C96D40"/>
    <w:rsid w:val="00C97C9A"/>
    <w:rsid w:val="00CA1BD0"/>
    <w:rsid w:val="00CA24F9"/>
    <w:rsid w:val="00CA58A1"/>
    <w:rsid w:val="00CA6051"/>
    <w:rsid w:val="00CA7B39"/>
    <w:rsid w:val="00CB033A"/>
    <w:rsid w:val="00CB1040"/>
    <w:rsid w:val="00CB1769"/>
    <w:rsid w:val="00CB1BF5"/>
    <w:rsid w:val="00CB2589"/>
    <w:rsid w:val="00CB3BC7"/>
    <w:rsid w:val="00CB4D92"/>
    <w:rsid w:val="00CB4E40"/>
    <w:rsid w:val="00CB4FE3"/>
    <w:rsid w:val="00CB5627"/>
    <w:rsid w:val="00CB5933"/>
    <w:rsid w:val="00CB67FE"/>
    <w:rsid w:val="00CB6CA3"/>
    <w:rsid w:val="00CB77B3"/>
    <w:rsid w:val="00CB7E85"/>
    <w:rsid w:val="00CC09ED"/>
    <w:rsid w:val="00CC19A8"/>
    <w:rsid w:val="00CC32EA"/>
    <w:rsid w:val="00CC3F6A"/>
    <w:rsid w:val="00CC4D93"/>
    <w:rsid w:val="00CC7CB5"/>
    <w:rsid w:val="00CD22BE"/>
    <w:rsid w:val="00CD3AF8"/>
    <w:rsid w:val="00CD5596"/>
    <w:rsid w:val="00CD5EF3"/>
    <w:rsid w:val="00CD678F"/>
    <w:rsid w:val="00CD7462"/>
    <w:rsid w:val="00CE3161"/>
    <w:rsid w:val="00CE7B32"/>
    <w:rsid w:val="00CE7F0A"/>
    <w:rsid w:val="00CF02A9"/>
    <w:rsid w:val="00CF1961"/>
    <w:rsid w:val="00CF1CD2"/>
    <w:rsid w:val="00CF21A2"/>
    <w:rsid w:val="00CF2DAD"/>
    <w:rsid w:val="00CF30B5"/>
    <w:rsid w:val="00CF53B7"/>
    <w:rsid w:val="00CF62BA"/>
    <w:rsid w:val="00CF726E"/>
    <w:rsid w:val="00CF7D3F"/>
    <w:rsid w:val="00D02D8D"/>
    <w:rsid w:val="00D04048"/>
    <w:rsid w:val="00D048FD"/>
    <w:rsid w:val="00D04B2A"/>
    <w:rsid w:val="00D07CC4"/>
    <w:rsid w:val="00D11AEA"/>
    <w:rsid w:val="00D14D2E"/>
    <w:rsid w:val="00D15129"/>
    <w:rsid w:val="00D1521E"/>
    <w:rsid w:val="00D157F3"/>
    <w:rsid w:val="00D15E47"/>
    <w:rsid w:val="00D160C9"/>
    <w:rsid w:val="00D166E0"/>
    <w:rsid w:val="00D177C1"/>
    <w:rsid w:val="00D209C8"/>
    <w:rsid w:val="00D21402"/>
    <w:rsid w:val="00D21C8A"/>
    <w:rsid w:val="00D220F4"/>
    <w:rsid w:val="00D24132"/>
    <w:rsid w:val="00D25944"/>
    <w:rsid w:val="00D30965"/>
    <w:rsid w:val="00D31D3A"/>
    <w:rsid w:val="00D3288C"/>
    <w:rsid w:val="00D33CE3"/>
    <w:rsid w:val="00D37DFF"/>
    <w:rsid w:val="00D41E54"/>
    <w:rsid w:val="00D4304A"/>
    <w:rsid w:val="00D446AF"/>
    <w:rsid w:val="00D44719"/>
    <w:rsid w:val="00D454A0"/>
    <w:rsid w:val="00D46762"/>
    <w:rsid w:val="00D50096"/>
    <w:rsid w:val="00D5098D"/>
    <w:rsid w:val="00D50DAD"/>
    <w:rsid w:val="00D51D27"/>
    <w:rsid w:val="00D51E27"/>
    <w:rsid w:val="00D53C13"/>
    <w:rsid w:val="00D57863"/>
    <w:rsid w:val="00D60891"/>
    <w:rsid w:val="00D63E32"/>
    <w:rsid w:val="00D651E4"/>
    <w:rsid w:val="00D65C17"/>
    <w:rsid w:val="00D714D5"/>
    <w:rsid w:val="00D71C6F"/>
    <w:rsid w:val="00D74EDA"/>
    <w:rsid w:val="00D75480"/>
    <w:rsid w:val="00D76577"/>
    <w:rsid w:val="00D775CF"/>
    <w:rsid w:val="00D8013F"/>
    <w:rsid w:val="00D80DC3"/>
    <w:rsid w:val="00D83DD3"/>
    <w:rsid w:val="00D852B3"/>
    <w:rsid w:val="00D85705"/>
    <w:rsid w:val="00D8579B"/>
    <w:rsid w:val="00D8653E"/>
    <w:rsid w:val="00D902CD"/>
    <w:rsid w:val="00D9120E"/>
    <w:rsid w:val="00D91B8F"/>
    <w:rsid w:val="00D92F0E"/>
    <w:rsid w:val="00D9498C"/>
    <w:rsid w:val="00D95304"/>
    <w:rsid w:val="00D97456"/>
    <w:rsid w:val="00DA37BE"/>
    <w:rsid w:val="00DA441E"/>
    <w:rsid w:val="00DA5ECF"/>
    <w:rsid w:val="00DB200D"/>
    <w:rsid w:val="00DB2EBA"/>
    <w:rsid w:val="00DB3594"/>
    <w:rsid w:val="00DB46E0"/>
    <w:rsid w:val="00DB5299"/>
    <w:rsid w:val="00DB52D8"/>
    <w:rsid w:val="00DB7F33"/>
    <w:rsid w:val="00DC13E9"/>
    <w:rsid w:val="00DC5837"/>
    <w:rsid w:val="00DC60EC"/>
    <w:rsid w:val="00DC66A6"/>
    <w:rsid w:val="00DD0405"/>
    <w:rsid w:val="00DD15BC"/>
    <w:rsid w:val="00DD1A79"/>
    <w:rsid w:val="00DD3458"/>
    <w:rsid w:val="00DD47BD"/>
    <w:rsid w:val="00DD648E"/>
    <w:rsid w:val="00DE1203"/>
    <w:rsid w:val="00DE2271"/>
    <w:rsid w:val="00DE27AC"/>
    <w:rsid w:val="00DE74EF"/>
    <w:rsid w:val="00DE7730"/>
    <w:rsid w:val="00DF1A7A"/>
    <w:rsid w:val="00DF5F2D"/>
    <w:rsid w:val="00DF7F53"/>
    <w:rsid w:val="00E02E58"/>
    <w:rsid w:val="00E03F21"/>
    <w:rsid w:val="00E0427B"/>
    <w:rsid w:val="00E04B22"/>
    <w:rsid w:val="00E05534"/>
    <w:rsid w:val="00E11028"/>
    <w:rsid w:val="00E13CE2"/>
    <w:rsid w:val="00E1467D"/>
    <w:rsid w:val="00E20694"/>
    <w:rsid w:val="00E207FB"/>
    <w:rsid w:val="00E22223"/>
    <w:rsid w:val="00E22FF7"/>
    <w:rsid w:val="00E24697"/>
    <w:rsid w:val="00E247A2"/>
    <w:rsid w:val="00E25590"/>
    <w:rsid w:val="00E25892"/>
    <w:rsid w:val="00E26562"/>
    <w:rsid w:val="00E27377"/>
    <w:rsid w:val="00E30754"/>
    <w:rsid w:val="00E30F50"/>
    <w:rsid w:val="00E31404"/>
    <w:rsid w:val="00E31DFE"/>
    <w:rsid w:val="00E3289D"/>
    <w:rsid w:val="00E374BF"/>
    <w:rsid w:val="00E40888"/>
    <w:rsid w:val="00E41757"/>
    <w:rsid w:val="00E41850"/>
    <w:rsid w:val="00E43693"/>
    <w:rsid w:val="00E44D5A"/>
    <w:rsid w:val="00E45DE4"/>
    <w:rsid w:val="00E508D8"/>
    <w:rsid w:val="00E508D9"/>
    <w:rsid w:val="00E51904"/>
    <w:rsid w:val="00E529D3"/>
    <w:rsid w:val="00E52E5E"/>
    <w:rsid w:val="00E53777"/>
    <w:rsid w:val="00E53DAE"/>
    <w:rsid w:val="00E57819"/>
    <w:rsid w:val="00E627FC"/>
    <w:rsid w:val="00E6348B"/>
    <w:rsid w:val="00E64563"/>
    <w:rsid w:val="00E64EE3"/>
    <w:rsid w:val="00E65278"/>
    <w:rsid w:val="00E67599"/>
    <w:rsid w:val="00E72B8B"/>
    <w:rsid w:val="00E731EE"/>
    <w:rsid w:val="00E740E6"/>
    <w:rsid w:val="00E75DF4"/>
    <w:rsid w:val="00E80335"/>
    <w:rsid w:val="00E8210B"/>
    <w:rsid w:val="00E85771"/>
    <w:rsid w:val="00E8693C"/>
    <w:rsid w:val="00E9062D"/>
    <w:rsid w:val="00E90ADB"/>
    <w:rsid w:val="00E911C7"/>
    <w:rsid w:val="00E91270"/>
    <w:rsid w:val="00E91D05"/>
    <w:rsid w:val="00E94F01"/>
    <w:rsid w:val="00E96BBE"/>
    <w:rsid w:val="00E9790F"/>
    <w:rsid w:val="00EA29E4"/>
    <w:rsid w:val="00EA394B"/>
    <w:rsid w:val="00EA39E7"/>
    <w:rsid w:val="00EA74D0"/>
    <w:rsid w:val="00EA7528"/>
    <w:rsid w:val="00EB00D2"/>
    <w:rsid w:val="00EB0976"/>
    <w:rsid w:val="00EB0EA7"/>
    <w:rsid w:val="00EB1781"/>
    <w:rsid w:val="00EB63A4"/>
    <w:rsid w:val="00EB72A8"/>
    <w:rsid w:val="00EC0307"/>
    <w:rsid w:val="00EC14DA"/>
    <w:rsid w:val="00EC1A36"/>
    <w:rsid w:val="00EC77D4"/>
    <w:rsid w:val="00ED058A"/>
    <w:rsid w:val="00ED150E"/>
    <w:rsid w:val="00ED182C"/>
    <w:rsid w:val="00ED1E5D"/>
    <w:rsid w:val="00ED4324"/>
    <w:rsid w:val="00ED543E"/>
    <w:rsid w:val="00ED703E"/>
    <w:rsid w:val="00EE12FC"/>
    <w:rsid w:val="00EE23CD"/>
    <w:rsid w:val="00EE2E95"/>
    <w:rsid w:val="00EE3D15"/>
    <w:rsid w:val="00EE4E13"/>
    <w:rsid w:val="00EE4ECD"/>
    <w:rsid w:val="00EE5B9B"/>
    <w:rsid w:val="00EF0E22"/>
    <w:rsid w:val="00EF56BE"/>
    <w:rsid w:val="00EF6107"/>
    <w:rsid w:val="00EF6142"/>
    <w:rsid w:val="00EF7633"/>
    <w:rsid w:val="00F01781"/>
    <w:rsid w:val="00F01F79"/>
    <w:rsid w:val="00F02E9E"/>
    <w:rsid w:val="00F03C8E"/>
    <w:rsid w:val="00F04F5D"/>
    <w:rsid w:val="00F06A12"/>
    <w:rsid w:val="00F114A7"/>
    <w:rsid w:val="00F117DD"/>
    <w:rsid w:val="00F11BA0"/>
    <w:rsid w:val="00F12C24"/>
    <w:rsid w:val="00F12EE9"/>
    <w:rsid w:val="00F13833"/>
    <w:rsid w:val="00F14D88"/>
    <w:rsid w:val="00F15D60"/>
    <w:rsid w:val="00F162E8"/>
    <w:rsid w:val="00F1738A"/>
    <w:rsid w:val="00F173AF"/>
    <w:rsid w:val="00F176FE"/>
    <w:rsid w:val="00F20CAE"/>
    <w:rsid w:val="00F21CB9"/>
    <w:rsid w:val="00F222D2"/>
    <w:rsid w:val="00F22659"/>
    <w:rsid w:val="00F23C73"/>
    <w:rsid w:val="00F24377"/>
    <w:rsid w:val="00F25B1E"/>
    <w:rsid w:val="00F262CF"/>
    <w:rsid w:val="00F27612"/>
    <w:rsid w:val="00F3149B"/>
    <w:rsid w:val="00F31569"/>
    <w:rsid w:val="00F31B64"/>
    <w:rsid w:val="00F31E0A"/>
    <w:rsid w:val="00F32CCD"/>
    <w:rsid w:val="00F34363"/>
    <w:rsid w:val="00F3516A"/>
    <w:rsid w:val="00F37302"/>
    <w:rsid w:val="00F41C03"/>
    <w:rsid w:val="00F43798"/>
    <w:rsid w:val="00F46C18"/>
    <w:rsid w:val="00F50C05"/>
    <w:rsid w:val="00F5143A"/>
    <w:rsid w:val="00F52B43"/>
    <w:rsid w:val="00F52CA7"/>
    <w:rsid w:val="00F575D4"/>
    <w:rsid w:val="00F62677"/>
    <w:rsid w:val="00F6350C"/>
    <w:rsid w:val="00F6564D"/>
    <w:rsid w:val="00F70854"/>
    <w:rsid w:val="00F742D4"/>
    <w:rsid w:val="00F75BDD"/>
    <w:rsid w:val="00F763BB"/>
    <w:rsid w:val="00F773D7"/>
    <w:rsid w:val="00F81597"/>
    <w:rsid w:val="00F8453A"/>
    <w:rsid w:val="00F91865"/>
    <w:rsid w:val="00F96712"/>
    <w:rsid w:val="00F96A52"/>
    <w:rsid w:val="00F96B20"/>
    <w:rsid w:val="00F97A14"/>
    <w:rsid w:val="00FA2188"/>
    <w:rsid w:val="00FA4307"/>
    <w:rsid w:val="00FA749F"/>
    <w:rsid w:val="00FB1E1C"/>
    <w:rsid w:val="00FB1E84"/>
    <w:rsid w:val="00FB330D"/>
    <w:rsid w:val="00FB3CDA"/>
    <w:rsid w:val="00FB4B09"/>
    <w:rsid w:val="00FB5A97"/>
    <w:rsid w:val="00FC354B"/>
    <w:rsid w:val="00FC5653"/>
    <w:rsid w:val="00FC79A8"/>
    <w:rsid w:val="00FD0A62"/>
    <w:rsid w:val="00FD0B9F"/>
    <w:rsid w:val="00FD0CFB"/>
    <w:rsid w:val="00FD29A9"/>
    <w:rsid w:val="00FD5590"/>
    <w:rsid w:val="00FD5F33"/>
    <w:rsid w:val="00FD6499"/>
    <w:rsid w:val="00FD697F"/>
    <w:rsid w:val="00FE187D"/>
    <w:rsid w:val="00FE2866"/>
    <w:rsid w:val="00FE35AA"/>
    <w:rsid w:val="00FF0340"/>
    <w:rsid w:val="00FF5107"/>
    <w:rsid w:val="00FF69A2"/>
    <w:rsid w:val="00FF7A36"/>
    <w:rsid w:val="00FF7F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FAE5BC"/>
  <w15:chartTrackingRefBased/>
  <w15:docId w15:val="{A131A54C-2AFA-4B18-84C8-7FFE84073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Body Text Indent 2" w:uiPriority="99"/>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6FFA"/>
  </w:style>
  <w:style w:type="paragraph" w:styleId="Heading1">
    <w:name w:val="heading 1"/>
    <w:basedOn w:val="Normal"/>
    <w:next w:val="Normal"/>
    <w:qFormat/>
    <w:pPr>
      <w:keepNext/>
      <w:ind w:left="360"/>
      <w:outlineLvl w:val="0"/>
    </w:pPr>
    <w:rPr>
      <w:sz w:val="28"/>
      <w:szCs w:val="28"/>
    </w:rPr>
  </w:style>
  <w:style w:type="paragraph" w:styleId="Heading2">
    <w:name w:val="heading 2"/>
    <w:basedOn w:val="Normal"/>
    <w:next w:val="Normal"/>
    <w:link w:val="Heading2Char"/>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1"/>
    </w:pPr>
    <w:rPr>
      <w:rFonts w:ascii="CG Times" w:hAnsi="CG Times"/>
      <w:b/>
      <w:sz w:val="36"/>
      <w:lang w:val="en-GB"/>
    </w:rPr>
  </w:style>
  <w:style w:type="paragraph" w:styleId="Heading3">
    <w:name w:val="heading 3"/>
    <w:basedOn w:val="Normal"/>
    <w:next w:val="Normal"/>
    <w:qFormat/>
    <w:pPr>
      <w:keepNext/>
      <w:ind w:left="720" w:firstLine="349"/>
      <w:outlineLvl w:val="2"/>
    </w:pPr>
    <w:rPr>
      <w:snapToGrid w:val="0"/>
      <w:color w:val="000000"/>
      <w:sz w:val="28"/>
      <w:szCs w:val="28"/>
      <w:lang w:val="en-GB" w:eastAsia="en-US"/>
    </w:rPr>
  </w:style>
  <w:style w:type="paragraph" w:styleId="Heading4">
    <w:name w:val="heading 4"/>
    <w:basedOn w:val="Normal"/>
    <w:next w:val="Normal"/>
    <w:qFormat/>
    <w:pPr>
      <w:keepNext/>
      <w:ind w:left="1440" w:hanging="731"/>
      <w:outlineLvl w:val="3"/>
    </w:pPr>
    <w:rPr>
      <w:snapToGrid w:val="0"/>
      <w:color w:val="000000"/>
      <w:sz w:val="28"/>
      <w:szCs w:val="28"/>
      <w:lang w:val="en-GB" w:eastAsia="en-US"/>
    </w:rPr>
  </w:style>
  <w:style w:type="paragraph" w:styleId="Heading5">
    <w:name w:val="heading 5"/>
    <w:basedOn w:val="Normal"/>
    <w:next w:val="Normal"/>
    <w:qFormat/>
    <w:pPr>
      <w:keepNext/>
      <w:ind w:left="720" w:firstLine="840"/>
      <w:outlineLvl w:val="4"/>
    </w:pPr>
    <w:rPr>
      <w:b/>
      <w:color w:val="000000"/>
      <w:sz w:val="32"/>
      <w:szCs w:val="32"/>
    </w:rPr>
  </w:style>
  <w:style w:type="paragraph" w:styleId="Heading6">
    <w:name w:val="heading 6"/>
    <w:basedOn w:val="Normal"/>
    <w:next w:val="Normal"/>
    <w:qFormat/>
    <w:pPr>
      <w:keepNext/>
      <w:ind w:firstLine="1134"/>
      <w:outlineLvl w:val="5"/>
    </w:pPr>
    <w:rPr>
      <w:sz w:val="28"/>
      <w:szCs w:val="28"/>
      <w:lang w:val="en-GB" w:eastAsia="en-US"/>
    </w:rPr>
  </w:style>
  <w:style w:type="paragraph" w:styleId="Heading7">
    <w:name w:val="heading 7"/>
    <w:basedOn w:val="Normal"/>
    <w:next w:val="Normal"/>
    <w:qFormat/>
    <w:rsid w:val="00E02E58"/>
    <w:pPr>
      <w:keepNext/>
      <w:ind w:left="709"/>
      <w:outlineLvl w:val="6"/>
    </w:pPr>
    <w:rPr>
      <w:sz w:val="28"/>
      <w:szCs w:val="28"/>
    </w:rPr>
  </w:style>
  <w:style w:type="paragraph" w:styleId="Heading8">
    <w:name w:val="heading 8"/>
    <w:basedOn w:val="Normal"/>
    <w:next w:val="Normal"/>
    <w:qFormat/>
    <w:rsid w:val="00632B62"/>
    <w:pPr>
      <w:keepNext/>
      <w:ind w:left="273" w:firstLine="436"/>
      <w:outlineLvl w:val="7"/>
    </w:pPr>
    <w:rPr>
      <w:color w:val="000000"/>
      <w:sz w:val="28"/>
      <w:szCs w:val="28"/>
    </w:rPr>
  </w:style>
  <w:style w:type="paragraph" w:styleId="Heading9">
    <w:name w:val="heading 9"/>
    <w:basedOn w:val="Normal"/>
    <w:next w:val="Normal"/>
    <w:qFormat/>
    <w:rsid w:val="00632B62"/>
    <w:pPr>
      <w:keepNext/>
      <w:autoSpaceDE w:val="0"/>
      <w:autoSpaceDN w:val="0"/>
      <w:adjustRightInd w:val="0"/>
      <w:ind w:firstLine="709"/>
      <w:outlineLvl w:val="8"/>
    </w:pPr>
    <w:rPr>
      <w:color w:val="000000"/>
      <w:sz w:val="24"/>
      <w:szCs w:val="24"/>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BodyTextIndent2">
    <w:name w:val="Body Text Indent 2"/>
    <w:basedOn w:val="Normal"/>
    <w:link w:val="BodyTextIndent2Char"/>
    <w:uiPriority w:val="99"/>
    <w:pPr>
      <w:ind w:left="426" w:hanging="426"/>
    </w:pPr>
    <w:rPr>
      <w:color w:val="0000FF"/>
      <w:sz w:val="24"/>
    </w:rPr>
  </w:style>
  <w:style w:type="character" w:styleId="Strong">
    <w:name w:val="Strong"/>
    <w:qFormat/>
    <w:rPr>
      <w:b/>
      <w:bC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pPr>
      <w:spacing w:before="100" w:beforeAutospacing="1" w:after="100" w:afterAutospacing="1"/>
    </w:pPr>
    <w:rPr>
      <w:sz w:val="24"/>
      <w:szCs w:val="24"/>
    </w:rPr>
  </w:style>
  <w:style w:type="paragraph" w:styleId="Header">
    <w:name w:val="header"/>
    <w:basedOn w:val="Normal"/>
    <w:link w:val="HeaderChar"/>
    <w:uiPriority w:val="99"/>
    <w:pPr>
      <w:tabs>
        <w:tab w:val="center" w:pos="4153"/>
        <w:tab w:val="right" w:pos="8306"/>
      </w:tabs>
    </w:pPr>
  </w:style>
  <w:style w:type="character" w:styleId="PageNumber">
    <w:name w:val="page number"/>
    <w:basedOn w:val="DefaultParagraphFont"/>
  </w:style>
  <w:style w:type="paragraph" w:styleId="NormalIndent">
    <w:name w:val="Normal Indent"/>
    <w:basedOn w:val="Normal"/>
    <w:pPr>
      <w:ind w:left="1418" w:hanging="567"/>
    </w:pPr>
    <w:rPr>
      <w:sz w:val="24"/>
    </w:rPr>
  </w:style>
  <w:style w:type="paragraph" w:styleId="BodyTextIndent">
    <w:name w:val="Body Text Indent"/>
    <w:basedOn w:val="Normal"/>
    <w:pPr>
      <w:ind w:left="709" w:hanging="709"/>
    </w:pPr>
    <w:rPr>
      <w:color w:val="000000"/>
      <w:sz w:val="28"/>
      <w:szCs w:val="28"/>
    </w:rPr>
  </w:style>
  <w:style w:type="paragraph" w:styleId="BodyTextIndent3">
    <w:name w:val="Body Text Indent 3"/>
    <w:basedOn w:val="Normal"/>
    <w:pPr>
      <w:ind w:left="709"/>
    </w:pPr>
    <w:rPr>
      <w:sz w:val="28"/>
      <w:szCs w:val="28"/>
    </w:rPr>
  </w:style>
  <w:style w:type="character" w:styleId="CommentReference">
    <w:name w:val="annotation reference"/>
    <w:rPr>
      <w:sz w:val="16"/>
      <w:szCs w:val="16"/>
    </w:rPr>
  </w:style>
  <w:style w:type="paragraph" w:styleId="CommentText">
    <w:name w:val="annotation text"/>
    <w:basedOn w:val="Normal"/>
    <w:link w:val="CommentTextChar"/>
  </w:style>
  <w:style w:type="paragraph" w:styleId="CommentSubject">
    <w:name w:val="annotation subject"/>
    <w:basedOn w:val="CommentText"/>
    <w:next w:val="CommentText"/>
    <w:semiHidden/>
    <w:rPr>
      <w:b/>
      <w:bCs/>
    </w:rPr>
  </w:style>
  <w:style w:type="paragraph" w:customStyle="1" w:styleId="Normal1">
    <w:name w:val="Normal1"/>
    <w:basedOn w:val="Normal"/>
    <w:link w:val="normalChar"/>
    <w:pPr>
      <w:spacing w:before="100" w:beforeAutospacing="1" w:after="100" w:afterAutospacing="1"/>
    </w:pPr>
    <w:rPr>
      <w:sz w:val="24"/>
      <w:szCs w:val="24"/>
      <w:lang w:val="en-US" w:eastAsia="en-US"/>
    </w:rPr>
  </w:style>
  <w:style w:type="character" w:customStyle="1" w:styleId="normalChar">
    <w:name w:val="normal Char"/>
    <w:link w:val="Normal1"/>
    <w:locked/>
    <w:rPr>
      <w:sz w:val="24"/>
      <w:szCs w:val="24"/>
      <w:lang w:val="en-US" w:eastAsia="en-US" w:bidi="ar-SA"/>
    </w:rPr>
  </w:style>
  <w:style w:type="paragraph" w:customStyle="1" w:styleId="Default">
    <w:name w:val="Default"/>
    <w:pPr>
      <w:autoSpaceDE w:val="0"/>
      <w:autoSpaceDN w:val="0"/>
      <w:adjustRightInd w:val="0"/>
    </w:pPr>
    <w:rPr>
      <w:color w:val="000000"/>
      <w:sz w:val="24"/>
      <w:szCs w:val="24"/>
    </w:rPr>
  </w:style>
  <w:style w:type="character" w:styleId="Hyperlink">
    <w:name w:val="Hyperlink"/>
    <w:rPr>
      <w:strike w:val="0"/>
      <w:dstrike w:val="0"/>
      <w:color w:val="0072BC"/>
      <w:u w:val="none"/>
      <w:effect w:val="none"/>
    </w:rPr>
  </w:style>
  <w:style w:type="paragraph" w:styleId="BodyText">
    <w:name w:val="Body Text"/>
    <w:basedOn w:val="Normal"/>
    <w:rsid w:val="00065ED7"/>
    <w:pPr>
      <w:spacing w:after="120"/>
    </w:pPr>
  </w:style>
  <w:style w:type="paragraph" w:customStyle="1" w:styleId="definition">
    <w:name w:val="definition"/>
    <w:basedOn w:val="Normal"/>
    <w:rsid w:val="00760851"/>
    <w:pPr>
      <w:spacing w:before="100" w:beforeAutospacing="1" w:after="100" w:afterAutospacing="1"/>
    </w:pPr>
    <w:rPr>
      <w:sz w:val="24"/>
      <w:szCs w:val="24"/>
    </w:rPr>
  </w:style>
  <w:style w:type="paragraph" w:customStyle="1" w:styleId="LogoHeader">
    <w:name w:val="LogoHeader"/>
    <w:basedOn w:val="Normal"/>
    <w:link w:val="LogoHeaderChar"/>
    <w:rsid w:val="00F222D2"/>
    <w:pPr>
      <w:keepLines/>
    </w:pPr>
    <w:rPr>
      <w:rFonts w:ascii="Univers" w:hAnsi="Univers"/>
      <w:sz w:val="24"/>
      <w:lang w:val="en-GB" w:eastAsia="en-US"/>
    </w:rPr>
  </w:style>
  <w:style w:type="character" w:customStyle="1" w:styleId="LogoHeaderChar">
    <w:name w:val="LogoHeader Char"/>
    <w:link w:val="LogoHeader"/>
    <w:rsid w:val="00F222D2"/>
    <w:rPr>
      <w:rFonts w:ascii="Univers" w:hAnsi="Univers"/>
      <w:sz w:val="24"/>
      <w:lang w:val="en-GB" w:eastAsia="en-US" w:bidi="ar-SA"/>
    </w:rPr>
  </w:style>
  <w:style w:type="paragraph" w:styleId="BodyText2">
    <w:name w:val="Body Text 2"/>
    <w:basedOn w:val="Normal"/>
    <w:rsid w:val="004A10D0"/>
    <w:pPr>
      <w:spacing w:after="120" w:line="480" w:lineRule="auto"/>
    </w:pPr>
  </w:style>
  <w:style w:type="paragraph" w:styleId="BodyText3">
    <w:name w:val="Body Text 3"/>
    <w:basedOn w:val="Normal"/>
    <w:rsid w:val="00F13833"/>
    <w:pPr>
      <w:spacing w:before="40"/>
      <w:jc w:val="both"/>
    </w:pPr>
    <w:rPr>
      <w:sz w:val="28"/>
      <w:szCs w:val="28"/>
    </w:rPr>
  </w:style>
  <w:style w:type="character" w:customStyle="1" w:styleId="st1">
    <w:name w:val="st1"/>
    <w:basedOn w:val="DefaultParagraphFont"/>
    <w:rsid w:val="00BE2FE2"/>
  </w:style>
  <w:style w:type="character" w:customStyle="1" w:styleId="grame">
    <w:name w:val="grame"/>
    <w:basedOn w:val="DefaultParagraphFont"/>
    <w:rsid w:val="003F7BDC"/>
  </w:style>
  <w:style w:type="character" w:styleId="FollowedHyperlink">
    <w:name w:val="FollowedHyperlink"/>
    <w:rsid w:val="009E5038"/>
    <w:rPr>
      <w:color w:val="800080"/>
      <w:u w:val="single"/>
    </w:rPr>
  </w:style>
  <w:style w:type="paragraph" w:styleId="ListParagraph">
    <w:name w:val="List Paragraph"/>
    <w:aliases w:val="List Bullet Cab,CAB - List Bullet,Bullet point,L,List Paragraph1,List Paragraph11,Recommendation,Executive Summary List,Numbered Point,Bullet Points,Body text,Bullets,CV text,Dot pt,F5 List Paragraph,FooterText,List Paragraph111,列"/>
    <w:basedOn w:val="Normal"/>
    <w:link w:val="ListParagraphChar"/>
    <w:uiPriority w:val="34"/>
    <w:qFormat/>
    <w:rsid w:val="00226671"/>
    <w:pPr>
      <w:ind w:left="720"/>
    </w:pPr>
    <w:rPr>
      <w:rFonts w:ascii="Calibri" w:eastAsia="Calibri" w:hAnsi="Calibri"/>
      <w:sz w:val="22"/>
      <w:szCs w:val="22"/>
      <w:lang w:eastAsia="en-US"/>
    </w:rPr>
  </w:style>
  <w:style w:type="character" w:customStyle="1" w:styleId="CommentTextChar">
    <w:name w:val="Comment Text Char"/>
    <w:link w:val="CommentText"/>
    <w:rsid w:val="00CF726E"/>
  </w:style>
  <w:style w:type="paragraph" w:customStyle="1" w:styleId="CABNETParagraphAtt">
    <w:name w:val="CABNET Paragraph Att"/>
    <w:basedOn w:val="Normal"/>
    <w:link w:val="CABNETParagraphAttChar"/>
    <w:qFormat/>
    <w:rsid w:val="006A024E"/>
    <w:pPr>
      <w:spacing w:before="120" w:after="120"/>
    </w:pPr>
    <w:rPr>
      <w:sz w:val="24"/>
      <w:szCs w:val="24"/>
    </w:rPr>
  </w:style>
  <w:style w:type="character" w:customStyle="1" w:styleId="CABNETParagraphAttChar">
    <w:name w:val="CABNET Paragraph Att Char"/>
    <w:link w:val="CABNETParagraphAtt"/>
    <w:rsid w:val="006A024E"/>
    <w:rPr>
      <w:sz w:val="24"/>
      <w:szCs w:val="24"/>
    </w:rPr>
  </w:style>
  <w:style w:type="character" w:customStyle="1" w:styleId="BodyTextIndent2Char">
    <w:name w:val="Body Text Indent 2 Char"/>
    <w:link w:val="BodyTextIndent2"/>
    <w:uiPriority w:val="99"/>
    <w:rsid w:val="00F173AF"/>
    <w:rPr>
      <w:color w:val="0000FF"/>
      <w:sz w:val="24"/>
    </w:rPr>
  </w:style>
  <w:style w:type="paragraph" w:styleId="Footer">
    <w:name w:val="footer"/>
    <w:basedOn w:val="Normal"/>
    <w:link w:val="FooterChar"/>
    <w:uiPriority w:val="99"/>
    <w:rsid w:val="00F117DD"/>
    <w:pPr>
      <w:tabs>
        <w:tab w:val="center" w:pos="4513"/>
        <w:tab w:val="right" w:pos="9026"/>
      </w:tabs>
    </w:pPr>
  </w:style>
  <w:style w:type="character" w:customStyle="1" w:styleId="FooterChar">
    <w:name w:val="Footer Char"/>
    <w:basedOn w:val="DefaultParagraphFont"/>
    <w:link w:val="Footer"/>
    <w:uiPriority w:val="99"/>
    <w:rsid w:val="00F117DD"/>
  </w:style>
  <w:style w:type="paragraph" w:styleId="FootnoteText">
    <w:name w:val="footnote text"/>
    <w:basedOn w:val="Normal"/>
    <w:link w:val="FootnoteTextChar"/>
    <w:unhideWhenUsed/>
    <w:rsid w:val="001E7FBB"/>
  </w:style>
  <w:style w:type="character" w:customStyle="1" w:styleId="FootnoteTextChar">
    <w:name w:val="Footnote Text Char"/>
    <w:basedOn w:val="DefaultParagraphFont"/>
    <w:link w:val="FootnoteText"/>
    <w:rsid w:val="001E7FBB"/>
  </w:style>
  <w:style w:type="character" w:styleId="FootnoteReference">
    <w:name w:val="footnote reference"/>
    <w:unhideWhenUsed/>
    <w:rsid w:val="001E7FBB"/>
    <w:rPr>
      <w:vertAlign w:val="superscript"/>
    </w:rPr>
  </w:style>
  <w:style w:type="character" w:customStyle="1" w:styleId="legsubtitle1">
    <w:name w:val="legsubtitle1"/>
    <w:rsid w:val="00433AF7"/>
    <w:rPr>
      <w:b/>
      <w:bCs/>
    </w:rPr>
  </w:style>
  <w:style w:type="character" w:customStyle="1" w:styleId="HeaderChar">
    <w:name w:val="Header Char"/>
    <w:link w:val="Header"/>
    <w:uiPriority w:val="99"/>
    <w:rsid w:val="00AD1952"/>
  </w:style>
  <w:style w:type="paragraph" w:styleId="PlainText">
    <w:name w:val="Plain Text"/>
    <w:basedOn w:val="Normal"/>
    <w:link w:val="PlainTextChar"/>
    <w:uiPriority w:val="99"/>
    <w:unhideWhenUsed/>
    <w:rsid w:val="00697719"/>
    <w:rPr>
      <w:rFonts w:ascii="Calibri" w:eastAsia="Calibri" w:hAnsi="Calibri" w:cs="Consolas"/>
      <w:sz w:val="22"/>
      <w:szCs w:val="21"/>
      <w:lang w:eastAsia="en-US"/>
    </w:rPr>
  </w:style>
  <w:style w:type="character" w:customStyle="1" w:styleId="PlainTextChar">
    <w:name w:val="Plain Text Char"/>
    <w:link w:val="PlainText"/>
    <w:uiPriority w:val="99"/>
    <w:rsid w:val="00697719"/>
    <w:rPr>
      <w:rFonts w:ascii="Calibri" w:eastAsia="Calibri" w:hAnsi="Calibri" w:cs="Consolas"/>
      <w:sz w:val="22"/>
      <w:szCs w:val="21"/>
      <w:lang w:eastAsia="en-US"/>
    </w:rPr>
  </w:style>
  <w:style w:type="character" w:customStyle="1" w:styleId="ActHead5Char">
    <w:name w:val="ActHead 5 Char"/>
    <w:aliases w:val="s Char"/>
    <w:link w:val="ActHead5"/>
    <w:locked/>
    <w:rsid w:val="003572D7"/>
    <w:rPr>
      <w:b/>
      <w:kern w:val="28"/>
      <w:sz w:val="24"/>
    </w:rPr>
  </w:style>
  <w:style w:type="paragraph" w:customStyle="1" w:styleId="ActHead5">
    <w:name w:val="ActHead 5"/>
    <w:aliases w:val="s"/>
    <w:basedOn w:val="Normal"/>
    <w:next w:val="Normal"/>
    <w:link w:val="ActHead5Char"/>
    <w:qFormat/>
    <w:rsid w:val="003572D7"/>
    <w:pPr>
      <w:keepNext/>
      <w:keepLines/>
      <w:spacing w:before="280"/>
      <w:ind w:left="1134" w:hanging="1134"/>
      <w:outlineLvl w:val="4"/>
    </w:pPr>
    <w:rPr>
      <w:b/>
      <w:kern w:val="28"/>
      <w:sz w:val="24"/>
    </w:rPr>
  </w:style>
  <w:style w:type="character" w:customStyle="1" w:styleId="ListParagraphChar">
    <w:name w:val="List Paragraph Char"/>
    <w:aliases w:val="List Bullet Cab Char,CAB - List Bullet Char,Bullet point Char,L Char,List Paragraph1 Char,List Paragraph11 Char,Recommendation Char,Executive Summary List Char,Numbered Point Char,Bullet Points Char,Body text Char,Bullets Char,列 Char"/>
    <w:basedOn w:val="DefaultParagraphFont"/>
    <w:link w:val="ListParagraph"/>
    <w:uiPriority w:val="34"/>
    <w:qFormat/>
    <w:locked/>
    <w:rsid w:val="008A3EC8"/>
    <w:rPr>
      <w:rFonts w:ascii="Calibri" w:eastAsia="Calibri" w:hAnsi="Calibri"/>
      <w:sz w:val="22"/>
      <w:szCs w:val="22"/>
      <w:lang w:eastAsia="en-US"/>
    </w:rPr>
  </w:style>
  <w:style w:type="character" w:customStyle="1" w:styleId="StyleArial10pt">
    <w:name w:val="Style Arial 10 pt"/>
    <w:basedOn w:val="DefaultParagraphFont"/>
    <w:uiPriority w:val="99"/>
    <w:rsid w:val="00DE74EF"/>
    <w:rPr>
      <w:rFonts w:ascii="Arial" w:hAnsi="Arial" w:cs="Times New Roman"/>
      <w:sz w:val="20"/>
    </w:rPr>
  </w:style>
  <w:style w:type="paragraph" w:customStyle="1" w:styleId="Commissionerstitles">
    <w:name w:val="Commissioners titles"/>
    <w:basedOn w:val="Normal"/>
    <w:rsid w:val="008D06DA"/>
    <w:pPr>
      <w:tabs>
        <w:tab w:val="left" w:pos="2268"/>
        <w:tab w:val="left" w:pos="3969"/>
      </w:tabs>
      <w:jc w:val="center"/>
    </w:pPr>
    <w:rPr>
      <w:rFonts w:ascii="Arial (W1)" w:hAnsi="Arial (W1)"/>
      <w:caps/>
      <w:sz w:val="28"/>
    </w:rPr>
  </w:style>
  <w:style w:type="character" w:customStyle="1" w:styleId="Heading2Char">
    <w:name w:val="Heading 2 Char"/>
    <w:basedOn w:val="DefaultParagraphFont"/>
    <w:link w:val="Heading2"/>
    <w:rsid w:val="009F3AA3"/>
    <w:rPr>
      <w:rFonts w:ascii="CG Times" w:hAnsi="CG Times"/>
      <w:b/>
      <w:sz w:val="3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28434">
      <w:bodyDiv w:val="1"/>
      <w:marLeft w:val="0"/>
      <w:marRight w:val="0"/>
      <w:marTop w:val="0"/>
      <w:marBottom w:val="0"/>
      <w:divBdr>
        <w:top w:val="none" w:sz="0" w:space="0" w:color="auto"/>
        <w:left w:val="none" w:sz="0" w:space="0" w:color="auto"/>
        <w:bottom w:val="none" w:sz="0" w:space="0" w:color="auto"/>
        <w:right w:val="none" w:sz="0" w:space="0" w:color="auto"/>
      </w:divBdr>
    </w:div>
    <w:div w:id="123429693">
      <w:bodyDiv w:val="1"/>
      <w:marLeft w:val="0"/>
      <w:marRight w:val="0"/>
      <w:marTop w:val="0"/>
      <w:marBottom w:val="0"/>
      <w:divBdr>
        <w:top w:val="none" w:sz="0" w:space="0" w:color="auto"/>
        <w:left w:val="none" w:sz="0" w:space="0" w:color="auto"/>
        <w:bottom w:val="none" w:sz="0" w:space="0" w:color="auto"/>
        <w:right w:val="none" w:sz="0" w:space="0" w:color="auto"/>
      </w:divBdr>
    </w:div>
    <w:div w:id="129369878">
      <w:bodyDiv w:val="1"/>
      <w:marLeft w:val="0"/>
      <w:marRight w:val="0"/>
      <w:marTop w:val="0"/>
      <w:marBottom w:val="0"/>
      <w:divBdr>
        <w:top w:val="none" w:sz="0" w:space="0" w:color="auto"/>
        <w:left w:val="none" w:sz="0" w:space="0" w:color="auto"/>
        <w:bottom w:val="none" w:sz="0" w:space="0" w:color="auto"/>
        <w:right w:val="none" w:sz="0" w:space="0" w:color="auto"/>
      </w:divBdr>
    </w:div>
    <w:div w:id="146476316">
      <w:bodyDiv w:val="1"/>
      <w:marLeft w:val="0"/>
      <w:marRight w:val="0"/>
      <w:marTop w:val="0"/>
      <w:marBottom w:val="0"/>
      <w:divBdr>
        <w:top w:val="none" w:sz="0" w:space="0" w:color="auto"/>
        <w:left w:val="none" w:sz="0" w:space="0" w:color="auto"/>
        <w:bottom w:val="none" w:sz="0" w:space="0" w:color="auto"/>
        <w:right w:val="none" w:sz="0" w:space="0" w:color="auto"/>
      </w:divBdr>
      <w:divsChild>
        <w:div w:id="738406263">
          <w:marLeft w:val="0"/>
          <w:marRight w:val="0"/>
          <w:marTop w:val="0"/>
          <w:marBottom w:val="0"/>
          <w:divBdr>
            <w:top w:val="none" w:sz="0" w:space="0" w:color="auto"/>
            <w:left w:val="none" w:sz="0" w:space="0" w:color="auto"/>
            <w:bottom w:val="none" w:sz="0" w:space="0" w:color="auto"/>
            <w:right w:val="none" w:sz="0" w:space="0" w:color="auto"/>
          </w:divBdr>
          <w:divsChild>
            <w:div w:id="184465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26275">
      <w:bodyDiv w:val="1"/>
      <w:marLeft w:val="0"/>
      <w:marRight w:val="0"/>
      <w:marTop w:val="0"/>
      <w:marBottom w:val="0"/>
      <w:divBdr>
        <w:top w:val="none" w:sz="0" w:space="0" w:color="auto"/>
        <w:left w:val="none" w:sz="0" w:space="0" w:color="auto"/>
        <w:bottom w:val="none" w:sz="0" w:space="0" w:color="auto"/>
        <w:right w:val="none" w:sz="0" w:space="0" w:color="auto"/>
      </w:divBdr>
      <w:divsChild>
        <w:div w:id="1461606883">
          <w:marLeft w:val="0"/>
          <w:marRight w:val="0"/>
          <w:marTop w:val="0"/>
          <w:marBottom w:val="0"/>
          <w:divBdr>
            <w:top w:val="none" w:sz="0" w:space="0" w:color="auto"/>
            <w:left w:val="none" w:sz="0" w:space="0" w:color="auto"/>
            <w:bottom w:val="none" w:sz="0" w:space="0" w:color="auto"/>
            <w:right w:val="none" w:sz="0" w:space="0" w:color="auto"/>
          </w:divBdr>
          <w:divsChild>
            <w:div w:id="85473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695268">
      <w:bodyDiv w:val="1"/>
      <w:marLeft w:val="0"/>
      <w:marRight w:val="0"/>
      <w:marTop w:val="0"/>
      <w:marBottom w:val="0"/>
      <w:divBdr>
        <w:top w:val="none" w:sz="0" w:space="0" w:color="auto"/>
        <w:left w:val="none" w:sz="0" w:space="0" w:color="auto"/>
        <w:bottom w:val="none" w:sz="0" w:space="0" w:color="auto"/>
        <w:right w:val="none" w:sz="0" w:space="0" w:color="auto"/>
      </w:divBdr>
    </w:div>
    <w:div w:id="309408657">
      <w:bodyDiv w:val="1"/>
      <w:marLeft w:val="0"/>
      <w:marRight w:val="0"/>
      <w:marTop w:val="0"/>
      <w:marBottom w:val="0"/>
      <w:divBdr>
        <w:top w:val="none" w:sz="0" w:space="0" w:color="auto"/>
        <w:left w:val="none" w:sz="0" w:space="0" w:color="auto"/>
        <w:bottom w:val="none" w:sz="0" w:space="0" w:color="auto"/>
        <w:right w:val="none" w:sz="0" w:space="0" w:color="auto"/>
      </w:divBdr>
    </w:div>
    <w:div w:id="316885569">
      <w:bodyDiv w:val="1"/>
      <w:marLeft w:val="0"/>
      <w:marRight w:val="0"/>
      <w:marTop w:val="0"/>
      <w:marBottom w:val="0"/>
      <w:divBdr>
        <w:top w:val="none" w:sz="0" w:space="0" w:color="auto"/>
        <w:left w:val="none" w:sz="0" w:space="0" w:color="auto"/>
        <w:bottom w:val="none" w:sz="0" w:space="0" w:color="auto"/>
        <w:right w:val="none" w:sz="0" w:space="0" w:color="auto"/>
      </w:divBdr>
    </w:div>
    <w:div w:id="330571502">
      <w:bodyDiv w:val="1"/>
      <w:marLeft w:val="0"/>
      <w:marRight w:val="0"/>
      <w:marTop w:val="0"/>
      <w:marBottom w:val="0"/>
      <w:divBdr>
        <w:top w:val="none" w:sz="0" w:space="0" w:color="auto"/>
        <w:left w:val="none" w:sz="0" w:space="0" w:color="auto"/>
        <w:bottom w:val="none" w:sz="0" w:space="0" w:color="auto"/>
        <w:right w:val="none" w:sz="0" w:space="0" w:color="auto"/>
      </w:divBdr>
    </w:div>
    <w:div w:id="445808492">
      <w:bodyDiv w:val="1"/>
      <w:marLeft w:val="0"/>
      <w:marRight w:val="0"/>
      <w:marTop w:val="0"/>
      <w:marBottom w:val="0"/>
      <w:divBdr>
        <w:top w:val="none" w:sz="0" w:space="0" w:color="auto"/>
        <w:left w:val="none" w:sz="0" w:space="0" w:color="auto"/>
        <w:bottom w:val="none" w:sz="0" w:space="0" w:color="auto"/>
        <w:right w:val="none" w:sz="0" w:space="0" w:color="auto"/>
      </w:divBdr>
    </w:div>
    <w:div w:id="481459947">
      <w:bodyDiv w:val="1"/>
      <w:marLeft w:val="0"/>
      <w:marRight w:val="0"/>
      <w:marTop w:val="0"/>
      <w:marBottom w:val="0"/>
      <w:divBdr>
        <w:top w:val="none" w:sz="0" w:space="0" w:color="auto"/>
        <w:left w:val="none" w:sz="0" w:space="0" w:color="auto"/>
        <w:bottom w:val="none" w:sz="0" w:space="0" w:color="auto"/>
        <w:right w:val="none" w:sz="0" w:space="0" w:color="auto"/>
      </w:divBdr>
      <w:divsChild>
        <w:div w:id="677462748">
          <w:marLeft w:val="0"/>
          <w:marRight w:val="0"/>
          <w:marTop w:val="0"/>
          <w:marBottom w:val="0"/>
          <w:divBdr>
            <w:top w:val="none" w:sz="0" w:space="0" w:color="auto"/>
            <w:left w:val="none" w:sz="0" w:space="0" w:color="auto"/>
            <w:bottom w:val="none" w:sz="0" w:space="0" w:color="auto"/>
            <w:right w:val="none" w:sz="0" w:space="0" w:color="auto"/>
          </w:divBdr>
          <w:divsChild>
            <w:div w:id="78261993">
              <w:marLeft w:val="0"/>
              <w:marRight w:val="0"/>
              <w:marTop w:val="0"/>
              <w:marBottom w:val="0"/>
              <w:divBdr>
                <w:top w:val="none" w:sz="0" w:space="0" w:color="auto"/>
                <w:left w:val="none" w:sz="0" w:space="0" w:color="auto"/>
                <w:bottom w:val="none" w:sz="0" w:space="0" w:color="auto"/>
                <w:right w:val="none" w:sz="0" w:space="0" w:color="auto"/>
              </w:divBdr>
              <w:divsChild>
                <w:div w:id="1849557643">
                  <w:marLeft w:val="0"/>
                  <w:marRight w:val="0"/>
                  <w:marTop w:val="0"/>
                  <w:marBottom w:val="0"/>
                  <w:divBdr>
                    <w:top w:val="none" w:sz="0" w:space="0" w:color="auto"/>
                    <w:left w:val="none" w:sz="0" w:space="0" w:color="auto"/>
                    <w:bottom w:val="none" w:sz="0" w:space="0" w:color="auto"/>
                    <w:right w:val="none" w:sz="0" w:space="0" w:color="auto"/>
                  </w:divBdr>
                  <w:divsChild>
                    <w:div w:id="230622341">
                      <w:marLeft w:val="0"/>
                      <w:marRight w:val="0"/>
                      <w:marTop w:val="0"/>
                      <w:marBottom w:val="0"/>
                      <w:divBdr>
                        <w:top w:val="none" w:sz="0" w:space="0" w:color="auto"/>
                        <w:left w:val="none" w:sz="0" w:space="0" w:color="auto"/>
                        <w:bottom w:val="none" w:sz="0" w:space="0" w:color="auto"/>
                        <w:right w:val="none" w:sz="0" w:space="0" w:color="auto"/>
                      </w:divBdr>
                      <w:divsChild>
                        <w:div w:id="201834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9194376">
      <w:bodyDiv w:val="1"/>
      <w:marLeft w:val="0"/>
      <w:marRight w:val="0"/>
      <w:marTop w:val="0"/>
      <w:marBottom w:val="0"/>
      <w:divBdr>
        <w:top w:val="none" w:sz="0" w:space="0" w:color="auto"/>
        <w:left w:val="none" w:sz="0" w:space="0" w:color="auto"/>
        <w:bottom w:val="none" w:sz="0" w:space="0" w:color="auto"/>
        <w:right w:val="none" w:sz="0" w:space="0" w:color="auto"/>
      </w:divBdr>
    </w:div>
    <w:div w:id="784807618">
      <w:bodyDiv w:val="1"/>
      <w:marLeft w:val="0"/>
      <w:marRight w:val="0"/>
      <w:marTop w:val="0"/>
      <w:marBottom w:val="0"/>
      <w:divBdr>
        <w:top w:val="none" w:sz="0" w:space="0" w:color="auto"/>
        <w:left w:val="none" w:sz="0" w:space="0" w:color="auto"/>
        <w:bottom w:val="none" w:sz="0" w:space="0" w:color="auto"/>
        <w:right w:val="none" w:sz="0" w:space="0" w:color="auto"/>
      </w:divBdr>
      <w:divsChild>
        <w:div w:id="1224026887">
          <w:marLeft w:val="0"/>
          <w:marRight w:val="0"/>
          <w:marTop w:val="0"/>
          <w:marBottom w:val="0"/>
          <w:divBdr>
            <w:top w:val="none" w:sz="0" w:space="0" w:color="auto"/>
            <w:left w:val="none" w:sz="0" w:space="0" w:color="auto"/>
            <w:bottom w:val="none" w:sz="0" w:space="0" w:color="auto"/>
            <w:right w:val="none" w:sz="0" w:space="0" w:color="auto"/>
          </w:divBdr>
          <w:divsChild>
            <w:div w:id="190113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803515">
      <w:bodyDiv w:val="1"/>
      <w:marLeft w:val="0"/>
      <w:marRight w:val="0"/>
      <w:marTop w:val="0"/>
      <w:marBottom w:val="0"/>
      <w:divBdr>
        <w:top w:val="none" w:sz="0" w:space="0" w:color="auto"/>
        <w:left w:val="none" w:sz="0" w:space="0" w:color="auto"/>
        <w:bottom w:val="none" w:sz="0" w:space="0" w:color="auto"/>
        <w:right w:val="none" w:sz="0" w:space="0" w:color="auto"/>
      </w:divBdr>
    </w:div>
    <w:div w:id="1072511469">
      <w:bodyDiv w:val="1"/>
      <w:marLeft w:val="0"/>
      <w:marRight w:val="0"/>
      <w:marTop w:val="0"/>
      <w:marBottom w:val="0"/>
      <w:divBdr>
        <w:top w:val="none" w:sz="0" w:space="0" w:color="auto"/>
        <w:left w:val="none" w:sz="0" w:space="0" w:color="auto"/>
        <w:bottom w:val="none" w:sz="0" w:space="0" w:color="auto"/>
        <w:right w:val="none" w:sz="0" w:space="0" w:color="auto"/>
      </w:divBdr>
    </w:div>
    <w:div w:id="1117682814">
      <w:bodyDiv w:val="1"/>
      <w:marLeft w:val="0"/>
      <w:marRight w:val="0"/>
      <w:marTop w:val="0"/>
      <w:marBottom w:val="0"/>
      <w:divBdr>
        <w:top w:val="none" w:sz="0" w:space="0" w:color="auto"/>
        <w:left w:val="none" w:sz="0" w:space="0" w:color="auto"/>
        <w:bottom w:val="none" w:sz="0" w:space="0" w:color="auto"/>
        <w:right w:val="none" w:sz="0" w:space="0" w:color="auto"/>
      </w:divBdr>
      <w:divsChild>
        <w:div w:id="1748651232">
          <w:marLeft w:val="0"/>
          <w:marRight w:val="0"/>
          <w:marTop w:val="0"/>
          <w:marBottom w:val="0"/>
          <w:divBdr>
            <w:top w:val="none" w:sz="0" w:space="0" w:color="auto"/>
            <w:left w:val="none" w:sz="0" w:space="0" w:color="auto"/>
            <w:bottom w:val="none" w:sz="0" w:space="0" w:color="auto"/>
            <w:right w:val="none" w:sz="0" w:space="0" w:color="auto"/>
          </w:divBdr>
          <w:divsChild>
            <w:div w:id="100952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267959">
      <w:bodyDiv w:val="1"/>
      <w:marLeft w:val="0"/>
      <w:marRight w:val="0"/>
      <w:marTop w:val="0"/>
      <w:marBottom w:val="0"/>
      <w:divBdr>
        <w:top w:val="none" w:sz="0" w:space="0" w:color="auto"/>
        <w:left w:val="none" w:sz="0" w:space="0" w:color="auto"/>
        <w:bottom w:val="none" w:sz="0" w:space="0" w:color="auto"/>
        <w:right w:val="none" w:sz="0" w:space="0" w:color="auto"/>
      </w:divBdr>
    </w:div>
    <w:div w:id="1388919117">
      <w:bodyDiv w:val="1"/>
      <w:marLeft w:val="0"/>
      <w:marRight w:val="0"/>
      <w:marTop w:val="0"/>
      <w:marBottom w:val="0"/>
      <w:divBdr>
        <w:top w:val="none" w:sz="0" w:space="0" w:color="auto"/>
        <w:left w:val="none" w:sz="0" w:space="0" w:color="auto"/>
        <w:bottom w:val="none" w:sz="0" w:space="0" w:color="auto"/>
        <w:right w:val="none" w:sz="0" w:space="0" w:color="auto"/>
      </w:divBdr>
    </w:div>
    <w:div w:id="1468626387">
      <w:bodyDiv w:val="1"/>
      <w:marLeft w:val="0"/>
      <w:marRight w:val="0"/>
      <w:marTop w:val="0"/>
      <w:marBottom w:val="0"/>
      <w:divBdr>
        <w:top w:val="none" w:sz="0" w:space="0" w:color="auto"/>
        <w:left w:val="none" w:sz="0" w:space="0" w:color="auto"/>
        <w:bottom w:val="none" w:sz="0" w:space="0" w:color="auto"/>
        <w:right w:val="none" w:sz="0" w:space="0" w:color="auto"/>
      </w:divBdr>
    </w:div>
    <w:div w:id="1513451072">
      <w:bodyDiv w:val="1"/>
      <w:marLeft w:val="0"/>
      <w:marRight w:val="0"/>
      <w:marTop w:val="0"/>
      <w:marBottom w:val="0"/>
      <w:divBdr>
        <w:top w:val="none" w:sz="0" w:space="0" w:color="auto"/>
        <w:left w:val="none" w:sz="0" w:space="0" w:color="auto"/>
        <w:bottom w:val="none" w:sz="0" w:space="0" w:color="auto"/>
        <w:right w:val="none" w:sz="0" w:space="0" w:color="auto"/>
      </w:divBdr>
      <w:divsChild>
        <w:div w:id="2036955293">
          <w:marLeft w:val="0"/>
          <w:marRight w:val="0"/>
          <w:marTop w:val="0"/>
          <w:marBottom w:val="0"/>
          <w:divBdr>
            <w:top w:val="none" w:sz="0" w:space="0" w:color="auto"/>
            <w:left w:val="none" w:sz="0" w:space="0" w:color="auto"/>
            <w:bottom w:val="none" w:sz="0" w:space="0" w:color="auto"/>
            <w:right w:val="none" w:sz="0" w:space="0" w:color="auto"/>
          </w:divBdr>
          <w:divsChild>
            <w:div w:id="32315443">
              <w:marLeft w:val="0"/>
              <w:marRight w:val="0"/>
              <w:marTop w:val="0"/>
              <w:marBottom w:val="0"/>
              <w:divBdr>
                <w:top w:val="none" w:sz="0" w:space="0" w:color="auto"/>
                <w:left w:val="none" w:sz="0" w:space="0" w:color="auto"/>
                <w:bottom w:val="none" w:sz="0" w:space="0" w:color="auto"/>
                <w:right w:val="none" w:sz="0" w:space="0" w:color="auto"/>
              </w:divBdr>
              <w:divsChild>
                <w:div w:id="1762095656">
                  <w:marLeft w:val="0"/>
                  <w:marRight w:val="0"/>
                  <w:marTop w:val="100"/>
                  <w:marBottom w:val="100"/>
                  <w:divBdr>
                    <w:top w:val="none" w:sz="0" w:space="0" w:color="auto"/>
                    <w:left w:val="none" w:sz="0" w:space="0" w:color="auto"/>
                    <w:bottom w:val="none" w:sz="0" w:space="0" w:color="auto"/>
                    <w:right w:val="none" w:sz="0" w:space="0" w:color="auto"/>
                  </w:divBdr>
                  <w:divsChild>
                    <w:div w:id="418185896">
                      <w:marLeft w:val="0"/>
                      <w:marRight w:val="0"/>
                      <w:marTop w:val="0"/>
                      <w:marBottom w:val="0"/>
                      <w:divBdr>
                        <w:top w:val="none" w:sz="0" w:space="0" w:color="auto"/>
                        <w:left w:val="none" w:sz="0" w:space="0" w:color="auto"/>
                        <w:bottom w:val="none" w:sz="0" w:space="0" w:color="auto"/>
                        <w:right w:val="none" w:sz="0" w:space="0" w:color="auto"/>
                      </w:divBdr>
                      <w:divsChild>
                        <w:div w:id="365301938">
                          <w:marLeft w:val="0"/>
                          <w:marRight w:val="0"/>
                          <w:marTop w:val="0"/>
                          <w:marBottom w:val="0"/>
                          <w:divBdr>
                            <w:top w:val="none" w:sz="0" w:space="0" w:color="auto"/>
                            <w:left w:val="none" w:sz="0" w:space="0" w:color="auto"/>
                            <w:bottom w:val="none" w:sz="0" w:space="0" w:color="auto"/>
                            <w:right w:val="none" w:sz="0" w:space="0" w:color="auto"/>
                          </w:divBdr>
                          <w:divsChild>
                            <w:div w:id="698895613">
                              <w:marLeft w:val="0"/>
                              <w:marRight w:val="0"/>
                              <w:marTop w:val="0"/>
                              <w:marBottom w:val="0"/>
                              <w:divBdr>
                                <w:top w:val="none" w:sz="0" w:space="0" w:color="auto"/>
                                <w:left w:val="none" w:sz="0" w:space="0" w:color="auto"/>
                                <w:bottom w:val="none" w:sz="0" w:space="0" w:color="auto"/>
                                <w:right w:val="none" w:sz="0" w:space="0" w:color="auto"/>
                              </w:divBdr>
                              <w:divsChild>
                                <w:div w:id="449058285">
                                  <w:marLeft w:val="0"/>
                                  <w:marRight w:val="0"/>
                                  <w:marTop w:val="0"/>
                                  <w:marBottom w:val="0"/>
                                  <w:divBdr>
                                    <w:top w:val="none" w:sz="0" w:space="0" w:color="auto"/>
                                    <w:left w:val="none" w:sz="0" w:space="0" w:color="auto"/>
                                    <w:bottom w:val="none" w:sz="0" w:space="0" w:color="auto"/>
                                    <w:right w:val="none" w:sz="0" w:space="0" w:color="auto"/>
                                  </w:divBdr>
                                  <w:divsChild>
                                    <w:div w:id="623073046">
                                      <w:marLeft w:val="0"/>
                                      <w:marRight w:val="0"/>
                                      <w:marTop w:val="0"/>
                                      <w:marBottom w:val="0"/>
                                      <w:divBdr>
                                        <w:top w:val="none" w:sz="0" w:space="0" w:color="auto"/>
                                        <w:left w:val="none" w:sz="0" w:space="0" w:color="auto"/>
                                        <w:bottom w:val="none" w:sz="0" w:space="0" w:color="auto"/>
                                        <w:right w:val="none" w:sz="0" w:space="0" w:color="auto"/>
                                      </w:divBdr>
                                      <w:divsChild>
                                        <w:div w:id="927614064">
                                          <w:marLeft w:val="0"/>
                                          <w:marRight w:val="0"/>
                                          <w:marTop w:val="0"/>
                                          <w:marBottom w:val="360"/>
                                          <w:divBdr>
                                            <w:top w:val="none" w:sz="0" w:space="0" w:color="auto"/>
                                            <w:left w:val="none" w:sz="0" w:space="0" w:color="auto"/>
                                            <w:bottom w:val="none" w:sz="0" w:space="0" w:color="auto"/>
                                            <w:right w:val="none" w:sz="0" w:space="0" w:color="auto"/>
                                          </w:divBdr>
                                          <w:divsChild>
                                            <w:div w:id="2060204354">
                                              <w:marLeft w:val="0"/>
                                              <w:marRight w:val="0"/>
                                              <w:marTop w:val="0"/>
                                              <w:marBottom w:val="0"/>
                                              <w:divBdr>
                                                <w:top w:val="none" w:sz="0" w:space="0" w:color="auto"/>
                                                <w:left w:val="none" w:sz="0" w:space="0" w:color="auto"/>
                                                <w:bottom w:val="none" w:sz="0" w:space="0" w:color="auto"/>
                                                <w:right w:val="none" w:sz="0" w:space="0" w:color="auto"/>
                                              </w:divBdr>
                                              <w:divsChild>
                                                <w:div w:id="1086460796">
                                                  <w:marLeft w:val="0"/>
                                                  <w:marRight w:val="0"/>
                                                  <w:marTop w:val="0"/>
                                                  <w:marBottom w:val="0"/>
                                                  <w:divBdr>
                                                    <w:top w:val="none" w:sz="0" w:space="0" w:color="auto"/>
                                                    <w:left w:val="none" w:sz="0" w:space="0" w:color="auto"/>
                                                    <w:bottom w:val="none" w:sz="0" w:space="0" w:color="auto"/>
                                                    <w:right w:val="none" w:sz="0" w:space="0" w:color="auto"/>
                                                  </w:divBdr>
                                                  <w:divsChild>
                                                    <w:div w:id="169757109">
                                                      <w:marLeft w:val="5370"/>
                                                      <w:marRight w:val="0"/>
                                                      <w:marTop w:val="120"/>
                                                      <w:marBottom w:val="0"/>
                                                      <w:divBdr>
                                                        <w:top w:val="none" w:sz="0" w:space="0" w:color="auto"/>
                                                        <w:left w:val="none" w:sz="0" w:space="0" w:color="auto"/>
                                                        <w:bottom w:val="none" w:sz="0" w:space="0" w:color="auto"/>
                                                        <w:right w:val="none" w:sz="0" w:space="0" w:color="auto"/>
                                                      </w:divBdr>
                                                      <w:divsChild>
                                                        <w:div w:id="123451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73351500">
      <w:bodyDiv w:val="1"/>
      <w:marLeft w:val="0"/>
      <w:marRight w:val="0"/>
      <w:marTop w:val="0"/>
      <w:marBottom w:val="0"/>
      <w:divBdr>
        <w:top w:val="none" w:sz="0" w:space="0" w:color="auto"/>
        <w:left w:val="none" w:sz="0" w:space="0" w:color="auto"/>
        <w:bottom w:val="none" w:sz="0" w:space="0" w:color="auto"/>
        <w:right w:val="none" w:sz="0" w:space="0" w:color="auto"/>
      </w:divBdr>
    </w:div>
    <w:div w:id="1573661924">
      <w:bodyDiv w:val="1"/>
      <w:marLeft w:val="0"/>
      <w:marRight w:val="0"/>
      <w:marTop w:val="0"/>
      <w:marBottom w:val="0"/>
      <w:divBdr>
        <w:top w:val="none" w:sz="0" w:space="0" w:color="auto"/>
        <w:left w:val="none" w:sz="0" w:space="0" w:color="auto"/>
        <w:bottom w:val="none" w:sz="0" w:space="0" w:color="auto"/>
        <w:right w:val="none" w:sz="0" w:space="0" w:color="auto"/>
      </w:divBdr>
      <w:divsChild>
        <w:div w:id="337267356">
          <w:marLeft w:val="0"/>
          <w:marRight w:val="0"/>
          <w:marTop w:val="0"/>
          <w:marBottom w:val="0"/>
          <w:divBdr>
            <w:top w:val="none" w:sz="0" w:space="0" w:color="auto"/>
            <w:left w:val="none" w:sz="0" w:space="0" w:color="auto"/>
            <w:bottom w:val="none" w:sz="0" w:space="0" w:color="auto"/>
            <w:right w:val="none" w:sz="0" w:space="0" w:color="auto"/>
          </w:divBdr>
          <w:divsChild>
            <w:div w:id="708261789">
              <w:marLeft w:val="0"/>
              <w:marRight w:val="0"/>
              <w:marTop w:val="0"/>
              <w:marBottom w:val="0"/>
              <w:divBdr>
                <w:top w:val="none" w:sz="0" w:space="0" w:color="auto"/>
                <w:left w:val="none" w:sz="0" w:space="0" w:color="auto"/>
                <w:bottom w:val="none" w:sz="0" w:space="0" w:color="auto"/>
                <w:right w:val="none" w:sz="0" w:space="0" w:color="auto"/>
              </w:divBdr>
              <w:divsChild>
                <w:div w:id="123620652">
                  <w:marLeft w:val="0"/>
                  <w:marRight w:val="0"/>
                  <w:marTop w:val="100"/>
                  <w:marBottom w:val="100"/>
                  <w:divBdr>
                    <w:top w:val="none" w:sz="0" w:space="0" w:color="auto"/>
                    <w:left w:val="none" w:sz="0" w:space="0" w:color="auto"/>
                    <w:bottom w:val="none" w:sz="0" w:space="0" w:color="auto"/>
                    <w:right w:val="none" w:sz="0" w:space="0" w:color="auto"/>
                  </w:divBdr>
                  <w:divsChild>
                    <w:div w:id="1235778385">
                      <w:marLeft w:val="0"/>
                      <w:marRight w:val="0"/>
                      <w:marTop w:val="0"/>
                      <w:marBottom w:val="0"/>
                      <w:divBdr>
                        <w:top w:val="none" w:sz="0" w:space="0" w:color="auto"/>
                        <w:left w:val="none" w:sz="0" w:space="0" w:color="auto"/>
                        <w:bottom w:val="none" w:sz="0" w:space="0" w:color="auto"/>
                        <w:right w:val="none" w:sz="0" w:space="0" w:color="auto"/>
                      </w:divBdr>
                      <w:divsChild>
                        <w:div w:id="603922389">
                          <w:marLeft w:val="0"/>
                          <w:marRight w:val="0"/>
                          <w:marTop w:val="0"/>
                          <w:marBottom w:val="0"/>
                          <w:divBdr>
                            <w:top w:val="none" w:sz="0" w:space="0" w:color="auto"/>
                            <w:left w:val="none" w:sz="0" w:space="0" w:color="auto"/>
                            <w:bottom w:val="none" w:sz="0" w:space="0" w:color="auto"/>
                            <w:right w:val="none" w:sz="0" w:space="0" w:color="auto"/>
                          </w:divBdr>
                          <w:divsChild>
                            <w:div w:id="1435588171">
                              <w:marLeft w:val="0"/>
                              <w:marRight w:val="0"/>
                              <w:marTop w:val="0"/>
                              <w:marBottom w:val="0"/>
                              <w:divBdr>
                                <w:top w:val="none" w:sz="0" w:space="0" w:color="auto"/>
                                <w:left w:val="none" w:sz="0" w:space="0" w:color="auto"/>
                                <w:bottom w:val="none" w:sz="0" w:space="0" w:color="auto"/>
                                <w:right w:val="none" w:sz="0" w:space="0" w:color="auto"/>
                              </w:divBdr>
                              <w:divsChild>
                                <w:div w:id="2064324021">
                                  <w:marLeft w:val="0"/>
                                  <w:marRight w:val="0"/>
                                  <w:marTop w:val="0"/>
                                  <w:marBottom w:val="0"/>
                                  <w:divBdr>
                                    <w:top w:val="none" w:sz="0" w:space="0" w:color="auto"/>
                                    <w:left w:val="none" w:sz="0" w:space="0" w:color="auto"/>
                                    <w:bottom w:val="none" w:sz="0" w:space="0" w:color="auto"/>
                                    <w:right w:val="none" w:sz="0" w:space="0" w:color="auto"/>
                                  </w:divBdr>
                                  <w:divsChild>
                                    <w:div w:id="1444685927">
                                      <w:marLeft w:val="0"/>
                                      <w:marRight w:val="0"/>
                                      <w:marTop w:val="0"/>
                                      <w:marBottom w:val="0"/>
                                      <w:divBdr>
                                        <w:top w:val="none" w:sz="0" w:space="0" w:color="auto"/>
                                        <w:left w:val="none" w:sz="0" w:space="0" w:color="auto"/>
                                        <w:bottom w:val="none" w:sz="0" w:space="0" w:color="auto"/>
                                        <w:right w:val="none" w:sz="0" w:space="0" w:color="auto"/>
                                      </w:divBdr>
                                      <w:divsChild>
                                        <w:div w:id="527530795">
                                          <w:marLeft w:val="0"/>
                                          <w:marRight w:val="0"/>
                                          <w:marTop w:val="0"/>
                                          <w:marBottom w:val="360"/>
                                          <w:divBdr>
                                            <w:top w:val="none" w:sz="0" w:space="0" w:color="auto"/>
                                            <w:left w:val="none" w:sz="0" w:space="0" w:color="auto"/>
                                            <w:bottom w:val="none" w:sz="0" w:space="0" w:color="auto"/>
                                            <w:right w:val="none" w:sz="0" w:space="0" w:color="auto"/>
                                          </w:divBdr>
                                          <w:divsChild>
                                            <w:div w:id="1267273196">
                                              <w:marLeft w:val="0"/>
                                              <w:marRight w:val="0"/>
                                              <w:marTop w:val="0"/>
                                              <w:marBottom w:val="0"/>
                                              <w:divBdr>
                                                <w:top w:val="none" w:sz="0" w:space="0" w:color="auto"/>
                                                <w:left w:val="none" w:sz="0" w:space="0" w:color="auto"/>
                                                <w:bottom w:val="none" w:sz="0" w:space="0" w:color="auto"/>
                                                <w:right w:val="none" w:sz="0" w:space="0" w:color="auto"/>
                                              </w:divBdr>
                                              <w:divsChild>
                                                <w:div w:id="855268097">
                                                  <w:marLeft w:val="0"/>
                                                  <w:marRight w:val="0"/>
                                                  <w:marTop w:val="0"/>
                                                  <w:marBottom w:val="0"/>
                                                  <w:divBdr>
                                                    <w:top w:val="none" w:sz="0" w:space="0" w:color="auto"/>
                                                    <w:left w:val="none" w:sz="0" w:space="0" w:color="auto"/>
                                                    <w:bottom w:val="none" w:sz="0" w:space="0" w:color="auto"/>
                                                    <w:right w:val="none" w:sz="0" w:space="0" w:color="auto"/>
                                                  </w:divBdr>
                                                  <w:divsChild>
                                                    <w:div w:id="1587878361">
                                                      <w:marLeft w:val="5370"/>
                                                      <w:marRight w:val="0"/>
                                                      <w:marTop w:val="120"/>
                                                      <w:marBottom w:val="0"/>
                                                      <w:divBdr>
                                                        <w:top w:val="none" w:sz="0" w:space="0" w:color="auto"/>
                                                        <w:left w:val="none" w:sz="0" w:space="0" w:color="auto"/>
                                                        <w:bottom w:val="none" w:sz="0" w:space="0" w:color="auto"/>
                                                        <w:right w:val="none" w:sz="0" w:space="0" w:color="auto"/>
                                                      </w:divBdr>
                                                      <w:divsChild>
                                                        <w:div w:id="53785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96598170">
      <w:bodyDiv w:val="1"/>
      <w:marLeft w:val="0"/>
      <w:marRight w:val="0"/>
      <w:marTop w:val="0"/>
      <w:marBottom w:val="0"/>
      <w:divBdr>
        <w:top w:val="none" w:sz="0" w:space="0" w:color="auto"/>
        <w:left w:val="none" w:sz="0" w:space="0" w:color="auto"/>
        <w:bottom w:val="none" w:sz="0" w:space="0" w:color="auto"/>
        <w:right w:val="none" w:sz="0" w:space="0" w:color="auto"/>
      </w:divBdr>
    </w:div>
    <w:div w:id="1644845213">
      <w:bodyDiv w:val="1"/>
      <w:marLeft w:val="0"/>
      <w:marRight w:val="0"/>
      <w:marTop w:val="0"/>
      <w:marBottom w:val="0"/>
      <w:divBdr>
        <w:top w:val="none" w:sz="0" w:space="0" w:color="auto"/>
        <w:left w:val="none" w:sz="0" w:space="0" w:color="auto"/>
        <w:bottom w:val="none" w:sz="0" w:space="0" w:color="auto"/>
        <w:right w:val="none" w:sz="0" w:space="0" w:color="auto"/>
      </w:divBdr>
      <w:divsChild>
        <w:div w:id="1974166674">
          <w:marLeft w:val="0"/>
          <w:marRight w:val="0"/>
          <w:marTop w:val="0"/>
          <w:marBottom w:val="0"/>
          <w:divBdr>
            <w:top w:val="none" w:sz="0" w:space="0" w:color="auto"/>
            <w:left w:val="none" w:sz="0" w:space="0" w:color="auto"/>
            <w:bottom w:val="none" w:sz="0" w:space="0" w:color="auto"/>
            <w:right w:val="none" w:sz="0" w:space="0" w:color="auto"/>
          </w:divBdr>
          <w:divsChild>
            <w:div w:id="175932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401911">
      <w:bodyDiv w:val="1"/>
      <w:marLeft w:val="0"/>
      <w:marRight w:val="0"/>
      <w:marTop w:val="0"/>
      <w:marBottom w:val="0"/>
      <w:divBdr>
        <w:top w:val="none" w:sz="0" w:space="0" w:color="auto"/>
        <w:left w:val="none" w:sz="0" w:space="0" w:color="auto"/>
        <w:bottom w:val="none" w:sz="0" w:space="0" w:color="auto"/>
        <w:right w:val="none" w:sz="0" w:space="0" w:color="auto"/>
      </w:divBdr>
    </w:div>
    <w:div w:id="1767387800">
      <w:bodyDiv w:val="1"/>
      <w:marLeft w:val="0"/>
      <w:marRight w:val="0"/>
      <w:marTop w:val="0"/>
      <w:marBottom w:val="0"/>
      <w:divBdr>
        <w:top w:val="none" w:sz="0" w:space="0" w:color="auto"/>
        <w:left w:val="none" w:sz="0" w:space="0" w:color="auto"/>
        <w:bottom w:val="none" w:sz="0" w:space="0" w:color="auto"/>
        <w:right w:val="none" w:sz="0" w:space="0" w:color="auto"/>
      </w:divBdr>
    </w:div>
    <w:div w:id="1860850233">
      <w:bodyDiv w:val="1"/>
      <w:marLeft w:val="0"/>
      <w:marRight w:val="0"/>
      <w:marTop w:val="0"/>
      <w:marBottom w:val="0"/>
      <w:divBdr>
        <w:top w:val="none" w:sz="0" w:space="0" w:color="auto"/>
        <w:left w:val="none" w:sz="0" w:space="0" w:color="auto"/>
        <w:bottom w:val="none" w:sz="0" w:space="0" w:color="auto"/>
        <w:right w:val="none" w:sz="0" w:space="0" w:color="auto"/>
      </w:divBdr>
    </w:div>
    <w:div w:id="1964384522">
      <w:bodyDiv w:val="1"/>
      <w:marLeft w:val="0"/>
      <w:marRight w:val="0"/>
      <w:marTop w:val="0"/>
      <w:marBottom w:val="0"/>
      <w:divBdr>
        <w:top w:val="none" w:sz="0" w:space="0" w:color="auto"/>
        <w:left w:val="none" w:sz="0" w:space="0" w:color="auto"/>
        <w:bottom w:val="none" w:sz="0" w:space="0" w:color="auto"/>
        <w:right w:val="none" w:sz="0" w:space="0" w:color="auto"/>
      </w:divBdr>
    </w:div>
    <w:div w:id="2018070277">
      <w:bodyDiv w:val="1"/>
      <w:marLeft w:val="0"/>
      <w:marRight w:val="0"/>
      <w:marTop w:val="0"/>
      <w:marBottom w:val="0"/>
      <w:divBdr>
        <w:top w:val="none" w:sz="0" w:space="0" w:color="auto"/>
        <w:left w:val="none" w:sz="0" w:space="0" w:color="auto"/>
        <w:bottom w:val="none" w:sz="0" w:space="0" w:color="auto"/>
        <w:right w:val="none" w:sz="0" w:space="0" w:color="auto"/>
      </w:divBdr>
    </w:div>
    <w:div w:id="2070758664">
      <w:bodyDiv w:val="1"/>
      <w:marLeft w:val="0"/>
      <w:marRight w:val="0"/>
      <w:marTop w:val="0"/>
      <w:marBottom w:val="0"/>
      <w:divBdr>
        <w:top w:val="none" w:sz="0" w:space="0" w:color="auto"/>
        <w:left w:val="none" w:sz="0" w:space="0" w:color="auto"/>
        <w:bottom w:val="none" w:sz="0" w:space="0" w:color="auto"/>
        <w:right w:val="none" w:sz="0" w:space="0" w:color="auto"/>
      </w:divBdr>
    </w:div>
    <w:div w:id="2100714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855CAA-16E2-4C80-8B99-4F3581935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1856</Words>
  <Characters>10316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DVA</Company>
  <LinksUpToDate>false</LinksUpToDate>
  <CharactersWithSpaces>12148</CharactersWithSpaces>
  <SharedDoc>false</SharedDoc>
  <HLinks>
    <vt:vector size="12" baseType="variant">
      <vt:variant>
        <vt:i4>2949170</vt:i4>
      </vt:variant>
      <vt:variant>
        <vt:i4>3</vt:i4>
      </vt:variant>
      <vt:variant>
        <vt:i4>0</vt:i4>
      </vt:variant>
      <vt:variant>
        <vt:i4>5</vt:i4>
      </vt:variant>
      <vt:variant>
        <vt:lpwstr>https://www.aqf.edu.au/sites/aqf/files/aqf-2nd-edition-january-2013.pdf</vt:lpwstr>
      </vt:variant>
      <vt:variant>
        <vt:lpwstr/>
      </vt:variant>
      <vt:variant>
        <vt:i4>2949170</vt:i4>
      </vt:variant>
      <vt:variant>
        <vt:i4>0</vt:i4>
      </vt:variant>
      <vt:variant>
        <vt:i4>0</vt:i4>
      </vt:variant>
      <vt:variant>
        <vt:i4>5</vt:i4>
      </vt:variant>
      <vt:variant>
        <vt:lpwstr>https://www.aqf.edu.au/sites/aqf/files/aqf-2nd-edition-january-2013.pdf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subject/>
  <dc:creator>CCOLLM</dc:creator>
  <cp:keywords/>
  <cp:lastModifiedBy>Wright, Michael</cp:lastModifiedBy>
  <cp:revision>9</cp:revision>
  <cp:lastPrinted>2019-08-06T23:04:00Z</cp:lastPrinted>
  <dcterms:created xsi:type="dcterms:W3CDTF">2019-08-14T03:53:00Z</dcterms:created>
  <dcterms:modified xsi:type="dcterms:W3CDTF">2019-09-05T02:00:00Z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2093511220</vt:i4>
  </property>
</Properties>
</file>