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E5" w:rsidRDefault="005C07E5">
      <w:pPr>
        <w:pStyle w:val="Heading1"/>
        <w:spacing w:line="360" w:lineRule="auto"/>
      </w:pPr>
      <w:bookmarkStart w:id="0" w:name="_GoBack"/>
      <w:bookmarkEnd w:id="0"/>
      <w:r>
        <w:t>EXPLANATORY STATEMENT</w:t>
      </w:r>
    </w:p>
    <w:p w:rsidR="001D091B" w:rsidRDefault="001D091B" w:rsidP="001D091B">
      <w:pPr>
        <w:pStyle w:val="Heading2"/>
        <w:spacing w:before="120" w:after="360" w:line="360" w:lineRule="auto"/>
        <w:ind w:left="0" w:firstLine="0"/>
      </w:pPr>
      <w:r w:rsidRPr="009F5C97">
        <w:rPr>
          <w:i/>
        </w:rPr>
        <w:t>Migration Act 1958</w:t>
      </w:r>
    </w:p>
    <w:p w:rsidR="001D091B" w:rsidRDefault="0035057F" w:rsidP="001D091B">
      <w:pPr>
        <w:spacing w:after="120" w:line="360" w:lineRule="auto"/>
        <w:ind w:hanging="23"/>
        <w:jc w:val="center"/>
        <w:rPr>
          <w:i/>
          <w:sz w:val="24"/>
        </w:rPr>
      </w:pPr>
      <w:r w:rsidRPr="0035057F">
        <w:rPr>
          <w:b/>
          <w:sz w:val="24"/>
        </w:rPr>
        <w:t>Migration (LIN 18/191: Substantive Visa Classes) Instrument 2018</w:t>
      </w:r>
    </w:p>
    <w:p w:rsidR="001D091B" w:rsidRPr="0035057F" w:rsidRDefault="009F39BC" w:rsidP="001D091B">
      <w:pPr>
        <w:spacing w:after="480" w:line="360" w:lineRule="auto"/>
        <w:ind w:hanging="23"/>
        <w:jc w:val="center"/>
        <w:rPr>
          <w:i/>
          <w:sz w:val="24"/>
        </w:rPr>
      </w:pPr>
      <w:r>
        <w:rPr>
          <w:i/>
          <w:sz w:val="24"/>
        </w:rPr>
        <w:t>(</w:t>
      </w:r>
      <w:r w:rsidR="00473CD2">
        <w:rPr>
          <w:i/>
          <w:sz w:val="24"/>
        </w:rPr>
        <w:t>Paragraphs 82(2AA)(a) and (b</w:t>
      </w:r>
      <w:r w:rsidR="001D091B" w:rsidRPr="0035057F">
        <w:rPr>
          <w:i/>
          <w:sz w:val="24"/>
        </w:rPr>
        <w:t>)</w:t>
      </w:r>
      <w:r>
        <w:rPr>
          <w:i/>
          <w:sz w:val="24"/>
        </w:rPr>
        <w:t xml:space="preserve"> of the Act)</w:t>
      </w:r>
    </w:p>
    <w:p w:rsidR="001D091B" w:rsidRPr="0035057F" w:rsidRDefault="00397982" w:rsidP="001D091B">
      <w:pPr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>The i</w:t>
      </w:r>
      <w:r w:rsidR="001D091B">
        <w:rPr>
          <w:sz w:val="24"/>
        </w:rPr>
        <w:t>nstrument</w:t>
      </w:r>
      <w:r>
        <w:rPr>
          <w:sz w:val="24"/>
        </w:rPr>
        <w:t>,</w:t>
      </w:r>
      <w:r w:rsidR="001D091B">
        <w:rPr>
          <w:sz w:val="24"/>
        </w:rPr>
        <w:t xml:space="preserve"> </w:t>
      </w:r>
      <w:r w:rsidR="0035057F">
        <w:rPr>
          <w:sz w:val="24"/>
        </w:rPr>
        <w:t>LIN 18/191</w:t>
      </w:r>
      <w:r>
        <w:rPr>
          <w:sz w:val="24"/>
        </w:rPr>
        <w:t>,</w:t>
      </w:r>
      <w:r w:rsidR="001D091B">
        <w:rPr>
          <w:sz w:val="24"/>
        </w:rPr>
        <w:t xml:space="preserve"> is </w:t>
      </w:r>
      <w:r w:rsidR="001D091B" w:rsidRPr="0035057F">
        <w:rPr>
          <w:sz w:val="24"/>
        </w:rPr>
        <w:t xml:space="preserve">made under </w:t>
      </w:r>
      <w:r w:rsidR="0035057F" w:rsidRPr="0035057F">
        <w:rPr>
          <w:sz w:val="24"/>
        </w:rPr>
        <w:t>paragraphs 82(2AA)(a) and (b)</w:t>
      </w:r>
      <w:r w:rsidR="001D091B" w:rsidRPr="0035057F">
        <w:rPr>
          <w:sz w:val="24"/>
        </w:rPr>
        <w:t xml:space="preserve"> of</w:t>
      </w:r>
      <w:r w:rsidR="001D091B">
        <w:rPr>
          <w:sz w:val="24"/>
        </w:rPr>
        <w:t xml:space="preserve"> the </w:t>
      </w:r>
      <w:r w:rsidR="001D091B">
        <w:rPr>
          <w:i/>
          <w:sz w:val="24"/>
        </w:rPr>
        <w:t xml:space="preserve">Migration Act </w:t>
      </w:r>
      <w:r w:rsidR="001D091B" w:rsidRPr="0035057F">
        <w:rPr>
          <w:i/>
          <w:sz w:val="24"/>
        </w:rPr>
        <w:t xml:space="preserve">1958 </w:t>
      </w:r>
      <w:r w:rsidR="001D091B" w:rsidRPr="0035057F">
        <w:rPr>
          <w:sz w:val="24"/>
        </w:rPr>
        <w:t>(the Act</w:t>
      </w:r>
      <w:r w:rsidR="0035057F" w:rsidRPr="0035057F">
        <w:rPr>
          <w:sz w:val="24"/>
        </w:rPr>
        <w:t>)</w:t>
      </w:r>
      <w:r w:rsidR="001D091B" w:rsidRPr="0035057F">
        <w:rPr>
          <w:sz w:val="24"/>
        </w:rPr>
        <w:t>.</w:t>
      </w:r>
    </w:p>
    <w:p w:rsidR="001D091B" w:rsidRPr="00170E95" w:rsidRDefault="00FA7655" w:rsidP="002758FC">
      <w:pPr>
        <w:numPr>
          <w:ilvl w:val="0"/>
          <w:numId w:val="9"/>
        </w:numPr>
        <w:spacing w:before="360" w:line="360" w:lineRule="auto"/>
        <w:ind w:left="567" w:hanging="567"/>
        <w:jc w:val="both"/>
        <w:rPr>
          <w:sz w:val="24"/>
        </w:rPr>
      </w:pPr>
      <w:r>
        <w:rPr>
          <w:sz w:val="24"/>
        </w:rPr>
        <w:t>The i</w:t>
      </w:r>
      <w:r w:rsidR="001D091B" w:rsidRPr="00193A68">
        <w:rPr>
          <w:sz w:val="24"/>
        </w:rPr>
        <w:t xml:space="preserve">nstrument </w:t>
      </w:r>
      <w:r w:rsidR="001D091B" w:rsidRPr="00E14E98">
        <w:rPr>
          <w:sz w:val="24"/>
        </w:rPr>
        <w:t>repeals</w:t>
      </w:r>
      <w:r w:rsidR="001D091B" w:rsidRPr="00193A68">
        <w:rPr>
          <w:sz w:val="24"/>
        </w:rPr>
        <w:t xml:space="preserve"> IMMI </w:t>
      </w:r>
      <w:r w:rsidRPr="00FA7655">
        <w:rPr>
          <w:sz w:val="24"/>
        </w:rPr>
        <w:t xml:space="preserve">09/058 </w:t>
      </w:r>
      <w:r w:rsidR="001D091B" w:rsidRPr="00FA7655">
        <w:rPr>
          <w:sz w:val="24"/>
        </w:rPr>
        <w:t>(</w:t>
      </w:r>
      <w:r w:rsidRPr="00FA7655">
        <w:rPr>
          <w:sz w:val="24"/>
        </w:rPr>
        <w:t>F2009L02362</w:t>
      </w:r>
      <w:r w:rsidR="001D091B">
        <w:rPr>
          <w:sz w:val="24"/>
        </w:rPr>
        <w:t xml:space="preserve">) made under </w:t>
      </w:r>
      <w:r w:rsidR="00C2715E">
        <w:rPr>
          <w:sz w:val="24"/>
        </w:rPr>
        <w:t>paragraphs </w:t>
      </w:r>
      <w:r w:rsidRPr="0035057F">
        <w:rPr>
          <w:sz w:val="24"/>
        </w:rPr>
        <w:t>82(2AA)(a) and (b) of</w:t>
      </w:r>
      <w:r>
        <w:rPr>
          <w:sz w:val="24"/>
        </w:rPr>
        <w:t xml:space="preserve"> the Act</w:t>
      </w:r>
      <w:r w:rsidR="001D091B">
        <w:rPr>
          <w:i/>
          <w:sz w:val="24"/>
        </w:rPr>
        <w:t xml:space="preserve"> </w:t>
      </w:r>
      <w:r w:rsidR="001D091B">
        <w:rPr>
          <w:sz w:val="24"/>
        </w:rPr>
        <w:t>and in accordance with</w:t>
      </w:r>
      <w:r w:rsidR="001D091B" w:rsidRPr="00193A68">
        <w:rPr>
          <w:sz w:val="24"/>
          <w:szCs w:val="24"/>
        </w:rPr>
        <w:t xml:space="preserve"> subsection 33(3) of the </w:t>
      </w:r>
      <w:r w:rsidR="001D091B" w:rsidRPr="00193A68">
        <w:rPr>
          <w:i/>
          <w:sz w:val="24"/>
          <w:szCs w:val="24"/>
        </w:rPr>
        <w:t>Acts Interpretation Act 1901</w:t>
      </w:r>
      <w:r w:rsidR="001D091B">
        <w:rPr>
          <w:sz w:val="24"/>
          <w:szCs w:val="24"/>
        </w:rPr>
        <w:t xml:space="preserve"> (the AIA).</w:t>
      </w:r>
      <w:r w:rsidR="001D091B" w:rsidRPr="00193A68">
        <w:rPr>
          <w:sz w:val="24"/>
          <w:szCs w:val="24"/>
        </w:rPr>
        <w:t xml:space="preserve"> </w:t>
      </w:r>
      <w:r w:rsidR="001D091B">
        <w:rPr>
          <w:sz w:val="24"/>
          <w:szCs w:val="24"/>
        </w:rPr>
        <w:t xml:space="preserve">Subsection 33(3) of the AIA </w:t>
      </w:r>
      <w:r w:rsidR="001D091B" w:rsidRPr="00193A68">
        <w:rPr>
          <w:sz w:val="24"/>
          <w:szCs w:val="24"/>
        </w:rPr>
        <w:t xml:space="preserve">states </w:t>
      </w:r>
      <w:r w:rsidR="001D091B">
        <w:rPr>
          <w:sz w:val="24"/>
          <w:szCs w:val="24"/>
        </w:rPr>
        <w:t xml:space="preserve">that </w:t>
      </w:r>
      <w:r w:rsidR="001D091B" w:rsidRPr="00193A68">
        <w:rPr>
          <w:sz w:val="24"/>
          <w:szCs w:val="24"/>
        </w:rPr>
        <w:t xml:space="preserve">where an Act confers a power to make, grant or issue any instrument of a legislative or administrative character, the power shall be construed as including a power exercisable in the like manner and subject to the like conditions </w:t>
      </w:r>
      <w:r w:rsidR="001D091B" w:rsidRPr="00641022">
        <w:rPr>
          <w:sz w:val="24"/>
          <w:szCs w:val="24"/>
        </w:rPr>
        <w:t>(if any) to repeal, rescind, revoke, amend, or vary any such instrument</w:t>
      </w:r>
      <w:r w:rsidR="001D091B">
        <w:rPr>
          <w:sz w:val="24"/>
          <w:szCs w:val="24"/>
        </w:rPr>
        <w:t>.</w:t>
      </w:r>
    </w:p>
    <w:p w:rsidR="00010217" w:rsidRDefault="00170E95" w:rsidP="001C4BE5">
      <w:pPr>
        <w:numPr>
          <w:ilvl w:val="0"/>
          <w:numId w:val="9"/>
        </w:numPr>
        <w:spacing w:before="360" w:line="36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Subsection 82(2) of the Act provides that a substantive visa held by a non-citizen ceases to be in effect if another substantive visa for the non-citizen comes into effect. </w:t>
      </w:r>
      <w:r w:rsidR="00010217">
        <w:rPr>
          <w:sz w:val="24"/>
        </w:rPr>
        <w:t>Paragraph</w:t>
      </w:r>
      <w:r w:rsidRPr="00170E95">
        <w:rPr>
          <w:sz w:val="24"/>
        </w:rPr>
        <w:t xml:space="preserve"> 82(2AA)</w:t>
      </w:r>
      <w:r w:rsidR="00010217">
        <w:rPr>
          <w:sz w:val="24"/>
        </w:rPr>
        <w:t>(a)</w:t>
      </w:r>
      <w:r w:rsidRPr="00170E95">
        <w:rPr>
          <w:sz w:val="24"/>
        </w:rPr>
        <w:t xml:space="preserve"> of the Act provides</w:t>
      </w:r>
      <w:r>
        <w:rPr>
          <w:sz w:val="24"/>
        </w:rPr>
        <w:t xml:space="preserve"> that, desp</w:t>
      </w:r>
      <w:r w:rsidR="00010217">
        <w:rPr>
          <w:sz w:val="24"/>
        </w:rPr>
        <w:t>ite subsection 82(2) of the Act, a maritime crew visa held by a non-citizen does not cease to be in effect if a substantive visa comes in</w:t>
      </w:r>
      <w:r w:rsidR="00517596">
        <w:rPr>
          <w:sz w:val="24"/>
        </w:rPr>
        <w:t>to effect</w:t>
      </w:r>
      <w:r w:rsidR="009F39BC">
        <w:rPr>
          <w:sz w:val="24"/>
        </w:rPr>
        <w:t xml:space="preserve"> that is of a class specified by the Minister</w:t>
      </w:r>
      <w:r w:rsidR="00517596">
        <w:rPr>
          <w:sz w:val="24"/>
        </w:rPr>
        <w:t>. Similarly, paragraph </w:t>
      </w:r>
      <w:r w:rsidR="001E5CE2">
        <w:rPr>
          <w:sz w:val="24"/>
        </w:rPr>
        <w:t>82(2AA)(b</w:t>
      </w:r>
      <w:r w:rsidR="00010217">
        <w:rPr>
          <w:sz w:val="24"/>
        </w:rPr>
        <w:t>) of the Act provides that a substantive visa</w:t>
      </w:r>
      <w:r w:rsidR="00517596">
        <w:rPr>
          <w:sz w:val="24"/>
        </w:rPr>
        <w:t>,</w:t>
      </w:r>
      <w:r w:rsidR="00010217">
        <w:rPr>
          <w:sz w:val="24"/>
        </w:rPr>
        <w:t xml:space="preserve"> held by a non-citizen</w:t>
      </w:r>
      <w:r w:rsidR="001E5CE2">
        <w:rPr>
          <w:sz w:val="24"/>
        </w:rPr>
        <w:t xml:space="preserve"> and </w:t>
      </w:r>
      <w:r w:rsidR="00010217">
        <w:rPr>
          <w:sz w:val="24"/>
        </w:rPr>
        <w:t>that of a class specified by the Minister</w:t>
      </w:r>
      <w:r w:rsidR="00517596">
        <w:rPr>
          <w:sz w:val="24"/>
        </w:rPr>
        <w:t>,</w:t>
      </w:r>
      <w:r w:rsidR="00010217">
        <w:rPr>
          <w:sz w:val="24"/>
        </w:rPr>
        <w:t xml:space="preserve"> does not cease to be in effect if a maritime crew visa comes into effect.</w:t>
      </w:r>
      <w:r w:rsidR="00517596">
        <w:rPr>
          <w:sz w:val="24"/>
        </w:rPr>
        <w:t xml:space="preserve"> These classes of substantive visas specified by the Minister can </w:t>
      </w:r>
      <w:r w:rsidR="001C4BE5">
        <w:rPr>
          <w:sz w:val="24"/>
        </w:rPr>
        <w:t xml:space="preserve">therefore </w:t>
      </w:r>
      <w:r w:rsidR="00517596">
        <w:rPr>
          <w:sz w:val="24"/>
        </w:rPr>
        <w:t>be held concurrently with a maritime crew visa.</w:t>
      </w:r>
    </w:p>
    <w:p w:rsidR="00FA7655" w:rsidRDefault="00FA7655" w:rsidP="00517596">
      <w:pPr>
        <w:numPr>
          <w:ilvl w:val="0"/>
          <w:numId w:val="9"/>
        </w:numPr>
        <w:spacing w:before="360" w:line="360" w:lineRule="auto"/>
        <w:ind w:left="567" w:hanging="567"/>
        <w:jc w:val="both"/>
        <w:rPr>
          <w:sz w:val="24"/>
        </w:rPr>
      </w:pPr>
      <w:r w:rsidRPr="00170E95">
        <w:rPr>
          <w:sz w:val="24"/>
        </w:rPr>
        <w:t>The i</w:t>
      </w:r>
      <w:r w:rsidR="001D091B" w:rsidRPr="00170E95">
        <w:rPr>
          <w:sz w:val="24"/>
        </w:rPr>
        <w:t xml:space="preserve">nstrument operates to </w:t>
      </w:r>
      <w:r w:rsidR="00517596">
        <w:rPr>
          <w:sz w:val="24"/>
        </w:rPr>
        <w:t xml:space="preserve">specify </w:t>
      </w:r>
      <w:r w:rsidR="00170E95" w:rsidRPr="00517596">
        <w:rPr>
          <w:sz w:val="24"/>
        </w:rPr>
        <w:t>all visas that are both substantive and temporary (a</w:t>
      </w:r>
      <w:r w:rsidR="001E5CE2">
        <w:rPr>
          <w:sz w:val="24"/>
        </w:rPr>
        <w:t> </w:t>
      </w:r>
      <w:r w:rsidR="00170E95" w:rsidRPr="00517596">
        <w:rPr>
          <w:b/>
          <w:i/>
          <w:sz w:val="24"/>
        </w:rPr>
        <w:t>substantive temporary visa</w:t>
      </w:r>
      <w:r w:rsidR="00170E95" w:rsidRPr="00517596">
        <w:rPr>
          <w:sz w:val="24"/>
        </w:rPr>
        <w:t xml:space="preserve">) as </w:t>
      </w:r>
      <w:r w:rsidR="00517596">
        <w:rPr>
          <w:sz w:val="24"/>
        </w:rPr>
        <w:t>a class of substantive visa.</w:t>
      </w:r>
    </w:p>
    <w:p w:rsidR="00517596" w:rsidRPr="001C4BE5" w:rsidRDefault="00517596" w:rsidP="00517596">
      <w:pPr>
        <w:numPr>
          <w:ilvl w:val="0"/>
          <w:numId w:val="9"/>
        </w:numPr>
        <w:spacing w:before="360" w:line="360" w:lineRule="auto"/>
        <w:ind w:left="567" w:hanging="567"/>
        <w:jc w:val="both"/>
        <w:rPr>
          <w:sz w:val="24"/>
        </w:rPr>
      </w:pPr>
      <w:r w:rsidRPr="001C4BE5">
        <w:rPr>
          <w:sz w:val="24"/>
        </w:rPr>
        <w:t xml:space="preserve">The purpose of the instrument is to </w:t>
      </w:r>
      <w:r w:rsidR="00207530" w:rsidRPr="001C4BE5">
        <w:rPr>
          <w:sz w:val="24"/>
        </w:rPr>
        <w:t xml:space="preserve">remove </w:t>
      </w:r>
      <w:r w:rsidR="001C4BE5" w:rsidRPr="001C4BE5">
        <w:rPr>
          <w:sz w:val="24"/>
        </w:rPr>
        <w:t xml:space="preserve">the reference to special purpose visas granted to a person on the grounds that they are a member of the crew on a non-military ship, or a spouse, de-facto partner or dependant of a member of the crew. This reference has been </w:t>
      </w:r>
      <w:r w:rsidR="001C4BE5" w:rsidRPr="001C4BE5">
        <w:rPr>
          <w:sz w:val="24"/>
        </w:rPr>
        <w:lastRenderedPageBreak/>
        <w:t xml:space="preserve">removed </w:t>
      </w:r>
      <w:r w:rsidR="00E4273F">
        <w:rPr>
          <w:sz w:val="24"/>
        </w:rPr>
        <w:t>as it is now</w:t>
      </w:r>
      <w:r w:rsidR="00E4273F" w:rsidRPr="001C4BE5">
        <w:rPr>
          <w:sz w:val="24"/>
        </w:rPr>
        <w:t xml:space="preserve"> </w:t>
      </w:r>
      <w:r w:rsidR="001C4BE5" w:rsidRPr="001C4BE5">
        <w:rPr>
          <w:sz w:val="24"/>
        </w:rPr>
        <w:t>redundan</w:t>
      </w:r>
      <w:r w:rsidR="00E4273F">
        <w:rPr>
          <w:sz w:val="24"/>
        </w:rPr>
        <w:t>t. This is because</w:t>
      </w:r>
      <w:r w:rsidR="001C4BE5" w:rsidRPr="001C4BE5">
        <w:rPr>
          <w:sz w:val="24"/>
        </w:rPr>
        <w:t xml:space="preserve"> there are no holders of a special purpose visa granted on those grounds.</w:t>
      </w:r>
    </w:p>
    <w:p w:rsidR="00193A68" w:rsidRPr="00FA7655" w:rsidRDefault="002C53C4" w:rsidP="00FA7655">
      <w:pPr>
        <w:numPr>
          <w:ilvl w:val="0"/>
          <w:numId w:val="9"/>
        </w:numPr>
        <w:spacing w:before="360" w:line="360" w:lineRule="auto"/>
        <w:ind w:left="567" w:hanging="567"/>
        <w:jc w:val="both"/>
        <w:rPr>
          <w:sz w:val="24"/>
        </w:rPr>
      </w:pPr>
      <w:r w:rsidRPr="00FA7655">
        <w:rPr>
          <w:sz w:val="24"/>
        </w:rPr>
        <w:t>In accord</w:t>
      </w:r>
      <w:r w:rsidR="00BF6A03" w:rsidRPr="00FA7655">
        <w:rPr>
          <w:sz w:val="24"/>
        </w:rPr>
        <w:t>ance with paragraph</w:t>
      </w:r>
      <w:r w:rsidRPr="00FA7655">
        <w:rPr>
          <w:sz w:val="24"/>
        </w:rPr>
        <w:t xml:space="preserve"> 15J(2)(e) of the </w:t>
      </w:r>
      <w:r w:rsidRPr="00FA7655">
        <w:rPr>
          <w:i/>
          <w:sz w:val="24"/>
        </w:rPr>
        <w:t xml:space="preserve">Legislation </w:t>
      </w:r>
      <w:r w:rsidR="00193A68" w:rsidRPr="00FA7655">
        <w:rPr>
          <w:i/>
          <w:sz w:val="24"/>
        </w:rPr>
        <w:t>Act 2003</w:t>
      </w:r>
      <w:r w:rsidR="00193A68" w:rsidRPr="00FA7655">
        <w:rPr>
          <w:sz w:val="24"/>
        </w:rPr>
        <w:t xml:space="preserve"> c</w:t>
      </w:r>
      <w:r w:rsidR="00FA7655" w:rsidRPr="00FA7655">
        <w:rPr>
          <w:sz w:val="24"/>
        </w:rPr>
        <w:t xml:space="preserve">onsultation was not necessary. </w:t>
      </w:r>
      <w:r w:rsidR="00E64B65">
        <w:rPr>
          <w:sz w:val="24"/>
        </w:rPr>
        <w:t>The i</w:t>
      </w:r>
      <w:r w:rsidR="00193A68" w:rsidRPr="00FA7655">
        <w:rPr>
          <w:sz w:val="24"/>
        </w:rPr>
        <w:t>nstrument is of a minor or machinery nature and does not substantial</w:t>
      </w:r>
      <w:r w:rsidR="00FA7655" w:rsidRPr="00FA7655">
        <w:rPr>
          <w:sz w:val="24"/>
        </w:rPr>
        <w:t>ly alter existing arrangements</w:t>
      </w:r>
      <w:r w:rsidR="00193A68" w:rsidRPr="00FA7655">
        <w:rPr>
          <w:sz w:val="24"/>
        </w:rPr>
        <w:t>.</w:t>
      </w:r>
    </w:p>
    <w:p w:rsidR="00193A68" w:rsidRPr="001841F7" w:rsidRDefault="00546F77" w:rsidP="00F336E2">
      <w:pPr>
        <w:numPr>
          <w:ilvl w:val="0"/>
          <w:numId w:val="9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193A68">
        <w:rPr>
          <w:sz w:val="24"/>
          <w:szCs w:val="24"/>
        </w:rPr>
        <w:t xml:space="preserve">The Office of Best </w:t>
      </w:r>
      <w:r w:rsidRPr="00C91E04">
        <w:rPr>
          <w:sz w:val="24"/>
          <w:szCs w:val="24"/>
        </w:rPr>
        <w:t xml:space="preserve">Practice Regulation </w:t>
      </w:r>
      <w:r w:rsidR="000D246E" w:rsidRPr="00C91E04">
        <w:rPr>
          <w:sz w:val="24"/>
          <w:szCs w:val="24"/>
        </w:rPr>
        <w:t xml:space="preserve">(OBPR) </w:t>
      </w:r>
      <w:r w:rsidR="00397982" w:rsidRPr="00C91E04">
        <w:rPr>
          <w:sz w:val="24"/>
          <w:szCs w:val="24"/>
        </w:rPr>
        <w:t>have</w:t>
      </w:r>
      <w:r w:rsidRPr="00C91E04">
        <w:rPr>
          <w:sz w:val="24"/>
          <w:szCs w:val="24"/>
        </w:rPr>
        <w:t xml:space="preserve"> advised that a Regulat</w:t>
      </w:r>
      <w:r w:rsidR="00911D5A" w:rsidRPr="00C91E04">
        <w:rPr>
          <w:sz w:val="24"/>
          <w:szCs w:val="24"/>
        </w:rPr>
        <w:t>ory</w:t>
      </w:r>
      <w:r w:rsidRPr="00C91E04">
        <w:rPr>
          <w:sz w:val="24"/>
          <w:szCs w:val="24"/>
        </w:rPr>
        <w:t xml:space="preserve"> Impact Statement is not required (OBPR Reference</w:t>
      </w:r>
      <w:r w:rsidR="00AE32B0" w:rsidRPr="00C91E04">
        <w:rPr>
          <w:sz w:val="24"/>
          <w:szCs w:val="24"/>
        </w:rPr>
        <w:t>:</w:t>
      </w:r>
      <w:r w:rsidRPr="00C91E04">
        <w:rPr>
          <w:sz w:val="24"/>
          <w:szCs w:val="24"/>
        </w:rPr>
        <w:t xml:space="preserve"> </w:t>
      </w:r>
      <w:r w:rsidR="00C91E04" w:rsidRPr="00794DCE">
        <w:rPr>
          <w:i/>
          <w:sz w:val="24"/>
          <w:szCs w:val="24"/>
        </w:rPr>
        <w:t>24577</w:t>
      </w:r>
      <w:r w:rsidRPr="00C91E04">
        <w:rPr>
          <w:sz w:val="24"/>
          <w:szCs w:val="24"/>
        </w:rPr>
        <w:t>)</w:t>
      </w:r>
      <w:r w:rsidR="000B29BF" w:rsidRPr="00C91E04">
        <w:rPr>
          <w:sz w:val="24"/>
          <w:szCs w:val="24"/>
        </w:rPr>
        <w:t>.</w:t>
      </w:r>
    </w:p>
    <w:p w:rsidR="002A06A8" w:rsidRPr="002F29EC" w:rsidRDefault="002A06A8" w:rsidP="002A06A8">
      <w:pPr>
        <w:numPr>
          <w:ilvl w:val="0"/>
          <w:numId w:val="9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2F29EC">
        <w:rPr>
          <w:sz w:val="24"/>
          <w:szCs w:val="24"/>
        </w:rPr>
        <w:t xml:space="preserve">Under section 10 of the </w:t>
      </w:r>
      <w:r w:rsidRPr="002F29EC">
        <w:rPr>
          <w:i/>
          <w:sz w:val="24"/>
          <w:szCs w:val="24"/>
        </w:rPr>
        <w:t>Legislation (Exemptions and Other Matters) Regulation 2015</w:t>
      </w:r>
      <w:r w:rsidRPr="00E64B65">
        <w:rPr>
          <w:sz w:val="24"/>
          <w:szCs w:val="24"/>
        </w:rPr>
        <w:t xml:space="preserve">, </w:t>
      </w:r>
      <w:r w:rsidRPr="002F29EC">
        <w:rPr>
          <w:sz w:val="24"/>
          <w:szCs w:val="24"/>
        </w:rPr>
        <w:t xml:space="preserve">the </w:t>
      </w:r>
      <w:r w:rsidR="005F686B" w:rsidRPr="002F29EC">
        <w:rPr>
          <w:sz w:val="24"/>
          <w:szCs w:val="24"/>
        </w:rPr>
        <w:t>i</w:t>
      </w:r>
      <w:r w:rsidRPr="002F29EC">
        <w:rPr>
          <w:sz w:val="24"/>
          <w:szCs w:val="24"/>
        </w:rPr>
        <w:t>nstrument is exempt from disallowance and therefore a Statement of Compati</w:t>
      </w:r>
      <w:r w:rsidR="002F29EC" w:rsidRPr="002F29EC">
        <w:rPr>
          <w:sz w:val="24"/>
          <w:szCs w:val="24"/>
        </w:rPr>
        <w:t xml:space="preserve">bility with Human Rights is not </w:t>
      </w:r>
      <w:r w:rsidRPr="002F29EC">
        <w:rPr>
          <w:sz w:val="24"/>
          <w:szCs w:val="24"/>
        </w:rPr>
        <w:t>required.</w:t>
      </w:r>
    </w:p>
    <w:p w:rsidR="005C07E5" w:rsidRPr="004D6A29" w:rsidRDefault="005C07E5" w:rsidP="00F336E2">
      <w:pPr>
        <w:numPr>
          <w:ilvl w:val="0"/>
          <w:numId w:val="9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The </w:t>
      </w:r>
      <w:r w:rsidR="005F686B">
        <w:rPr>
          <w:sz w:val="24"/>
        </w:rPr>
        <w:t>i</w:t>
      </w:r>
      <w:r>
        <w:rPr>
          <w:sz w:val="24"/>
        </w:rPr>
        <w:t xml:space="preserve">nstrument </w:t>
      </w:r>
      <w:r w:rsidR="00D60CC8">
        <w:rPr>
          <w:sz w:val="24"/>
        </w:rPr>
        <w:t xml:space="preserve">commences </w:t>
      </w:r>
      <w:r w:rsidRPr="002F29EC">
        <w:rPr>
          <w:sz w:val="24"/>
        </w:rPr>
        <w:t xml:space="preserve">on </w:t>
      </w:r>
      <w:r w:rsidR="002F29EC" w:rsidRPr="002F29EC">
        <w:rPr>
          <w:sz w:val="24"/>
        </w:rPr>
        <w:t>t</w:t>
      </w:r>
      <w:r w:rsidR="00BF2A49" w:rsidRPr="002F29EC">
        <w:rPr>
          <w:sz w:val="24"/>
        </w:rPr>
        <w:t>he day after</w:t>
      </w:r>
      <w:r w:rsidR="008C3954" w:rsidRPr="002F29EC">
        <w:rPr>
          <w:sz w:val="24"/>
        </w:rPr>
        <w:t xml:space="preserve"> </w:t>
      </w:r>
      <w:r w:rsidR="00397982" w:rsidRPr="002F29EC">
        <w:rPr>
          <w:sz w:val="24"/>
        </w:rPr>
        <w:t>registration</w:t>
      </w:r>
      <w:r w:rsidR="00BF2A49" w:rsidRPr="002F29EC">
        <w:rPr>
          <w:sz w:val="24"/>
        </w:rPr>
        <w:t xml:space="preserve"> on the</w:t>
      </w:r>
      <w:r w:rsidR="00430906" w:rsidRPr="002F29EC">
        <w:rPr>
          <w:sz w:val="24"/>
        </w:rPr>
        <w:t xml:space="preserve"> Federal Register of Legislation</w:t>
      </w:r>
      <w:r w:rsidRPr="002F29EC">
        <w:rPr>
          <w:sz w:val="24"/>
        </w:rPr>
        <w:t>.</w:t>
      </w:r>
    </w:p>
    <w:sectPr w:rsidR="005C07E5" w:rsidRPr="004D6A29" w:rsidSect="00C85D16">
      <w:headerReference w:type="default" r:id="rId7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8F" w:rsidRDefault="008E608F">
      <w:r>
        <w:separator/>
      </w:r>
    </w:p>
  </w:endnote>
  <w:endnote w:type="continuationSeparator" w:id="0">
    <w:p w:rsidR="008E608F" w:rsidRDefault="008E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8F" w:rsidRDefault="008E608F">
      <w:r>
        <w:separator/>
      </w:r>
    </w:p>
  </w:footnote>
  <w:footnote w:type="continuationSeparator" w:id="0">
    <w:p w:rsidR="008E608F" w:rsidRDefault="008E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1B" w:rsidRPr="006C22B0" w:rsidRDefault="009F5C97" w:rsidP="001D091B">
    <w:pPr>
      <w:pStyle w:val="Header"/>
      <w:jc w:val="right"/>
      <w:rPr>
        <w:rFonts w:ascii="Times New Roman" w:hAnsi="Times New Roman"/>
        <w:sz w:val="22"/>
        <w:szCs w:val="22"/>
      </w:rPr>
    </w:pPr>
    <w:r w:rsidRPr="009F5C97">
      <w:rPr>
        <w:rFonts w:ascii="Times New Roman" w:hAnsi="Times New Roman"/>
        <w:sz w:val="22"/>
        <w:szCs w:val="22"/>
      </w:rPr>
      <w:t>LIN 18/191</w:t>
    </w:r>
  </w:p>
  <w:p w:rsidR="00546F77" w:rsidRPr="001D091B" w:rsidRDefault="00546F77" w:rsidP="001D0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40A20E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2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A8D"/>
    <w:multiLevelType w:val="hybridMultilevel"/>
    <w:tmpl w:val="038C5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6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92E6A"/>
    <w:multiLevelType w:val="hybridMultilevel"/>
    <w:tmpl w:val="A1E8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7949"/>
    <w:multiLevelType w:val="hybridMultilevel"/>
    <w:tmpl w:val="8DC07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E1E26"/>
    <w:multiLevelType w:val="hybridMultilevel"/>
    <w:tmpl w:val="85048458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F2D692E"/>
    <w:multiLevelType w:val="hybridMultilevel"/>
    <w:tmpl w:val="A42E21F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619F9"/>
    <w:multiLevelType w:val="hybridMultilevel"/>
    <w:tmpl w:val="53D68F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10217"/>
    <w:rsid w:val="00012DE8"/>
    <w:rsid w:val="00025B5D"/>
    <w:rsid w:val="000371B3"/>
    <w:rsid w:val="000728BD"/>
    <w:rsid w:val="000904AF"/>
    <w:rsid w:val="00091AF1"/>
    <w:rsid w:val="000B29BF"/>
    <w:rsid w:val="000D1E10"/>
    <w:rsid w:val="000D246E"/>
    <w:rsid w:val="000E442C"/>
    <w:rsid w:val="000F0A84"/>
    <w:rsid w:val="000F4BFC"/>
    <w:rsid w:val="00115919"/>
    <w:rsid w:val="001507C0"/>
    <w:rsid w:val="00162BD5"/>
    <w:rsid w:val="00170E95"/>
    <w:rsid w:val="001841F7"/>
    <w:rsid w:val="00193A68"/>
    <w:rsid w:val="001C4BE5"/>
    <w:rsid w:val="001C5BF3"/>
    <w:rsid w:val="001D091B"/>
    <w:rsid w:val="001D0DD5"/>
    <w:rsid w:val="001D2FBD"/>
    <w:rsid w:val="001E5CE2"/>
    <w:rsid w:val="001F04E7"/>
    <w:rsid w:val="001F4EC7"/>
    <w:rsid w:val="00207530"/>
    <w:rsid w:val="00215DF3"/>
    <w:rsid w:val="00231FFD"/>
    <w:rsid w:val="00236827"/>
    <w:rsid w:val="00244AA0"/>
    <w:rsid w:val="00253CAF"/>
    <w:rsid w:val="00254673"/>
    <w:rsid w:val="0026747D"/>
    <w:rsid w:val="0027119B"/>
    <w:rsid w:val="002757FC"/>
    <w:rsid w:val="002758FC"/>
    <w:rsid w:val="002A06A8"/>
    <w:rsid w:val="002B7AF6"/>
    <w:rsid w:val="002C1AFB"/>
    <w:rsid w:val="002C53C4"/>
    <w:rsid w:val="002F29D9"/>
    <w:rsid w:val="002F29EC"/>
    <w:rsid w:val="00300995"/>
    <w:rsid w:val="00302251"/>
    <w:rsid w:val="00324C79"/>
    <w:rsid w:val="00330F55"/>
    <w:rsid w:val="003348B8"/>
    <w:rsid w:val="0035057F"/>
    <w:rsid w:val="0036537A"/>
    <w:rsid w:val="00397982"/>
    <w:rsid w:val="003A53F3"/>
    <w:rsid w:val="003C5137"/>
    <w:rsid w:val="00417400"/>
    <w:rsid w:val="00426F67"/>
    <w:rsid w:val="00430906"/>
    <w:rsid w:val="00465BCD"/>
    <w:rsid w:val="00473CD2"/>
    <w:rsid w:val="00474812"/>
    <w:rsid w:val="004905D0"/>
    <w:rsid w:val="004C4B3E"/>
    <w:rsid w:val="004C6E73"/>
    <w:rsid w:val="004D6A29"/>
    <w:rsid w:val="004F5740"/>
    <w:rsid w:val="00517596"/>
    <w:rsid w:val="00542D46"/>
    <w:rsid w:val="00546F77"/>
    <w:rsid w:val="00554524"/>
    <w:rsid w:val="00567814"/>
    <w:rsid w:val="00575FC4"/>
    <w:rsid w:val="005B2BF1"/>
    <w:rsid w:val="005C07E5"/>
    <w:rsid w:val="005F686B"/>
    <w:rsid w:val="00610658"/>
    <w:rsid w:val="006146DA"/>
    <w:rsid w:val="00641022"/>
    <w:rsid w:val="0064639B"/>
    <w:rsid w:val="00671004"/>
    <w:rsid w:val="006C1428"/>
    <w:rsid w:val="006C22B0"/>
    <w:rsid w:val="006C508E"/>
    <w:rsid w:val="0070010D"/>
    <w:rsid w:val="007030F4"/>
    <w:rsid w:val="0071413D"/>
    <w:rsid w:val="00715E24"/>
    <w:rsid w:val="007369BE"/>
    <w:rsid w:val="00794DCE"/>
    <w:rsid w:val="007E0AFF"/>
    <w:rsid w:val="00843107"/>
    <w:rsid w:val="00854256"/>
    <w:rsid w:val="008C3954"/>
    <w:rsid w:val="008E608F"/>
    <w:rsid w:val="00911D5A"/>
    <w:rsid w:val="00926667"/>
    <w:rsid w:val="0094678B"/>
    <w:rsid w:val="009B2428"/>
    <w:rsid w:val="009D0462"/>
    <w:rsid w:val="009E3B49"/>
    <w:rsid w:val="009F39BC"/>
    <w:rsid w:val="009F5C97"/>
    <w:rsid w:val="00A31178"/>
    <w:rsid w:val="00A31276"/>
    <w:rsid w:val="00A40F42"/>
    <w:rsid w:val="00A4261F"/>
    <w:rsid w:val="00A905C6"/>
    <w:rsid w:val="00A925D0"/>
    <w:rsid w:val="00A9347E"/>
    <w:rsid w:val="00AE32B0"/>
    <w:rsid w:val="00AE3D02"/>
    <w:rsid w:val="00B70E55"/>
    <w:rsid w:val="00B95124"/>
    <w:rsid w:val="00B97255"/>
    <w:rsid w:val="00BC008B"/>
    <w:rsid w:val="00BE62F6"/>
    <w:rsid w:val="00BE71E7"/>
    <w:rsid w:val="00BF2A49"/>
    <w:rsid w:val="00BF3D6A"/>
    <w:rsid w:val="00BF4868"/>
    <w:rsid w:val="00BF6A03"/>
    <w:rsid w:val="00C2715E"/>
    <w:rsid w:val="00C742BB"/>
    <w:rsid w:val="00C85D16"/>
    <w:rsid w:val="00C91E04"/>
    <w:rsid w:val="00CD3E97"/>
    <w:rsid w:val="00D22275"/>
    <w:rsid w:val="00D263E5"/>
    <w:rsid w:val="00D27FFB"/>
    <w:rsid w:val="00D60CC8"/>
    <w:rsid w:val="00D72B99"/>
    <w:rsid w:val="00D838FF"/>
    <w:rsid w:val="00D85646"/>
    <w:rsid w:val="00DA476A"/>
    <w:rsid w:val="00DA4B5B"/>
    <w:rsid w:val="00DC344E"/>
    <w:rsid w:val="00DE3517"/>
    <w:rsid w:val="00DE4734"/>
    <w:rsid w:val="00E1110E"/>
    <w:rsid w:val="00E2158B"/>
    <w:rsid w:val="00E3263F"/>
    <w:rsid w:val="00E3297D"/>
    <w:rsid w:val="00E32FDC"/>
    <w:rsid w:val="00E4273F"/>
    <w:rsid w:val="00E472C4"/>
    <w:rsid w:val="00E64B65"/>
    <w:rsid w:val="00E8404A"/>
    <w:rsid w:val="00E97575"/>
    <w:rsid w:val="00EC0201"/>
    <w:rsid w:val="00EC528D"/>
    <w:rsid w:val="00ED27C4"/>
    <w:rsid w:val="00EF4C7D"/>
    <w:rsid w:val="00F20E05"/>
    <w:rsid w:val="00F336E2"/>
    <w:rsid w:val="00F64AC1"/>
    <w:rsid w:val="00F85B02"/>
    <w:rsid w:val="00FA7655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1339E1-BE28-4BC9-93D3-2B26B8EF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64AC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rsid w:val="001D091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3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6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63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3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8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Cluster 3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Rachael Aeschlimann</dc:creator>
  <cp:keywords/>
  <cp:lastModifiedBy>Grace LIM</cp:lastModifiedBy>
  <cp:revision>2</cp:revision>
  <cp:lastPrinted>2005-01-12T05:51:00Z</cp:lastPrinted>
  <dcterms:created xsi:type="dcterms:W3CDTF">2019-08-30T01:15:00Z</dcterms:created>
  <dcterms:modified xsi:type="dcterms:W3CDTF">2019-08-30T01:15:00Z</dcterms:modified>
</cp:coreProperties>
</file>