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F53C" w14:textId="77777777" w:rsidR="00715914" w:rsidRPr="006A7843" w:rsidRDefault="00DA186E" w:rsidP="00B05CF4">
      <w:pPr>
        <w:rPr>
          <w:sz w:val="28"/>
        </w:rPr>
      </w:pPr>
      <w:r w:rsidRPr="006A7843">
        <w:rPr>
          <w:noProof/>
          <w:lang w:eastAsia="en-AU"/>
        </w:rPr>
        <w:drawing>
          <wp:inline distT="0" distB="0" distL="0" distR="0" wp14:anchorId="34E8FDD2" wp14:editId="695E31F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AB9B" w14:textId="77777777" w:rsidR="00715914" w:rsidRPr="006A7843" w:rsidRDefault="00715914" w:rsidP="00715914">
      <w:pPr>
        <w:rPr>
          <w:sz w:val="19"/>
        </w:rPr>
      </w:pPr>
    </w:p>
    <w:p w14:paraId="555A249C" w14:textId="77777777" w:rsidR="00715914" w:rsidRPr="006A7843" w:rsidRDefault="00C6749F" w:rsidP="00715914">
      <w:pPr>
        <w:pStyle w:val="ShortT"/>
      </w:pPr>
      <w:r w:rsidRPr="006A7843">
        <w:t>Federal Financial Relations (National Specific Purpose Payments for 2018</w:t>
      </w:r>
      <w:r w:rsidR="006A7843">
        <w:noBreakHyphen/>
      </w:r>
      <w:r w:rsidRPr="006A7843">
        <w:t>19) Determination</w:t>
      </w:r>
      <w:r w:rsidR="006A7843" w:rsidRPr="006A7843">
        <w:t> </w:t>
      </w:r>
      <w:r w:rsidRPr="006A7843">
        <w:t>2019</w:t>
      </w:r>
    </w:p>
    <w:p w14:paraId="7E3B6390" w14:textId="2109B70B" w:rsidR="00D54A90" w:rsidRPr="006A7843" w:rsidRDefault="00D54A90" w:rsidP="00D54A90">
      <w:pPr>
        <w:pStyle w:val="SignCoverPageStart"/>
        <w:spacing w:before="240"/>
        <w:rPr>
          <w:szCs w:val="22"/>
        </w:rPr>
      </w:pPr>
      <w:r w:rsidRPr="006A7843">
        <w:rPr>
          <w:szCs w:val="22"/>
        </w:rPr>
        <w:t xml:space="preserve">I, </w:t>
      </w:r>
      <w:r w:rsidR="0003386F">
        <w:rPr>
          <w:szCs w:val="22"/>
        </w:rPr>
        <w:t>Michael Sukkar</w:t>
      </w:r>
      <w:r w:rsidRPr="006A7843">
        <w:rPr>
          <w:szCs w:val="22"/>
        </w:rPr>
        <w:t xml:space="preserve">, </w:t>
      </w:r>
      <w:r w:rsidR="0003386F">
        <w:rPr>
          <w:szCs w:val="22"/>
        </w:rPr>
        <w:t>Assistant Treasurer</w:t>
      </w:r>
      <w:r w:rsidRPr="006A7843">
        <w:rPr>
          <w:szCs w:val="22"/>
        </w:rPr>
        <w:t xml:space="preserve">, make the following </w:t>
      </w:r>
      <w:r w:rsidR="0003386F">
        <w:rPr>
          <w:szCs w:val="22"/>
        </w:rPr>
        <w:t>determination</w:t>
      </w:r>
      <w:r w:rsidRPr="006A7843">
        <w:rPr>
          <w:szCs w:val="22"/>
        </w:rPr>
        <w:t>.</w:t>
      </w:r>
    </w:p>
    <w:p w14:paraId="476784EC" w14:textId="161A77A4" w:rsidR="00D54A90" w:rsidRPr="006A7843" w:rsidRDefault="00E30DA6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4 September </w:t>
      </w:r>
      <w:bookmarkStart w:id="0" w:name="_GoBack"/>
      <w:bookmarkEnd w:id="0"/>
      <w:r w:rsidR="0003386F">
        <w:rPr>
          <w:szCs w:val="22"/>
        </w:rPr>
        <w:t>2019</w:t>
      </w:r>
    </w:p>
    <w:p w14:paraId="1A08ED3A" w14:textId="56F40B26" w:rsidR="00D54A90" w:rsidRPr="006A7843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3819931" w14:textId="1C0ACC9E" w:rsidR="00D54A90" w:rsidRPr="006A7843" w:rsidRDefault="0003386F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386F">
        <w:rPr>
          <w:szCs w:val="22"/>
        </w:rPr>
        <w:t>Michael</w:t>
      </w:r>
      <w:r w:rsidR="00D54A90" w:rsidRPr="0003386F">
        <w:rPr>
          <w:szCs w:val="22"/>
        </w:rPr>
        <w:t xml:space="preserve"> </w:t>
      </w:r>
      <w:r w:rsidRPr="0003386F">
        <w:rPr>
          <w:szCs w:val="22"/>
        </w:rPr>
        <w:t>Sukkar</w:t>
      </w:r>
    </w:p>
    <w:p w14:paraId="7DDEE5CE" w14:textId="529B9405" w:rsidR="00D54A90" w:rsidRPr="006A7843" w:rsidRDefault="0003386F" w:rsidP="00D54A90">
      <w:pPr>
        <w:pStyle w:val="SignCoverPageEnd"/>
        <w:rPr>
          <w:szCs w:val="22"/>
        </w:rPr>
      </w:pPr>
      <w:r>
        <w:rPr>
          <w:szCs w:val="22"/>
        </w:rPr>
        <w:t>Assistant Treasurer</w:t>
      </w:r>
    </w:p>
    <w:p w14:paraId="6B231D73" w14:textId="77777777" w:rsidR="00D54A90" w:rsidRPr="006A7843" w:rsidRDefault="00D54A90" w:rsidP="00D54A90"/>
    <w:p w14:paraId="3D2DAA4E" w14:textId="77777777" w:rsidR="00715914" w:rsidRPr="006A7843" w:rsidRDefault="00715914" w:rsidP="00715914">
      <w:pPr>
        <w:pStyle w:val="Header"/>
        <w:tabs>
          <w:tab w:val="clear" w:pos="4150"/>
          <w:tab w:val="clear" w:pos="8307"/>
        </w:tabs>
      </w:pPr>
      <w:r w:rsidRPr="006A7843">
        <w:rPr>
          <w:rStyle w:val="CharChapNo"/>
        </w:rPr>
        <w:t xml:space="preserve"> </w:t>
      </w:r>
      <w:r w:rsidRPr="006A7843">
        <w:rPr>
          <w:rStyle w:val="CharChapText"/>
        </w:rPr>
        <w:t xml:space="preserve"> </w:t>
      </w:r>
    </w:p>
    <w:p w14:paraId="1BEB50F9" w14:textId="77777777" w:rsidR="00715914" w:rsidRPr="006A7843" w:rsidRDefault="00715914" w:rsidP="00715914">
      <w:pPr>
        <w:pStyle w:val="Header"/>
        <w:tabs>
          <w:tab w:val="clear" w:pos="4150"/>
          <w:tab w:val="clear" w:pos="8307"/>
        </w:tabs>
      </w:pPr>
      <w:r w:rsidRPr="006A7843">
        <w:rPr>
          <w:rStyle w:val="CharPartNo"/>
        </w:rPr>
        <w:t xml:space="preserve"> </w:t>
      </w:r>
      <w:r w:rsidRPr="006A7843">
        <w:rPr>
          <w:rStyle w:val="CharPartText"/>
        </w:rPr>
        <w:t xml:space="preserve"> </w:t>
      </w:r>
    </w:p>
    <w:p w14:paraId="2D8E23BE" w14:textId="77777777" w:rsidR="00715914" w:rsidRPr="006A7843" w:rsidRDefault="00715914" w:rsidP="00715914">
      <w:pPr>
        <w:pStyle w:val="Header"/>
        <w:tabs>
          <w:tab w:val="clear" w:pos="4150"/>
          <w:tab w:val="clear" w:pos="8307"/>
        </w:tabs>
      </w:pPr>
      <w:r w:rsidRPr="006A7843">
        <w:rPr>
          <w:rStyle w:val="CharDivNo"/>
        </w:rPr>
        <w:t xml:space="preserve"> </w:t>
      </w:r>
      <w:r w:rsidRPr="006A7843">
        <w:rPr>
          <w:rStyle w:val="CharDivText"/>
        </w:rPr>
        <w:t xml:space="preserve"> </w:t>
      </w:r>
    </w:p>
    <w:p w14:paraId="40FE0E35" w14:textId="77777777" w:rsidR="00715914" w:rsidRPr="006A7843" w:rsidRDefault="00715914" w:rsidP="00715914">
      <w:pPr>
        <w:sectPr w:rsidR="00715914" w:rsidRPr="006A7843" w:rsidSect="006A7843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73ED74" w14:textId="77777777" w:rsidR="00F67BCA" w:rsidRPr="006A7843" w:rsidRDefault="00715914" w:rsidP="006A7843">
      <w:pPr>
        <w:rPr>
          <w:sz w:val="36"/>
        </w:rPr>
      </w:pPr>
      <w:r w:rsidRPr="006A7843">
        <w:rPr>
          <w:sz w:val="36"/>
        </w:rPr>
        <w:lastRenderedPageBreak/>
        <w:t>Contents</w:t>
      </w:r>
    </w:p>
    <w:p w14:paraId="524A15FE" w14:textId="0D9C5CCC" w:rsidR="003F2FB7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7843">
        <w:fldChar w:fldCharType="begin"/>
      </w:r>
      <w:r w:rsidRPr="006A7843">
        <w:instrText xml:space="preserve"> TOC \o "1-9" </w:instrText>
      </w:r>
      <w:r w:rsidRPr="006A7843">
        <w:fldChar w:fldCharType="separate"/>
      </w:r>
      <w:r w:rsidR="003F2FB7">
        <w:rPr>
          <w:noProof/>
        </w:rPr>
        <w:t>Part 1—Preliminary</w:t>
      </w:r>
      <w:r w:rsidR="003F2FB7">
        <w:rPr>
          <w:noProof/>
        </w:rPr>
        <w:tab/>
      </w:r>
      <w:r w:rsidR="003F2FB7" w:rsidRPr="003F2FB7">
        <w:rPr>
          <w:b w:val="0"/>
          <w:noProof/>
          <w:sz w:val="18"/>
        </w:rPr>
        <w:fldChar w:fldCharType="begin"/>
      </w:r>
      <w:r w:rsidR="003F2FB7" w:rsidRPr="003F2FB7">
        <w:rPr>
          <w:b w:val="0"/>
          <w:noProof/>
          <w:sz w:val="18"/>
        </w:rPr>
        <w:instrText xml:space="preserve"> PAGEREF _Toc16772386 \h </w:instrText>
      </w:r>
      <w:r w:rsidR="003F2FB7" w:rsidRPr="003F2FB7">
        <w:rPr>
          <w:b w:val="0"/>
          <w:noProof/>
          <w:sz w:val="18"/>
        </w:rPr>
      </w:r>
      <w:r w:rsidR="003F2FB7" w:rsidRPr="003F2FB7">
        <w:rPr>
          <w:b w:val="0"/>
          <w:noProof/>
          <w:sz w:val="18"/>
        </w:rPr>
        <w:fldChar w:fldCharType="separate"/>
      </w:r>
      <w:r w:rsidR="00AD2914">
        <w:rPr>
          <w:b w:val="0"/>
          <w:noProof/>
          <w:sz w:val="18"/>
        </w:rPr>
        <w:t>1</w:t>
      </w:r>
      <w:r w:rsidR="003F2FB7" w:rsidRPr="003F2FB7">
        <w:rPr>
          <w:b w:val="0"/>
          <w:noProof/>
          <w:sz w:val="18"/>
        </w:rPr>
        <w:fldChar w:fldCharType="end"/>
      </w:r>
    </w:p>
    <w:p w14:paraId="7F3A967F" w14:textId="2CF9F470" w:rsidR="003F2FB7" w:rsidRDefault="003F2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_Toc16772387 \h </w:instrText>
      </w:r>
      <w:r>
        <w:rPr>
          <w:noProof/>
        </w:rPr>
      </w:r>
      <w:r>
        <w:rPr>
          <w:noProof/>
        </w:rPr>
        <w:fldChar w:fldCharType="separate"/>
      </w:r>
      <w:r w:rsidR="00AD2914">
        <w:rPr>
          <w:noProof/>
        </w:rPr>
        <w:t>1</w:t>
      </w:r>
      <w:r>
        <w:rPr>
          <w:noProof/>
        </w:rPr>
        <w:fldChar w:fldCharType="end"/>
      </w:r>
    </w:p>
    <w:p w14:paraId="05AC958E" w14:textId="3D58DD1E" w:rsidR="003F2FB7" w:rsidRDefault="003F2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_Toc16772388 \h </w:instrText>
      </w:r>
      <w:r>
        <w:rPr>
          <w:noProof/>
        </w:rPr>
      </w:r>
      <w:r>
        <w:rPr>
          <w:noProof/>
        </w:rPr>
        <w:fldChar w:fldCharType="separate"/>
      </w:r>
      <w:r w:rsidR="00AD2914">
        <w:rPr>
          <w:noProof/>
        </w:rPr>
        <w:t>1</w:t>
      </w:r>
      <w:r>
        <w:rPr>
          <w:noProof/>
        </w:rPr>
        <w:fldChar w:fldCharType="end"/>
      </w:r>
    </w:p>
    <w:p w14:paraId="48F20F2C" w14:textId="29F0BE4D" w:rsidR="003F2FB7" w:rsidRDefault="003F2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_Toc16772389 \h </w:instrText>
      </w:r>
      <w:r>
        <w:rPr>
          <w:noProof/>
        </w:rPr>
      </w:r>
      <w:r>
        <w:rPr>
          <w:noProof/>
        </w:rPr>
        <w:fldChar w:fldCharType="separate"/>
      </w:r>
      <w:r w:rsidR="00AD2914">
        <w:rPr>
          <w:noProof/>
        </w:rPr>
        <w:t>1</w:t>
      </w:r>
      <w:r>
        <w:rPr>
          <w:noProof/>
        </w:rPr>
        <w:fldChar w:fldCharType="end"/>
      </w:r>
    </w:p>
    <w:p w14:paraId="093CF9BB" w14:textId="7E4FDEDE" w:rsidR="003F2FB7" w:rsidRDefault="003F2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_Toc16772390 \h </w:instrText>
      </w:r>
      <w:r>
        <w:rPr>
          <w:noProof/>
        </w:rPr>
      </w:r>
      <w:r>
        <w:rPr>
          <w:noProof/>
        </w:rPr>
        <w:fldChar w:fldCharType="separate"/>
      </w:r>
      <w:r w:rsidR="00AD2914">
        <w:rPr>
          <w:noProof/>
        </w:rPr>
        <w:t>1</w:t>
      </w:r>
      <w:r>
        <w:rPr>
          <w:noProof/>
        </w:rPr>
        <w:fldChar w:fldCharType="end"/>
      </w:r>
    </w:p>
    <w:p w14:paraId="0345403F" w14:textId="1FCEF203" w:rsidR="003F2FB7" w:rsidRDefault="003F2FB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national specific purpose payments for 2018</w:t>
      </w:r>
      <w:r>
        <w:rPr>
          <w:noProof/>
        </w:rPr>
        <w:noBreakHyphen/>
        <w:t>19</w:t>
      </w:r>
      <w:r>
        <w:rPr>
          <w:noProof/>
        </w:rPr>
        <w:tab/>
      </w:r>
      <w:r w:rsidRPr="003F2FB7">
        <w:rPr>
          <w:b w:val="0"/>
          <w:noProof/>
          <w:sz w:val="18"/>
        </w:rPr>
        <w:fldChar w:fldCharType="begin"/>
      </w:r>
      <w:r w:rsidRPr="003F2FB7">
        <w:rPr>
          <w:b w:val="0"/>
          <w:noProof/>
          <w:sz w:val="18"/>
        </w:rPr>
        <w:instrText xml:space="preserve"> PAGEREF _Toc16772391 \h </w:instrText>
      </w:r>
      <w:r w:rsidRPr="003F2FB7">
        <w:rPr>
          <w:b w:val="0"/>
          <w:noProof/>
          <w:sz w:val="18"/>
        </w:rPr>
      </w:r>
      <w:r w:rsidRPr="003F2FB7">
        <w:rPr>
          <w:b w:val="0"/>
          <w:noProof/>
          <w:sz w:val="18"/>
        </w:rPr>
        <w:fldChar w:fldCharType="separate"/>
      </w:r>
      <w:r w:rsidR="00AD2914">
        <w:rPr>
          <w:b w:val="0"/>
          <w:noProof/>
          <w:sz w:val="18"/>
        </w:rPr>
        <w:t>2</w:t>
      </w:r>
      <w:r w:rsidRPr="003F2FB7">
        <w:rPr>
          <w:b w:val="0"/>
          <w:noProof/>
          <w:sz w:val="18"/>
        </w:rPr>
        <w:fldChar w:fldCharType="end"/>
      </w:r>
    </w:p>
    <w:p w14:paraId="12BE650A" w14:textId="3528E007" w:rsidR="003F2FB7" w:rsidRDefault="003F2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National specific purpose payments for skills and workforce development for 2018</w:t>
      </w:r>
      <w:r>
        <w:rPr>
          <w:noProof/>
        </w:rPr>
        <w:noBreakHyphen/>
        <w:t>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_Toc16772392 \h </w:instrText>
      </w:r>
      <w:r>
        <w:rPr>
          <w:noProof/>
        </w:rPr>
      </w:r>
      <w:r>
        <w:rPr>
          <w:noProof/>
        </w:rPr>
        <w:fldChar w:fldCharType="separate"/>
      </w:r>
      <w:r w:rsidR="00AD2914">
        <w:rPr>
          <w:noProof/>
        </w:rPr>
        <w:t>2</w:t>
      </w:r>
      <w:r>
        <w:rPr>
          <w:noProof/>
        </w:rPr>
        <w:fldChar w:fldCharType="end"/>
      </w:r>
    </w:p>
    <w:p w14:paraId="2D36F44C" w14:textId="06AD72D8" w:rsidR="003F2FB7" w:rsidRDefault="003F2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National specific purpose payments for disability services for 2018</w:t>
      </w:r>
      <w:r>
        <w:rPr>
          <w:noProof/>
        </w:rPr>
        <w:noBreakHyphen/>
        <w:t>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_Toc16772393 \h </w:instrText>
      </w:r>
      <w:r>
        <w:rPr>
          <w:noProof/>
        </w:rPr>
      </w:r>
      <w:r>
        <w:rPr>
          <w:noProof/>
        </w:rPr>
        <w:fldChar w:fldCharType="separate"/>
      </w:r>
      <w:r w:rsidR="00AD2914">
        <w:rPr>
          <w:noProof/>
        </w:rPr>
        <w:t>3</w:t>
      </w:r>
      <w:r>
        <w:rPr>
          <w:noProof/>
        </w:rPr>
        <w:fldChar w:fldCharType="end"/>
      </w:r>
    </w:p>
    <w:p w14:paraId="6F803471" w14:textId="1791DFF9" w:rsidR="00AE1A82" w:rsidRPr="006A7843" w:rsidRDefault="00EC38CB" w:rsidP="00715914">
      <w:r w:rsidRPr="006A7843">
        <w:fldChar w:fldCharType="end"/>
      </w:r>
    </w:p>
    <w:p w14:paraId="2468C398" w14:textId="77777777" w:rsidR="00670EA1" w:rsidRPr="006A7843" w:rsidRDefault="00670EA1" w:rsidP="00715914">
      <w:pPr>
        <w:sectPr w:rsidR="00670EA1" w:rsidRPr="006A7843" w:rsidSect="006A784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47176" w14:textId="77777777" w:rsidR="00715914" w:rsidRPr="006A7843" w:rsidRDefault="00715914" w:rsidP="00715914">
      <w:pPr>
        <w:pStyle w:val="ActHead2"/>
      </w:pPr>
      <w:bookmarkStart w:id="1" w:name="_Toc16772386"/>
      <w:r w:rsidRPr="006A7843">
        <w:rPr>
          <w:rStyle w:val="CharPartNo"/>
        </w:rPr>
        <w:lastRenderedPageBreak/>
        <w:t>Part</w:t>
      </w:r>
      <w:r w:rsidR="006A7843" w:rsidRPr="006A7843">
        <w:rPr>
          <w:rStyle w:val="CharPartNo"/>
        </w:rPr>
        <w:t> </w:t>
      </w:r>
      <w:r w:rsidRPr="006A7843">
        <w:rPr>
          <w:rStyle w:val="CharPartNo"/>
        </w:rPr>
        <w:t>1</w:t>
      </w:r>
      <w:r w:rsidRPr="006A7843">
        <w:t>—</w:t>
      </w:r>
      <w:r w:rsidRPr="006A7843">
        <w:rPr>
          <w:rStyle w:val="CharPartText"/>
        </w:rPr>
        <w:t>Preliminary</w:t>
      </w:r>
      <w:bookmarkEnd w:id="1"/>
    </w:p>
    <w:p w14:paraId="2B21B481" w14:textId="77777777" w:rsidR="00715914" w:rsidRPr="006A7843" w:rsidRDefault="00715914" w:rsidP="00715914">
      <w:pPr>
        <w:pStyle w:val="Header"/>
      </w:pPr>
      <w:r w:rsidRPr="006A7843">
        <w:rPr>
          <w:rStyle w:val="CharDivNo"/>
        </w:rPr>
        <w:t xml:space="preserve"> </w:t>
      </w:r>
      <w:r w:rsidRPr="006A7843">
        <w:rPr>
          <w:rStyle w:val="CharDivText"/>
        </w:rPr>
        <w:t xml:space="preserve"> </w:t>
      </w:r>
    </w:p>
    <w:p w14:paraId="47167D46" w14:textId="77777777" w:rsidR="00715914" w:rsidRPr="006A7843" w:rsidRDefault="00715914" w:rsidP="00715914">
      <w:pPr>
        <w:pStyle w:val="ActHead5"/>
      </w:pPr>
      <w:bookmarkStart w:id="2" w:name="_Toc16772387"/>
      <w:r w:rsidRPr="006A7843">
        <w:rPr>
          <w:rStyle w:val="CharSectno"/>
        </w:rPr>
        <w:t>1</w:t>
      </w:r>
      <w:r w:rsidRPr="006A7843">
        <w:t xml:space="preserve">  </w:t>
      </w:r>
      <w:r w:rsidR="00CE493D" w:rsidRPr="006A7843">
        <w:t>Name</w:t>
      </w:r>
      <w:bookmarkEnd w:id="2"/>
    </w:p>
    <w:p w14:paraId="44D0BA0D" w14:textId="7432E7EB" w:rsidR="00715914" w:rsidRPr="006A7843" w:rsidRDefault="00715914" w:rsidP="00715914">
      <w:pPr>
        <w:pStyle w:val="subsection"/>
      </w:pPr>
      <w:r w:rsidRPr="006A7843">
        <w:tab/>
      </w:r>
      <w:r w:rsidRPr="006A7843">
        <w:tab/>
      </w:r>
      <w:r w:rsidR="00D54A90" w:rsidRPr="006A7843">
        <w:t xml:space="preserve">This </w:t>
      </w:r>
      <w:r w:rsidR="005D0E7B" w:rsidRPr="006A7843">
        <w:t xml:space="preserve">instrument </w:t>
      </w:r>
      <w:r w:rsidR="00D54A90" w:rsidRPr="006A7843">
        <w:t>is</w:t>
      </w:r>
      <w:r w:rsidR="00CE493D" w:rsidRPr="006A7843">
        <w:t xml:space="preserve"> the </w:t>
      </w:r>
      <w:r w:rsidR="0003386F" w:rsidRPr="0003386F">
        <w:rPr>
          <w:i/>
          <w:noProof/>
        </w:rPr>
        <w:t>Federal Financial Relations (National Specific Purpose Payments for 2018</w:t>
      </w:r>
      <w:r w:rsidR="00DB3F71">
        <w:rPr>
          <w:i/>
          <w:noProof/>
        </w:rPr>
        <w:t>-</w:t>
      </w:r>
      <w:r w:rsidR="0003386F" w:rsidRPr="0003386F">
        <w:rPr>
          <w:i/>
          <w:noProof/>
        </w:rPr>
        <w:t>19) Determination 2019</w:t>
      </w:r>
      <w:r w:rsidRPr="006A7843">
        <w:t>.</w:t>
      </w:r>
    </w:p>
    <w:p w14:paraId="167E537A" w14:textId="77777777" w:rsidR="00715914" w:rsidRPr="006A7843" w:rsidRDefault="00715914" w:rsidP="00715914">
      <w:pPr>
        <w:pStyle w:val="ActHead5"/>
      </w:pPr>
      <w:bookmarkStart w:id="3" w:name="_Toc16772388"/>
      <w:r w:rsidRPr="006A7843">
        <w:rPr>
          <w:rStyle w:val="CharSectno"/>
        </w:rPr>
        <w:t>2</w:t>
      </w:r>
      <w:r w:rsidRPr="006A7843">
        <w:t xml:space="preserve">  Commencement</w:t>
      </w:r>
      <w:bookmarkEnd w:id="3"/>
    </w:p>
    <w:p w14:paraId="07551F21" w14:textId="6C47729E" w:rsidR="00BA0C87" w:rsidRPr="006A7843" w:rsidRDefault="00BA0C87" w:rsidP="00ED59CF">
      <w:pPr>
        <w:pStyle w:val="subsection"/>
      </w:pPr>
      <w:r w:rsidRPr="006A7843">
        <w:tab/>
        <w:t>(1)</w:t>
      </w:r>
      <w:r w:rsidRPr="006A7843">
        <w:tab/>
        <w:t xml:space="preserve">Each provision of </w:t>
      </w:r>
      <w:r w:rsidR="0003386F">
        <w:t xml:space="preserve">this </w:t>
      </w:r>
      <w:r w:rsidR="00D54A90" w:rsidRPr="006A7843">
        <w:t>instrument</w:t>
      </w:r>
      <w:r w:rsidRPr="006A7843">
        <w:t xml:space="preserve"> specified in column 1 of the table commences, or is taken to have commenced, in accordance with column 2 of the table. Any other statement in column 2 has effect according to its terms.</w:t>
      </w:r>
    </w:p>
    <w:p w14:paraId="6797E41E" w14:textId="77777777" w:rsidR="00BA0C87" w:rsidRPr="006A7843" w:rsidRDefault="00BA0C87" w:rsidP="00ED59CF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6A7843" w14:paraId="1A8EEFA7" w14:textId="77777777" w:rsidTr="0003386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173667" w14:textId="77777777" w:rsidR="00BA0C87" w:rsidRPr="006A7843" w:rsidRDefault="00BA0C87" w:rsidP="00ED59CF">
            <w:pPr>
              <w:pStyle w:val="TableHeading"/>
            </w:pPr>
            <w:r w:rsidRPr="006A7843">
              <w:t>Commencement information</w:t>
            </w:r>
          </w:p>
        </w:tc>
      </w:tr>
      <w:tr w:rsidR="00BA0C87" w:rsidRPr="006A7843" w14:paraId="6DABC2C7" w14:textId="77777777" w:rsidTr="0003386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8C9229" w14:textId="77777777" w:rsidR="00BA0C87" w:rsidRPr="006A7843" w:rsidRDefault="00BA0C87" w:rsidP="00ED59CF">
            <w:pPr>
              <w:pStyle w:val="TableHeading"/>
            </w:pPr>
            <w:r w:rsidRPr="006A78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D02D73" w14:textId="77777777" w:rsidR="00BA0C87" w:rsidRPr="006A7843" w:rsidRDefault="00BA0C87" w:rsidP="00ED59CF">
            <w:pPr>
              <w:pStyle w:val="TableHeading"/>
            </w:pPr>
            <w:r w:rsidRPr="006A78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6C66AD" w14:textId="77777777" w:rsidR="00BA0C87" w:rsidRPr="006A7843" w:rsidRDefault="00BA0C87" w:rsidP="00ED59CF">
            <w:pPr>
              <w:pStyle w:val="TableHeading"/>
            </w:pPr>
            <w:r w:rsidRPr="006A7843">
              <w:t>Column 3</w:t>
            </w:r>
          </w:p>
        </w:tc>
      </w:tr>
      <w:tr w:rsidR="00BA0C87" w:rsidRPr="006A7843" w14:paraId="784FFB07" w14:textId="77777777" w:rsidTr="0003386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5C3484" w14:textId="77777777" w:rsidR="00BA0C87" w:rsidRPr="006A7843" w:rsidRDefault="00BA0C87" w:rsidP="00ED59CF">
            <w:pPr>
              <w:pStyle w:val="TableHeading"/>
            </w:pPr>
            <w:r w:rsidRPr="006A78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579F44" w14:textId="77777777" w:rsidR="00BA0C87" w:rsidRPr="006A7843" w:rsidRDefault="00BA0C87" w:rsidP="00ED59CF">
            <w:pPr>
              <w:pStyle w:val="TableHeading"/>
            </w:pPr>
            <w:r w:rsidRPr="006A78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85E286" w14:textId="77777777" w:rsidR="00BA0C87" w:rsidRPr="006A7843" w:rsidRDefault="00BA0C87" w:rsidP="00ED59CF">
            <w:pPr>
              <w:pStyle w:val="TableHeading"/>
            </w:pPr>
            <w:r w:rsidRPr="006A7843">
              <w:t>Date/Details</w:t>
            </w:r>
          </w:p>
        </w:tc>
      </w:tr>
      <w:tr w:rsidR="00BA0C87" w:rsidRPr="006A7843" w14:paraId="737BE23C" w14:textId="77777777" w:rsidTr="0003386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D92F2B" w14:textId="27FD48DD" w:rsidR="00BA0C87" w:rsidRPr="006A7843" w:rsidRDefault="0003386F">
            <w:pPr>
              <w:pStyle w:val="Tabletext"/>
            </w:pPr>
            <w:r>
              <w:t>1</w:t>
            </w:r>
            <w:r w:rsidR="00BA0C87" w:rsidRPr="006A7843">
              <w:t xml:space="preserve">.  </w:t>
            </w:r>
            <w:r>
              <w:t xml:space="preserve">The whole of this </w:t>
            </w:r>
            <w:r w:rsidR="00E9797A">
              <w:t>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F37802" w14:textId="535F7B04" w:rsidR="00BA0C87" w:rsidRPr="006A7843" w:rsidRDefault="0003386F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54FDA70" w14:textId="77777777" w:rsidR="00BA0C87" w:rsidRPr="006A7843" w:rsidRDefault="00BA0C87">
            <w:pPr>
              <w:pStyle w:val="Tabletext"/>
            </w:pPr>
          </w:p>
        </w:tc>
      </w:tr>
    </w:tbl>
    <w:p w14:paraId="72A3190C" w14:textId="77777777" w:rsidR="00BA0C87" w:rsidRPr="006A7843" w:rsidRDefault="00BA0C87" w:rsidP="00ED59CF">
      <w:pPr>
        <w:pStyle w:val="notetext"/>
      </w:pPr>
      <w:r w:rsidRPr="006A7843">
        <w:rPr>
          <w:snapToGrid w:val="0"/>
          <w:lang w:eastAsia="en-US"/>
        </w:rPr>
        <w:t>Note:</w:t>
      </w:r>
      <w:r w:rsidRPr="006A7843">
        <w:rPr>
          <w:snapToGrid w:val="0"/>
          <w:lang w:eastAsia="en-US"/>
        </w:rPr>
        <w:tab/>
        <w:t xml:space="preserve">This table relates only to the provisions of this </w:t>
      </w:r>
      <w:r w:rsidR="00D54A90" w:rsidRPr="006A7843">
        <w:t>instrument</w:t>
      </w:r>
      <w:r w:rsidRPr="006A7843">
        <w:t xml:space="preserve"> </w:t>
      </w:r>
      <w:r w:rsidRPr="006A7843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6A7843">
        <w:rPr>
          <w:snapToGrid w:val="0"/>
          <w:lang w:eastAsia="en-US"/>
        </w:rPr>
        <w:t>instrument</w:t>
      </w:r>
      <w:r w:rsidRPr="006A7843">
        <w:rPr>
          <w:snapToGrid w:val="0"/>
          <w:lang w:eastAsia="en-US"/>
        </w:rPr>
        <w:t>.</w:t>
      </w:r>
    </w:p>
    <w:p w14:paraId="7604C7EF" w14:textId="77777777" w:rsidR="00BA0C87" w:rsidRPr="006A7843" w:rsidRDefault="00BA0C87" w:rsidP="00ED59CF">
      <w:pPr>
        <w:pStyle w:val="subsection"/>
      </w:pPr>
      <w:r w:rsidRPr="006A7843">
        <w:tab/>
        <w:t>(2)</w:t>
      </w:r>
      <w:r w:rsidRPr="006A7843">
        <w:tab/>
        <w:t xml:space="preserve">Any information in column 3 of the table is not part of this </w:t>
      </w:r>
      <w:r w:rsidR="00D54A90" w:rsidRPr="006A7843">
        <w:t>instrument</w:t>
      </w:r>
      <w:r w:rsidRPr="006A7843">
        <w:t xml:space="preserve">. Information may be inserted in this column, or information in it may be edited, in any published version of this </w:t>
      </w:r>
      <w:r w:rsidR="00D54A90" w:rsidRPr="006A7843">
        <w:t>instrument</w:t>
      </w:r>
      <w:r w:rsidRPr="006A7843">
        <w:t>.</w:t>
      </w:r>
    </w:p>
    <w:p w14:paraId="30770F4A" w14:textId="77777777" w:rsidR="007500C8" w:rsidRPr="006A7843" w:rsidRDefault="007500C8" w:rsidP="007500C8">
      <w:pPr>
        <w:pStyle w:val="ActHead5"/>
      </w:pPr>
      <w:bookmarkStart w:id="4" w:name="_Toc16772389"/>
      <w:r w:rsidRPr="006A7843">
        <w:rPr>
          <w:rStyle w:val="CharSectno"/>
        </w:rPr>
        <w:t>3</w:t>
      </w:r>
      <w:r w:rsidRPr="006A7843">
        <w:t xml:space="preserve">  Authority</w:t>
      </w:r>
      <w:bookmarkEnd w:id="4"/>
    </w:p>
    <w:p w14:paraId="62926046" w14:textId="74C98D37" w:rsidR="00157B8B" w:rsidRPr="006A7843" w:rsidRDefault="007500C8" w:rsidP="007E667A">
      <w:pPr>
        <w:pStyle w:val="subsection"/>
      </w:pPr>
      <w:r w:rsidRPr="006A7843">
        <w:tab/>
      </w:r>
      <w:r w:rsidRPr="006A7843">
        <w:tab/>
        <w:t xml:space="preserve">This </w:t>
      </w:r>
      <w:r w:rsidR="00D54A90" w:rsidRPr="006A7843">
        <w:t>instrument</w:t>
      </w:r>
      <w:r w:rsidRPr="006A7843">
        <w:t xml:space="preserve"> is made under the </w:t>
      </w:r>
      <w:r w:rsidR="00673C98">
        <w:rPr>
          <w:i/>
        </w:rPr>
        <w:t>Federal Financial Relations Act 2009</w:t>
      </w:r>
      <w:r w:rsidR="00F4350D" w:rsidRPr="006A7843">
        <w:t>.</w:t>
      </w:r>
    </w:p>
    <w:p w14:paraId="248447D4" w14:textId="598384CF" w:rsidR="00AE1A82" w:rsidRPr="006A7843" w:rsidRDefault="00AE1A82" w:rsidP="00AE1A82">
      <w:pPr>
        <w:pStyle w:val="ActHead5"/>
      </w:pPr>
      <w:bookmarkStart w:id="5" w:name="_Toc16772390"/>
      <w:r w:rsidRPr="006A7843">
        <w:rPr>
          <w:rStyle w:val="CharSectno"/>
        </w:rPr>
        <w:t>4</w:t>
      </w:r>
      <w:r w:rsidRPr="006A7843">
        <w:t xml:space="preserve">  </w:t>
      </w:r>
      <w:r w:rsidR="00673C98">
        <w:t>Definitions</w:t>
      </w:r>
      <w:bookmarkEnd w:id="5"/>
    </w:p>
    <w:p w14:paraId="4CEE9826" w14:textId="77777777" w:rsidR="00673C98" w:rsidRPr="008A54EE" w:rsidRDefault="00673C98" w:rsidP="00673C98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>
        <w:rPr>
          <w:i/>
        </w:rPr>
        <w:t>Federal Financial Relations Act 2009</w:t>
      </w:r>
      <w:r w:rsidRPr="00963CCC">
        <w:t xml:space="preserve"> </w:t>
      </w:r>
      <w:r w:rsidRPr="008A54EE">
        <w:t>as in force from time to time.</w:t>
      </w:r>
    </w:p>
    <w:p w14:paraId="784FC8E3" w14:textId="77777777" w:rsidR="00673C98" w:rsidRDefault="00673C98" w:rsidP="00673C98">
      <w:pPr>
        <w:pStyle w:val="subsection"/>
      </w:pPr>
      <w:r w:rsidRPr="00C76DDE">
        <w:tab/>
      </w:r>
      <w:r w:rsidRPr="00C76DDE">
        <w:tab/>
      </w:r>
      <w:r>
        <w:t>In this instrument:</w:t>
      </w:r>
    </w:p>
    <w:p w14:paraId="41843C2F" w14:textId="020B026B" w:rsidR="004E0D12" w:rsidRDefault="004E0D12" w:rsidP="00673C98">
      <w:pPr>
        <w:pStyle w:val="Definition"/>
        <w:rPr>
          <w:b/>
          <w:i/>
        </w:rPr>
      </w:pPr>
      <w:r>
        <w:rPr>
          <w:b/>
          <w:i/>
        </w:rPr>
        <w:t>NDIS</w:t>
      </w:r>
      <w:r w:rsidRPr="004E0D12">
        <w:t xml:space="preserve"> means</w:t>
      </w:r>
      <w:r>
        <w:t xml:space="preserve"> the National Disability Insurance Scheme.</w:t>
      </w:r>
    </w:p>
    <w:p w14:paraId="27DA9990" w14:textId="0B4A6EAB" w:rsidR="00673C98" w:rsidRPr="00C76DDE" w:rsidRDefault="00673C98" w:rsidP="00673C98">
      <w:pPr>
        <w:pStyle w:val="Definition"/>
      </w:pPr>
      <w:r w:rsidRPr="00836DA6">
        <w:rPr>
          <w:b/>
          <w:i/>
        </w:rPr>
        <w:t>the Act</w:t>
      </w:r>
      <w:r>
        <w:t xml:space="preserve"> means the </w:t>
      </w:r>
      <w:r w:rsidRPr="00836DA6">
        <w:rPr>
          <w:i/>
        </w:rPr>
        <w:t>Federal Financial Relations Act 2009</w:t>
      </w:r>
      <w:r>
        <w:t>.</w:t>
      </w:r>
    </w:p>
    <w:p w14:paraId="66B64CE2" w14:textId="71EFDD50" w:rsidR="00C6749F" w:rsidRDefault="00C6749F" w:rsidP="00C6749F">
      <w:pPr>
        <w:pStyle w:val="ActHead2"/>
        <w:pageBreakBefore/>
        <w:rPr>
          <w:rStyle w:val="CharPartText"/>
        </w:rPr>
      </w:pPr>
      <w:bookmarkStart w:id="6" w:name="_Toc16772391"/>
      <w:r w:rsidRPr="006A7843">
        <w:rPr>
          <w:rStyle w:val="CharPartNo"/>
        </w:rPr>
        <w:lastRenderedPageBreak/>
        <w:t>Part</w:t>
      </w:r>
      <w:r w:rsidR="006A7843" w:rsidRPr="006A7843">
        <w:rPr>
          <w:rStyle w:val="CharPartNo"/>
        </w:rPr>
        <w:t> </w:t>
      </w:r>
      <w:r w:rsidRPr="006A7843">
        <w:rPr>
          <w:rStyle w:val="CharPartNo"/>
        </w:rPr>
        <w:t>2</w:t>
      </w:r>
      <w:r w:rsidRPr="006A7843">
        <w:t>—</w:t>
      </w:r>
      <w:r w:rsidRPr="006A7843">
        <w:rPr>
          <w:rStyle w:val="CharPartText"/>
        </w:rPr>
        <w:t>Determination of national specific purpose payments for 2018</w:t>
      </w:r>
      <w:r w:rsidR="006A7843" w:rsidRPr="006A7843">
        <w:rPr>
          <w:rStyle w:val="CharPartText"/>
        </w:rPr>
        <w:noBreakHyphen/>
      </w:r>
      <w:r w:rsidRPr="006A7843">
        <w:rPr>
          <w:rStyle w:val="CharPartText"/>
        </w:rPr>
        <w:t>19</w:t>
      </w:r>
      <w:bookmarkEnd w:id="6"/>
    </w:p>
    <w:p w14:paraId="1A0A309D" w14:textId="3A3A20B6" w:rsidR="00303C5D" w:rsidRDefault="00303C5D" w:rsidP="00303C5D">
      <w:pPr>
        <w:pStyle w:val="Header"/>
      </w:pPr>
      <w:r>
        <w:t xml:space="preserve">  </w:t>
      </w:r>
    </w:p>
    <w:p w14:paraId="5E7C3494" w14:textId="77777777" w:rsidR="00C6749F" w:rsidRPr="006A7843" w:rsidRDefault="00C6749F" w:rsidP="00C6749F">
      <w:pPr>
        <w:pStyle w:val="ActHead5"/>
      </w:pPr>
      <w:bookmarkStart w:id="7" w:name="_Toc16772392"/>
      <w:r w:rsidRPr="006A7843">
        <w:rPr>
          <w:rStyle w:val="CharSectno"/>
        </w:rPr>
        <w:t>5</w:t>
      </w:r>
      <w:r w:rsidRPr="006A7843">
        <w:t xml:space="preserve">  National specific purpose payments for skills and workforce development for 2018</w:t>
      </w:r>
      <w:r w:rsidR="006A7843">
        <w:noBreakHyphen/>
      </w:r>
      <w:r w:rsidRPr="006A7843">
        <w:t>19</w:t>
      </w:r>
      <w:bookmarkEnd w:id="7"/>
    </w:p>
    <w:p w14:paraId="5DFA0694" w14:textId="31A9F35E" w:rsidR="00C6749F" w:rsidRDefault="00673C98" w:rsidP="00C6749F">
      <w:pPr>
        <w:pStyle w:val="subsection"/>
      </w:pPr>
      <w:r>
        <w:tab/>
        <w:t>(1)</w:t>
      </w:r>
      <w:r>
        <w:tab/>
        <w:t xml:space="preserve">For the purposes of subsection 12(4) of the Act, </w:t>
      </w:r>
      <w:r w:rsidR="00CA493D">
        <w:t xml:space="preserve">the total amount under paragraph </w:t>
      </w:r>
      <w:r w:rsidR="00720272">
        <w:t>12</w:t>
      </w:r>
      <w:r w:rsidR="00CA493D">
        <w:t xml:space="preserve">(2)(c) of the Act is to be indexed for the 2018-19 financial year in </w:t>
      </w:r>
      <w:r w:rsidR="00E9797A">
        <w:t xml:space="preserve">the manner set out in paragraph D27 in Schedule D to the </w:t>
      </w:r>
      <w:r w:rsidR="00E9797A" w:rsidRPr="002C31AD">
        <w:t>Intergovernmental Agreement</w:t>
      </w:r>
      <w:r w:rsidR="00E9797A" w:rsidRPr="00E9797A">
        <w:rPr>
          <w:i/>
        </w:rPr>
        <w:t xml:space="preserve"> </w:t>
      </w:r>
      <w:r w:rsidR="00E9797A" w:rsidRPr="00E9797A">
        <w:t>using</w:t>
      </w:r>
      <w:r w:rsidR="00553000">
        <w:t xml:space="preserve"> the estimate</w:t>
      </w:r>
      <w:r w:rsidR="00303C5D">
        <w:t>s</w:t>
      </w:r>
      <w:r w:rsidR="00E9797A">
        <w:t xml:space="preserve"> published in the 2019-20 </w:t>
      </w:r>
      <w:r w:rsidR="00E9797A" w:rsidRPr="00553000">
        <w:rPr>
          <w:i/>
        </w:rPr>
        <w:t>Budget</w:t>
      </w:r>
      <w:r w:rsidR="00553000" w:rsidRPr="00553000">
        <w:rPr>
          <w:i/>
        </w:rPr>
        <w:t xml:space="preserve"> Paper No.</w:t>
      </w:r>
      <w:r w:rsidR="00553000">
        <w:t xml:space="preserve"> </w:t>
      </w:r>
      <w:r w:rsidR="00553000" w:rsidRPr="00303C5D">
        <w:rPr>
          <w:i/>
        </w:rPr>
        <w:t>3</w:t>
      </w:r>
      <w:r w:rsidR="00E9797A">
        <w:t>.</w:t>
      </w:r>
      <w:r w:rsidR="00303C5D">
        <w:t xml:space="preserve"> </w:t>
      </w:r>
      <w:r w:rsidR="00553000">
        <w:t xml:space="preserve">The </w:t>
      </w:r>
      <w:r w:rsidR="00303C5D">
        <w:t xml:space="preserve">result of the determined manner of indexation for the 2018-19 financial year is that </w:t>
      </w:r>
      <w:r w:rsidR="00CC2DBA">
        <w:t xml:space="preserve">the </w:t>
      </w:r>
      <w:r w:rsidR="00553000">
        <w:t xml:space="preserve">total amount is to be indexed </w:t>
      </w:r>
      <w:r w:rsidR="00ED59CF">
        <w:t xml:space="preserve">by </w:t>
      </w:r>
      <w:r w:rsidR="0022347D">
        <w:t xml:space="preserve">applying a growth rate of </w:t>
      </w:r>
      <w:r w:rsidR="00C651E3">
        <w:t>1.43 per cent.</w:t>
      </w:r>
    </w:p>
    <w:p w14:paraId="348DCA2F" w14:textId="0436A2B1" w:rsidR="00CA493D" w:rsidRDefault="00C651E3" w:rsidP="00C651E3">
      <w:pPr>
        <w:pStyle w:val="notetext"/>
      </w:pPr>
      <w:r>
        <w:t xml:space="preserve">Note </w:t>
      </w:r>
      <w:r w:rsidR="000B3E12">
        <w:t>1</w:t>
      </w:r>
      <w:r>
        <w:t>:</w:t>
      </w:r>
      <w:r>
        <w:tab/>
      </w:r>
      <w:r w:rsidRPr="00C651E3">
        <w:t xml:space="preserve">Paragraph D27 in Schedule D to the </w:t>
      </w:r>
      <w:r w:rsidRPr="002C31AD">
        <w:t xml:space="preserve">Intergovernmental Agreement </w:t>
      </w:r>
      <w:r>
        <w:t xml:space="preserve">provides that the growth factor for </w:t>
      </w:r>
      <w:r w:rsidR="00906ED2">
        <w:t>n</w:t>
      </w:r>
      <w:r>
        <w:t>ational skills and workforce development specific purpose payment</w:t>
      </w:r>
      <w:r w:rsidR="00906ED2">
        <w:t>s</w:t>
      </w:r>
      <w:r>
        <w:t xml:space="preserve"> is calculated according to the following formula:</w:t>
      </w:r>
    </w:p>
    <w:p w14:paraId="3F0C14C0" w14:textId="77777777" w:rsidR="00303C5D" w:rsidRPr="00CC2DBA" w:rsidRDefault="00303C5D" w:rsidP="00303C5D">
      <w:pPr>
        <w:pStyle w:val="Formula"/>
        <w:rPr>
          <w:sz w:val="12"/>
          <w:szCs w:val="12"/>
        </w:rPr>
      </w:pPr>
    </w:p>
    <w:p w14:paraId="5872F008" w14:textId="45B4CE23" w:rsidR="00C651E3" w:rsidRPr="00720272" w:rsidRDefault="0014025D" w:rsidP="00720272">
      <w:pPr>
        <w:pStyle w:val="Formula"/>
        <w:ind w:left="1985"/>
        <w:rPr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growth factor=</m:t>
          </m:r>
          <m:d>
            <m:dPr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0.85 ×Wage Cost Index 1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+</m:t>
          </m:r>
          <m:d>
            <m:dPr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0.25 ×Wage Cost Index 6</m:t>
              </m:r>
            </m:e>
          </m:d>
        </m:oMath>
      </m:oMathPara>
    </w:p>
    <w:p w14:paraId="0582F955" w14:textId="42BA0DF5" w:rsidR="0039672D" w:rsidRPr="0039672D" w:rsidRDefault="0039672D" w:rsidP="0039672D">
      <w:pPr>
        <w:pStyle w:val="notetext"/>
      </w:pPr>
      <w:r w:rsidRPr="0039672D">
        <w:t xml:space="preserve">Note </w:t>
      </w:r>
      <w:r w:rsidR="000B3E12">
        <w:t>2</w:t>
      </w:r>
      <w:r w:rsidRPr="0039672D">
        <w:t>:</w:t>
      </w:r>
      <w:r w:rsidRPr="0039672D">
        <w:tab/>
      </w:r>
      <w:r>
        <w:t xml:space="preserve">The </w:t>
      </w:r>
      <w:r w:rsidRPr="0039672D">
        <w:t>Wage Cost Indices are weighted averages of movements in a wage compone</w:t>
      </w:r>
      <w:r>
        <w:t xml:space="preserve">nt and the </w:t>
      </w:r>
      <w:r w:rsidR="00906ED2">
        <w:t xml:space="preserve">All Groups </w:t>
      </w:r>
      <w:r>
        <w:t>Consumer Price Index</w:t>
      </w:r>
      <w:r w:rsidR="00906ED2">
        <w:t xml:space="preserve"> published by the Australian Statistician</w:t>
      </w:r>
      <w:r w:rsidRPr="0039672D">
        <w:t xml:space="preserve">, to reflect movements in labour and supplier costs respectively. The wage component is calculated from dollar increases in the national minimum wage determined by the Fair Work Commission, expressed as a percentage of the latest available Average Weekly Ordinary Time Earnings figures published by the Australian </w:t>
      </w:r>
      <w:r w:rsidR="00906ED2">
        <w:t>Statistician.</w:t>
      </w:r>
    </w:p>
    <w:p w14:paraId="4EE4C9FF" w14:textId="7A86F981" w:rsidR="00CA493D" w:rsidRDefault="00CA493D" w:rsidP="00C6749F">
      <w:pPr>
        <w:pStyle w:val="subsection"/>
      </w:pPr>
      <w:r>
        <w:tab/>
        <w:t>(2)</w:t>
      </w:r>
      <w:r>
        <w:tab/>
        <w:t xml:space="preserve">Under paragraph 12(2)(c) of the Act, the total amount of all financial assistance payable under subsection 12(1) of the Act </w:t>
      </w:r>
      <w:r w:rsidR="0069649B">
        <w:t>to the States for the 2018-19 financial year is $1,516,875,055.65.</w:t>
      </w:r>
    </w:p>
    <w:p w14:paraId="30ECE6FD" w14:textId="6E881C0A" w:rsidR="00906F85" w:rsidRDefault="00673C98" w:rsidP="007A1247">
      <w:pPr>
        <w:pStyle w:val="subsection"/>
      </w:pPr>
      <w:r>
        <w:tab/>
      </w:r>
      <w:r w:rsidR="0069649B">
        <w:t>(3)</w:t>
      </w:r>
      <w:r>
        <w:tab/>
        <w:t xml:space="preserve">For the purposes of subsection 12(5) of the Act, </w:t>
      </w:r>
      <w:r w:rsidR="00906F85">
        <w:t xml:space="preserve">the manner in which the </w:t>
      </w:r>
      <w:r w:rsidR="007A1247">
        <w:t xml:space="preserve">total amount </w:t>
      </w:r>
      <w:r w:rsidR="00906F85">
        <w:rPr>
          <w:color w:val="000000"/>
          <w:szCs w:val="22"/>
          <w:shd w:val="clear" w:color="auto" w:fill="FFFFFF"/>
        </w:rPr>
        <w:t xml:space="preserve">stated in subsection (2) of this section </w:t>
      </w:r>
      <w:r w:rsidR="007A1247">
        <w:rPr>
          <w:color w:val="000000"/>
          <w:szCs w:val="22"/>
          <w:shd w:val="clear" w:color="auto" w:fill="FFFFFF"/>
        </w:rPr>
        <w:t xml:space="preserve">is to be divided between the States is the manner set out in the </w:t>
      </w:r>
      <w:r w:rsidR="007A1247" w:rsidRPr="002C31AD">
        <w:t>Intergovernmental Agreement</w:t>
      </w:r>
      <w:r w:rsidR="007A1247">
        <w:rPr>
          <w:color w:val="000000"/>
          <w:szCs w:val="22"/>
          <w:shd w:val="clear" w:color="auto" w:fill="FFFFFF"/>
        </w:rPr>
        <w:t xml:space="preserve">. </w:t>
      </w:r>
      <w:r w:rsidR="00F3559D">
        <w:rPr>
          <w:color w:val="000000"/>
          <w:szCs w:val="22"/>
          <w:shd w:val="clear" w:color="auto" w:fill="FFFFFF"/>
        </w:rPr>
        <w:t>E</w:t>
      </w:r>
      <w:r w:rsidR="007A1247">
        <w:t xml:space="preserve">ach item of the following table specifies </w:t>
      </w:r>
      <w:r w:rsidR="00F3559D">
        <w:t>the result</w:t>
      </w:r>
      <w:r w:rsidR="00CC2DBA">
        <w:t>ing</w:t>
      </w:r>
      <w:r w:rsidR="007A1247">
        <w:t xml:space="preserve"> amount that is to be paid to the State specified in the item, for the purpose of making a grant of financial assistance for the 2018-19 financial year, for the purpose of expenditure on s</w:t>
      </w:r>
      <w:r w:rsidR="00F3559D">
        <w:t>kills and workforce development:</w:t>
      </w:r>
    </w:p>
    <w:p w14:paraId="25C8FD1B" w14:textId="77777777" w:rsidR="00673C98" w:rsidRPr="00BD5639" w:rsidRDefault="00673C98" w:rsidP="00673C9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73C98" w:rsidRPr="00EA685F" w14:paraId="35A8B0CA" w14:textId="77777777" w:rsidTr="00ED59C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A2CD27" w14:textId="77777777" w:rsidR="00673C98" w:rsidRPr="00EA685F" w:rsidRDefault="00673C98" w:rsidP="00ED59CF">
            <w:pPr>
              <w:pStyle w:val="TableHeading"/>
            </w:pPr>
            <w:r w:rsidRPr="00EA685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A50A90" w14:textId="77777777" w:rsidR="00673C98" w:rsidRPr="00EA685F" w:rsidRDefault="00673C98" w:rsidP="00ED59CF">
            <w:pPr>
              <w:pStyle w:val="TableHeading"/>
            </w:pPr>
            <w:r w:rsidRPr="00EA685F">
              <w:t>For this State: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931565" w14:textId="77777777" w:rsidR="00673C98" w:rsidRPr="00EA685F" w:rsidRDefault="00673C98" w:rsidP="00ED59CF">
            <w:pPr>
              <w:pStyle w:val="TableHeading"/>
            </w:pPr>
            <w:r w:rsidRPr="00EA685F">
              <w:t xml:space="preserve">The </w:t>
            </w:r>
            <w:r>
              <w:t>amount of financial assistance for the 2018</w:t>
            </w:r>
            <w:r>
              <w:noBreakHyphen/>
              <w:t>19 financial year is</w:t>
            </w:r>
            <w:r w:rsidRPr="00EA685F">
              <w:t>:</w:t>
            </w:r>
          </w:p>
        </w:tc>
      </w:tr>
      <w:tr w:rsidR="00673C98" w:rsidRPr="00EA685F" w14:paraId="22D6D890" w14:textId="77777777" w:rsidTr="00ED59C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392FAD8" w14:textId="77777777" w:rsidR="00673C98" w:rsidRPr="00EA685F" w:rsidRDefault="00673C98" w:rsidP="00ED59CF">
            <w:pPr>
              <w:pStyle w:val="Tabletext"/>
            </w:pPr>
            <w:r w:rsidRPr="00EA685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8ADF28E" w14:textId="77777777" w:rsidR="00673C98" w:rsidRPr="00EA685F" w:rsidRDefault="00673C98" w:rsidP="00ED59CF">
            <w:pPr>
              <w:pStyle w:val="Tabletext"/>
            </w:pPr>
            <w:r w:rsidRPr="00EA685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43F135F" w14:textId="69B23752" w:rsidR="00673C98" w:rsidRPr="00C36342" w:rsidRDefault="00363426" w:rsidP="00ED59CF">
            <w:pPr>
              <w:pStyle w:val="Tabletext"/>
            </w:pPr>
            <w:r>
              <w:t>$</w:t>
            </w:r>
            <w:r w:rsidR="00B07537">
              <w:t>484,790,418.73</w:t>
            </w:r>
          </w:p>
        </w:tc>
      </w:tr>
      <w:tr w:rsidR="00673C98" w:rsidRPr="00EA685F" w14:paraId="238B4900" w14:textId="77777777" w:rsidTr="00ED59CF">
        <w:tc>
          <w:tcPr>
            <w:tcW w:w="714" w:type="dxa"/>
            <w:shd w:val="clear" w:color="auto" w:fill="auto"/>
          </w:tcPr>
          <w:p w14:paraId="273ED6DE" w14:textId="77777777" w:rsidR="00673C98" w:rsidRPr="00EA685F" w:rsidRDefault="00673C98" w:rsidP="00ED59CF">
            <w:pPr>
              <w:pStyle w:val="Tabletext"/>
            </w:pPr>
            <w:r w:rsidRPr="00EA685F">
              <w:t>2</w:t>
            </w:r>
          </w:p>
        </w:tc>
        <w:tc>
          <w:tcPr>
            <w:tcW w:w="3799" w:type="dxa"/>
            <w:shd w:val="clear" w:color="auto" w:fill="auto"/>
          </w:tcPr>
          <w:p w14:paraId="30C5D239" w14:textId="77777777" w:rsidR="00673C98" w:rsidRPr="00EA685F" w:rsidRDefault="00673C98" w:rsidP="00ED59CF">
            <w:pPr>
              <w:pStyle w:val="Tabletext"/>
            </w:pPr>
            <w:r w:rsidRPr="00EA685F">
              <w:t>Victoria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301EAACD" w14:textId="3A977B97" w:rsidR="00673C98" w:rsidRPr="00C36342" w:rsidRDefault="00B07537" w:rsidP="00ED59CF">
            <w:pPr>
              <w:pStyle w:val="Tabletext"/>
            </w:pPr>
            <w:r>
              <w:t>$393,228,307.88</w:t>
            </w:r>
          </w:p>
        </w:tc>
      </w:tr>
      <w:tr w:rsidR="00673C98" w:rsidRPr="00EA685F" w14:paraId="7D214B4A" w14:textId="77777777" w:rsidTr="00ED59CF">
        <w:tc>
          <w:tcPr>
            <w:tcW w:w="714" w:type="dxa"/>
            <w:shd w:val="clear" w:color="auto" w:fill="auto"/>
          </w:tcPr>
          <w:p w14:paraId="317C4644" w14:textId="77777777" w:rsidR="00673C98" w:rsidRPr="00EA685F" w:rsidRDefault="00673C98" w:rsidP="00ED59CF">
            <w:pPr>
              <w:pStyle w:val="Tabletext"/>
            </w:pPr>
            <w:r w:rsidRPr="00EA685F">
              <w:t>3</w:t>
            </w:r>
          </w:p>
        </w:tc>
        <w:tc>
          <w:tcPr>
            <w:tcW w:w="3799" w:type="dxa"/>
            <w:shd w:val="clear" w:color="auto" w:fill="auto"/>
          </w:tcPr>
          <w:p w14:paraId="07A05A33" w14:textId="77777777" w:rsidR="00673C98" w:rsidRPr="00EA685F" w:rsidRDefault="00673C98" w:rsidP="00ED59CF">
            <w:pPr>
              <w:pStyle w:val="Tabletext"/>
            </w:pPr>
            <w:r w:rsidRPr="00EA685F">
              <w:t>Queensland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2DB1128C" w14:textId="741F261B" w:rsidR="00673C98" w:rsidRPr="00C36342" w:rsidRDefault="00B07537" w:rsidP="00ED59CF">
            <w:pPr>
              <w:pStyle w:val="Tabletext"/>
            </w:pPr>
            <w:r>
              <w:t>$304,442,058.94</w:t>
            </w:r>
          </w:p>
        </w:tc>
      </w:tr>
      <w:tr w:rsidR="00673C98" w:rsidRPr="00EA685F" w14:paraId="6719349E" w14:textId="77777777" w:rsidTr="00ED59CF">
        <w:tc>
          <w:tcPr>
            <w:tcW w:w="714" w:type="dxa"/>
            <w:shd w:val="clear" w:color="auto" w:fill="auto"/>
          </w:tcPr>
          <w:p w14:paraId="01524C33" w14:textId="77777777" w:rsidR="00673C98" w:rsidRPr="00EA685F" w:rsidRDefault="00673C98" w:rsidP="00ED59CF">
            <w:pPr>
              <w:pStyle w:val="Tabletext"/>
            </w:pPr>
            <w:r w:rsidRPr="00EA685F">
              <w:t>4</w:t>
            </w:r>
          </w:p>
        </w:tc>
        <w:tc>
          <w:tcPr>
            <w:tcW w:w="3799" w:type="dxa"/>
            <w:shd w:val="clear" w:color="auto" w:fill="auto"/>
          </w:tcPr>
          <w:p w14:paraId="4D41ECCF" w14:textId="77777777" w:rsidR="00673C98" w:rsidRPr="00EA685F" w:rsidRDefault="00673C98" w:rsidP="00ED59CF">
            <w:pPr>
              <w:pStyle w:val="Tabletext"/>
            </w:pPr>
            <w:r w:rsidRPr="00EA685F">
              <w:t>Western Australia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7526A873" w14:textId="19DA629A" w:rsidR="00673C98" w:rsidRPr="00C36342" w:rsidRDefault="00B07537" w:rsidP="00ED59CF">
            <w:pPr>
              <w:pStyle w:val="Tabletext"/>
            </w:pPr>
            <w:r>
              <w:t>$157,036,626.63</w:t>
            </w:r>
          </w:p>
        </w:tc>
      </w:tr>
      <w:tr w:rsidR="00673C98" w:rsidRPr="00EA685F" w14:paraId="32FAF561" w14:textId="77777777" w:rsidTr="00ED59CF">
        <w:tc>
          <w:tcPr>
            <w:tcW w:w="714" w:type="dxa"/>
            <w:shd w:val="clear" w:color="auto" w:fill="auto"/>
          </w:tcPr>
          <w:p w14:paraId="4D048084" w14:textId="77777777" w:rsidR="00673C98" w:rsidRPr="00EA685F" w:rsidRDefault="00673C98" w:rsidP="00ED59CF">
            <w:pPr>
              <w:pStyle w:val="Tabletext"/>
            </w:pPr>
            <w:r w:rsidRPr="00EA685F">
              <w:t>5</w:t>
            </w:r>
          </w:p>
        </w:tc>
        <w:tc>
          <w:tcPr>
            <w:tcW w:w="3799" w:type="dxa"/>
            <w:shd w:val="clear" w:color="auto" w:fill="auto"/>
          </w:tcPr>
          <w:p w14:paraId="40C3301B" w14:textId="77777777" w:rsidR="00673C98" w:rsidRPr="00EA685F" w:rsidRDefault="00673C98" w:rsidP="00ED59CF">
            <w:pPr>
              <w:pStyle w:val="Tabletext"/>
            </w:pPr>
            <w:r w:rsidRPr="00EA685F">
              <w:t>South Australia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1B1941B8" w14:textId="3E4903B5" w:rsidR="00673C98" w:rsidRPr="00C36342" w:rsidRDefault="00B07537" w:rsidP="00ED59CF">
            <w:pPr>
              <w:pStyle w:val="Tabletext"/>
            </w:pPr>
            <w:r>
              <w:t>$105,003,510.23</w:t>
            </w:r>
          </w:p>
        </w:tc>
      </w:tr>
      <w:tr w:rsidR="00673C98" w:rsidRPr="00EA685F" w14:paraId="3148A293" w14:textId="77777777" w:rsidTr="00ED59CF">
        <w:tc>
          <w:tcPr>
            <w:tcW w:w="714" w:type="dxa"/>
            <w:shd w:val="clear" w:color="auto" w:fill="auto"/>
          </w:tcPr>
          <w:p w14:paraId="60A4534B" w14:textId="77777777" w:rsidR="00673C98" w:rsidRPr="00EA685F" w:rsidRDefault="00673C98" w:rsidP="00ED59CF">
            <w:pPr>
              <w:pStyle w:val="Tabletext"/>
            </w:pPr>
            <w:r w:rsidRPr="00EA685F">
              <w:t>6</w:t>
            </w:r>
          </w:p>
        </w:tc>
        <w:tc>
          <w:tcPr>
            <w:tcW w:w="3799" w:type="dxa"/>
            <w:shd w:val="clear" w:color="auto" w:fill="auto"/>
          </w:tcPr>
          <w:p w14:paraId="1B1C41E9" w14:textId="77777777" w:rsidR="00673C98" w:rsidRPr="00EA685F" w:rsidRDefault="00673C98" w:rsidP="00ED59CF">
            <w:pPr>
              <w:pStyle w:val="Tabletext"/>
            </w:pPr>
            <w:r w:rsidRPr="00EA685F">
              <w:t>Tasmania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26193D12" w14:textId="210DB1BA" w:rsidR="00673C98" w:rsidRPr="00C36342" w:rsidRDefault="00B07537" w:rsidP="00ED59CF">
            <w:pPr>
              <w:pStyle w:val="Tabletext"/>
            </w:pPr>
            <w:r>
              <w:t>$32,025,593.42</w:t>
            </w:r>
          </w:p>
        </w:tc>
      </w:tr>
      <w:tr w:rsidR="00673C98" w:rsidRPr="00EA685F" w14:paraId="12974046" w14:textId="77777777" w:rsidTr="00ED59CF">
        <w:tc>
          <w:tcPr>
            <w:tcW w:w="714" w:type="dxa"/>
            <w:shd w:val="clear" w:color="auto" w:fill="auto"/>
          </w:tcPr>
          <w:p w14:paraId="4A919C5F" w14:textId="77777777" w:rsidR="00673C98" w:rsidRPr="00EA685F" w:rsidRDefault="00673C98" w:rsidP="00ED59CF">
            <w:pPr>
              <w:pStyle w:val="Tabletext"/>
            </w:pPr>
            <w:r w:rsidRPr="00EA685F">
              <w:t>7</w:t>
            </w:r>
          </w:p>
        </w:tc>
        <w:tc>
          <w:tcPr>
            <w:tcW w:w="3799" w:type="dxa"/>
            <w:shd w:val="clear" w:color="auto" w:fill="auto"/>
          </w:tcPr>
          <w:p w14:paraId="4F28C07A" w14:textId="77777777" w:rsidR="00673C98" w:rsidRPr="00EA685F" w:rsidRDefault="00673C98" w:rsidP="00ED59CF">
            <w:pPr>
              <w:pStyle w:val="Tabletext"/>
            </w:pPr>
            <w:r w:rsidRPr="00EA685F">
              <w:t>Australian Capital Territory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696CEB99" w14:textId="154FE43A" w:rsidR="00673C98" w:rsidRPr="00C36342" w:rsidRDefault="00B07537" w:rsidP="00ED59CF">
            <w:pPr>
              <w:pStyle w:val="Tabletext"/>
            </w:pPr>
            <w:r>
              <w:t>$25,535,387.11</w:t>
            </w:r>
          </w:p>
        </w:tc>
      </w:tr>
      <w:tr w:rsidR="00673C98" w:rsidRPr="00EA685F" w14:paraId="30725F2D" w14:textId="77777777" w:rsidTr="00ED59C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89824A" w14:textId="77777777" w:rsidR="00673C98" w:rsidRPr="00EA685F" w:rsidRDefault="00673C98" w:rsidP="00ED59CF">
            <w:pPr>
              <w:pStyle w:val="Tabletext"/>
            </w:pPr>
            <w:r w:rsidRPr="00EA685F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5827F3" w14:textId="77777777" w:rsidR="00673C98" w:rsidRPr="00EA685F" w:rsidRDefault="00673C98" w:rsidP="00ED59CF">
            <w:pPr>
              <w:pStyle w:val="Tabletext"/>
            </w:pPr>
            <w:r w:rsidRPr="00EA685F">
              <w:t>Northern Territory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0171A9" w14:textId="10BF9061" w:rsidR="00673C98" w:rsidRPr="00C36342" w:rsidRDefault="00B07537" w:rsidP="00ED59CF">
            <w:pPr>
              <w:pStyle w:val="Tabletext"/>
            </w:pPr>
            <w:r>
              <w:t>$14,813,152.71</w:t>
            </w:r>
          </w:p>
        </w:tc>
      </w:tr>
      <w:tr w:rsidR="00673C98" w:rsidRPr="00EA685F" w14:paraId="6C42BE98" w14:textId="77777777" w:rsidTr="00ED59CF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A01B6" w14:textId="77777777" w:rsidR="00673C98" w:rsidRPr="00EA685F" w:rsidRDefault="00673C98" w:rsidP="00ED59CF">
            <w:pPr>
              <w:pStyle w:val="Tabletext"/>
            </w:pP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E07E15" w14:textId="77777777" w:rsidR="00673C98" w:rsidRPr="00B07537" w:rsidRDefault="00673C98" w:rsidP="00ED59CF">
            <w:pPr>
              <w:pStyle w:val="Tabletext"/>
              <w:rPr>
                <w:b/>
              </w:rPr>
            </w:pPr>
            <w:r w:rsidRPr="00B07537">
              <w:rPr>
                <w:b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51B2BD" w14:textId="594F078E" w:rsidR="00673C98" w:rsidRPr="00B07537" w:rsidRDefault="00B07537" w:rsidP="00ED59CF">
            <w:pPr>
              <w:pStyle w:val="Tabletext"/>
              <w:rPr>
                <w:b/>
              </w:rPr>
            </w:pPr>
            <w:r w:rsidRPr="00B07537">
              <w:rPr>
                <w:b/>
              </w:rPr>
              <w:t>$</w:t>
            </w:r>
            <w:r>
              <w:rPr>
                <w:b/>
              </w:rPr>
              <w:t>1,516,875,055.65</w:t>
            </w:r>
          </w:p>
        </w:tc>
      </w:tr>
    </w:tbl>
    <w:p w14:paraId="5BDB3C6C" w14:textId="77777777" w:rsidR="00C6749F" w:rsidRPr="006A7843" w:rsidRDefault="00C6749F" w:rsidP="00C6749F">
      <w:pPr>
        <w:pStyle w:val="ActHead5"/>
      </w:pPr>
      <w:bookmarkStart w:id="8" w:name="_Toc16772393"/>
      <w:r w:rsidRPr="006A7843">
        <w:rPr>
          <w:rStyle w:val="CharSectno"/>
        </w:rPr>
        <w:lastRenderedPageBreak/>
        <w:t>6</w:t>
      </w:r>
      <w:r w:rsidRPr="006A7843">
        <w:t xml:space="preserve">  </w:t>
      </w:r>
      <w:r w:rsidR="006A7843" w:rsidRPr="006A7843">
        <w:t>National specific purpose payments for disability services for 2018</w:t>
      </w:r>
      <w:r w:rsidR="006A7843">
        <w:noBreakHyphen/>
      </w:r>
      <w:r w:rsidR="006A7843" w:rsidRPr="006A7843">
        <w:t>19</w:t>
      </w:r>
      <w:bookmarkEnd w:id="8"/>
    </w:p>
    <w:p w14:paraId="073B7825" w14:textId="36351DCE" w:rsidR="00A36B5B" w:rsidRDefault="00B07537" w:rsidP="00D97979">
      <w:pPr>
        <w:pStyle w:val="subsection"/>
      </w:pPr>
      <w:r>
        <w:tab/>
        <w:t>(1)</w:t>
      </w:r>
      <w:r>
        <w:tab/>
        <w:t xml:space="preserve">For the purposes of subsection 13(4) of the Act, the total amount under paragraph </w:t>
      </w:r>
      <w:r w:rsidR="00CC2DBA">
        <w:t>13</w:t>
      </w:r>
      <w:r>
        <w:t xml:space="preserve">(2)(c) of the Act is to be </w:t>
      </w:r>
      <w:r w:rsidR="00546E79">
        <w:t>adjusted</w:t>
      </w:r>
      <w:r>
        <w:t xml:space="preserve"> for the 2018-19 financial year </w:t>
      </w:r>
      <w:r w:rsidR="00131F49">
        <w:t>by</w:t>
      </w:r>
      <w:r w:rsidR="00A36B5B">
        <w:t>:</w:t>
      </w:r>
    </w:p>
    <w:p w14:paraId="0F90CBC0" w14:textId="13E94456" w:rsidR="00A36B5B" w:rsidRDefault="00A36B5B" w:rsidP="00A36B5B">
      <w:pPr>
        <w:pStyle w:val="paragraph"/>
      </w:pPr>
      <w:r>
        <w:tab/>
        <w:t>(a)</w:t>
      </w:r>
      <w:r>
        <w:tab/>
      </w:r>
      <w:r w:rsidR="00CC2DBA">
        <w:t>excluding</w:t>
      </w:r>
      <w:r w:rsidR="00131F49">
        <w:t xml:space="preserve"> from </w:t>
      </w:r>
      <w:r>
        <w:t xml:space="preserve">that </w:t>
      </w:r>
      <w:r w:rsidR="004E0D12">
        <w:t xml:space="preserve">total amount </w:t>
      </w:r>
      <w:r>
        <w:t>financial assistance</w:t>
      </w:r>
      <w:r w:rsidR="004E0D12">
        <w:t xml:space="preserve"> relating to States that have fully transitioned to the NDIS</w:t>
      </w:r>
      <w:r>
        <w:t>; and</w:t>
      </w:r>
    </w:p>
    <w:p w14:paraId="62DF47EA" w14:textId="5D4E6D43" w:rsidR="00A36B5B" w:rsidRDefault="00A36B5B" w:rsidP="00A36B5B">
      <w:pPr>
        <w:pStyle w:val="paragraph"/>
      </w:pPr>
      <w:r>
        <w:tab/>
        <w:t>(b)</w:t>
      </w:r>
      <w:r>
        <w:tab/>
      </w:r>
      <w:r w:rsidR="004E0D12">
        <w:t xml:space="preserve">indexing the amount </w:t>
      </w:r>
      <w:r>
        <w:t xml:space="preserve">remaining </w:t>
      </w:r>
      <w:r w:rsidR="00D97979">
        <w:t xml:space="preserve">in the manner set out in paragraph D28 in Schedule D to the </w:t>
      </w:r>
      <w:r w:rsidR="00D97979" w:rsidRPr="002C31AD">
        <w:t>Intergovernmental Agreement</w:t>
      </w:r>
      <w:r w:rsidR="00CC2DBA">
        <w:t>,</w:t>
      </w:r>
      <w:r w:rsidR="00D97979" w:rsidRPr="00E9797A">
        <w:rPr>
          <w:i/>
        </w:rPr>
        <w:t xml:space="preserve"> </w:t>
      </w:r>
      <w:r w:rsidR="00D97979" w:rsidRPr="00E9797A">
        <w:t>using</w:t>
      </w:r>
      <w:r w:rsidR="00D97979">
        <w:t xml:space="preserve"> the estimate</w:t>
      </w:r>
      <w:r w:rsidR="00303C5D">
        <w:t>s</w:t>
      </w:r>
      <w:r w:rsidR="00D97979">
        <w:t xml:space="preserve"> published in the 2019-20 </w:t>
      </w:r>
      <w:r w:rsidR="00D97979" w:rsidRPr="00553000">
        <w:rPr>
          <w:i/>
        </w:rPr>
        <w:t>Budget Paper No.</w:t>
      </w:r>
      <w:r w:rsidR="00D97979">
        <w:t xml:space="preserve"> </w:t>
      </w:r>
      <w:r w:rsidR="00D97979" w:rsidRPr="00303C5D">
        <w:rPr>
          <w:i/>
        </w:rPr>
        <w:t>3</w:t>
      </w:r>
      <w:r w:rsidR="00CC2DBA">
        <w:t xml:space="preserve"> (resulting in the amount remaining being indexed using a growth rate of 4.17 per cent)</w:t>
      </w:r>
      <w:r>
        <w:t>.</w:t>
      </w:r>
    </w:p>
    <w:p w14:paraId="34698D9C" w14:textId="5AF21147" w:rsidR="00D97979" w:rsidRDefault="00D97979" w:rsidP="00D97979">
      <w:pPr>
        <w:pStyle w:val="notetext"/>
      </w:pPr>
      <w:r>
        <w:t>Note 1:</w:t>
      </w:r>
      <w:r>
        <w:tab/>
      </w:r>
      <w:r w:rsidRPr="00C651E3">
        <w:t>Paragraph D2</w:t>
      </w:r>
      <w:r>
        <w:t>8</w:t>
      </w:r>
      <w:r w:rsidRPr="00C651E3">
        <w:t xml:space="preserve"> in Schedule D to the </w:t>
      </w:r>
      <w:r w:rsidRPr="002C31AD">
        <w:t xml:space="preserve">Intergovernmental Agreement </w:t>
      </w:r>
      <w:r>
        <w:t>provides that the growth factor for national disability specific purpose payments as the rolling five-year average of year-on-year growth in nominal gross domestic product.</w:t>
      </w:r>
    </w:p>
    <w:p w14:paraId="4D58AC55" w14:textId="6366953E" w:rsidR="00B07537" w:rsidRDefault="00B07537" w:rsidP="00B07537">
      <w:pPr>
        <w:pStyle w:val="subsection"/>
      </w:pPr>
      <w:r>
        <w:tab/>
        <w:t>(2)</w:t>
      </w:r>
      <w:r>
        <w:tab/>
        <w:t xml:space="preserve">Under paragraph 13(2)(c) of the Act, the total amount of all financial assistance payable under subsection </w:t>
      </w:r>
      <w:r w:rsidR="001C2EAB">
        <w:t>13</w:t>
      </w:r>
      <w:r>
        <w:t>(1) of the Act to the States for the 2018-19 financial year is $958,146,484.83.</w:t>
      </w:r>
    </w:p>
    <w:p w14:paraId="2FF89366" w14:textId="12A728CA" w:rsidR="00E4685A" w:rsidRDefault="00E4685A" w:rsidP="002C31AD">
      <w:pPr>
        <w:pStyle w:val="subsection"/>
      </w:pPr>
      <w:r>
        <w:tab/>
        <w:t>(3)</w:t>
      </w:r>
      <w:r>
        <w:tab/>
        <w:t xml:space="preserve">For the purposes of subsection </w:t>
      </w:r>
      <w:r w:rsidR="001C2EAB">
        <w:t>13</w:t>
      </w:r>
      <w:r>
        <w:t xml:space="preserve">(5) of the Act, the manner in which the total amount </w:t>
      </w:r>
      <w:r>
        <w:rPr>
          <w:color w:val="000000"/>
          <w:szCs w:val="22"/>
          <w:shd w:val="clear" w:color="auto" w:fill="FFFFFF"/>
        </w:rPr>
        <w:t xml:space="preserve">stated in subsection (2) of this section is to be divided between the States is the manner set out in the </w:t>
      </w:r>
      <w:r w:rsidRPr="002C31AD">
        <w:t>Intergovernmental Agreement</w:t>
      </w:r>
      <w:r w:rsidR="000C01EB">
        <w:t>,</w:t>
      </w:r>
      <w:r w:rsidR="005660FC">
        <w:t xml:space="preserve"> as affected by any agreement </w:t>
      </w:r>
      <w:r w:rsidR="000C01EB">
        <w:t>between the Commonwealth and one or more States relating to the NDIS</w:t>
      </w:r>
      <w:r>
        <w:rPr>
          <w:color w:val="000000"/>
          <w:szCs w:val="22"/>
          <w:shd w:val="clear" w:color="auto" w:fill="FFFFFF"/>
        </w:rPr>
        <w:t>. E</w:t>
      </w:r>
      <w:r>
        <w:t>ach item of the following table specifies the result</w:t>
      </w:r>
      <w:r w:rsidR="00CC2DBA">
        <w:t>ing</w:t>
      </w:r>
      <w:r>
        <w:t xml:space="preserve"> amount that is to be paid to the State specified in the item, for the purpose of making a grant of financial assistance for the 2018-19 financial year, for the purpose of expenditure on </w:t>
      </w:r>
      <w:r w:rsidR="001C2EAB">
        <w:t>disability services</w:t>
      </w:r>
      <w:r>
        <w:t>:</w:t>
      </w:r>
    </w:p>
    <w:p w14:paraId="19139C38" w14:textId="3264B5E7" w:rsidR="002C31AD" w:rsidRPr="00BD5639" w:rsidRDefault="002C31AD" w:rsidP="002C31A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07537" w:rsidRPr="00EA685F" w14:paraId="7B0B8A8C" w14:textId="77777777" w:rsidTr="00ED59C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1B5606" w14:textId="77777777" w:rsidR="00B07537" w:rsidRPr="00EA685F" w:rsidRDefault="00B07537" w:rsidP="00ED59CF">
            <w:pPr>
              <w:pStyle w:val="TableHeading"/>
            </w:pPr>
            <w:r w:rsidRPr="00EA685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C0019D" w14:textId="77777777" w:rsidR="00B07537" w:rsidRPr="00EA685F" w:rsidRDefault="00B07537" w:rsidP="00ED59CF">
            <w:pPr>
              <w:pStyle w:val="TableHeading"/>
            </w:pPr>
            <w:r w:rsidRPr="00EA685F">
              <w:t>For this State: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0AD148" w14:textId="77777777" w:rsidR="00B07537" w:rsidRPr="00EA685F" w:rsidRDefault="00B07537" w:rsidP="00ED59CF">
            <w:pPr>
              <w:pStyle w:val="TableHeading"/>
            </w:pPr>
            <w:r w:rsidRPr="00EA685F">
              <w:t xml:space="preserve">The </w:t>
            </w:r>
            <w:r>
              <w:t>amount of financial assistance for the 2018</w:t>
            </w:r>
            <w:r>
              <w:noBreakHyphen/>
              <w:t>19 financial year is</w:t>
            </w:r>
            <w:r w:rsidRPr="00EA685F">
              <w:t>:</w:t>
            </w:r>
          </w:p>
        </w:tc>
      </w:tr>
      <w:tr w:rsidR="00B07537" w:rsidRPr="00EA685F" w14:paraId="0973EE27" w14:textId="77777777" w:rsidTr="00ED59C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4CF236F" w14:textId="77777777" w:rsidR="00B07537" w:rsidRPr="00EA685F" w:rsidRDefault="00B07537" w:rsidP="00ED59CF">
            <w:pPr>
              <w:pStyle w:val="Tabletext"/>
            </w:pPr>
            <w:r w:rsidRPr="00EA685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198F157F" w14:textId="77777777" w:rsidR="00B07537" w:rsidRPr="00EA685F" w:rsidRDefault="00B07537" w:rsidP="00ED59CF">
            <w:pPr>
              <w:pStyle w:val="Tabletext"/>
            </w:pPr>
            <w:r w:rsidRPr="00EA685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1385725" w14:textId="2C6534E3" w:rsidR="00B07537" w:rsidRPr="00C36342" w:rsidRDefault="00B07537" w:rsidP="00ED59CF">
            <w:pPr>
              <w:pStyle w:val="Tabletext"/>
            </w:pPr>
            <w:r>
              <w:t>Nil</w:t>
            </w:r>
          </w:p>
        </w:tc>
      </w:tr>
      <w:tr w:rsidR="00B07537" w:rsidRPr="00EA685F" w14:paraId="2D19EA2F" w14:textId="77777777" w:rsidTr="00ED59CF">
        <w:tc>
          <w:tcPr>
            <w:tcW w:w="714" w:type="dxa"/>
            <w:shd w:val="clear" w:color="auto" w:fill="auto"/>
          </w:tcPr>
          <w:p w14:paraId="3F83FB20" w14:textId="77777777" w:rsidR="00B07537" w:rsidRPr="00EA685F" w:rsidRDefault="00B07537" w:rsidP="00ED59CF">
            <w:pPr>
              <w:pStyle w:val="Tabletext"/>
            </w:pPr>
            <w:r w:rsidRPr="00EA685F">
              <w:t>2</w:t>
            </w:r>
          </w:p>
        </w:tc>
        <w:tc>
          <w:tcPr>
            <w:tcW w:w="3799" w:type="dxa"/>
            <w:shd w:val="clear" w:color="auto" w:fill="auto"/>
          </w:tcPr>
          <w:p w14:paraId="4545D3DD" w14:textId="77777777" w:rsidR="00B07537" w:rsidRPr="00EA685F" w:rsidRDefault="00B07537" w:rsidP="00ED59CF">
            <w:pPr>
              <w:pStyle w:val="Tabletext"/>
            </w:pPr>
            <w:r w:rsidRPr="00EA685F">
              <w:t>Victoria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22DDABF0" w14:textId="6D5CE0E6" w:rsidR="00B07537" w:rsidRPr="00C36342" w:rsidRDefault="00B07537" w:rsidP="00ED59CF">
            <w:pPr>
              <w:pStyle w:val="Tabletext"/>
            </w:pPr>
            <w:r>
              <w:t>$</w:t>
            </w:r>
            <w:r w:rsidR="00A93179">
              <w:t>417,915,924.16</w:t>
            </w:r>
          </w:p>
        </w:tc>
      </w:tr>
      <w:tr w:rsidR="00B07537" w:rsidRPr="00EA685F" w14:paraId="097276A2" w14:textId="77777777" w:rsidTr="00ED59CF">
        <w:tc>
          <w:tcPr>
            <w:tcW w:w="714" w:type="dxa"/>
            <w:shd w:val="clear" w:color="auto" w:fill="auto"/>
          </w:tcPr>
          <w:p w14:paraId="5639D84D" w14:textId="77777777" w:rsidR="00B07537" w:rsidRPr="00EA685F" w:rsidRDefault="00B07537" w:rsidP="00ED59CF">
            <w:pPr>
              <w:pStyle w:val="Tabletext"/>
            </w:pPr>
            <w:r w:rsidRPr="00EA685F">
              <w:t>3</w:t>
            </w:r>
          </w:p>
        </w:tc>
        <w:tc>
          <w:tcPr>
            <w:tcW w:w="3799" w:type="dxa"/>
            <w:shd w:val="clear" w:color="auto" w:fill="auto"/>
          </w:tcPr>
          <w:p w14:paraId="042BE9E7" w14:textId="77777777" w:rsidR="00B07537" w:rsidRPr="00EA685F" w:rsidRDefault="00B07537" w:rsidP="00ED59CF">
            <w:pPr>
              <w:pStyle w:val="Tabletext"/>
            </w:pPr>
            <w:r w:rsidRPr="00EA685F">
              <w:t>Queensland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23B8F3EC" w14:textId="37702D74" w:rsidR="00B07537" w:rsidRPr="00C36342" w:rsidRDefault="00B07537" w:rsidP="00ED59CF">
            <w:pPr>
              <w:pStyle w:val="Tabletext"/>
            </w:pPr>
            <w:r>
              <w:t>$</w:t>
            </w:r>
            <w:r w:rsidR="00A93179">
              <w:t>323,555,506.73</w:t>
            </w:r>
          </w:p>
        </w:tc>
      </w:tr>
      <w:tr w:rsidR="00B07537" w:rsidRPr="00EA685F" w14:paraId="0D019CC0" w14:textId="77777777" w:rsidTr="00ED59CF">
        <w:tc>
          <w:tcPr>
            <w:tcW w:w="714" w:type="dxa"/>
            <w:shd w:val="clear" w:color="auto" w:fill="auto"/>
          </w:tcPr>
          <w:p w14:paraId="073DECC9" w14:textId="77777777" w:rsidR="00B07537" w:rsidRPr="00EA685F" w:rsidRDefault="00B07537" w:rsidP="00ED59CF">
            <w:pPr>
              <w:pStyle w:val="Tabletext"/>
            </w:pPr>
            <w:r w:rsidRPr="00EA685F">
              <w:t>4</w:t>
            </w:r>
          </w:p>
        </w:tc>
        <w:tc>
          <w:tcPr>
            <w:tcW w:w="3799" w:type="dxa"/>
            <w:shd w:val="clear" w:color="auto" w:fill="auto"/>
          </w:tcPr>
          <w:p w14:paraId="6DB19CE1" w14:textId="77777777" w:rsidR="00B07537" w:rsidRPr="00EA685F" w:rsidRDefault="00B07537" w:rsidP="00ED59CF">
            <w:pPr>
              <w:pStyle w:val="Tabletext"/>
            </w:pPr>
            <w:r w:rsidRPr="00EA685F">
              <w:t>Western Australia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51DC56FA" w14:textId="27497BE8" w:rsidR="00B07537" w:rsidRPr="00C36342" w:rsidRDefault="00B07537" w:rsidP="00ED59CF">
            <w:pPr>
              <w:pStyle w:val="Tabletext"/>
            </w:pPr>
            <w:r>
              <w:t>$</w:t>
            </w:r>
            <w:r w:rsidR="00A93179">
              <w:t>166,895,682.81</w:t>
            </w:r>
          </w:p>
        </w:tc>
      </w:tr>
      <w:tr w:rsidR="00B07537" w:rsidRPr="00EA685F" w14:paraId="3EBDEF0B" w14:textId="77777777" w:rsidTr="00ED59CF">
        <w:tc>
          <w:tcPr>
            <w:tcW w:w="714" w:type="dxa"/>
            <w:shd w:val="clear" w:color="auto" w:fill="auto"/>
          </w:tcPr>
          <w:p w14:paraId="11E722C2" w14:textId="77777777" w:rsidR="00B07537" w:rsidRPr="00EA685F" w:rsidRDefault="00B07537" w:rsidP="00ED59CF">
            <w:pPr>
              <w:pStyle w:val="Tabletext"/>
            </w:pPr>
            <w:r w:rsidRPr="00EA685F">
              <w:t>5</w:t>
            </w:r>
          </w:p>
        </w:tc>
        <w:tc>
          <w:tcPr>
            <w:tcW w:w="3799" w:type="dxa"/>
            <w:shd w:val="clear" w:color="auto" w:fill="auto"/>
          </w:tcPr>
          <w:p w14:paraId="6B2D1802" w14:textId="77777777" w:rsidR="00B07537" w:rsidRPr="00EA685F" w:rsidRDefault="00B07537" w:rsidP="00ED59CF">
            <w:pPr>
              <w:pStyle w:val="Tabletext"/>
            </w:pPr>
            <w:r w:rsidRPr="00EA685F">
              <w:t>South Australia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3BFEF306" w14:textId="239F4466" w:rsidR="00B07537" w:rsidRPr="00C36342" w:rsidRDefault="00B07537" w:rsidP="00ED59CF">
            <w:pPr>
              <w:pStyle w:val="Tabletext"/>
            </w:pPr>
            <w:r>
              <w:t>Nil</w:t>
            </w:r>
          </w:p>
        </w:tc>
      </w:tr>
      <w:tr w:rsidR="00B07537" w:rsidRPr="00EA685F" w14:paraId="605DD6B3" w14:textId="77777777" w:rsidTr="00ED59CF">
        <w:tc>
          <w:tcPr>
            <w:tcW w:w="714" w:type="dxa"/>
            <w:shd w:val="clear" w:color="auto" w:fill="auto"/>
          </w:tcPr>
          <w:p w14:paraId="178845E0" w14:textId="77777777" w:rsidR="00B07537" w:rsidRPr="00EA685F" w:rsidRDefault="00B07537" w:rsidP="00ED59CF">
            <w:pPr>
              <w:pStyle w:val="Tabletext"/>
            </w:pPr>
            <w:r w:rsidRPr="00EA685F">
              <w:t>6</w:t>
            </w:r>
          </w:p>
        </w:tc>
        <w:tc>
          <w:tcPr>
            <w:tcW w:w="3799" w:type="dxa"/>
            <w:shd w:val="clear" w:color="auto" w:fill="auto"/>
          </w:tcPr>
          <w:p w14:paraId="61ED63C9" w14:textId="77777777" w:rsidR="00B07537" w:rsidRPr="00EA685F" w:rsidRDefault="00B07537" w:rsidP="00ED59CF">
            <w:pPr>
              <w:pStyle w:val="Tabletext"/>
            </w:pPr>
            <w:r w:rsidRPr="00EA685F">
              <w:t>Tasmania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6B1A05CF" w14:textId="1D9B74E0" w:rsidR="00B07537" w:rsidRPr="00C36342" w:rsidRDefault="00B07537" w:rsidP="00ED59CF">
            <w:pPr>
              <w:pStyle w:val="Tabletext"/>
            </w:pPr>
            <w:r>
              <w:t>$</w:t>
            </w:r>
            <w:r w:rsidR="00A93179">
              <w:t>34,036,220.70</w:t>
            </w:r>
          </w:p>
        </w:tc>
      </w:tr>
      <w:tr w:rsidR="00B07537" w:rsidRPr="00EA685F" w14:paraId="5463778A" w14:textId="77777777" w:rsidTr="00ED59CF">
        <w:tc>
          <w:tcPr>
            <w:tcW w:w="714" w:type="dxa"/>
            <w:shd w:val="clear" w:color="auto" w:fill="auto"/>
          </w:tcPr>
          <w:p w14:paraId="0B027EA7" w14:textId="77777777" w:rsidR="00B07537" w:rsidRPr="00EA685F" w:rsidRDefault="00B07537" w:rsidP="00ED59CF">
            <w:pPr>
              <w:pStyle w:val="Tabletext"/>
            </w:pPr>
            <w:r w:rsidRPr="00EA685F">
              <w:t>7</w:t>
            </w:r>
          </w:p>
        </w:tc>
        <w:tc>
          <w:tcPr>
            <w:tcW w:w="3799" w:type="dxa"/>
            <w:shd w:val="clear" w:color="auto" w:fill="auto"/>
          </w:tcPr>
          <w:p w14:paraId="79C1762D" w14:textId="77777777" w:rsidR="00B07537" w:rsidRPr="00EA685F" w:rsidRDefault="00B07537" w:rsidP="00ED59CF">
            <w:pPr>
              <w:pStyle w:val="Tabletext"/>
            </w:pPr>
            <w:r w:rsidRPr="00EA685F">
              <w:t>Australian Capital Territory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0DDF8E51" w14:textId="7FF9DBD1" w:rsidR="00B07537" w:rsidRPr="00C36342" w:rsidRDefault="00B07537" w:rsidP="00ED59CF">
            <w:pPr>
              <w:pStyle w:val="Tabletext"/>
            </w:pPr>
            <w:r>
              <w:t>Nil</w:t>
            </w:r>
          </w:p>
        </w:tc>
      </w:tr>
      <w:tr w:rsidR="00B07537" w:rsidRPr="00EA685F" w14:paraId="6BE89ED5" w14:textId="77777777" w:rsidTr="00ED59C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EDD93B" w14:textId="77777777" w:rsidR="00B07537" w:rsidRPr="00EA685F" w:rsidRDefault="00B07537" w:rsidP="00ED59CF">
            <w:pPr>
              <w:pStyle w:val="Tabletext"/>
            </w:pPr>
            <w:r w:rsidRPr="00EA685F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B355B7" w14:textId="77777777" w:rsidR="00B07537" w:rsidRPr="00EA685F" w:rsidRDefault="00B07537" w:rsidP="00ED59CF">
            <w:pPr>
              <w:pStyle w:val="Tabletext"/>
            </w:pPr>
            <w:r w:rsidRPr="00EA685F">
              <w:t>Northern Territory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3EC50E8" w14:textId="7EE8E4B0" w:rsidR="00B07537" w:rsidRPr="00C36342" w:rsidRDefault="00A93179" w:rsidP="00ED59CF">
            <w:pPr>
              <w:pStyle w:val="Tabletext"/>
            </w:pPr>
            <w:r>
              <w:t>$15,743,150.43</w:t>
            </w:r>
          </w:p>
        </w:tc>
      </w:tr>
      <w:tr w:rsidR="00B07537" w:rsidRPr="00EA685F" w14:paraId="271A23AA" w14:textId="77777777" w:rsidTr="00ED59CF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224751" w14:textId="77777777" w:rsidR="00B07537" w:rsidRPr="00EA685F" w:rsidRDefault="00B07537" w:rsidP="00ED59CF">
            <w:pPr>
              <w:pStyle w:val="Tabletext"/>
            </w:pP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16C4AA" w14:textId="77777777" w:rsidR="00B07537" w:rsidRPr="00A93179" w:rsidRDefault="00B07537" w:rsidP="00ED59CF">
            <w:pPr>
              <w:pStyle w:val="Tabletext"/>
              <w:rPr>
                <w:b/>
              </w:rPr>
            </w:pPr>
            <w:r w:rsidRPr="00A93179">
              <w:rPr>
                <w:b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3B096" w14:textId="1F939B33" w:rsidR="00B07537" w:rsidRPr="00A93179" w:rsidRDefault="00A93179" w:rsidP="00ED59CF">
            <w:pPr>
              <w:pStyle w:val="Tabletext"/>
              <w:rPr>
                <w:b/>
              </w:rPr>
            </w:pPr>
            <w:r w:rsidRPr="00A93179">
              <w:rPr>
                <w:b/>
              </w:rPr>
              <w:t>$</w:t>
            </w:r>
            <w:r>
              <w:rPr>
                <w:b/>
              </w:rPr>
              <w:t>958,146,484.83</w:t>
            </w:r>
          </w:p>
        </w:tc>
      </w:tr>
    </w:tbl>
    <w:p w14:paraId="0237E215" w14:textId="77777777" w:rsidR="006A7843" w:rsidRPr="006A7843" w:rsidRDefault="006A7843" w:rsidP="006A7843">
      <w:pPr>
        <w:pStyle w:val="subsection"/>
      </w:pPr>
    </w:p>
    <w:sectPr w:rsidR="006A7843" w:rsidRPr="006A7843" w:rsidSect="006A784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5E905" w14:textId="77777777" w:rsidR="00ED59CF" w:rsidRDefault="00ED59CF" w:rsidP="00715914">
      <w:pPr>
        <w:spacing w:line="240" w:lineRule="auto"/>
      </w:pPr>
      <w:r>
        <w:separator/>
      </w:r>
    </w:p>
  </w:endnote>
  <w:endnote w:type="continuationSeparator" w:id="0">
    <w:p w14:paraId="0E49AE34" w14:textId="77777777" w:rsidR="00ED59CF" w:rsidRDefault="00ED59C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0C1A3CFA-8B8B-40BB-BD23-7C85A244BD8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5EFE" w14:textId="18C6FCDE" w:rsidR="00ED59CF" w:rsidRDefault="00ED59CF" w:rsidP="007500C8">
    <w:pPr>
      <w:pStyle w:val="Footer"/>
    </w:pPr>
  </w:p>
  <w:p w14:paraId="132AA280" w14:textId="77777777" w:rsidR="00ED59CF" w:rsidRPr="007500C8" w:rsidRDefault="00ED59CF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54AF" w14:textId="77777777" w:rsidR="00ED59CF" w:rsidRPr="00ED79B6" w:rsidRDefault="00ED59C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9235" w14:textId="75DAC5AA" w:rsidR="00ED59CF" w:rsidRPr="00E33C1C" w:rsidRDefault="00ED59C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59CF" w14:paraId="5DFDC30F" w14:textId="77777777" w:rsidTr="002234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98DA44" w14:textId="77777777" w:rsidR="00ED59CF" w:rsidRDefault="00ED59CF" w:rsidP="00ED59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FA2278" w14:textId="2AFDC8E2" w:rsidR="00ED59CF" w:rsidRDefault="00ED59CF" w:rsidP="00ED59C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D2914">
            <w:rPr>
              <w:i/>
              <w:noProof/>
              <w:sz w:val="18"/>
            </w:rPr>
            <w:t>Federal Financial Relations (National Specific Purpose Payments for 2018-19)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091F2D" w14:textId="77777777" w:rsidR="00ED59CF" w:rsidRDefault="00ED59CF" w:rsidP="00ED59CF">
          <w:pPr>
            <w:spacing w:line="0" w:lineRule="atLeast"/>
            <w:jc w:val="right"/>
            <w:rPr>
              <w:sz w:val="18"/>
            </w:rPr>
          </w:pPr>
        </w:p>
      </w:tc>
    </w:tr>
  </w:tbl>
  <w:p w14:paraId="41F32252" w14:textId="77777777" w:rsidR="00ED59CF" w:rsidRPr="00ED79B6" w:rsidRDefault="00ED59C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D6275" w14:textId="63F3B0CB" w:rsidR="00ED59CF" w:rsidRPr="00E33C1C" w:rsidRDefault="00ED59C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D59CF" w14:paraId="2CE74A0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D70E66" w14:textId="77777777" w:rsidR="00ED59CF" w:rsidRDefault="00ED59CF" w:rsidP="00ED59C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B504E79" w14:textId="005ACB8C" w:rsidR="00ED59CF" w:rsidRDefault="00ED59CF" w:rsidP="00ED59C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0DA6">
            <w:rPr>
              <w:i/>
              <w:noProof/>
              <w:sz w:val="18"/>
            </w:rPr>
            <w:t>Federal Financial Relations (National Specific Purpose Payments for 2018-19)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DF55B1" w14:textId="3BC51D3C" w:rsidR="00ED59CF" w:rsidRDefault="00ED59CF" w:rsidP="00ED59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0D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BAE96F" w14:textId="77777777" w:rsidR="00ED59CF" w:rsidRPr="00ED79B6" w:rsidRDefault="00ED59CF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C153" w14:textId="1889B818" w:rsidR="00ED59CF" w:rsidRPr="00E33C1C" w:rsidRDefault="00ED59C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59CF" w14:paraId="1176F509" w14:textId="77777777" w:rsidTr="002234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26378" w14:textId="12603E99" w:rsidR="00ED59CF" w:rsidRDefault="00ED59CF" w:rsidP="00ED59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0D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9ED606" w14:textId="7DE42020" w:rsidR="00ED59CF" w:rsidRDefault="00ED59CF" w:rsidP="00ED59C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0DA6">
            <w:rPr>
              <w:i/>
              <w:noProof/>
              <w:sz w:val="18"/>
            </w:rPr>
            <w:t>Federal Financial Relations (National Specific Purpose Payments for 2018-19)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857F70" w14:textId="77777777" w:rsidR="00ED59CF" w:rsidRDefault="00ED59CF" w:rsidP="00ED59CF">
          <w:pPr>
            <w:spacing w:line="0" w:lineRule="atLeast"/>
            <w:jc w:val="right"/>
            <w:rPr>
              <w:sz w:val="18"/>
            </w:rPr>
          </w:pPr>
        </w:p>
      </w:tc>
    </w:tr>
  </w:tbl>
  <w:p w14:paraId="335A99AF" w14:textId="77777777" w:rsidR="00ED59CF" w:rsidRPr="00ED79B6" w:rsidRDefault="00ED59CF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4810A" w14:textId="5734C0F4" w:rsidR="00ED59CF" w:rsidRPr="00E33C1C" w:rsidRDefault="00ED59C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D59CF" w14:paraId="52273ACD" w14:textId="77777777" w:rsidTr="0022347D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2DD72743" w14:textId="77777777" w:rsidR="00ED59CF" w:rsidRDefault="00ED59CF" w:rsidP="00ED59CF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320A0BE2" w14:textId="7A6384AD" w:rsidR="00ED59CF" w:rsidRDefault="00ED59CF" w:rsidP="00ED59C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0DA6">
            <w:rPr>
              <w:i/>
              <w:noProof/>
              <w:sz w:val="18"/>
            </w:rPr>
            <w:t>Federal Financial Relations (National Specific Purpose Payments for 2018-19)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4676AF13" w14:textId="497F1DEC" w:rsidR="00ED59CF" w:rsidRDefault="00ED59CF" w:rsidP="00ED59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0D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824AB6" w14:textId="77777777" w:rsidR="00ED59CF" w:rsidRPr="00ED79B6" w:rsidRDefault="00ED59CF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E938" w14:textId="77777777" w:rsidR="00ED59CF" w:rsidRPr="00E33C1C" w:rsidRDefault="00ED59C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59CF" w14:paraId="10B8417E" w14:textId="77777777" w:rsidTr="002234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A8E270" w14:textId="77777777" w:rsidR="00ED59CF" w:rsidRDefault="00ED59CF" w:rsidP="00ED59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03950A" w14:textId="2EB37FD5" w:rsidR="00ED59CF" w:rsidRDefault="00ED59CF" w:rsidP="00ED59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914">
            <w:rPr>
              <w:i/>
              <w:sz w:val="18"/>
            </w:rPr>
            <w:t>Federal Financial Relations (National Specific Purpose Payments for 2018-19)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797CDF" w14:textId="77777777" w:rsidR="00ED59CF" w:rsidRDefault="00ED59CF" w:rsidP="00ED59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82E64A" w14:textId="77777777" w:rsidR="00ED59CF" w:rsidRPr="00ED79B6" w:rsidRDefault="00ED59CF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4F20" w14:textId="77777777" w:rsidR="00ED59CF" w:rsidRDefault="00ED59CF" w:rsidP="00715914">
      <w:pPr>
        <w:spacing w:line="240" w:lineRule="auto"/>
      </w:pPr>
      <w:r>
        <w:separator/>
      </w:r>
    </w:p>
  </w:footnote>
  <w:footnote w:type="continuationSeparator" w:id="0">
    <w:p w14:paraId="22D97671" w14:textId="77777777" w:rsidR="00ED59CF" w:rsidRDefault="00ED59C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3829" w14:textId="4777A53B" w:rsidR="00ED59CF" w:rsidRPr="005F1388" w:rsidRDefault="00ED59C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D054" w14:textId="3083606D" w:rsidR="00ED59CF" w:rsidRPr="005F1388" w:rsidRDefault="00ED59C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24DF" w14:textId="77777777" w:rsidR="00ED59CF" w:rsidRPr="005F1388" w:rsidRDefault="00ED59C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35FA" w14:textId="3709BDD4" w:rsidR="00ED59CF" w:rsidRPr="00ED79B6" w:rsidRDefault="00ED59C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03D8" w14:textId="0ACFC7FD" w:rsidR="00ED59CF" w:rsidRPr="00ED79B6" w:rsidRDefault="00ED59C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CD33" w14:textId="77777777" w:rsidR="00ED59CF" w:rsidRPr="00ED79B6" w:rsidRDefault="00ED59C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EE315" w14:textId="3044C64E" w:rsidR="00ED59CF" w:rsidRDefault="00ED59C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D6A57E7" w14:textId="7001D71D" w:rsidR="00ED59CF" w:rsidRDefault="00ED59C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30DA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30DA6">
      <w:rPr>
        <w:noProof/>
        <w:sz w:val="20"/>
      </w:rPr>
      <w:t>Determination of national specific purpose payments for 2018-19</w:t>
    </w:r>
    <w:r w:rsidR="00E30DA6">
      <w:rPr>
        <w:noProof/>
        <w:sz w:val="20"/>
      </w:rPr>
      <w:cr/>
    </w:r>
    <w:r>
      <w:rPr>
        <w:sz w:val="20"/>
      </w:rPr>
      <w:fldChar w:fldCharType="end"/>
    </w:r>
  </w:p>
  <w:p w14:paraId="43BAE008" w14:textId="152D5F41" w:rsidR="00ED59CF" w:rsidRPr="007A1328" w:rsidRDefault="00ED59C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177937" w14:textId="4AC5253D" w:rsidR="00ED59CF" w:rsidRPr="007A1328" w:rsidRDefault="00ED59C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D291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0DA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2046" w14:textId="05EFC297" w:rsidR="00ED59CF" w:rsidRPr="007A1328" w:rsidRDefault="00ED59C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EBFDAF1" w14:textId="14D7CC76" w:rsidR="00ED59CF" w:rsidRPr="007A1328" w:rsidRDefault="00ED59C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30DA6">
      <w:rPr>
        <w:sz w:val="20"/>
      </w:rPr>
      <w:fldChar w:fldCharType="separate"/>
    </w:r>
    <w:r w:rsidR="00E30DA6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30DA6">
      <w:rPr>
        <w:b/>
        <w:sz w:val="20"/>
      </w:rPr>
      <w:fldChar w:fldCharType="separate"/>
    </w:r>
    <w:r w:rsidR="00E30DA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13F54A0" w14:textId="545D05FE" w:rsidR="00ED59CF" w:rsidRPr="007A1328" w:rsidRDefault="00ED59C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44B8B4D" w14:textId="2FAA1D59" w:rsidR="00ED59CF" w:rsidRPr="007A1328" w:rsidRDefault="00ED59C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D291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0DA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E591" w14:textId="77777777" w:rsidR="00ED59CF" w:rsidRPr="007A1328" w:rsidRDefault="00ED59C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9F"/>
    <w:rsid w:val="00004470"/>
    <w:rsid w:val="000136AF"/>
    <w:rsid w:val="0003386F"/>
    <w:rsid w:val="000437C1"/>
    <w:rsid w:val="0005365D"/>
    <w:rsid w:val="000562F5"/>
    <w:rsid w:val="000614BF"/>
    <w:rsid w:val="000B3E12"/>
    <w:rsid w:val="000B58FA"/>
    <w:rsid w:val="000C01EB"/>
    <w:rsid w:val="000D05EF"/>
    <w:rsid w:val="000E2261"/>
    <w:rsid w:val="000F21C1"/>
    <w:rsid w:val="0010745C"/>
    <w:rsid w:val="00130AB1"/>
    <w:rsid w:val="00131F49"/>
    <w:rsid w:val="00132CEB"/>
    <w:rsid w:val="0014025D"/>
    <w:rsid w:val="00142B62"/>
    <w:rsid w:val="0014539C"/>
    <w:rsid w:val="00157B8B"/>
    <w:rsid w:val="00166C2F"/>
    <w:rsid w:val="001809D7"/>
    <w:rsid w:val="001939E1"/>
    <w:rsid w:val="00194C3E"/>
    <w:rsid w:val="00195382"/>
    <w:rsid w:val="001A031E"/>
    <w:rsid w:val="001C2EA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347D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2D93"/>
    <w:rsid w:val="002950CD"/>
    <w:rsid w:val="00297ECB"/>
    <w:rsid w:val="002A7BCF"/>
    <w:rsid w:val="002C31AD"/>
    <w:rsid w:val="002D043A"/>
    <w:rsid w:val="002D6224"/>
    <w:rsid w:val="002E3F4B"/>
    <w:rsid w:val="00303C5D"/>
    <w:rsid w:val="00304F8B"/>
    <w:rsid w:val="003354D2"/>
    <w:rsid w:val="00335BC6"/>
    <w:rsid w:val="003415D3"/>
    <w:rsid w:val="00344701"/>
    <w:rsid w:val="00352B0F"/>
    <w:rsid w:val="00356690"/>
    <w:rsid w:val="00360459"/>
    <w:rsid w:val="00363426"/>
    <w:rsid w:val="0039672D"/>
    <w:rsid w:val="003C6231"/>
    <w:rsid w:val="003D0BFE"/>
    <w:rsid w:val="003D5700"/>
    <w:rsid w:val="003E341B"/>
    <w:rsid w:val="003F2FB7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0D12"/>
    <w:rsid w:val="004E7BEC"/>
    <w:rsid w:val="005006CA"/>
    <w:rsid w:val="00503C6F"/>
    <w:rsid w:val="00505D3D"/>
    <w:rsid w:val="00506AF6"/>
    <w:rsid w:val="00516B8D"/>
    <w:rsid w:val="00537FBC"/>
    <w:rsid w:val="00546E79"/>
    <w:rsid w:val="00553000"/>
    <w:rsid w:val="005574D1"/>
    <w:rsid w:val="005660FC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70EA1"/>
    <w:rsid w:val="00673C98"/>
    <w:rsid w:val="00677CC2"/>
    <w:rsid w:val="006905DE"/>
    <w:rsid w:val="0069207B"/>
    <w:rsid w:val="0069649B"/>
    <w:rsid w:val="006A7843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3807"/>
    <w:rsid w:val="00714F20"/>
    <w:rsid w:val="0071590F"/>
    <w:rsid w:val="00715914"/>
    <w:rsid w:val="0072027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247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6ED2"/>
    <w:rsid w:val="00906F85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36B5B"/>
    <w:rsid w:val="00A64912"/>
    <w:rsid w:val="00A70A74"/>
    <w:rsid w:val="00A93179"/>
    <w:rsid w:val="00AD2914"/>
    <w:rsid w:val="00AD5641"/>
    <w:rsid w:val="00AD7889"/>
    <w:rsid w:val="00AE1A82"/>
    <w:rsid w:val="00AF021B"/>
    <w:rsid w:val="00AF06CF"/>
    <w:rsid w:val="00B05CF4"/>
    <w:rsid w:val="00B07537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51E3"/>
    <w:rsid w:val="00C6749F"/>
    <w:rsid w:val="00C7573B"/>
    <w:rsid w:val="00C93C03"/>
    <w:rsid w:val="00CA493D"/>
    <w:rsid w:val="00CB2C8E"/>
    <w:rsid w:val="00CB602E"/>
    <w:rsid w:val="00CC2DBA"/>
    <w:rsid w:val="00CD7D11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A90"/>
    <w:rsid w:val="00D70DFB"/>
    <w:rsid w:val="00D766DF"/>
    <w:rsid w:val="00D97979"/>
    <w:rsid w:val="00DA186E"/>
    <w:rsid w:val="00DA4116"/>
    <w:rsid w:val="00DB251C"/>
    <w:rsid w:val="00DB3F71"/>
    <w:rsid w:val="00DB4630"/>
    <w:rsid w:val="00DC4F88"/>
    <w:rsid w:val="00DD4734"/>
    <w:rsid w:val="00E05704"/>
    <w:rsid w:val="00E11E44"/>
    <w:rsid w:val="00E30DA6"/>
    <w:rsid w:val="00E3270E"/>
    <w:rsid w:val="00E338EF"/>
    <w:rsid w:val="00E4685A"/>
    <w:rsid w:val="00E544BB"/>
    <w:rsid w:val="00E662CB"/>
    <w:rsid w:val="00E74DC7"/>
    <w:rsid w:val="00E8075A"/>
    <w:rsid w:val="00E94D5E"/>
    <w:rsid w:val="00E9797A"/>
    <w:rsid w:val="00EA7100"/>
    <w:rsid w:val="00EA7F9F"/>
    <w:rsid w:val="00EB1274"/>
    <w:rsid w:val="00EB6AD0"/>
    <w:rsid w:val="00EC38CB"/>
    <w:rsid w:val="00EC5AAD"/>
    <w:rsid w:val="00ED2BB6"/>
    <w:rsid w:val="00ED34E1"/>
    <w:rsid w:val="00ED3B8D"/>
    <w:rsid w:val="00ED59CF"/>
    <w:rsid w:val="00ED659C"/>
    <w:rsid w:val="00EE1A4E"/>
    <w:rsid w:val="00EF2E3A"/>
    <w:rsid w:val="00F072A7"/>
    <w:rsid w:val="00F078DC"/>
    <w:rsid w:val="00F32BA8"/>
    <w:rsid w:val="00F349F1"/>
    <w:rsid w:val="00F3559D"/>
    <w:rsid w:val="00F4350D"/>
    <w:rsid w:val="00F567F7"/>
    <w:rsid w:val="00F62036"/>
    <w:rsid w:val="00F65B52"/>
    <w:rsid w:val="00F67BCA"/>
    <w:rsid w:val="00F73BD6"/>
    <w:rsid w:val="00F775D0"/>
    <w:rsid w:val="00F83989"/>
    <w:rsid w:val="00F85099"/>
    <w:rsid w:val="00F9379C"/>
    <w:rsid w:val="00F9632C"/>
    <w:rsid w:val="00FA1E52"/>
    <w:rsid w:val="00FB2A7C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FF3F8F"/>
  <w15:docId w15:val="{71CD5B80-1158-4CCC-8FF1-821BF212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78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8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8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8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8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7843"/>
  </w:style>
  <w:style w:type="paragraph" w:customStyle="1" w:styleId="OPCParaBase">
    <w:name w:val="OPCParaBase"/>
    <w:qFormat/>
    <w:rsid w:val="006A78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78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78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78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78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78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78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78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78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78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78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7843"/>
  </w:style>
  <w:style w:type="paragraph" w:customStyle="1" w:styleId="Blocks">
    <w:name w:val="Blocks"/>
    <w:aliases w:val="bb"/>
    <w:basedOn w:val="OPCParaBase"/>
    <w:qFormat/>
    <w:rsid w:val="006A78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78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78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7843"/>
    <w:rPr>
      <w:i/>
    </w:rPr>
  </w:style>
  <w:style w:type="paragraph" w:customStyle="1" w:styleId="BoxList">
    <w:name w:val="BoxList"/>
    <w:aliases w:val="bl"/>
    <w:basedOn w:val="BoxText"/>
    <w:qFormat/>
    <w:rsid w:val="006A78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78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78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78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A7843"/>
  </w:style>
  <w:style w:type="character" w:customStyle="1" w:styleId="CharAmPartText">
    <w:name w:val="CharAmPartText"/>
    <w:basedOn w:val="OPCCharBase"/>
    <w:uiPriority w:val="1"/>
    <w:qFormat/>
    <w:rsid w:val="006A7843"/>
  </w:style>
  <w:style w:type="character" w:customStyle="1" w:styleId="CharAmSchNo">
    <w:name w:val="CharAmSchNo"/>
    <w:basedOn w:val="OPCCharBase"/>
    <w:uiPriority w:val="1"/>
    <w:qFormat/>
    <w:rsid w:val="006A7843"/>
  </w:style>
  <w:style w:type="character" w:customStyle="1" w:styleId="CharAmSchText">
    <w:name w:val="CharAmSchText"/>
    <w:basedOn w:val="OPCCharBase"/>
    <w:uiPriority w:val="1"/>
    <w:qFormat/>
    <w:rsid w:val="006A7843"/>
  </w:style>
  <w:style w:type="character" w:customStyle="1" w:styleId="CharBoldItalic">
    <w:name w:val="CharBoldItalic"/>
    <w:basedOn w:val="OPCCharBase"/>
    <w:uiPriority w:val="1"/>
    <w:qFormat/>
    <w:rsid w:val="006A7843"/>
    <w:rPr>
      <w:b/>
      <w:i/>
    </w:rPr>
  </w:style>
  <w:style w:type="character" w:customStyle="1" w:styleId="CharChapNo">
    <w:name w:val="CharChapNo"/>
    <w:basedOn w:val="OPCCharBase"/>
    <w:qFormat/>
    <w:rsid w:val="006A7843"/>
  </w:style>
  <w:style w:type="character" w:customStyle="1" w:styleId="CharChapText">
    <w:name w:val="CharChapText"/>
    <w:basedOn w:val="OPCCharBase"/>
    <w:qFormat/>
    <w:rsid w:val="006A7843"/>
  </w:style>
  <w:style w:type="character" w:customStyle="1" w:styleId="CharDivNo">
    <w:name w:val="CharDivNo"/>
    <w:basedOn w:val="OPCCharBase"/>
    <w:qFormat/>
    <w:rsid w:val="006A7843"/>
  </w:style>
  <w:style w:type="character" w:customStyle="1" w:styleId="CharDivText">
    <w:name w:val="CharDivText"/>
    <w:basedOn w:val="OPCCharBase"/>
    <w:qFormat/>
    <w:rsid w:val="006A7843"/>
  </w:style>
  <w:style w:type="character" w:customStyle="1" w:styleId="CharItalic">
    <w:name w:val="CharItalic"/>
    <w:basedOn w:val="OPCCharBase"/>
    <w:uiPriority w:val="1"/>
    <w:qFormat/>
    <w:rsid w:val="006A7843"/>
    <w:rPr>
      <w:i/>
    </w:rPr>
  </w:style>
  <w:style w:type="character" w:customStyle="1" w:styleId="CharPartNo">
    <w:name w:val="CharPartNo"/>
    <w:basedOn w:val="OPCCharBase"/>
    <w:qFormat/>
    <w:rsid w:val="006A7843"/>
  </w:style>
  <w:style w:type="character" w:customStyle="1" w:styleId="CharPartText">
    <w:name w:val="CharPartText"/>
    <w:basedOn w:val="OPCCharBase"/>
    <w:qFormat/>
    <w:rsid w:val="006A7843"/>
  </w:style>
  <w:style w:type="character" w:customStyle="1" w:styleId="CharSectno">
    <w:name w:val="CharSectno"/>
    <w:basedOn w:val="OPCCharBase"/>
    <w:qFormat/>
    <w:rsid w:val="006A7843"/>
  </w:style>
  <w:style w:type="character" w:customStyle="1" w:styleId="CharSubdNo">
    <w:name w:val="CharSubdNo"/>
    <w:basedOn w:val="OPCCharBase"/>
    <w:uiPriority w:val="1"/>
    <w:qFormat/>
    <w:rsid w:val="006A7843"/>
  </w:style>
  <w:style w:type="character" w:customStyle="1" w:styleId="CharSubdText">
    <w:name w:val="CharSubdText"/>
    <w:basedOn w:val="OPCCharBase"/>
    <w:uiPriority w:val="1"/>
    <w:qFormat/>
    <w:rsid w:val="006A7843"/>
  </w:style>
  <w:style w:type="paragraph" w:customStyle="1" w:styleId="CTA--">
    <w:name w:val="CTA --"/>
    <w:basedOn w:val="OPCParaBase"/>
    <w:next w:val="Normal"/>
    <w:rsid w:val="006A78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78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78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78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78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78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78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78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78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78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78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78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78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78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78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78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A78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78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78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78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78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78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78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78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78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78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78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78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78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78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78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78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78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78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78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78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78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78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78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78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78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78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78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78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78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78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78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78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78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78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78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78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78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78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78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78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78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78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78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78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A78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78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78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A78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78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78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78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78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78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78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78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78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7843"/>
    <w:rPr>
      <w:sz w:val="16"/>
    </w:rPr>
  </w:style>
  <w:style w:type="table" w:customStyle="1" w:styleId="CFlag">
    <w:name w:val="CFlag"/>
    <w:basedOn w:val="TableNormal"/>
    <w:uiPriority w:val="99"/>
    <w:rsid w:val="006A78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A78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78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A78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78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78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784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78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A78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78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A78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78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A78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78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78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78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78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78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78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78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A78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78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7843"/>
  </w:style>
  <w:style w:type="character" w:customStyle="1" w:styleId="CharSubPartNoCASA">
    <w:name w:val="CharSubPartNo(CASA)"/>
    <w:basedOn w:val="OPCCharBase"/>
    <w:uiPriority w:val="1"/>
    <w:rsid w:val="006A7843"/>
  </w:style>
  <w:style w:type="paragraph" w:customStyle="1" w:styleId="ENoteTTIndentHeadingSub">
    <w:name w:val="ENoteTTIndentHeadingSub"/>
    <w:aliases w:val="enTTHis"/>
    <w:basedOn w:val="OPCParaBase"/>
    <w:rsid w:val="006A78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78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78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78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78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78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7843"/>
    <w:rPr>
      <w:sz w:val="22"/>
    </w:rPr>
  </w:style>
  <w:style w:type="paragraph" w:customStyle="1" w:styleId="SOTextNote">
    <w:name w:val="SO TextNote"/>
    <w:aliases w:val="sont"/>
    <w:basedOn w:val="SOText"/>
    <w:qFormat/>
    <w:rsid w:val="006A78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78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7843"/>
    <w:rPr>
      <w:sz w:val="22"/>
    </w:rPr>
  </w:style>
  <w:style w:type="paragraph" w:customStyle="1" w:styleId="FileName">
    <w:name w:val="FileName"/>
    <w:basedOn w:val="Normal"/>
    <w:rsid w:val="006A7843"/>
  </w:style>
  <w:style w:type="paragraph" w:customStyle="1" w:styleId="TableHeading">
    <w:name w:val="TableHeading"/>
    <w:aliases w:val="th"/>
    <w:basedOn w:val="OPCParaBase"/>
    <w:next w:val="Tabletext"/>
    <w:rsid w:val="006A78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78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78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78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78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78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78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78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78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78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78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78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78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78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7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8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8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8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8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8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8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84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2019RG-111-12249</_dlc_DocId>
    <TaxCatchAll xmlns="0f563589-9cf9-4143-b1eb-fb0534803d38">
      <Value>11</Value>
    </TaxCatchAll>
    <_dlc_DocIdUrl xmlns="0f563589-9cf9-4143-b1eb-fb0534803d38">
      <Url>http://tweb/sites/rg/ldp/lmu/_layouts/15/DocIdRedir.aspx?ID=2019RG-111-12249</Url>
      <Description>2019RG-111-12249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2680" ma:contentTypeDescription=" " ma:contentTypeScope="" ma:versionID="e03b0e6488483ab50c56cc26e090fce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8887-B7F5-4940-8A26-F489D1DC28A3}">
  <ds:schemaRefs>
    <ds:schemaRef ds:uri="http://purl.org/dc/terms/"/>
    <ds:schemaRef ds:uri="0f563589-9cf9-4143-b1eb-fb0534803d3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schemas.microsoft.com/sharepoint/v4"/>
    <ds:schemaRef ds:uri="9f7bc583-7cbe-45b9-a2bd-8bbb6543b37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590272-6912-4606-BBBD-FD82D5273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C44A3-EA63-4E32-ABB2-3C6B63317B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758B15-3A8A-42E4-98BA-7DAC3223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299</TotalTime>
  <Pages>7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Treasury</cp:lastModifiedBy>
  <cp:revision>21</cp:revision>
  <cp:lastPrinted>2019-08-26T05:15:00Z</cp:lastPrinted>
  <dcterms:created xsi:type="dcterms:W3CDTF">2019-08-15T00:16:00Z</dcterms:created>
  <dcterms:modified xsi:type="dcterms:W3CDTF">2019-09-09T03:48:00Z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(National Specific Purpose Payments for 2018-19) Determination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1b1a8178-b577-4278-b7ef-713ece9bd08a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{1b1a8178-b577-4278-b7ef-713ece9bd08a}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RecordPoint_RecordNumberSubmitted">
    <vt:lpwstr>R0002124532</vt:lpwstr>
  </property>
  <property fmtid="{D5CDD505-2E9C-101B-9397-08002B2CF9AE}" pid="23" name="RecordPoint_SubmissionCompleted">
    <vt:lpwstr>2019-09-08T11:22:10.1351170+10:00</vt:lpwstr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