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FE0BA" w14:textId="511668A0" w:rsidR="00213AE5" w:rsidRDefault="00213AE5" w:rsidP="00213AE5"/>
    <w:p w14:paraId="0688C97B" w14:textId="708C44BB" w:rsidR="00213AE5" w:rsidRDefault="00213AE5" w:rsidP="00213AE5">
      <w:pPr>
        <w:ind w:left="-567"/>
        <w:jc w:val="center"/>
        <w:rPr>
          <w:rFonts w:asciiTheme="minorHAnsi" w:hAnsiTheme="minorHAnsi" w:cstheme="minorHAnsi"/>
          <w:b/>
          <w:sz w:val="22"/>
          <w:szCs w:val="22"/>
        </w:rPr>
      </w:pPr>
      <w:r w:rsidRPr="00FD6184">
        <w:rPr>
          <w:rFonts w:asciiTheme="minorHAnsi" w:hAnsiTheme="minorHAnsi" w:cstheme="minorHAnsi"/>
          <w:b/>
          <w:sz w:val="22"/>
          <w:szCs w:val="22"/>
        </w:rPr>
        <w:t>EXPLANATORY STATEMENT</w:t>
      </w:r>
    </w:p>
    <w:p w14:paraId="5035A049" w14:textId="77777777" w:rsidR="00FD6184" w:rsidRPr="00FD6184" w:rsidRDefault="00FD6184" w:rsidP="00213AE5">
      <w:pPr>
        <w:ind w:left="-567"/>
        <w:jc w:val="center"/>
        <w:rPr>
          <w:rFonts w:asciiTheme="minorHAnsi" w:hAnsiTheme="minorHAnsi" w:cstheme="minorHAnsi"/>
          <w:b/>
          <w:sz w:val="22"/>
          <w:szCs w:val="22"/>
        </w:rPr>
      </w:pPr>
    </w:p>
    <w:p w14:paraId="48A620DD" w14:textId="3452EF28" w:rsidR="00213AE5" w:rsidRDefault="00213AE5" w:rsidP="00213AE5">
      <w:pPr>
        <w:ind w:left="-567"/>
        <w:jc w:val="center"/>
        <w:rPr>
          <w:rFonts w:asciiTheme="minorHAnsi" w:hAnsiTheme="minorHAnsi" w:cstheme="minorHAnsi"/>
          <w:sz w:val="22"/>
          <w:szCs w:val="22"/>
        </w:rPr>
      </w:pPr>
      <w:r w:rsidRPr="00FD6184">
        <w:rPr>
          <w:rFonts w:asciiTheme="minorHAnsi" w:hAnsiTheme="minorHAnsi" w:cstheme="minorHAnsi"/>
          <w:sz w:val="22"/>
          <w:szCs w:val="22"/>
        </w:rPr>
        <w:t>Issued by Comcare</w:t>
      </w:r>
    </w:p>
    <w:p w14:paraId="6CAD94D1" w14:textId="1C7C2A4F" w:rsidR="00FD6184" w:rsidRPr="00FD6184" w:rsidRDefault="00FD6184" w:rsidP="00213AE5">
      <w:pPr>
        <w:ind w:left="-567"/>
        <w:jc w:val="center"/>
        <w:rPr>
          <w:rFonts w:asciiTheme="minorHAnsi" w:hAnsiTheme="minorHAnsi" w:cstheme="minorHAnsi"/>
          <w:sz w:val="22"/>
          <w:szCs w:val="22"/>
        </w:rPr>
      </w:pPr>
    </w:p>
    <w:p w14:paraId="2847AC6E" w14:textId="5A32F41C" w:rsidR="00213AE5" w:rsidRDefault="00213AE5" w:rsidP="00213AE5">
      <w:pPr>
        <w:ind w:left="-567"/>
        <w:jc w:val="center"/>
        <w:rPr>
          <w:rFonts w:asciiTheme="minorHAnsi" w:hAnsiTheme="minorHAnsi" w:cstheme="minorHAnsi"/>
          <w:sz w:val="22"/>
          <w:szCs w:val="22"/>
        </w:rPr>
      </w:pPr>
      <w:r w:rsidRPr="00FD6184">
        <w:rPr>
          <w:rFonts w:asciiTheme="minorHAnsi" w:hAnsiTheme="minorHAnsi" w:cstheme="minorHAnsi"/>
          <w:sz w:val="22"/>
          <w:szCs w:val="22"/>
        </w:rPr>
        <w:t>Notice of a Disallowable Instrument</w:t>
      </w:r>
    </w:p>
    <w:p w14:paraId="6FCBBC72" w14:textId="77777777" w:rsidR="00FD6184" w:rsidRPr="00FD6184" w:rsidRDefault="00FD6184" w:rsidP="00213AE5">
      <w:pPr>
        <w:ind w:left="-567"/>
        <w:jc w:val="center"/>
        <w:rPr>
          <w:rFonts w:asciiTheme="minorHAnsi" w:hAnsiTheme="minorHAnsi" w:cstheme="minorHAnsi"/>
          <w:sz w:val="22"/>
          <w:szCs w:val="22"/>
        </w:rPr>
      </w:pPr>
    </w:p>
    <w:p w14:paraId="60AED23F" w14:textId="0817812E" w:rsidR="00213AE5" w:rsidRDefault="00213AE5" w:rsidP="00213AE5">
      <w:pPr>
        <w:ind w:left="-567"/>
        <w:jc w:val="center"/>
        <w:rPr>
          <w:rFonts w:asciiTheme="minorHAnsi" w:hAnsiTheme="minorHAnsi" w:cstheme="minorHAnsi"/>
          <w:sz w:val="22"/>
          <w:szCs w:val="22"/>
        </w:rPr>
      </w:pPr>
      <w:r w:rsidRPr="00FD6184">
        <w:rPr>
          <w:rFonts w:asciiTheme="minorHAnsi" w:hAnsiTheme="minorHAnsi" w:cstheme="minorHAnsi"/>
          <w:i/>
          <w:sz w:val="22"/>
          <w:szCs w:val="22"/>
        </w:rPr>
        <w:t xml:space="preserve">Safety, Rehabilitation and Compensation Act 1988 </w:t>
      </w:r>
      <w:r w:rsidRPr="00FD6184">
        <w:rPr>
          <w:rFonts w:asciiTheme="minorHAnsi" w:hAnsiTheme="minorHAnsi" w:cstheme="minorHAnsi"/>
          <w:sz w:val="22"/>
          <w:szCs w:val="22"/>
        </w:rPr>
        <w:t>(</w:t>
      </w:r>
      <w:r w:rsidRPr="00FD6184">
        <w:rPr>
          <w:rFonts w:asciiTheme="minorHAnsi" w:hAnsiTheme="minorHAnsi" w:cstheme="minorHAnsi"/>
          <w:b/>
          <w:sz w:val="22"/>
          <w:szCs w:val="22"/>
        </w:rPr>
        <w:t>the Act</w:t>
      </w:r>
      <w:r w:rsidRPr="00FD6184">
        <w:rPr>
          <w:rFonts w:asciiTheme="minorHAnsi" w:hAnsiTheme="minorHAnsi" w:cstheme="minorHAnsi"/>
          <w:sz w:val="22"/>
          <w:szCs w:val="22"/>
        </w:rPr>
        <w:t>)</w:t>
      </w:r>
    </w:p>
    <w:p w14:paraId="6099A014" w14:textId="77777777" w:rsidR="00FD6184" w:rsidRPr="00FD6184" w:rsidRDefault="00FD6184" w:rsidP="00213AE5">
      <w:pPr>
        <w:ind w:left="-567"/>
        <w:jc w:val="center"/>
        <w:rPr>
          <w:rFonts w:asciiTheme="minorHAnsi" w:hAnsiTheme="minorHAnsi" w:cstheme="minorHAnsi"/>
          <w:sz w:val="22"/>
          <w:szCs w:val="22"/>
        </w:rPr>
      </w:pPr>
    </w:p>
    <w:p w14:paraId="2DC4B65F" w14:textId="7857FEDD" w:rsidR="00213AE5" w:rsidRDefault="007E1EF3" w:rsidP="00213AE5">
      <w:pPr>
        <w:ind w:left="-567"/>
        <w:jc w:val="center"/>
        <w:rPr>
          <w:rFonts w:asciiTheme="minorHAnsi" w:hAnsiTheme="minorHAnsi" w:cstheme="minorHAnsi"/>
          <w:sz w:val="22"/>
          <w:szCs w:val="22"/>
        </w:rPr>
      </w:pPr>
      <w:r>
        <w:rPr>
          <w:rFonts w:asciiTheme="minorHAnsi" w:hAnsiTheme="minorHAnsi" w:cstheme="minorHAnsi"/>
          <w:b/>
          <w:i/>
          <w:sz w:val="22"/>
          <w:szCs w:val="22"/>
        </w:rPr>
        <w:t>Operational Standards for</w:t>
      </w:r>
      <w:r w:rsidR="00D94086">
        <w:rPr>
          <w:rFonts w:asciiTheme="minorHAnsi" w:hAnsiTheme="minorHAnsi" w:cstheme="minorHAnsi"/>
          <w:b/>
          <w:i/>
          <w:sz w:val="22"/>
          <w:szCs w:val="22"/>
        </w:rPr>
        <w:t xml:space="preserve"> </w:t>
      </w:r>
      <w:r w:rsidR="00213AE5" w:rsidRPr="00FD6184">
        <w:rPr>
          <w:rFonts w:asciiTheme="minorHAnsi" w:hAnsiTheme="minorHAnsi" w:cstheme="minorHAnsi"/>
          <w:b/>
          <w:i/>
          <w:sz w:val="22"/>
          <w:szCs w:val="22"/>
        </w:rPr>
        <w:t>Rehabilitation</w:t>
      </w:r>
      <w:r w:rsidR="00D94086">
        <w:rPr>
          <w:rFonts w:asciiTheme="minorHAnsi" w:hAnsiTheme="minorHAnsi" w:cstheme="minorHAnsi"/>
          <w:b/>
          <w:i/>
          <w:sz w:val="22"/>
          <w:szCs w:val="22"/>
        </w:rPr>
        <w:t xml:space="preserve"> Program Providers 20</w:t>
      </w:r>
      <w:r w:rsidR="001C5BD7">
        <w:rPr>
          <w:rFonts w:asciiTheme="minorHAnsi" w:hAnsiTheme="minorHAnsi" w:cstheme="minorHAnsi"/>
          <w:b/>
          <w:i/>
          <w:sz w:val="22"/>
          <w:szCs w:val="22"/>
        </w:rPr>
        <w:t>19</w:t>
      </w:r>
      <w:r w:rsidR="001B6CD1">
        <w:rPr>
          <w:rFonts w:asciiTheme="minorHAnsi" w:hAnsiTheme="minorHAnsi" w:cstheme="minorHAnsi"/>
          <w:b/>
          <w:i/>
          <w:sz w:val="22"/>
          <w:szCs w:val="22"/>
        </w:rPr>
        <w:t xml:space="preserve"> </w:t>
      </w:r>
      <w:r w:rsidR="001B7572">
        <w:rPr>
          <w:rFonts w:asciiTheme="minorHAnsi" w:hAnsiTheme="minorHAnsi" w:cstheme="minorHAnsi"/>
          <w:b/>
          <w:i/>
          <w:sz w:val="22"/>
          <w:szCs w:val="22"/>
        </w:rPr>
        <w:t>(the</w:t>
      </w:r>
      <w:r w:rsidR="006D19AC">
        <w:rPr>
          <w:rFonts w:asciiTheme="minorHAnsi" w:hAnsiTheme="minorHAnsi" w:cstheme="minorHAnsi"/>
          <w:b/>
          <w:i/>
          <w:sz w:val="22"/>
          <w:szCs w:val="22"/>
        </w:rPr>
        <w:t xml:space="preserve"> Operational</w:t>
      </w:r>
      <w:r w:rsidR="001B7572">
        <w:rPr>
          <w:rFonts w:asciiTheme="minorHAnsi" w:hAnsiTheme="minorHAnsi" w:cstheme="minorHAnsi"/>
          <w:b/>
          <w:i/>
          <w:sz w:val="22"/>
          <w:szCs w:val="22"/>
        </w:rPr>
        <w:t xml:space="preserve"> </w:t>
      </w:r>
      <w:r>
        <w:rPr>
          <w:rFonts w:asciiTheme="minorHAnsi" w:hAnsiTheme="minorHAnsi" w:cstheme="minorHAnsi"/>
          <w:b/>
          <w:i/>
          <w:sz w:val="22"/>
          <w:szCs w:val="22"/>
        </w:rPr>
        <w:t>Standards)</w:t>
      </w:r>
    </w:p>
    <w:p w14:paraId="6F9EBD45" w14:textId="77777777" w:rsidR="00FD6184" w:rsidRPr="00FD6184" w:rsidRDefault="00FD6184" w:rsidP="00213AE5">
      <w:pPr>
        <w:ind w:left="-567"/>
        <w:jc w:val="center"/>
        <w:rPr>
          <w:rFonts w:asciiTheme="minorHAnsi" w:hAnsiTheme="minorHAnsi" w:cstheme="minorHAnsi"/>
          <w:i/>
          <w:sz w:val="22"/>
          <w:szCs w:val="22"/>
        </w:rPr>
      </w:pPr>
    </w:p>
    <w:p w14:paraId="6E951B2C" w14:textId="52339569" w:rsidR="00213AE5" w:rsidRDefault="00213AE5" w:rsidP="00213AE5">
      <w:pPr>
        <w:ind w:left="-567"/>
        <w:rPr>
          <w:rFonts w:asciiTheme="minorHAnsi" w:hAnsiTheme="minorHAnsi" w:cstheme="minorHAnsi"/>
          <w:b/>
          <w:sz w:val="22"/>
          <w:szCs w:val="22"/>
        </w:rPr>
      </w:pPr>
      <w:r w:rsidRPr="00FD6184">
        <w:rPr>
          <w:rFonts w:asciiTheme="minorHAnsi" w:hAnsiTheme="minorHAnsi" w:cstheme="minorHAnsi"/>
          <w:b/>
          <w:sz w:val="22"/>
          <w:szCs w:val="22"/>
        </w:rPr>
        <w:t xml:space="preserve">Authority </w:t>
      </w:r>
    </w:p>
    <w:p w14:paraId="3E099DFF" w14:textId="415DE641" w:rsidR="00FD6184" w:rsidRPr="00FD6184" w:rsidRDefault="00FD6184" w:rsidP="00213AE5">
      <w:pPr>
        <w:ind w:left="-567"/>
        <w:rPr>
          <w:rFonts w:asciiTheme="minorHAnsi" w:hAnsiTheme="minorHAnsi" w:cstheme="minorHAnsi"/>
          <w:b/>
          <w:sz w:val="22"/>
          <w:szCs w:val="22"/>
        </w:rPr>
      </w:pPr>
    </w:p>
    <w:p w14:paraId="69405DD2" w14:textId="52AF4ACE" w:rsidR="00213AE5" w:rsidRDefault="00213AE5" w:rsidP="00213AE5">
      <w:pPr>
        <w:ind w:left="-567"/>
        <w:rPr>
          <w:rFonts w:asciiTheme="minorHAnsi" w:hAnsiTheme="minorHAnsi" w:cstheme="minorHAnsi"/>
          <w:sz w:val="22"/>
          <w:szCs w:val="22"/>
        </w:rPr>
      </w:pPr>
      <w:r w:rsidRPr="00FD6184">
        <w:rPr>
          <w:rFonts w:asciiTheme="minorHAnsi" w:hAnsiTheme="minorHAnsi" w:cstheme="minorHAnsi"/>
          <w:sz w:val="22"/>
          <w:szCs w:val="22"/>
        </w:rPr>
        <w:t xml:space="preserve">Under section </w:t>
      </w:r>
      <w:r w:rsidR="00D94086">
        <w:rPr>
          <w:rFonts w:asciiTheme="minorHAnsi" w:hAnsiTheme="minorHAnsi" w:cstheme="minorHAnsi"/>
          <w:sz w:val="22"/>
          <w:szCs w:val="22"/>
        </w:rPr>
        <w:t>34</w:t>
      </w:r>
      <w:r w:rsidR="007E1EF3">
        <w:rPr>
          <w:rFonts w:asciiTheme="minorHAnsi" w:hAnsiTheme="minorHAnsi" w:cstheme="minorHAnsi"/>
          <w:sz w:val="22"/>
          <w:szCs w:val="22"/>
        </w:rPr>
        <w:t>E</w:t>
      </w:r>
      <w:r w:rsidRPr="00FD6184">
        <w:rPr>
          <w:rFonts w:asciiTheme="minorHAnsi" w:hAnsiTheme="minorHAnsi" w:cstheme="minorHAnsi"/>
          <w:sz w:val="22"/>
          <w:szCs w:val="22"/>
        </w:rPr>
        <w:t xml:space="preserve"> of the Act, Comcare </w:t>
      </w:r>
      <w:r w:rsidR="00D94086">
        <w:rPr>
          <w:rFonts w:asciiTheme="minorHAnsi" w:hAnsiTheme="minorHAnsi" w:cstheme="minorHAnsi"/>
          <w:sz w:val="22"/>
          <w:szCs w:val="22"/>
        </w:rPr>
        <w:t>must determine the</w:t>
      </w:r>
      <w:r w:rsidR="007814EE">
        <w:rPr>
          <w:rFonts w:asciiTheme="minorHAnsi" w:hAnsiTheme="minorHAnsi" w:cstheme="minorHAnsi"/>
          <w:sz w:val="22"/>
          <w:szCs w:val="22"/>
        </w:rPr>
        <w:t xml:space="preserve"> operational standards </w:t>
      </w:r>
      <w:r w:rsidR="00CD0196">
        <w:rPr>
          <w:rFonts w:asciiTheme="minorHAnsi" w:hAnsiTheme="minorHAnsi" w:cstheme="minorHAnsi"/>
          <w:sz w:val="22"/>
          <w:szCs w:val="22"/>
        </w:rPr>
        <w:t xml:space="preserve">to be complied with by </w:t>
      </w:r>
      <w:r w:rsidR="00D94086">
        <w:rPr>
          <w:rFonts w:asciiTheme="minorHAnsi" w:hAnsiTheme="minorHAnsi" w:cstheme="minorHAnsi"/>
          <w:sz w:val="22"/>
          <w:szCs w:val="22"/>
        </w:rPr>
        <w:t>rehabilitation</w:t>
      </w:r>
      <w:r w:rsidR="005A70B8">
        <w:rPr>
          <w:rFonts w:asciiTheme="minorHAnsi" w:hAnsiTheme="minorHAnsi" w:cstheme="minorHAnsi"/>
          <w:sz w:val="22"/>
          <w:szCs w:val="22"/>
        </w:rPr>
        <w:t xml:space="preserve"> program</w:t>
      </w:r>
      <w:r w:rsidR="00D94086">
        <w:rPr>
          <w:rFonts w:asciiTheme="minorHAnsi" w:hAnsiTheme="minorHAnsi" w:cstheme="minorHAnsi"/>
          <w:sz w:val="22"/>
          <w:szCs w:val="22"/>
        </w:rPr>
        <w:t xml:space="preserve"> providers</w:t>
      </w:r>
      <w:r w:rsidR="00CD0196">
        <w:rPr>
          <w:rFonts w:asciiTheme="minorHAnsi" w:hAnsiTheme="minorHAnsi" w:cstheme="minorHAnsi"/>
          <w:sz w:val="22"/>
          <w:szCs w:val="22"/>
        </w:rPr>
        <w:t xml:space="preserve"> approved under subsection 34</w:t>
      </w:r>
      <w:proofErr w:type="gramStart"/>
      <w:r w:rsidR="00CD0196">
        <w:rPr>
          <w:rFonts w:asciiTheme="minorHAnsi" w:hAnsiTheme="minorHAnsi" w:cstheme="minorHAnsi"/>
          <w:sz w:val="22"/>
          <w:szCs w:val="22"/>
        </w:rPr>
        <w:t>F(</w:t>
      </w:r>
      <w:proofErr w:type="gramEnd"/>
      <w:r w:rsidR="00CD0196">
        <w:rPr>
          <w:rFonts w:asciiTheme="minorHAnsi" w:hAnsiTheme="minorHAnsi" w:cstheme="minorHAnsi"/>
          <w:sz w:val="22"/>
          <w:szCs w:val="22"/>
        </w:rPr>
        <w:t>1) o</w:t>
      </w:r>
      <w:r w:rsidR="00D94086">
        <w:rPr>
          <w:rFonts w:asciiTheme="minorHAnsi" w:hAnsiTheme="minorHAnsi" w:cstheme="minorHAnsi"/>
          <w:sz w:val="22"/>
          <w:szCs w:val="22"/>
        </w:rPr>
        <w:t>f the Act.</w:t>
      </w:r>
      <w:r w:rsidRPr="00FD6184">
        <w:rPr>
          <w:rFonts w:asciiTheme="minorHAnsi" w:hAnsiTheme="minorHAnsi" w:cstheme="minorHAnsi"/>
          <w:sz w:val="22"/>
          <w:szCs w:val="22"/>
        </w:rPr>
        <w:t xml:space="preserve"> </w:t>
      </w:r>
    </w:p>
    <w:p w14:paraId="00F760B7" w14:textId="48BA8396" w:rsidR="00FD6184" w:rsidRPr="00FD6184" w:rsidRDefault="00FD6184" w:rsidP="00213AE5">
      <w:pPr>
        <w:ind w:left="-567"/>
        <w:rPr>
          <w:rFonts w:asciiTheme="minorHAnsi" w:hAnsiTheme="minorHAnsi" w:cstheme="minorHAnsi"/>
          <w:sz w:val="22"/>
          <w:szCs w:val="22"/>
        </w:rPr>
      </w:pPr>
    </w:p>
    <w:p w14:paraId="655C1E6C" w14:textId="36CA7AF0" w:rsidR="00213AE5" w:rsidRDefault="00213AE5" w:rsidP="00213AE5">
      <w:pPr>
        <w:ind w:left="-567"/>
        <w:rPr>
          <w:rFonts w:asciiTheme="minorHAnsi" w:hAnsiTheme="minorHAnsi" w:cstheme="minorHAnsi"/>
          <w:b/>
          <w:sz w:val="22"/>
          <w:szCs w:val="22"/>
        </w:rPr>
      </w:pPr>
      <w:r w:rsidRPr="00FD6184">
        <w:rPr>
          <w:rFonts w:asciiTheme="minorHAnsi" w:hAnsiTheme="minorHAnsi" w:cstheme="minorHAnsi"/>
          <w:b/>
          <w:sz w:val="22"/>
          <w:szCs w:val="22"/>
        </w:rPr>
        <w:t>Purpose</w:t>
      </w:r>
    </w:p>
    <w:p w14:paraId="6FC71F34" w14:textId="6EE9BD2F" w:rsidR="00FD6184" w:rsidRPr="00FD6184" w:rsidRDefault="00FD6184" w:rsidP="00213AE5">
      <w:pPr>
        <w:ind w:left="-567"/>
        <w:rPr>
          <w:rFonts w:asciiTheme="minorHAnsi" w:hAnsiTheme="minorHAnsi" w:cstheme="minorHAnsi"/>
          <w:b/>
          <w:sz w:val="22"/>
          <w:szCs w:val="22"/>
        </w:rPr>
      </w:pPr>
    </w:p>
    <w:p w14:paraId="425A3C52" w14:textId="4955B694" w:rsidR="001B6CD1" w:rsidRDefault="001C7CA3" w:rsidP="00B21766">
      <w:pPr>
        <w:pStyle w:val="Pa1"/>
        <w:spacing w:after="160"/>
        <w:ind w:left="-567"/>
        <w:rPr>
          <w:rFonts w:asciiTheme="minorHAnsi" w:hAnsiTheme="minorHAnsi" w:cstheme="minorHAnsi"/>
          <w:sz w:val="22"/>
          <w:szCs w:val="22"/>
        </w:rPr>
      </w:pPr>
      <w:r>
        <w:rPr>
          <w:noProof/>
        </w:rPr>
        <w:drawing>
          <wp:anchor distT="0" distB="0" distL="114300" distR="114300" simplePos="0" relativeHeight="251659264" behindDoc="0" locked="0" layoutInCell="1" allowOverlap="1" wp14:anchorId="28E9E652" wp14:editId="0215C585">
            <wp:simplePos x="0" y="0"/>
            <wp:positionH relativeFrom="column">
              <wp:posOffset>859155</wp:posOffset>
            </wp:positionH>
            <wp:positionV relativeFrom="paragraph">
              <wp:posOffset>996949</wp:posOffset>
            </wp:positionV>
            <wp:extent cx="3590925" cy="4277997"/>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595090" cy="4282959"/>
                    </a:xfrm>
                    <a:prstGeom prst="rect">
                      <a:avLst/>
                    </a:prstGeom>
                  </pic:spPr>
                </pic:pic>
              </a:graphicData>
            </a:graphic>
            <wp14:sizeRelH relativeFrom="margin">
              <wp14:pctWidth>0</wp14:pctWidth>
            </wp14:sizeRelH>
            <wp14:sizeRelV relativeFrom="margin">
              <wp14:pctHeight>0</wp14:pctHeight>
            </wp14:sizeRelV>
          </wp:anchor>
        </w:drawing>
      </w:r>
      <w:r w:rsidR="007467CD" w:rsidRPr="007467CD">
        <w:rPr>
          <w:rFonts w:asciiTheme="minorHAnsi" w:hAnsiTheme="minorHAnsi" w:cstheme="minorHAnsi"/>
          <w:sz w:val="22"/>
          <w:szCs w:val="22"/>
        </w:rPr>
        <w:t>An employer under the Ac</w:t>
      </w:r>
      <w:r w:rsidR="007467CD">
        <w:rPr>
          <w:rFonts w:asciiTheme="minorHAnsi" w:hAnsiTheme="minorHAnsi" w:cstheme="minorHAnsi"/>
          <w:sz w:val="22"/>
          <w:szCs w:val="22"/>
        </w:rPr>
        <w:t>t</w:t>
      </w:r>
      <w:r w:rsidR="007467CD" w:rsidRPr="007467CD">
        <w:rPr>
          <w:rFonts w:asciiTheme="minorHAnsi" w:hAnsiTheme="minorHAnsi" w:cstheme="minorHAnsi"/>
          <w:sz w:val="22"/>
          <w:szCs w:val="22"/>
        </w:rPr>
        <w:t xml:space="preserve"> has the responsibility and authority for providing rehabilitation and managing injured employees’ return to work.</w:t>
      </w:r>
      <w:r w:rsidR="00B21766">
        <w:rPr>
          <w:rFonts w:asciiTheme="minorHAnsi" w:hAnsiTheme="minorHAnsi" w:cstheme="minorHAnsi"/>
          <w:sz w:val="22"/>
          <w:szCs w:val="22"/>
        </w:rPr>
        <w:t xml:space="preserve"> </w:t>
      </w:r>
      <w:r w:rsidR="007467CD" w:rsidRPr="007467CD">
        <w:rPr>
          <w:rFonts w:asciiTheme="minorHAnsi" w:hAnsiTheme="minorHAnsi" w:cstheme="minorHAnsi"/>
          <w:sz w:val="22"/>
          <w:szCs w:val="22"/>
        </w:rPr>
        <w:t>Employers can refer an employee to a Comcare</w:t>
      </w:r>
      <w:r w:rsidR="007467CD">
        <w:rPr>
          <w:rFonts w:asciiTheme="minorHAnsi" w:hAnsiTheme="minorHAnsi" w:cstheme="minorHAnsi"/>
          <w:sz w:val="22"/>
          <w:szCs w:val="22"/>
        </w:rPr>
        <w:t xml:space="preserve"> </w:t>
      </w:r>
      <w:r w:rsidR="007467CD" w:rsidRPr="007467CD">
        <w:rPr>
          <w:rFonts w:asciiTheme="minorHAnsi" w:hAnsiTheme="minorHAnsi" w:cstheme="minorHAnsi"/>
          <w:sz w:val="22"/>
          <w:szCs w:val="22"/>
        </w:rPr>
        <w:t>approved</w:t>
      </w:r>
      <w:r w:rsidR="007467CD">
        <w:rPr>
          <w:rFonts w:asciiTheme="minorHAnsi" w:hAnsiTheme="minorHAnsi" w:cstheme="minorHAnsi"/>
          <w:sz w:val="22"/>
          <w:szCs w:val="22"/>
        </w:rPr>
        <w:t xml:space="preserve"> </w:t>
      </w:r>
      <w:r w:rsidR="007467CD" w:rsidRPr="007467CD">
        <w:rPr>
          <w:rFonts w:asciiTheme="minorHAnsi" w:hAnsiTheme="minorHAnsi" w:cstheme="minorHAnsi"/>
          <w:sz w:val="22"/>
          <w:szCs w:val="22"/>
        </w:rPr>
        <w:t>rehabilitation</w:t>
      </w:r>
      <w:r w:rsidR="007467CD">
        <w:rPr>
          <w:rFonts w:asciiTheme="minorHAnsi" w:hAnsiTheme="minorHAnsi" w:cstheme="minorHAnsi"/>
          <w:sz w:val="22"/>
          <w:szCs w:val="22"/>
        </w:rPr>
        <w:t xml:space="preserve"> program</w:t>
      </w:r>
      <w:r w:rsidR="007467CD" w:rsidRPr="007467CD">
        <w:rPr>
          <w:rFonts w:asciiTheme="minorHAnsi" w:hAnsiTheme="minorHAnsi" w:cstheme="minorHAnsi"/>
          <w:sz w:val="22"/>
          <w:szCs w:val="22"/>
        </w:rPr>
        <w:t xml:space="preserve"> provider to assist with the development and implementation of rehabilitation programs. Only</w:t>
      </w:r>
      <w:r w:rsidR="007467CD">
        <w:rPr>
          <w:rFonts w:asciiTheme="minorHAnsi" w:hAnsiTheme="minorHAnsi" w:cstheme="minorHAnsi"/>
          <w:sz w:val="22"/>
          <w:szCs w:val="22"/>
        </w:rPr>
        <w:t xml:space="preserve"> providers</w:t>
      </w:r>
      <w:r w:rsidR="007467CD" w:rsidRPr="007467CD">
        <w:rPr>
          <w:rFonts w:asciiTheme="minorHAnsi" w:hAnsiTheme="minorHAnsi" w:cstheme="minorHAnsi"/>
          <w:sz w:val="22"/>
          <w:szCs w:val="22"/>
        </w:rPr>
        <w:t xml:space="preserve"> approved by Comcare may be engaged to deliver services in the Comcare scheme.</w:t>
      </w:r>
    </w:p>
    <w:p w14:paraId="3048B8F3" w14:textId="1E0D498B" w:rsidR="001B6CD1" w:rsidRPr="005A70B8" w:rsidRDefault="000E799A" w:rsidP="001C7CA3">
      <w:pPr>
        <w:pStyle w:val="Pa1"/>
        <w:spacing w:after="160"/>
        <w:ind w:left="-567"/>
        <w:rPr>
          <w:rFonts w:asciiTheme="minorHAnsi" w:hAnsiTheme="minorHAnsi" w:cstheme="minorHAnsi"/>
          <w:sz w:val="22"/>
          <w:szCs w:val="22"/>
        </w:rPr>
      </w:pPr>
      <w:r w:rsidRPr="005A70B8">
        <w:rPr>
          <w:rFonts w:asciiTheme="minorHAnsi" w:hAnsiTheme="minorHAnsi" w:cstheme="minorHAnsi"/>
          <w:sz w:val="22"/>
          <w:szCs w:val="22"/>
        </w:rPr>
        <w:lastRenderedPageBreak/>
        <w:t>Comcare’s Workplace rehabilitation provider</w:t>
      </w:r>
      <w:r>
        <w:rPr>
          <w:rStyle w:val="FootnoteReference"/>
          <w:rFonts w:asciiTheme="minorHAnsi" w:hAnsiTheme="minorHAnsi" w:cstheme="minorHAnsi"/>
          <w:sz w:val="22"/>
          <w:szCs w:val="22"/>
        </w:rPr>
        <w:footnoteReference w:id="1"/>
      </w:r>
      <w:r w:rsidRPr="005A70B8">
        <w:rPr>
          <w:rFonts w:asciiTheme="minorHAnsi" w:hAnsiTheme="minorHAnsi" w:cstheme="minorHAnsi"/>
          <w:sz w:val="22"/>
          <w:szCs w:val="22"/>
        </w:rPr>
        <w:t xml:space="preserve"> approval </w:t>
      </w:r>
      <w:r>
        <w:rPr>
          <w:rFonts w:asciiTheme="minorHAnsi" w:hAnsiTheme="minorHAnsi" w:cstheme="minorHAnsi"/>
          <w:sz w:val="22"/>
          <w:szCs w:val="22"/>
        </w:rPr>
        <w:t xml:space="preserve">framework </w:t>
      </w:r>
      <w:r w:rsidRPr="000E799A">
        <w:rPr>
          <w:rFonts w:asciiTheme="minorHAnsi" w:hAnsiTheme="minorHAnsi" w:cstheme="minorHAnsi"/>
          <w:sz w:val="22"/>
          <w:szCs w:val="22"/>
        </w:rPr>
        <w:t>is outcomes focussed and promotes an individualised approach to rehabilitation case management reducing unnecessary administrative burden for rehabilitation program providers.</w:t>
      </w:r>
    </w:p>
    <w:p w14:paraId="23FA99C2" w14:textId="1B7D1DC1" w:rsidR="005A70B8" w:rsidRDefault="001B6CD1" w:rsidP="0007222B">
      <w:pPr>
        <w:pStyle w:val="Pa1"/>
        <w:spacing w:after="160"/>
        <w:ind w:left="-567"/>
        <w:rPr>
          <w:rFonts w:asciiTheme="minorHAnsi" w:hAnsiTheme="minorHAnsi" w:cstheme="minorHAnsi"/>
          <w:sz w:val="22"/>
          <w:szCs w:val="22"/>
        </w:rPr>
      </w:pPr>
      <w:r w:rsidRPr="001B6CD1">
        <w:rPr>
          <w:rFonts w:asciiTheme="minorHAnsi" w:hAnsiTheme="minorHAnsi" w:cstheme="minorHAnsi"/>
          <w:sz w:val="22"/>
          <w:szCs w:val="22"/>
        </w:rPr>
        <w:t>Th</w:t>
      </w:r>
      <w:r w:rsidR="005A70B8">
        <w:rPr>
          <w:rFonts w:asciiTheme="minorHAnsi" w:hAnsiTheme="minorHAnsi" w:cstheme="minorHAnsi"/>
          <w:sz w:val="22"/>
          <w:szCs w:val="22"/>
        </w:rPr>
        <w:t xml:space="preserve">e </w:t>
      </w:r>
      <w:r w:rsidR="008A652C">
        <w:rPr>
          <w:rFonts w:asciiTheme="minorHAnsi" w:hAnsiTheme="minorHAnsi" w:cstheme="minorHAnsi"/>
          <w:sz w:val="22"/>
          <w:szCs w:val="22"/>
        </w:rPr>
        <w:t>Criteria</w:t>
      </w:r>
      <w:r w:rsidR="00FB37AC">
        <w:rPr>
          <w:rFonts w:asciiTheme="minorHAnsi" w:hAnsiTheme="minorHAnsi" w:cstheme="minorHAnsi"/>
          <w:sz w:val="22"/>
          <w:szCs w:val="22"/>
        </w:rPr>
        <w:t xml:space="preserve"> </w:t>
      </w:r>
      <w:r w:rsidR="006D19AC">
        <w:rPr>
          <w:rFonts w:asciiTheme="minorHAnsi" w:hAnsiTheme="minorHAnsi" w:cstheme="minorHAnsi"/>
          <w:sz w:val="22"/>
          <w:szCs w:val="22"/>
        </w:rPr>
        <w:t xml:space="preserve">under section 34D </w:t>
      </w:r>
      <w:r w:rsidR="00630E6A" w:rsidRPr="002F4121">
        <w:rPr>
          <w:rFonts w:asciiTheme="minorHAnsi" w:hAnsiTheme="minorHAnsi" w:cstheme="minorHAnsi"/>
          <w:i/>
          <w:sz w:val="22"/>
          <w:szCs w:val="22"/>
        </w:rPr>
        <w:t xml:space="preserve">Safety, Rehabilitation and Compensation Act </w:t>
      </w:r>
      <w:r w:rsidR="00AE0356">
        <w:rPr>
          <w:rFonts w:asciiTheme="minorHAnsi" w:hAnsiTheme="minorHAnsi" w:cstheme="minorHAnsi"/>
          <w:i/>
          <w:sz w:val="22"/>
          <w:szCs w:val="22"/>
        </w:rPr>
        <w:t>(</w:t>
      </w:r>
      <w:r w:rsidR="00630E6A" w:rsidRPr="002F4121">
        <w:rPr>
          <w:rFonts w:asciiTheme="minorHAnsi" w:hAnsiTheme="minorHAnsi" w:cstheme="minorHAnsi"/>
          <w:i/>
          <w:sz w:val="22"/>
          <w:szCs w:val="22"/>
        </w:rPr>
        <w:t xml:space="preserve">Criterial for Approval and Renewal of Rehabilitation Program </w:t>
      </w:r>
      <w:r w:rsidR="00AC5B8A" w:rsidRPr="002F4121">
        <w:rPr>
          <w:rFonts w:asciiTheme="minorHAnsi" w:hAnsiTheme="minorHAnsi" w:cstheme="minorHAnsi"/>
          <w:i/>
          <w:sz w:val="22"/>
          <w:szCs w:val="22"/>
        </w:rPr>
        <w:t>Providers) Determination 20</w:t>
      </w:r>
      <w:r w:rsidR="00FB37AC" w:rsidRPr="00AE0356">
        <w:rPr>
          <w:rFonts w:asciiTheme="minorHAnsi" w:hAnsiTheme="minorHAnsi" w:cstheme="minorHAnsi"/>
          <w:i/>
          <w:sz w:val="22"/>
          <w:szCs w:val="22"/>
        </w:rPr>
        <w:t>20</w:t>
      </w:r>
      <w:r w:rsidR="005A70B8">
        <w:rPr>
          <w:rFonts w:asciiTheme="minorHAnsi" w:hAnsiTheme="minorHAnsi" w:cstheme="minorHAnsi"/>
          <w:sz w:val="22"/>
          <w:szCs w:val="22"/>
        </w:rPr>
        <w:t xml:space="preserve"> are</w:t>
      </w:r>
      <w:r w:rsidRPr="001B6CD1">
        <w:rPr>
          <w:rFonts w:asciiTheme="minorHAnsi" w:hAnsiTheme="minorHAnsi" w:cstheme="minorHAnsi"/>
          <w:sz w:val="22"/>
          <w:szCs w:val="22"/>
        </w:rPr>
        <w:t xml:space="preserve"> the mandatory requirements under which </w:t>
      </w:r>
      <w:r w:rsidR="008A652C">
        <w:rPr>
          <w:rFonts w:asciiTheme="minorHAnsi" w:hAnsiTheme="minorHAnsi" w:cstheme="minorHAnsi"/>
          <w:sz w:val="22"/>
          <w:szCs w:val="22"/>
        </w:rPr>
        <w:t>rehabilitation program providers</w:t>
      </w:r>
      <w:r w:rsidR="008A652C" w:rsidRPr="001B6CD1">
        <w:rPr>
          <w:rFonts w:asciiTheme="minorHAnsi" w:hAnsiTheme="minorHAnsi" w:cstheme="minorHAnsi"/>
          <w:sz w:val="22"/>
          <w:szCs w:val="22"/>
        </w:rPr>
        <w:t xml:space="preserve"> </w:t>
      </w:r>
      <w:r w:rsidRPr="001B6CD1">
        <w:rPr>
          <w:rFonts w:asciiTheme="minorHAnsi" w:hAnsiTheme="minorHAnsi" w:cstheme="minorHAnsi"/>
          <w:sz w:val="22"/>
          <w:szCs w:val="22"/>
        </w:rPr>
        <w:t>are assessed for initial approval and renewal of appro</w:t>
      </w:r>
      <w:bookmarkStart w:id="0" w:name="_GoBack"/>
      <w:bookmarkEnd w:id="0"/>
      <w:r w:rsidRPr="001B6CD1">
        <w:rPr>
          <w:rFonts w:asciiTheme="minorHAnsi" w:hAnsiTheme="minorHAnsi" w:cstheme="minorHAnsi"/>
          <w:sz w:val="22"/>
          <w:szCs w:val="22"/>
        </w:rPr>
        <w:t xml:space="preserve">val by Comcare to operate within the scheme. </w:t>
      </w:r>
    </w:p>
    <w:p w14:paraId="62D8E3BF" w14:textId="65CE0965" w:rsidR="002F4121" w:rsidRDefault="001C5BD7" w:rsidP="002F4121">
      <w:pPr>
        <w:pStyle w:val="Pa1"/>
        <w:spacing w:after="160"/>
        <w:ind w:left="-567"/>
        <w:rPr>
          <w:rFonts w:asciiTheme="minorHAnsi" w:hAnsiTheme="minorHAnsi" w:cstheme="minorHAnsi"/>
          <w:sz w:val="22"/>
          <w:szCs w:val="22"/>
        </w:rPr>
      </w:pPr>
      <w:r w:rsidRPr="005A70B8">
        <w:rPr>
          <w:rFonts w:asciiTheme="minorHAnsi" w:hAnsiTheme="minorHAnsi" w:cstheme="minorHAnsi"/>
          <w:sz w:val="22"/>
          <w:szCs w:val="22"/>
        </w:rPr>
        <w:t>Comcare is</w:t>
      </w:r>
      <w:r>
        <w:rPr>
          <w:rFonts w:asciiTheme="minorHAnsi" w:hAnsiTheme="minorHAnsi" w:cstheme="minorHAnsi"/>
          <w:sz w:val="22"/>
          <w:szCs w:val="22"/>
        </w:rPr>
        <w:t xml:space="preserve"> also</w:t>
      </w:r>
      <w:r w:rsidRPr="005A70B8">
        <w:rPr>
          <w:rFonts w:asciiTheme="minorHAnsi" w:hAnsiTheme="minorHAnsi" w:cstheme="minorHAnsi"/>
          <w:sz w:val="22"/>
          <w:szCs w:val="22"/>
        </w:rPr>
        <w:t xml:space="preserve"> required under section 34</w:t>
      </w:r>
      <w:r w:rsidR="002F4121">
        <w:rPr>
          <w:rFonts w:asciiTheme="minorHAnsi" w:hAnsiTheme="minorHAnsi" w:cstheme="minorHAnsi"/>
          <w:sz w:val="22"/>
          <w:szCs w:val="22"/>
        </w:rPr>
        <w:t>E</w:t>
      </w:r>
      <w:r w:rsidRPr="005A70B8">
        <w:rPr>
          <w:rFonts w:asciiTheme="minorHAnsi" w:hAnsiTheme="minorHAnsi" w:cstheme="minorHAnsi"/>
          <w:sz w:val="22"/>
          <w:szCs w:val="22"/>
        </w:rPr>
        <w:t xml:space="preserve"> of the Act to set </w:t>
      </w:r>
      <w:r w:rsidRPr="001C5BD7">
        <w:rPr>
          <w:rFonts w:asciiTheme="minorHAnsi" w:hAnsiTheme="minorHAnsi" w:cstheme="minorHAnsi"/>
          <w:sz w:val="22"/>
          <w:szCs w:val="22"/>
        </w:rPr>
        <w:t xml:space="preserve">out the minimum standards to be achieved by </w:t>
      </w:r>
      <w:r w:rsidR="002F4121">
        <w:rPr>
          <w:rFonts w:asciiTheme="minorHAnsi" w:hAnsiTheme="minorHAnsi" w:cstheme="minorHAnsi"/>
          <w:sz w:val="22"/>
          <w:szCs w:val="22"/>
        </w:rPr>
        <w:t>approved rehabilitation program providers</w:t>
      </w:r>
      <w:r w:rsidRPr="001C5BD7">
        <w:rPr>
          <w:rFonts w:asciiTheme="minorHAnsi" w:hAnsiTheme="minorHAnsi" w:cstheme="minorHAnsi"/>
          <w:sz w:val="22"/>
          <w:szCs w:val="22"/>
        </w:rPr>
        <w:t xml:space="preserve"> throughout the approval period. </w:t>
      </w:r>
      <w:r w:rsidR="008A652C">
        <w:rPr>
          <w:rFonts w:asciiTheme="minorHAnsi" w:hAnsiTheme="minorHAnsi" w:cstheme="minorHAnsi"/>
          <w:sz w:val="22"/>
          <w:szCs w:val="22"/>
        </w:rPr>
        <w:t xml:space="preserve">This instrument sets those minimum operational standards </w:t>
      </w:r>
      <w:r w:rsidR="00AE0356">
        <w:rPr>
          <w:rFonts w:asciiTheme="minorHAnsi" w:hAnsiTheme="minorHAnsi" w:cstheme="minorHAnsi"/>
          <w:sz w:val="22"/>
          <w:szCs w:val="22"/>
        </w:rPr>
        <w:t>that</w:t>
      </w:r>
      <w:r w:rsidR="008A652C">
        <w:rPr>
          <w:rFonts w:asciiTheme="minorHAnsi" w:hAnsiTheme="minorHAnsi" w:cstheme="minorHAnsi"/>
          <w:sz w:val="22"/>
          <w:szCs w:val="22"/>
        </w:rPr>
        <w:t xml:space="preserve"> </w:t>
      </w:r>
      <w:r w:rsidRPr="001C5BD7">
        <w:rPr>
          <w:rFonts w:asciiTheme="minorHAnsi" w:hAnsiTheme="minorHAnsi" w:cstheme="minorHAnsi"/>
          <w:sz w:val="22"/>
          <w:szCs w:val="22"/>
        </w:rPr>
        <w:t xml:space="preserve">relate to the effectiveness, availability and cost of service delivery. </w:t>
      </w:r>
    </w:p>
    <w:p w14:paraId="735B5AF2" w14:textId="0AE23BFD" w:rsidR="006D19AC" w:rsidRDefault="00213AE5" w:rsidP="002F4121">
      <w:pPr>
        <w:pStyle w:val="Pa1"/>
        <w:spacing w:after="160"/>
        <w:ind w:left="-567"/>
        <w:rPr>
          <w:rFonts w:asciiTheme="minorHAnsi" w:hAnsiTheme="minorHAnsi" w:cstheme="minorHAnsi"/>
          <w:sz w:val="22"/>
          <w:szCs w:val="22"/>
        </w:rPr>
      </w:pPr>
      <w:r w:rsidRPr="00FD6184">
        <w:rPr>
          <w:rFonts w:asciiTheme="minorHAnsi" w:hAnsiTheme="minorHAnsi" w:cstheme="minorHAnsi"/>
          <w:sz w:val="22"/>
          <w:szCs w:val="22"/>
        </w:rPr>
        <w:t>T</w:t>
      </w:r>
      <w:r w:rsidR="006D19AC">
        <w:rPr>
          <w:rFonts w:asciiTheme="minorHAnsi" w:hAnsiTheme="minorHAnsi" w:cstheme="minorHAnsi"/>
          <w:sz w:val="22"/>
          <w:szCs w:val="22"/>
        </w:rPr>
        <w:t>he Operational Standards</w:t>
      </w:r>
      <w:r w:rsidR="00D94086">
        <w:rPr>
          <w:rFonts w:asciiTheme="minorHAnsi" w:hAnsiTheme="minorHAnsi" w:cstheme="minorHAnsi"/>
          <w:sz w:val="22"/>
          <w:szCs w:val="22"/>
        </w:rPr>
        <w:t xml:space="preserve"> </w:t>
      </w:r>
      <w:r w:rsidR="006D19AC">
        <w:rPr>
          <w:rFonts w:asciiTheme="minorHAnsi" w:hAnsiTheme="minorHAnsi" w:cstheme="minorHAnsi"/>
          <w:sz w:val="22"/>
          <w:szCs w:val="22"/>
        </w:rPr>
        <w:t>are</w:t>
      </w:r>
      <w:r w:rsidRPr="00FD6184">
        <w:rPr>
          <w:rFonts w:asciiTheme="minorHAnsi" w:hAnsiTheme="minorHAnsi" w:cstheme="minorHAnsi"/>
          <w:sz w:val="22"/>
          <w:szCs w:val="22"/>
        </w:rPr>
        <w:t xml:space="preserve"> a legislative instrument for the purposes of the </w:t>
      </w:r>
      <w:r w:rsidRPr="002F4121">
        <w:rPr>
          <w:rFonts w:asciiTheme="minorHAnsi" w:hAnsiTheme="minorHAnsi" w:cstheme="minorHAnsi"/>
          <w:i/>
          <w:sz w:val="22"/>
          <w:szCs w:val="22"/>
        </w:rPr>
        <w:t>Legislation Act 2003</w:t>
      </w:r>
      <w:r w:rsidRPr="002F4121">
        <w:rPr>
          <w:rFonts w:asciiTheme="minorHAnsi" w:hAnsiTheme="minorHAnsi" w:cstheme="minorHAnsi"/>
          <w:sz w:val="22"/>
          <w:szCs w:val="22"/>
        </w:rPr>
        <w:t xml:space="preserve"> </w:t>
      </w:r>
      <w:r w:rsidRPr="00FD6184">
        <w:rPr>
          <w:rFonts w:asciiTheme="minorHAnsi" w:hAnsiTheme="minorHAnsi" w:cstheme="minorHAnsi"/>
          <w:sz w:val="22"/>
          <w:szCs w:val="22"/>
        </w:rPr>
        <w:t>(</w:t>
      </w:r>
      <w:r w:rsidRPr="002F4121">
        <w:rPr>
          <w:rFonts w:asciiTheme="minorHAnsi" w:hAnsiTheme="minorHAnsi" w:cstheme="minorHAnsi"/>
          <w:b/>
          <w:sz w:val="22"/>
          <w:szCs w:val="22"/>
        </w:rPr>
        <w:t>the LA</w:t>
      </w:r>
      <w:r w:rsidRPr="00FD6184">
        <w:rPr>
          <w:rFonts w:asciiTheme="minorHAnsi" w:hAnsiTheme="minorHAnsi" w:cstheme="minorHAnsi"/>
          <w:sz w:val="22"/>
          <w:szCs w:val="22"/>
        </w:rPr>
        <w:t>).</w:t>
      </w:r>
    </w:p>
    <w:p w14:paraId="1A8ECE71" w14:textId="5D286FF1" w:rsidR="00213AE5" w:rsidRDefault="00213AE5" w:rsidP="00213AE5">
      <w:pPr>
        <w:ind w:left="-567"/>
        <w:rPr>
          <w:rFonts w:asciiTheme="minorHAnsi" w:hAnsiTheme="minorHAnsi" w:cstheme="minorHAnsi"/>
          <w:sz w:val="22"/>
          <w:szCs w:val="22"/>
        </w:rPr>
      </w:pPr>
      <w:r w:rsidRPr="00FD6184">
        <w:rPr>
          <w:rFonts w:asciiTheme="minorHAnsi" w:hAnsiTheme="minorHAnsi" w:cstheme="minorHAnsi"/>
          <w:sz w:val="22"/>
          <w:szCs w:val="22"/>
        </w:rPr>
        <w:t xml:space="preserve">Details of the provisions of the instrument are in Attachment A. </w:t>
      </w:r>
    </w:p>
    <w:p w14:paraId="088D51F1" w14:textId="55930D0F" w:rsidR="00FD6184" w:rsidRPr="00FD6184" w:rsidRDefault="00FD6184" w:rsidP="00213AE5">
      <w:pPr>
        <w:ind w:left="-567"/>
        <w:rPr>
          <w:rFonts w:asciiTheme="minorHAnsi" w:hAnsiTheme="minorHAnsi" w:cstheme="minorHAnsi"/>
          <w:sz w:val="22"/>
          <w:szCs w:val="22"/>
        </w:rPr>
      </w:pPr>
    </w:p>
    <w:p w14:paraId="73928543" w14:textId="1C7DF5BD" w:rsidR="00213AE5" w:rsidRDefault="00213AE5" w:rsidP="00213AE5">
      <w:pPr>
        <w:ind w:left="-567"/>
        <w:rPr>
          <w:rFonts w:asciiTheme="minorHAnsi" w:hAnsiTheme="minorHAnsi" w:cstheme="minorHAnsi"/>
          <w:b/>
          <w:sz w:val="22"/>
          <w:szCs w:val="22"/>
        </w:rPr>
      </w:pPr>
      <w:r w:rsidRPr="00FD6184">
        <w:rPr>
          <w:rFonts w:asciiTheme="minorHAnsi" w:hAnsiTheme="minorHAnsi" w:cstheme="minorHAnsi"/>
          <w:b/>
          <w:sz w:val="22"/>
          <w:szCs w:val="22"/>
        </w:rPr>
        <w:t>Consultation</w:t>
      </w:r>
    </w:p>
    <w:p w14:paraId="3657BB4B" w14:textId="0DE550D6" w:rsidR="00FD6184" w:rsidRPr="00FD6184" w:rsidRDefault="00FD6184" w:rsidP="00213AE5">
      <w:pPr>
        <w:ind w:left="-567"/>
        <w:rPr>
          <w:rFonts w:asciiTheme="minorHAnsi" w:hAnsiTheme="minorHAnsi" w:cstheme="minorHAnsi"/>
          <w:b/>
          <w:sz w:val="22"/>
          <w:szCs w:val="22"/>
        </w:rPr>
      </w:pPr>
    </w:p>
    <w:p w14:paraId="570F4EBA" w14:textId="4D7F516E" w:rsidR="00213AE5" w:rsidRDefault="00213AE5" w:rsidP="00213AE5">
      <w:pPr>
        <w:ind w:left="-567"/>
        <w:rPr>
          <w:rFonts w:asciiTheme="minorHAnsi" w:hAnsiTheme="minorHAnsi" w:cstheme="minorHAnsi"/>
          <w:sz w:val="22"/>
          <w:szCs w:val="22"/>
        </w:rPr>
      </w:pPr>
      <w:r w:rsidRPr="00FD6184">
        <w:rPr>
          <w:rFonts w:asciiTheme="minorHAnsi" w:hAnsiTheme="minorHAnsi" w:cstheme="minorHAnsi"/>
          <w:sz w:val="22"/>
          <w:szCs w:val="22"/>
        </w:rPr>
        <w:t xml:space="preserve">Before the instrument was made, Comcare was satisfied that consultation was undertaken to the extent appropriate and reasonably practicable, in accordance with section 17 of the LA. </w:t>
      </w:r>
    </w:p>
    <w:p w14:paraId="78BB87B9" w14:textId="31717878" w:rsidR="00FD6184" w:rsidRPr="00FD6184" w:rsidRDefault="00FD6184" w:rsidP="00213AE5">
      <w:pPr>
        <w:ind w:left="-567"/>
        <w:rPr>
          <w:rFonts w:asciiTheme="minorHAnsi" w:hAnsiTheme="minorHAnsi" w:cstheme="minorHAnsi"/>
          <w:sz w:val="22"/>
          <w:szCs w:val="22"/>
        </w:rPr>
      </w:pPr>
    </w:p>
    <w:p w14:paraId="1D5A5745" w14:textId="1AD6E5BF" w:rsidR="002C55A2" w:rsidRPr="002C55A2" w:rsidRDefault="00213AE5" w:rsidP="002C55A2">
      <w:pPr>
        <w:ind w:left="-567"/>
        <w:rPr>
          <w:rFonts w:asciiTheme="minorHAnsi" w:hAnsiTheme="minorHAnsi" w:cstheme="minorHAnsi"/>
          <w:sz w:val="22"/>
          <w:szCs w:val="22"/>
        </w:rPr>
      </w:pPr>
      <w:r w:rsidRPr="00FD6184">
        <w:rPr>
          <w:rFonts w:asciiTheme="minorHAnsi" w:hAnsiTheme="minorHAnsi" w:cstheme="minorHAnsi"/>
          <w:sz w:val="22"/>
          <w:szCs w:val="22"/>
        </w:rPr>
        <w:t xml:space="preserve">On </w:t>
      </w:r>
      <w:r w:rsidR="002C55A2">
        <w:rPr>
          <w:rFonts w:asciiTheme="minorHAnsi" w:hAnsiTheme="minorHAnsi" w:cstheme="minorHAnsi"/>
          <w:sz w:val="22"/>
          <w:szCs w:val="22"/>
        </w:rPr>
        <w:t xml:space="preserve">1 August </w:t>
      </w:r>
      <w:r w:rsidRPr="00FD6184">
        <w:rPr>
          <w:rFonts w:asciiTheme="minorHAnsi" w:hAnsiTheme="minorHAnsi" w:cstheme="minorHAnsi"/>
          <w:sz w:val="22"/>
          <w:szCs w:val="22"/>
        </w:rPr>
        <w:t>201</w:t>
      </w:r>
      <w:r w:rsidR="002B4EBD">
        <w:rPr>
          <w:rFonts w:asciiTheme="minorHAnsi" w:hAnsiTheme="minorHAnsi" w:cstheme="minorHAnsi"/>
          <w:sz w:val="22"/>
          <w:szCs w:val="22"/>
        </w:rPr>
        <w:t>9</w:t>
      </w:r>
      <w:r w:rsidRPr="00FD6184">
        <w:rPr>
          <w:rFonts w:asciiTheme="minorHAnsi" w:hAnsiTheme="minorHAnsi" w:cstheme="minorHAnsi"/>
          <w:sz w:val="22"/>
          <w:szCs w:val="22"/>
        </w:rPr>
        <w:t xml:space="preserve">, Comcare published a draft of the </w:t>
      </w:r>
      <w:r w:rsidR="002F4121">
        <w:rPr>
          <w:rFonts w:asciiTheme="minorHAnsi" w:hAnsiTheme="minorHAnsi" w:cstheme="minorHAnsi"/>
          <w:sz w:val="22"/>
          <w:szCs w:val="22"/>
        </w:rPr>
        <w:t>Operational Standards</w:t>
      </w:r>
      <w:r w:rsidRPr="00FD6184">
        <w:rPr>
          <w:rFonts w:asciiTheme="minorHAnsi" w:hAnsiTheme="minorHAnsi" w:cstheme="minorHAnsi"/>
          <w:sz w:val="22"/>
          <w:szCs w:val="22"/>
        </w:rPr>
        <w:t>, together with</w:t>
      </w:r>
      <w:r w:rsidR="002C55A2">
        <w:rPr>
          <w:rFonts w:asciiTheme="minorHAnsi" w:hAnsiTheme="minorHAnsi" w:cstheme="minorHAnsi"/>
          <w:sz w:val="22"/>
          <w:szCs w:val="22"/>
        </w:rPr>
        <w:t xml:space="preserve"> the draft </w:t>
      </w:r>
      <w:r w:rsidR="002F4121">
        <w:rPr>
          <w:rFonts w:asciiTheme="minorHAnsi" w:hAnsiTheme="minorHAnsi" w:cstheme="minorHAnsi"/>
          <w:sz w:val="22"/>
          <w:szCs w:val="22"/>
        </w:rPr>
        <w:t>Criteria</w:t>
      </w:r>
      <w:r w:rsidR="002C55A2">
        <w:rPr>
          <w:rFonts w:asciiTheme="minorHAnsi" w:hAnsiTheme="minorHAnsi" w:cstheme="minorHAnsi"/>
          <w:sz w:val="22"/>
          <w:szCs w:val="22"/>
        </w:rPr>
        <w:t>, draft Conditions of Approval and</w:t>
      </w:r>
      <w:r w:rsidRPr="00FD6184">
        <w:rPr>
          <w:rFonts w:asciiTheme="minorHAnsi" w:hAnsiTheme="minorHAnsi" w:cstheme="minorHAnsi"/>
          <w:sz w:val="22"/>
          <w:szCs w:val="22"/>
        </w:rPr>
        <w:t xml:space="preserve"> an accompanying guidance note, on its website. </w:t>
      </w:r>
      <w:r w:rsidR="002F4121">
        <w:rPr>
          <w:rFonts w:asciiTheme="minorHAnsi" w:hAnsiTheme="minorHAnsi" w:cstheme="minorHAnsi"/>
          <w:sz w:val="22"/>
          <w:szCs w:val="22"/>
        </w:rPr>
        <w:t>K</w:t>
      </w:r>
      <w:r w:rsidRPr="00FD6184">
        <w:rPr>
          <w:rFonts w:asciiTheme="minorHAnsi" w:hAnsiTheme="minorHAnsi" w:cstheme="minorHAnsi"/>
          <w:sz w:val="22"/>
          <w:szCs w:val="22"/>
        </w:rPr>
        <w:t>ey stakeholders</w:t>
      </w:r>
      <w:r w:rsidR="002F4121">
        <w:rPr>
          <w:rFonts w:asciiTheme="minorHAnsi" w:hAnsiTheme="minorHAnsi" w:cstheme="minorHAnsi"/>
          <w:sz w:val="22"/>
          <w:szCs w:val="22"/>
        </w:rPr>
        <w:t xml:space="preserve"> were invited to provide comment including</w:t>
      </w:r>
      <w:r w:rsidRPr="00FD6184">
        <w:rPr>
          <w:rFonts w:asciiTheme="minorHAnsi" w:hAnsiTheme="minorHAnsi" w:cstheme="minorHAnsi"/>
          <w:sz w:val="22"/>
          <w:szCs w:val="22"/>
        </w:rPr>
        <w:t xml:space="preserve"> </w:t>
      </w:r>
      <w:r w:rsidR="002C55A2">
        <w:rPr>
          <w:rFonts w:asciiTheme="minorHAnsi" w:hAnsiTheme="minorHAnsi" w:cstheme="minorHAnsi"/>
          <w:sz w:val="22"/>
          <w:szCs w:val="22"/>
        </w:rPr>
        <w:t>Comcare approved Workplace Rehabilitation Providers, the Australian Rehabilitation Providers</w:t>
      </w:r>
      <w:r w:rsidR="002C55A2" w:rsidRPr="002C55A2">
        <w:rPr>
          <w:rFonts w:asciiTheme="minorHAnsi" w:hAnsiTheme="minorHAnsi" w:cstheme="minorHAnsi"/>
          <w:sz w:val="22"/>
          <w:szCs w:val="22"/>
        </w:rPr>
        <w:t xml:space="preserve"> Association, Rehabilitation Authorities (Australian Government Agencies and Licensees) and the Australian Council of Trade Unions. </w:t>
      </w:r>
    </w:p>
    <w:p w14:paraId="7CFD8E07" w14:textId="1674E3F8" w:rsidR="00FD6184" w:rsidRPr="00FD6184" w:rsidRDefault="00FD6184" w:rsidP="00213AE5">
      <w:pPr>
        <w:ind w:left="-567"/>
        <w:rPr>
          <w:rFonts w:asciiTheme="minorHAnsi" w:hAnsiTheme="minorHAnsi" w:cstheme="minorHAnsi"/>
          <w:sz w:val="22"/>
          <w:szCs w:val="22"/>
        </w:rPr>
      </w:pPr>
    </w:p>
    <w:p w14:paraId="0E2E6CB1" w14:textId="79C7F664" w:rsidR="00D540C6" w:rsidRPr="00D540C6" w:rsidRDefault="00213AE5" w:rsidP="00D540C6">
      <w:pPr>
        <w:ind w:left="-567"/>
        <w:rPr>
          <w:rFonts w:asciiTheme="minorHAnsi" w:hAnsiTheme="minorHAnsi" w:cstheme="minorHAnsi"/>
          <w:sz w:val="22"/>
          <w:szCs w:val="22"/>
        </w:rPr>
      </w:pPr>
      <w:r w:rsidRPr="00FD6184">
        <w:rPr>
          <w:rFonts w:asciiTheme="minorHAnsi" w:hAnsiTheme="minorHAnsi" w:cstheme="minorHAnsi"/>
          <w:sz w:val="22"/>
          <w:szCs w:val="22"/>
        </w:rPr>
        <w:t xml:space="preserve">Consultation closed on </w:t>
      </w:r>
      <w:r w:rsidR="002C55A2">
        <w:rPr>
          <w:rFonts w:asciiTheme="minorHAnsi" w:hAnsiTheme="minorHAnsi" w:cstheme="minorHAnsi"/>
          <w:sz w:val="22"/>
          <w:szCs w:val="22"/>
        </w:rPr>
        <w:t>19 August</w:t>
      </w:r>
      <w:r w:rsidRPr="00FD6184">
        <w:rPr>
          <w:rFonts w:asciiTheme="minorHAnsi" w:hAnsiTheme="minorHAnsi" w:cstheme="minorHAnsi"/>
          <w:sz w:val="22"/>
          <w:szCs w:val="22"/>
        </w:rPr>
        <w:t xml:space="preserve"> 2019 and Comcare received</w:t>
      </w:r>
      <w:r w:rsidR="00D540C6" w:rsidRPr="00D540C6">
        <w:rPr>
          <w:rFonts w:asciiTheme="minorHAnsi" w:hAnsiTheme="minorHAnsi" w:cstheme="minorHAnsi"/>
          <w:sz w:val="22"/>
          <w:szCs w:val="22"/>
        </w:rPr>
        <w:t xml:space="preserve"> 6 responses that affirmed the approach taken with the revision of the instruments. The responses will also be used as an input to the supporting information published on the Criteria and Operational Standards. </w:t>
      </w:r>
    </w:p>
    <w:p w14:paraId="496408D3" w14:textId="3307C201" w:rsidR="00FD6184" w:rsidRPr="00FD6184" w:rsidRDefault="00FD6184" w:rsidP="00213AE5">
      <w:pPr>
        <w:ind w:left="-567"/>
        <w:rPr>
          <w:rFonts w:asciiTheme="minorHAnsi" w:hAnsiTheme="minorHAnsi" w:cstheme="minorHAnsi"/>
          <w:sz w:val="22"/>
          <w:szCs w:val="22"/>
        </w:rPr>
      </w:pPr>
    </w:p>
    <w:p w14:paraId="4C960AA5" w14:textId="5C611B4F" w:rsidR="00213AE5" w:rsidRDefault="00213AE5" w:rsidP="00213AE5">
      <w:pPr>
        <w:ind w:left="-567"/>
        <w:rPr>
          <w:rFonts w:asciiTheme="minorHAnsi" w:hAnsiTheme="minorHAnsi" w:cstheme="minorHAnsi"/>
          <w:b/>
          <w:sz w:val="22"/>
          <w:szCs w:val="22"/>
        </w:rPr>
      </w:pPr>
      <w:r w:rsidRPr="00FD6184">
        <w:rPr>
          <w:rFonts w:asciiTheme="minorHAnsi" w:hAnsiTheme="minorHAnsi" w:cstheme="minorHAnsi"/>
          <w:b/>
          <w:sz w:val="22"/>
          <w:szCs w:val="22"/>
        </w:rPr>
        <w:t>Regulatory Impact Assessment</w:t>
      </w:r>
    </w:p>
    <w:p w14:paraId="0541B6AF" w14:textId="77777777" w:rsidR="00FD6184" w:rsidRPr="00FD6184" w:rsidRDefault="00FD6184" w:rsidP="00213AE5">
      <w:pPr>
        <w:ind w:left="-567"/>
        <w:rPr>
          <w:rFonts w:asciiTheme="minorHAnsi" w:hAnsiTheme="minorHAnsi" w:cstheme="minorHAnsi"/>
          <w:b/>
          <w:sz w:val="22"/>
          <w:szCs w:val="22"/>
        </w:rPr>
      </w:pPr>
    </w:p>
    <w:p w14:paraId="3323278C" w14:textId="4C2C24B3" w:rsidR="00213AE5" w:rsidRDefault="00213AE5" w:rsidP="00213AE5">
      <w:pPr>
        <w:pStyle w:val="Default"/>
        <w:ind w:left="-567"/>
        <w:rPr>
          <w:rFonts w:asciiTheme="minorHAnsi" w:hAnsiTheme="minorHAnsi" w:cstheme="minorHAnsi"/>
          <w:color w:val="auto"/>
          <w:sz w:val="22"/>
          <w:szCs w:val="22"/>
        </w:rPr>
      </w:pPr>
      <w:r w:rsidRPr="00FD6184">
        <w:rPr>
          <w:rFonts w:asciiTheme="minorHAnsi" w:hAnsiTheme="minorHAnsi" w:cstheme="minorHAnsi"/>
          <w:color w:val="auto"/>
          <w:sz w:val="22"/>
          <w:szCs w:val="22"/>
        </w:rPr>
        <w:t>The Office of Better Practice Regulation advised that this instrument does not require a Regulatory Impact Statement (RIS) (OBPR ID number</w:t>
      </w:r>
      <w:r w:rsidR="00E56370">
        <w:rPr>
          <w:rFonts w:asciiTheme="minorHAnsi" w:hAnsiTheme="minorHAnsi" w:cstheme="minorHAnsi"/>
          <w:color w:val="auto"/>
          <w:sz w:val="22"/>
          <w:szCs w:val="22"/>
        </w:rPr>
        <w:t xml:space="preserve"> 25227</w:t>
      </w:r>
      <w:r w:rsidR="001B7572">
        <w:rPr>
          <w:rFonts w:asciiTheme="minorHAnsi" w:hAnsiTheme="minorHAnsi" w:cstheme="minorHAnsi"/>
          <w:color w:val="auto"/>
          <w:sz w:val="22"/>
          <w:szCs w:val="22"/>
        </w:rPr>
        <w:t>)</w:t>
      </w:r>
      <w:r w:rsidRPr="00FD6184">
        <w:rPr>
          <w:rFonts w:asciiTheme="minorHAnsi" w:hAnsiTheme="minorHAnsi" w:cstheme="minorHAnsi"/>
          <w:color w:val="auto"/>
          <w:sz w:val="22"/>
          <w:szCs w:val="22"/>
        </w:rPr>
        <w:t>.</w:t>
      </w:r>
    </w:p>
    <w:p w14:paraId="5488C91C" w14:textId="1E980819" w:rsidR="0013419D" w:rsidRDefault="0013419D" w:rsidP="00213AE5">
      <w:pPr>
        <w:pStyle w:val="Default"/>
        <w:ind w:left="-567"/>
        <w:rPr>
          <w:rFonts w:asciiTheme="minorHAnsi" w:hAnsiTheme="minorHAnsi" w:cstheme="minorHAnsi"/>
          <w:color w:val="auto"/>
          <w:sz w:val="22"/>
          <w:szCs w:val="22"/>
        </w:rPr>
      </w:pPr>
    </w:p>
    <w:p w14:paraId="497B6127" w14:textId="1D4AE63E" w:rsidR="0013419D" w:rsidRDefault="0013419D" w:rsidP="00213AE5">
      <w:pPr>
        <w:pStyle w:val="Default"/>
        <w:ind w:left="-567"/>
        <w:rPr>
          <w:rFonts w:asciiTheme="minorHAnsi" w:hAnsiTheme="minorHAnsi" w:cstheme="minorHAnsi"/>
          <w:color w:val="auto"/>
          <w:sz w:val="22"/>
          <w:szCs w:val="22"/>
        </w:rPr>
      </w:pPr>
    </w:p>
    <w:p w14:paraId="5D6FA087" w14:textId="1E6E4A3D" w:rsidR="0013419D" w:rsidRDefault="0013419D">
      <w:pPr>
        <w:spacing w:after="200" w:line="276" w:lineRule="auto"/>
        <w:rPr>
          <w:rFonts w:asciiTheme="minorHAnsi" w:eastAsiaTheme="minorHAnsi" w:hAnsiTheme="minorHAnsi" w:cstheme="minorHAnsi"/>
          <w:sz w:val="22"/>
          <w:szCs w:val="22"/>
          <w:lang w:eastAsia="en-US"/>
        </w:rPr>
      </w:pPr>
      <w:r>
        <w:rPr>
          <w:rFonts w:asciiTheme="minorHAnsi" w:hAnsiTheme="minorHAnsi" w:cstheme="minorHAnsi"/>
          <w:sz w:val="22"/>
          <w:szCs w:val="22"/>
        </w:rPr>
        <w:br w:type="page"/>
      </w:r>
    </w:p>
    <w:p w14:paraId="7CC1E761" w14:textId="77777777" w:rsidR="0013419D" w:rsidRPr="00B9698A" w:rsidRDefault="0013419D" w:rsidP="0013419D">
      <w:pPr>
        <w:shd w:val="clear" w:color="auto" w:fill="FFFFFF"/>
        <w:spacing w:before="120"/>
        <w:ind w:left="-567"/>
        <w:jc w:val="both"/>
        <w:rPr>
          <w:rFonts w:asciiTheme="minorHAnsi" w:hAnsiTheme="minorHAnsi" w:cstheme="minorHAnsi"/>
          <w:sz w:val="22"/>
          <w:szCs w:val="22"/>
        </w:rPr>
      </w:pPr>
      <w:r w:rsidRPr="00FD6184">
        <w:rPr>
          <w:rFonts w:asciiTheme="minorHAnsi" w:hAnsiTheme="minorHAnsi" w:cstheme="minorHAnsi"/>
          <w:b/>
          <w:sz w:val="22"/>
          <w:u w:val="single"/>
        </w:rPr>
        <w:lastRenderedPageBreak/>
        <w:t>Attachment A</w:t>
      </w:r>
    </w:p>
    <w:p w14:paraId="35D67DF5" w14:textId="77777777" w:rsidR="0013419D" w:rsidRPr="00FD6184" w:rsidRDefault="0013419D" w:rsidP="0013419D">
      <w:pPr>
        <w:ind w:left="-567"/>
        <w:rPr>
          <w:rFonts w:asciiTheme="minorHAnsi" w:hAnsiTheme="minorHAnsi" w:cstheme="minorHAnsi"/>
          <w:b/>
          <w:sz w:val="22"/>
          <w:u w:val="single"/>
        </w:rPr>
      </w:pPr>
    </w:p>
    <w:p w14:paraId="00AAF474" w14:textId="77777777" w:rsidR="0013419D" w:rsidRDefault="0013419D" w:rsidP="0013419D">
      <w:pPr>
        <w:ind w:left="-567"/>
        <w:rPr>
          <w:rFonts w:asciiTheme="minorHAnsi" w:hAnsiTheme="minorHAnsi" w:cstheme="minorHAnsi"/>
          <w:b/>
          <w:sz w:val="22"/>
        </w:rPr>
      </w:pPr>
      <w:r w:rsidRPr="00FD6184">
        <w:rPr>
          <w:rFonts w:asciiTheme="minorHAnsi" w:hAnsiTheme="minorHAnsi" w:cstheme="minorHAnsi"/>
          <w:b/>
          <w:sz w:val="22"/>
        </w:rPr>
        <w:t>Explanation of Provisions</w:t>
      </w:r>
    </w:p>
    <w:p w14:paraId="3970AE74" w14:textId="77777777" w:rsidR="0013419D" w:rsidRPr="00FD6184" w:rsidRDefault="0013419D" w:rsidP="0013419D">
      <w:pPr>
        <w:ind w:left="-567"/>
        <w:rPr>
          <w:rFonts w:asciiTheme="minorHAnsi" w:hAnsiTheme="minorHAnsi" w:cstheme="minorHAnsi"/>
          <w:b/>
          <w:sz w:val="22"/>
        </w:rPr>
      </w:pPr>
    </w:p>
    <w:p w14:paraId="32E16758" w14:textId="77777777" w:rsidR="0013419D" w:rsidRDefault="0013419D" w:rsidP="0013419D">
      <w:pPr>
        <w:ind w:left="-567"/>
        <w:rPr>
          <w:rFonts w:asciiTheme="minorHAnsi" w:hAnsiTheme="minorHAnsi" w:cstheme="minorHAnsi"/>
          <w:sz w:val="22"/>
        </w:rPr>
      </w:pPr>
      <w:r w:rsidRPr="00FD6184">
        <w:rPr>
          <w:rFonts w:asciiTheme="minorHAnsi" w:hAnsiTheme="minorHAnsi" w:cstheme="minorHAnsi"/>
          <w:b/>
          <w:sz w:val="22"/>
        </w:rPr>
        <w:t>Section 1</w:t>
      </w:r>
      <w:r w:rsidRPr="00FD6184">
        <w:rPr>
          <w:rFonts w:asciiTheme="minorHAnsi" w:hAnsiTheme="minorHAnsi" w:cstheme="minorHAnsi"/>
          <w:sz w:val="22"/>
        </w:rPr>
        <w:t xml:space="preserve"> states the name of the </w:t>
      </w:r>
      <w:r>
        <w:rPr>
          <w:rFonts w:asciiTheme="minorHAnsi" w:hAnsiTheme="minorHAnsi" w:cstheme="minorHAnsi"/>
          <w:sz w:val="22"/>
        </w:rPr>
        <w:t>Operational Standards</w:t>
      </w:r>
      <w:r w:rsidRPr="00FD6184">
        <w:rPr>
          <w:rFonts w:asciiTheme="minorHAnsi" w:hAnsiTheme="minorHAnsi" w:cstheme="minorHAnsi"/>
          <w:sz w:val="22"/>
        </w:rPr>
        <w:t>.</w:t>
      </w:r>
    </w:p>
    <w:p w14:paraId="0C4659B0" w14:textId="77777777" w:rsidR="0013419D" w:rsidRPr="00FD6184" w:rsidRDefault="0013419D" w:rsidP="0013419D">
      <w:pPr>
        <w:ind w:left="-567"/>
        <w:rPr>
          <w:rFonts w:asciiTheme="minorHAnsi" w:hAnsiTheme="minorHAnsi" w:cstheme="minorHAnsi"/>
          <w:sz w:val="22"/>
        </w:rPr>
      </w:pPr>
    </w:p>
    <w:p w14:paraId="01EB69B1" w14:textId="77777777" w:rsidR="0013419D" w:rsidRDefault="0013419D" w:rsidP="0013419D">
      <w:pPr>
        <w:ind w:left="-567"/>
        <w:rPr>
          <w:rFonts w:asciiTheme="minorHAnsi" w:hAnsiTheme="minorHAnsi" w:cstheme="minorHAnsi"/>
          <w:sz w:val="22"/>
        </w:rPr>
      </w:pPr>
      <w:r w:rsidRPr="00FD6184">
        <w:rPr>
          <w:rFonts w:asciiTheme="minorHAnsi" w:hAnsiTheme="minorHAnsi" w:cstheme="minorHAnsi"/>
          <w:b/>
          <w:sz w:val="22"/>
        </w:rPr>
        <w:t>Section 2</w:t>
      </w:r>
      <w:r w:rsidRPr="00FD6184">
        <w:rPr>
          <w:rFonts w:asciiTheme="minorHAnsi" w:hAnsiTheme="minorHAnsi" w:cstheme="minorHAnsi"/>
          <w:sz w:val="22"/>
        </w:rPr>
        <w:t xml:space="preserve"> states that the </w:t>
      </w:r>
      <w:r>
        <w:rPr>
          <w:rFonts w:asciiTheme="minorHAnsi" w:hAnsiTheme="minorHAnsi" w:cstheme="minorHAnsi"/>
          <w:sz w:val="22"/>
        </w:rPr>
        <w:t>Operational Standards</w:t>
      </w:r>
      <w:r w:rsidRPr="00FD6184">
        <w:rPr>
          <w:rFonts w:asciiTheme="minorHAnsi" w:hAnsiTheme="minorHAnsi" w:cstheme="minorHAnsi"/>
          <w:sz w:val="22"/>
        </w:rPr>
        <w:t xml:space="preserve"> commence on 1 </w:t>
      </w:r>
      <w:r>
        <w:rPr>
          <w:rFonts w:asciiTheme="minorHAnsi" w:hAnsiTheme="minorHAnsi" w:cstheme="minorHAnsi"/>
          <w:sz w:val="22"/>
        </w:rPr>
        <w:t>July</w:t>
      </w:r>
      <w:r w:rsidRPr="00FD6184">
        <w:rPr>
          <w:rFonts w:asciiTheme="minorHAnsi" w:hAnsiTheme="minorHAnsi" w:cstheme="minorHAnsi"/>
          <w:sz w:val="22"/>
        </w:rPr>
        <w:t xml:space="preserve"> 20</w:t>
      </w:r>
      <w:r>
        <w:rPr>
          <w:rFonts w:asciiTheme="minorHAnsi" w:hAnsiTheme="minorHAnsi" w:cstheme="minorHAnsi"/>
          <w:sz w:val="22"/>
        </w:rPr>
        <w:t>20</w:t>
      </w:r>
      <w:r w:rsidRPr="00FD6184">
        <w:rPr>
          <w:rFonts w:asciiTheme="minorHAnsi" w:hAnsiTheme="minorHAnsi" w:cstheme="minorHAnsi"/>
          <w:sz w:val="22"/>
        </w:rPr>
        <w:t>.</w:t>
      </w:r>
    </w:p>
    <w:p w14:paraId="3F4259FB" w14:textId="77777777" w:rsidR="0013419D" w:rsidRPr="00FD6184" w:rsidRDefault="0013419D" w:rsidP="0013419D">
      <w:pPr>
        <w:ind w:left="-567"/>
        <w:rPr>
          <w:rFonts w:asciiTheme="minorHAnsi" w:hAnsiTheme="minorHAnsi" w:cstheme="minorHAnsi"/>
          <w:sz w:val="22"/>
        </w:rPr>
      </w:pPr>
    </w:p>
    <w:p w14:paraId="6F82D23E" w14:textId="77777777" w:rsidR="0013419D" w:rsidRDefault="0013419D" w:rsidP="0013419D">
      <w:pPr>
        <w:ind w:left="-567"/>
        <w:rPr>
          <w:rFonts w:asciiTheme="minorHAnsi" w:hAnsiTheme="minorHAnsi" w:cstheme="minorHAnsi"/>
          <w:sz w:val="22"/>
        </w:rPr>
      </w:pPr>
      <w:r w:rsidRPr="00FD6184">
        <w:rPr>
          <w:rFonts w:asciiTheme="minorHAnsi" w:hAnsiTheme="minorHAnsi" w:cstheme="minorHAnsi"/>
          <w:b/>
          <w:sz w:val="22"/>
        </w:rPr>
        <w:t>Section 3</w:t>
      </w:r>
      <w:r w:rsidRPr="00FD6184">
        <w:rPr>
          <w:rFonts w:asciiTheme="minorHAnsi" w:hAnsiTheme="minorHAnsi" w:cstheme="minorHAnsi"/>
          <w:sz w:val="22"/>
        </w:rPr>
        <w:t xml:space="preserve"> states that the authority for making the</w:t>
      </w:r>
      <w:r>
        <w:rPr>
          <w:rFonts w:asciiTheme="minorHAnsi" w:hAnsiTheme="minorHAnsi" w:cstheme="minorHAnsi"/>
          <w:sz w:val="22"/>
        </w:rPr>
        <w:t xml:space="preserve"> Operational Standards</w:t>
      </w:r>
      <w:r w:rsidRPr="00FD6184">
        <w:rPr>
          <w:rFonts w:asciiTheme="minorHAnsi" w:hAnsiTheme="minorHAnsi" w:cstheme="minorHAnsi"/>
          <w:sz w:val="22"/>
        </w:rPr>
        <w:t xml:space="preserve"> is section </w:t>
      </w:r>
      <w:r>
        <w:rPr>
          <w:rFonts w:asciiTheme="minorHAnsi" w:hAnsiTheme="minorHAnsi" w:cstheme="minorHAnsi"/>
          <w:sz w:val="22"/>
        </w:rPr>
        <w:t>34E</w:t>
      </w:r>
      <w:r w:rsidRPr="00FD6184">
        <w:rPr>
          <w:rFonts w:asciiTheme="minorHAnsi" w:hAnsiTheme="minorHAnsi" w:cstheme="minorHAnsi"/>
          <w:sz w:val="22"/>
        </w:rPr>
        <w:t xml:space="preserve"> of the Act.</w:t>
      </w:r>
    </w:p>
    <w:p w14:paraId="08C88020" w14:textId="77777777" w:rsidR="0013419D" w:rsidRPr="00FD6184" w:rsidRDefault="0013419D" w:rsidP="0013419D">
      <w:pPr>
        <w:ind w:left="-567"/>
        <w:rPr>
          <w:rFonts w:asciiTheme="minorHAnsi" w:hAnsiTheme="minorHAnsi" w:cstheme="minorHAnsi"/>
          <w:sz w:val="22"/>
        </w:rPr>
      </w:pPr>
    </w:p>
    <w:p w14:paraId="0EE7F8CF" w14:textId="77777777" w:rsidR="0013419D" w:rsidRDefault="0013419D" w:rsidP="0013419D">
      <w:pPr>
        <w:ind w:left="-567"/>
        <w:rPr>
          <w:rFonts w:asciiTheme="minorHAnsi" w:hAnsiTheme="minorHAnsi" w:cstheme="minorHAnsi"/>
          <w:sz w:val="22"/>
        </w:rPr>
      </w:pPr>
      <w:r w:rsidRPr="00FD6184">
        <w:rPr>
          <w:rFonts w:asciiTheme="minorHAnsi" w:hAnsiTheme="minorHAnsi" w:cstheme="minorHAnsi"/>
          <w:b/>
          <w:sz w:val="22"/>
        </w:rPr>
        <w:t>Section 4</w:t>
      </w:r>
      <w:r w:rsidRPr="00FD6184">
        <w:rPr>
          <w:rFonts w:asciiTheme="minorHAnsi" w:hAnsiTheme="minorHAnsi" w:cstheme="minorHAnsi"/>
          <w:sz w:val="22"/>
        </w:rPr>
        <w:t xml:space="preserve"> defines terms used in the </w:t>
      </w:r>
      <w:r>
        <w:rPr>
          <w:rFonts w:asciiTheme="minorHAnsi" w:hAnsiTheme="minorHAnsi" w:cstheme="minorHAnsi"/>
          <w:sz w:val="22"/>
        </w:rPr>
        <w:t>Operational Standards</w:t>
      </w:r>
      <w:r w:rsidRPr="00FD6184">
        <w:rPr>
          <w:rFonts w:asciiTheme="minorHAnsi" w:hAnsiTheme="minorHAnsi" w:cstheme="minorHAnsi"/>
          <w:sz w:val="22"/>
        </w:rPr>
        <w:t>.</w:t>
      </w:r>
    </w:p>
    <w:p w14:paraId="7440E4FA" w14:textId="77777777" w:rsidR="0013419D" w:rsidRPr="00FD6184" w:rsidRDefault="0013419D" w:rsidP="0013419D">
      <w:pPr>
        <w:ind w:left="-567"/>
        <w:rPr>
          <w:rFonts w:asciiTheme="minorHAnsi" w:hAnsiTheme="minorHAnsi" w:cstheme="minorHAnsi"/>
          <w:sz w:val="22"/>
        </w:rPr>
      </w:pPr>
    </w:p>
    <w:p w14:paraId="789D4B78" w14:textId="77777777" w:rsidR="0013419D" w:rsidRPr="00304172" w:rsidRDefault="0013419D" w:rsidP="0013419D">
      <w:pPr>
        <w:ind w:left="-567"/>
        <w:rPr>
          <w:rFonts w:asciiTheme="minorHAnsi" w:hAnsiTheme="minorHAnsi" w:cstheme="minorHAnsi"/>
          <w:i/>
          <w:sz w:val="22"/>
        </w:rPr>
      </w:pPr>
      <w:r w:rsidRPr="00FD6184">
        <w:rPr>
          <w:rFonts w:asciiTheme="minorHAnsi" w:hAnsiTheme="minorHAnsi" w:cstheme="minorHAnsi"/>
          <w:b/>
          <w:sz w:val="22"/>
        </w:rPr>
        <w:t>Section 5</w:t>
      </w:r>
      <w:r w:rsidRPr="00FD6184">
        <w:rPr>
          <w:rFonts w:asciiTheme="minorHAnsi" w:hAnsiTheme="minorHAnsi" w:cstheme="minorHAnsi"/>
          <w:sz w:val="22"/>
        </w:rPr>
        <w:t xml:space="preserve"> </w:t>
      </w:r>
      <w:r>
        <w:rPr>
          <w:rFonts w:asciiTheme="minorHAnsi" w:hAnsiTheme="minorHAnsi" w:cstheme="minorHAnsi"/>
          <w:sz w:val="22"/>
        </w:rPr>
        <w:t xml:space="preserve">repeals </w:t>
      </w:r>
      <w:r>
        <w:rPr>
          <w:rFonts w:asciiTheme="minorHAnsi" w:hAnsiTheme="minorHAnsi" w:cstheme="minorHAnsi"/>
          <w:i/>
          <w:sz w:val="22"/>
        </w:rPr>
        <w:t>T</w:t>
      </w:r>
      <w:r w:rsidRPr="008063EB">
        <w:rPr>
          <w:rFonts w:asciiTheme="minorHAnsi" w:hAnsiTheme="minorHAnsi" w:cstheme="minorHAnsi"/>
          <w:i/>
          <w:sz w:val="22"/>
        </w:rPr>
        <w:t xml:space="preserve">he </w:t>
      </w:r>
      <w:r w:rsidRPr="00304172">
        <w:rPr>
          <w:rFonts w:asciiTheme="minorHAnsi" w:hAnsiTheme="minorHAnsi" w:cstheme="minorHAnsi"/>
          <w:i/>
          <w:sz w:val="22"/>
        </w:rPr>
        <w:t>Criteria and Operational Standards for Workplace Rehabilitation Providers 2015.</w:t>
      </w:r>
    </w:p>
    <w:p w14:paraId="45653627" w14:textId="77777777" w:rsidR="0013419D" w:rsidRPr="00FD6184" w:rsidRDefault="0013419D" w:rsidP="0013419D">
      <w:pPr>
        <w:ind w:left="-567"/>
        <w:rPr>
          <w:rFonts w:asciiTheme="minorHAnsi" w:hAnsiTheme="minorHAnsi" w:cstheme="minorHAnsi"/>
          <w:sz w:val="22"/>
        </w:rPr>
      </w:pPr>
    </w:p>
    <w:p w14:paraId="56DB3DE0" w14:textId="77777777" w:rsidR="0013419D" w:rsidRDefault="0013419D" w:rsidP="0013419D">
      <w:pPr>
        <w:ind w:left="-567"/>
        <w:rPr>
          <w:rFonts w:asciiTheme="minorHAnsi" w:hAnsiTheme="minorHAnsi" w:cstheme="minorHAnsi"/>
          <w:sz w:val="22"/>
        </w:rPr>
      </w:pPr>
      <w:r w:rsidRPr="00FD6184">
        <w:rPr>
          <w:rFonts w:asciiTheme="minorHAnsi" w:hAnsiTheme="minorHAnsi" w:cstheme="minorHAnsi"/>
          <w:b/>
          <w:sz w:val="22"/>
        </w:rPr>
        <w:t>Section 6</w:t>
      </w:r>
      <w:r w:rsidRPr="00FD6184">
        <w:rPr>
          <w:rFonts w:asciiTheme="minorHAnsi" w:hAnsiTheme="minorHAnsi" w:cstheme="minorHAnsi"/>
          <w:sz w:val="22"/>
        </w:rPr>
        <w:t xml:space="preserve"> </w:t>
      </w:r>
      <w:r>
        <w:rPr>
          <w:rFonts w:asciiTheme="minorHAnsi" w:hAnsiTheme="minorHAnsi" w:cstheme="minorHAnsi"/>
          <w:sz w:val="22"/>
        </w:rPr>
        <w:t>specifies standards relating to effectiveness, availability and cost.</w:t>
      </w:r>
    </w:p>
    <w:p w14:paraId="33E18DB2" w14:textId="77777777" w:rsidR="0013419D" w:rsidRDefault="0013419D" w:rsidP="0013419D">
      <w:pPr>
        <w:ind w:left="-567"/>
        <w:rPr>
          <w:rFonts w:asciiTheme="minorHAnsi" w:hAnsiTheme="minorHAnsi" w:cstheme="minorHAnsi"/>
          <w:sz w:val="22"/>
        </w:rPr>
      </w:pPr>
    </w:p>
    <w:p w14:paraId="6F05BEE7" w14:textId="77777777" w:rsidR="0013419D" w:rsidRDefault="0013419D" w:rsidP="0013419D">
      <w:pPr>
        <w:ind w:left="-567"/>
        <w:rPr>
          <w:rFonts w:asciiTheme="minorHAnsi" w:hAnsiTheme="minorHAnsi" w:cstheme="minorHAnsi"/>
          <w:sz w:val="22"/>
        </w:rPr>
      </w:pPr>
      <w:r w:rsidRPr="003F4068">
        <w:rPr>
          <w:rFonts w:asciiTheme="minorHAnsi" w:hAnsiTheme="minorHAnsi" w:cstheme="minorHAnsi"/>
          <w:i/>
          <w:sz w:val="22"/>
        </w:rPr>
        <w:t>Effectiveness</w:t>
      </w:r>
      <w:r>
        <w:rPr>
          <w:rFonts w:asciiTheme="minorHAnsi" w:hAnsiTheme="minorHAnsi" w:cstheme="minorHAnsi"/>
          <w:sz w:val="22"/>
        </w:rPr>
        <w:t xml:space="preserve">:  That rehabilitation services must be generally effective in assisting an employee to continue to work or return to work, and the service must be effective to the greatest extent possible at ensuring that any return to work or continued work has minimum ongoing effects on the injury, is safe and particular to the employee and their injury and circumstances. This is to ensure an outcome focused and individualised approach to rehabilitation services. </w:t>
      </w:r>
    </w:p>
    <w:p w14:paraId="4A798A92" w14:textId="77777777" w:rsidR="0013419D" w:rsidRDefault="0013419D" w:rsidP="0013419D">
      <w:pPr>
        <w:ind w:left="-567"/>
        <w:rPr>
          <w:rFonts w:asciiTheme="minorHAnsi" w:hAnsiTheme="minorHAnsi" w:cstheme="minorHAnsi"/>
          <w:i/>
          <w:sz w:val="22"/>
        </w:rPr>
      </w:pPr>
    </w:p>
    <w:p w14:paraId="33C5D72F" w14:textId="77777777" w:rsidR="0013419D" w:rsidRPr="00DA218C" w:rsidRDefault="0013419D" w:rsidP="0013419D">
      <w:pPr>
        <w:ind w:left="-567"/>
        <w:rPr>
          <w:rFonts w:asciiTheme="minorHAnsi" w:hAnsiTheme="minorHAnsi" w:cstheme="minorHAnsi"/>
          <w:sz w:val="22"/>
        </w:rPr>
      </w:pPr>
      <w:r>
        <w:rPr>
          <w:rFonts w:asciiTheme="minorHAnsi" w:hAnsiTheme="minorHAnsi" w:cstheme="minorHAnsi"/>
          <w:i/>
          <w:sz w:val="22"/>
        </w:rPr>
        <w:t xml:space="preserve">Availability: </w:t>
      </w:r>
      <w:r>
        <w:rPr>
          <w:rFonts w:asciiTheme="minorHAnsi" w:hAnsiTheme="minorHAnsi" w:cstheme="minorHAnsi"/>
          <w:sz w:val="22"/>
        </w:rPr>
        <w:t xml:space="preserve">That rehabilitation services must be suitably available, and that it involves implementing arrangements with a rehabilitation authority with a reasonable time, ensuring access to services are available to an employee within a reasonable period, and that any delays do not have an adverse effect on the employee. This is to ensure that approved rehabilitation providers are readily available and responsive to the needs of inured employees.  </w:t>
      </w:r>
    </w:p>
    <w:p w14:paraId="47DCFF3D" w14:textId="77777777" w:rsidR="0013419D" w:rsidRDefault="0013419D" w:rsidP="0013419D">
      <w:pPr>
        <w:ind w:left="-567"/>
        <w:rPr>
          <w:rFonts w:asciiTheme="minorHAnsi" w:hAnsiTheme="minorHAnsi" w:cstheme="minorHAnsi"/>
          <w:i/>
          <w:sz w:val="22"/>
        </w:rPr>
      </w:pPr>
    </w:p>
    <w:p w14:paraId="0438A6D9" w14:textId="77777777" w:rsidR="0013419D" w:rsidRPr="00A82411" w:rsidRDefault="0013419D" w:rsidP="0013419D">
      <w:pPr>
        <w:ind w:left="-567"/>
        <w:rPr>
          <w:rFonts w:asciiTheme="minorHAnsi" w:hAnsiTheme="minorHAnsi" w:cstheme="minorHAnsi"/>
          <w:sz w:val="22"/>
        </w:rPr>
      </w:pPr>
      <w:r>
        <w:rPr>
          <w:rFonts w:asciiTheme="minorHAnsi" w:hAnsiTheme="minorHAnsi" w:cstheme="minorHAnsi"/>
          <w:i/>
          <w:sz w:val="22"/>
        </w:rPr>
        <w:t xml:space="preserve">Cost: </w:t>
      </w:r>
      <w:r>
        <w:rPr>
          <w:rFonts w:asciiTheme="minorHAnsi" w:hAnsiTheme="minorHAnsi" w:cstheme="minorHAnsi"/>
          <w:sz w:val="22"/>
        </w:rPr>
        <w:t xml:space="preserve">That the cost of the rehabilitation services must have a reasonable relationship to the value of the rehabilitation services. This will be considered in the context of the specific case, guidance published by Comcare and the market generally. </w:t>
      </w:r>
    </w:p>
    <w:p w14:paraId="0C658497" w14:textId="77777777" w:rsidR="0013419D" w:rsidRPr="00FD6184" w:rsidRDefault="0013419D" w:rsidP="0013419D">
      <w:pPr>
        <w:rPr>
          <w:rFonts w:asciiTheme="minorHAnsi" w:hAnsiTheme="minorHAnsi" w:cstheme="minorHAnsi"/>
          <w:sz w:val="22"/>
        </w:rPr>
      </w:pPr>
    </w:p>
    <w:p w14:paraId="2D9C3959" w14:textId="77777777" w:rsidR="0013419D" w:rsidRDefault="0013419D" w:rsidP="0013419D">
      <w:pPr>
        <w:pStyle w:val="Pa1"/>
        <w:spacing w:after="160"/>
        <w:ind w:left="-567"/>
        <w:rPr>
          <w:rFonts w:asciiTheme="minorHAnsi" w:hAnsiTheme="minorHAnsi" w:cstheme="minorHAnsi"/>
          <w:sz w:val="22"/>
          <w:szCs w:val="22"/>
        </w:rPr>
      </w:pPr>
      <w:r w:rsidRPr="00EA759F">
        <w:rPr>
          <w:rFonts w:asciiTheme="minorHAnsi" w:hAnsiTheme="minorHAnsi" w:cstheme="minorHAnsi"/>
          <w:b/>
          <w:sz w:val="22"/>
          <w:szCs w:val="22"/>
        </w:rPr>
        <w:t xml:space="preserve">Section </w:t>
      </w:r>
      <w:r>
        <w:rPr>
          <w:rFonts w:asciiTheme="minorHAnsi" w:hAnsiTheme="minorHAnsi" w:cstheme="minorHAnsi"/>
          <w:b/>
          <w:sz w:val="22"/>
          <w:szCs w:val="22"/>
        </w:rPr>
        <w:t>7</w:t>
      </w:r>
      <w:r w:rsidRPr="00EA759F">
        <w:rPr>
          <w:rFonts w:asciiTheme="minorHAnsi" w:hAnsiTheme="minorHAnsi" w:cstheme="minorHAnsi"/>
          <w:sz w:val="22"/>
          <w:szCs w:val="22"/>
        </w:rPr>
        <w:t xml:space="preserve"> </w:t>
      </w:r>
      <w:r>
        <w:rPr>
          <w:rFonts w:asciiTheme="minorHAnsi" w:hAnsiTheme="minorHAnsi" w:cstheme="minorHAnsi"/>
          <w:sz w:val="22"/>
          <w:szCs w:val="22"/>
        </w:rPr>
        <w:t xml:space="preserve">specifies standards relating to governance, financial solvency, qualifications and practices of individuals. </w:t>
      </w:r>
    </w:p>
    <w:p w14:paraId="5D50D06A" w14:textId="77777777" w:rsidR="0013419D" w:rsidRPr="004B448E" w:rsidRDefault="0013419D" w:rsidP="0013419D">
      <w:pPr>
        <w:pStyle w:val="Pa1"/>
        <w:spacing w:after="160"/>
        <w:ind w:left="-567"/>
        <w:rPr>
          <w:rFonts w:asciiTheme="minorHAnsi" w:hAnsiTheme="minorHAnsi" w:cstheme="minorHAnsi"/>
          <w:sz w:val="22"/>
          <w:szCs w:val="22"/>
        </w:rPr>
      </w:pPr>
      <w:r>
        <w:rPr>
          <w:rFonts w:asciiTheme="minorHAnsi" w:hAnsiTheme="minorHAnsi" w:cstheme="minorHAnsi"/>
          <w:i/>
          <w:sz w:val="22"/>
          <w:szCs w:val="22"/>
        </w:rPr>
        <w:t xml:space="preserve">Governance: </w:t>
      </w:r>
      <w:r>
        <w:rPr>
          <w:rFonts w:asciiTheme="minorHAnsi" w:hAnsiTheme="minorHAnsi" w:cstheme="minorHAnsi"/>
          <w:sz w:val="22"/>
          <w:szCs w:val="22"/>
        </w:rPr>
        <w:t>Provides the mandatory governance requirements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compliance with applicable laws) and gives approved program </w:t>
      </w:r>
      <w:proofErr w:type="spellStart"/>
      <w:r>
        <w:rPr>
          <w:rFonts w:asciiTheme="minorHAnsi" w:hAnsiTheme="minorHAnsi" w:cstheme="minorHAnsi"/>
          <w:sz w:val="22"/>
          <w:szCs w:val="22"/>
        </w:rPr>
        <w:t>providers</w:t>
      </w:r>
      <w:proofErr w:type="spellEnd"/>
      <w:r>
        <w:rPr>
          <w:rFonts w:asciiTheme="minorHAnsi" w:hAnsiTheme="minorHAnsi" w:cstheme="minorHAnsi"/>
          <w:sz w:val="22"/>
          <w:szCs w:val="22"/>
        </w:rPr>
        <w:t xml:space="preserve"> flexibility on how it implements compliance and manages its systems to ensure it is meeting the standards set out in the provision. </w:t>
      </w:r>
    </w:p>
    <w:p w14:paraId="00585E7C" w14:textId="77777777" w:rsidR="0013419D" w:rsidRDefault="0013419D" w:rsidP="0013419D">
      <w:pPr>
        <w:pStyle w:val="Pa1"/>
        <w:spacing w:after="160"/>
        <w:ind w:left="-567"/>
        <w:rPr>
          <w:rFonts w:asciiTheme="minorHAnsi" w:hAnsiTheme="minorHAnsi" w:cstheme="minorHAnsi"/>
          <w:sz w:val="22"/>
          <w:szCs w:val="22"/>
        </w:rPr>
      </w:pPr>
      <w:r>
        <w:rPr>
          <w:rFonts w:asciiTheme="minorHAnsi" w:hAnsiTheme="minorHAnsi" w:cstheme="minorHAnsi"/>
          <w:i/>
          <w:sz w:val="22"/>
          <w:szCs w:val="22"/>
        </w:rPr>
        <w:t xml:space="preserve">Financial solvency: </w:t>
      </w:r>
      <w:r>
        <w:rPr>
          <w:rFonts w:asciiTheme="minorHAnsi" w:hAnsiTheme="minorHAnsi" w:cstheme="minorHAnsi"/>
          <w:sz w:val="22"/>
          <w:szCs w:val="22"/>
        </w:rPr>
        <w:t>Sets separate financial solvency standards for approved program providers who are individuals and those who are not individuals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company).  </w:t>
      </w:r>
    </w:p>
    <w:p w14:paraId="592D64B5" w14:textId="77777777" w:rsidR="0013419D" w:rsidRPr="00A46C20" w:rsidRDefault="0013419D" w:rsidP="0013419D">
      <w:pPr>
        <w:pStyle w:val="Pa1"/>
        <w:spacing w:after="160"/>
        <w:ind w:left="-567"/>
      </w:pPr>
      <w:r>
        <w:rPr>
          <w:rFonts w:asciiTheme="minorHAnsi" w:hAnsiTheme="minorHAnsi" w:cstheme="minorHAnsi"/>
          <w:i/>
          <w:sz w:val="22"/>
          <w:szCs w:val="22"/>
        </w:rPr>
        <w:t>Q</w:t>
      </w:r>
      <w:r w:rsidRPr="004B448E">
        <w:rPr>
          <w:rFonts w:asciiTheme="minorHAnsi" w:hAnsiTheme="minorHAnsi" w:cstheme="minorHAnsi"/>
          <w:i/>
          <w:sz w:val="22"/>
          <w:szCs w:val="22"/>
        </w:rPr>
        <w:t>ualifications and practices of individuals</w:t>
      </w:r>
      <w:r>
        <w:rPr>
          <w:rFonts w:asciiTheme="minorHAnsi" w:hAnsiTheme="minorHAnsi" w:cstheme="minorHAnsi"/>
          <w:i/>
          <w:sz w:val="22"/>
          <w:szCs w:val="22"/>
        </w:rPr>
        <w:t xml:space="preserve">: </w:t>
      </w:r>
      <w:r w:rsidRPr="00DF2E5C">
        <w:rPr>
          <w:rFonts w:asciiTheme="minorHAnsi" w:hAnsiTheme="minorHAnsi" w:cstheme="minorHAnsi"/>
          <w:sz w:val="22"/>
          <w:szCs w:val="22"/>
        </w:rPr>
        <w:t>Provides</w:t>
      </w:r>
      <w:r>
        <w:rPr>
          <w:rFonts w:asciiTheme="minorHAnsi" w:hAnsiTheme="minorHAnsi" w:cstheme="minorHAnsi"/>
          <w:sz w:val="22"/>
          <w:szCs w:val="22"/>
        </w:rPr>
        <w:t xml:space="preserve"> that it is the responsibility of the approved program provider to ensure that any individual who provides rehabilitation services on its behalf is relevantly qualified (as defined in subsection 7(5), has appropriate professional experience and training, is aware of Comcare’s guidance and policies, understand the approved provider’s policies and practices and that the individual is compliant with relevant codes of professional ethics or practice.</w:t>
      </w:r>
    </w:p>
    <w:p w14:paraId="66B0E3E6" w14:textId="44F5F0D3" w:rsidR="00213AE5" w:rsidRPr="00FD6184" w:rsidRDefault="00213AE5" w:rsidP="00EC0795">
      <w:pPr>
        <w:pStyle w:val="Heading2"/>
        <w:spacing w:before="120"/>
        <w:ind w:left="-567"/>
        <w:jc w:val="center"/>
        <w:rPr>
          <w:rFonts w:asciiTheme="minorHAnsi" w:hAnsiTheme="minorHAnsi" w:cstheme="minorHAnsi"/>
          <w:sz w:val="22"/>
          <w:szCs w:val="22"/>
        </w:rPr>
      </w:pPr>
      <w:r w:rsidRPr="00FD6184">
        <w:rPr>
          <w:rFonts w:asciiTheme="minorHAnsi" w:hAnsiTheme="minorHAnsi" w:cstheme="minorHAnsi"/>
          <w:sz w:val="22"/>
          <w:szCs w:val="22"/>
        </w:rPr>
        <w:lastRenderedPageBreak/>
        <w:t>Statement of Compatibility with Human Rights</w:t>
      </w:r>
    </w:p>
    <w:p w14:paraId="2B23D7AE" w14:textId="77777777" w:rsidR="00213AE5" w:rsidRPr="00FD6184" w:rsidRDefault="00213AE5" w:rsidP="00213AE5">
      <w:pPr>
        <w:pStyle w:val="Default"/>
        <w:ind w:left="-567"/>
        <w:rPr>
          <w:rFonts w:asciiTheme="minorHAnsi" w:hAnsiTheme="minorHAnsi" w:cstheme="minorHAnsi"/>
          <w:color w:val="auto"/>
          <w:sz w:val="22"/>
          <w:szCs w:val="22"/>
        </w:rPr>
      </w:pPr>
    </w:p>
    <w:p w14:paraId="191601FC" w14:textId="4509FE89" w:rsidR="00213AE5" w:rsidRDefault="00213AE5" w:rsidP="00213AE5">
      <w:pPr>
        <w:ind w:left="-567"/>
        <w:rPr>
          <w:rFonts w:asciiTheme="minorHAnsi" w:hAnsiTheme="minorHAnsi" w:cstheme="minorHAnsi"/>
          <w:i/>
          <w:iCs/>
          <w:sz w:val="22"/>
          <w:szCs w:val="22"/>
        </w:rPr>
      </w:pPr>
      <w:r w:rsidRPr="00FD6184">
        <w:rPr>
          <w:rFonts w:asciiTheme="minorHAnsi" w:hAnsiTheme="minorHAnsi" w:cstheme="minorHAnsi"/>
          <w:sz w:val="22"/>
          <w:szCs w:val="22"/>
        </w:rPr>
        <w:t xml:space="preserve"> </w:t>
      </w:r>
      <w:r w:rsidRPr="00FD6184">
        <w:rPr>
          <w:rFonts w:asciiTheme="minorHAnsi" w:hAnsiTheme="minorHAnsi" w:cstheme="minorHAnsi"/>
          <w:i/>
          <w:iCs/>
          <w:sz w:val="22"/>
          <w:szCs w:val="22"/>
        </w:rPr>
        <w:t>Prepared in accordance with Part 3 of the Human Rights (Parliamentary Scrutiny) Act 2011</w:t>
      </w:r>
    </w:p>
    <w:p w14:paraId="2B76B8FE" w14:textId="77777777" w:rsidR="00FD6184" w:rsidRPr="00FD6184" w:rsidRDefault="00FD6184" w:rsidP="00213AE5">
      <w:pPr>
        <w:ind w:left="-567"/>
        <w:rPr>
          <w:rFonts w:asciiTheme="minorHAnsi" w:hAnsiTheme="minorHAnsi" w:cstheme="minorHAnsi"/>
          <w:sz w:val="22"/>
          <w:szCs w:val="22"/>
        </w:rPr>
      </w:pPr>
    </w:p>
    <w:p w14:paraId="2298B9E9" w14:textId="77777777" w:rsidR="000B4848" w:rsidRPr="000B4848" w:rsidRDefault="000B4848" w:rsidP="000B4848">
      <w:pPr>
        <w:spacing w:before="120" w:after="120"/>
        <w:ind w:left="-567"/>
        <w:jc w:val="center"/>
        <w:rPr>
          <w:rFonts w:asciiTheme="minorHAnsi" w:hAnsiTheme="minorHAnsi" w:cstheme="minorHAnsi"/>
          <w:b/>
          <w:sz w:val="22"/>
          <w:szCs w:val="22"/>
        </w:rPr>
      </w:pPr>
      <w:r w:rsidRPr="000B4848">
        <w:rPr>
          <w:rFonts w:asciiTheme="minorHAnsi" w:hAnsiTheme="minorHAnsi" w:cstheme="minorHAnsi"/>
          <w:b/>
          <w:sz w:val="22"/>
          <w:szCs w:val="22"/>
        </w:rPr>
        <w:t>Criteria for Approval and Renewal of Rehabilitation Program Providers 2020</w:t>
      </w:r>
    </w:p>
    <w:p w14:paraId="2A7DF6F0" w14:textId="3840A222" w:rsidR="00213AE5" w:rsidRPr="00FD6184" w:rsidRDefault="00213AE5" w:rsidP="00B9698A">
      <w:pPr>
        <w:shd w:val="clear" w:color="auto" w:fill="FFFFFF"/>
        <w:spacing w:before="120" w:after="120"/>
        <w:ind w:left="-567"/>
        <w:jc w:val="both"/>
        <w:rPr>
          <w:rFonts w:asciiTheme="minorHAnsi" w:hAnsiTheme="minorHAnsi" w:cstheme="minorHAnsi"/>
          <w:sz w:val="22"/>
          <w:szCs w:val="22"/>
        </w:rPr>
      </w:pPr>
      <w:r w:rsidRPr="00FD6184">
        <w:rPr>
          <w:rFonts w:asciiTheme="minorHAnsi" w:hAnsiTheme="minorHAnsi" w:cstheme="minorHAnsi"/>
          <w:sz w:val="22"/>
          <w:szCs w:val="22"/>
        </w:rPr>
        <w:t>Subsection 9(1) of the</w:t>
      </w:r>
      <w:r w:rsidRPr="00B9698A">
        <w:rPr>
          <w:rFonts w:asciiTheme="minorHAnsi" w:hAnsiTheme="minorHAnsi" w:cstheme="minorHAnsi"/>
          <w:sz w:val="22"/>
          <w:szCs w:val="22"/>
        </w:rPr>
        <w:t xml:space="preserve"> </w:t>
      </w:r>
      <w:r w:rsidRPr="00B9698A">
        <w:rPr>
          <w:rFonts w:asciiTheme="minorHAnsi" w:hAnsiTheme="minorHAnsi" w:cstheme="minorHAnsi"/>
          <w:i/>
          <w:sz w:val="22"/>
          <w:szCs w:val="22"/>
        </w:rPr>
        <w:t>Human Rights (Parliamentary Scrutiny) Act</w:t>
      </w:r>
      <w:r w:rsidRPr="00B9698A">
        <w:rPr>
          <w:rFonts w:asciiTheme="minorHAnsi" w:hAnsiTheme="minorHAnsi" w:cstheme="minorHAnsi"/>
          <w:sz w:val="22"/>
          <w:szCs w:val="22"/>
        </w:rPr>
        <w:t xml:space="preserve"> 2011 </w:t>
      </w:r>
      <w:r w:rsidRPr="00FD6184">
        <w:rPr>
          <w:rFonts w:asciiTheme="minorHAnsi" w:hAnsiTheme="minorHAnsi" w:cstheme="minorHAnsi"/>
          <w:sz w:val="22"/>
          <w:szCs w:val="22"/>
        </w:rPr>
        <w:t>(</w:t>
      </w:r>
      <w:r w:rsidRPr="00B9698A">
        <w:rPr>
          <w:rFonts w:asciiTheme="minorHAnsi" w:hAnsiTheme="minorHAnsi" w:cstheme="minorHAnsi"/>
          <w:b/>
          <w:sz w:val="22"/>
          <w:szCs w:val="22"/>
        </w:rPr>
        <w:t>the HR Act</w:t>
      </w:r>
      <w:r w:rsidRPr="00FD6184">
        <w:rPr>
          <w:rFonts w:asciiTheme="minorHAnsi" w:hAnsiTheme="minorHAnsi" w:cstheme="minorHAnsi"/>
          <w:sz w:val="22"/>
          <w:szCs w:val="22"/>
        </w:rPr>
        <w:t>)</w:t>
      </w:r>
      <w:r w:rsidRPr="00B9698A">
        <w:rPr>
          <w:rFonts w:asciiTheme="minorHAnsi" w:hAnsiTheme="minorHAnsi" w:cstheme="minorHAnsi"/>
          <w:sz w:val="22"/>
          <w:szCs w:val="22"/>
        </w:rPr>
        <w:t xml:space="preserve"> </w:t>
      </w:r>
      <w:r w:rsidRPr="00FD6184">
        <w:rPr>
          <w:rFonts w:asciiTheme="minorHAnsi" w:hAnsiTheme="minorHAnsi" w:cstheme="minorHAnsi"/>
          <w:sz w:val="22"/>
          <w:szCs w:val="22"/>
        </w:rPr>
        <w:t xml:space="preserve">requires a statement of compatibility with human rights to be prepared in relation to this legislative instrument and paragraph 15J(2)(f) of the LA requires that it be included in the explanatory statement. </w:t>
      </w:r>
    </w:p>
    <w:p w14:paraId="3D772B6E" w14:textId="4B55490A" w:rsidR="00213AE5" w:rsidRPr="00FD6184" w:rsidRDefault="00213AE5" w:rsidP="00213AE5">
      <w:pPr>
        <w:spacing w:before="120" w:after="120"/>
        <w:ind w:left="-567"/>
        <w:rPr>
          <w:rFonts w:asciiTheme="minorHAnsi" w:hAnsiTheme="minorHAnsi" w:cstheme="minorHAnsi"/>
          <w:sz w:val="22"/>
          <w:szCs w:val="22"/>
        </w:rPr>
      </w:pPr>
      <w:r w:rsidRPr="00FD6184">
        <w:rPr>
          <w:rFonts w:asciiTheme="minorHAnsi" w:hAnsiTheme="minorHAnsi" w:cstheme="minorHAnsi"/>
          <w:sz w:val="22"/>
          <w:szCs w:val="22"/>
        </w:rPr>
        <w:t>This instrument is compatible with the human rights and freedoms recognised or declared in the international instruments listed in section 3 of the HR Act</w:t>
      </w:r>
      <w:r w:rsidRPr="00FD6184">
        <w:rPr>
          <w:rFonts w:asciiTheme="minorHAnsi" w:hAnsiTheme="minorHAnsi" w:cstheme="minorHAnsi"/>
          <w:i/>
          <w:iCs/>
          <w:sz w:val="22"/>
          <w:szCs w:val="22"/>
        </w:rPr>
        <w:t>.</w:t>
      </w:r>
    </w:p>
    <w:p w14:paraId="1FC9F76D" w14:textId="77777777" w:rsidR="00213AE5" w:rsidRPr="00EC0795" w:rsidRDefault="00213AE5" w:rsidP="00213AE5">
      <w:pPr>
        <w:pStyle w:val="Heading3"/>
        <w:ind w:left="-567"/>
        <w:rPr>
          <w:rFonts w:asciiTheme="minorHAnsi" w:hAnsiTheme="minorHAnsi" w:cstheme="minorHAnsi"/>
          <w:b/>
          <w:i/>
          <w:color w:val="auto"/>
          <w:sz w:val="22"/>
          <w:szCs w:val="22"/>
        </w:rPr>
      </w:pPr>
      <w:r w:rsidRPr="00EC0795">
        <w:rPr>
          <w:rFonts w:asciiTheme="minorHAnsi" w:hAnsiTheme="minorHAnsi" w:cstheme="minorHAnsi"/>
          <w:b/>
          <w:i/>
          <w:color w:val="auto"/>
          <w:sz w:val="22"/>
          <w:szCs w:val="22"/>
        </w:rPr>
        <w:t>Overview of the legislative instrument</w:t>
      </w:r>
    </w:p>
    <w:p w14:paraId="46361DFA" w14:textId="2EFC0025" w:rsidR="00497BA6" w:rsidRPr="00AA5AA6" w:rsidRDefault="00213AE5" w:rsidP="00AA5AA6">
      <w:pPr>
        <w:shd w:val="clear" w:color="auto" w:fill="FFFFFF"/>
        <w:spacing w:before="120" w:after="120"/>
        <w:ind w:left="-567"/>
        <w:jc w:val="both"/>
        <w:rPr>
          <w:rFonts w:asciiTheme="minorHAnsi" w:hAnsiTheme="minorHAnsi" w:cstheme="minorHAnsi"/>
          <w:sz w:val="22"/>
          <w:szCs w:val="22"/>
        </w:rPr>
      </w:pPr>
      <w:r w:rsidRPr="00FD6184">
        <w:rPr>
          <w:rFonts w:asciiTheme="minorHAnsi" w:hAnsiTheme="minorHAnsi" w:cstheme="minorHAnsi"/>
          <w:sz w:val="22"/>
          <w:szCs w:val="22"/>
        </w:rPr>
        <w:t>Th</w:t>
      </w:r>
      <w:r w:rsidR="0088794F">
        <w:rPr>
          <w:rFonts w:asciiTheme="minorHAnsi" w:hAnsiTheme="minorHAnsi" w:cstheme="minorHAnsi"/>
          <w:sz w:val="22"/>
          <w:szCs w:val="22"/>
        </w:rPr>
        <w:t>is instrument is</w:t>
      </w:r>
      <w:r w:rsidRPr="00FD6184">
        <w:rPr>
          <w:rFonts w:asciiTheme="minorHAnsi" w:hAnsiTheme="minorHAnsi" w:cstheme="minorHAnsi"/>
          <w:sz w:val="22"/>
          <w:szCs w:val="22"/>
        </w:rPr>
        <w:t xml:space="preserve"> made under s</w:t>
      </w:r>
      <w:r w:rsidR="00497BA6">
        <w:rPr>
          <w:rFonts w:asciiTheme="minorHAnsi" w:hAnsiTheme="minorHAnsi" w:cstheme="minorHAnsi"/>
          <w:sz w:val="22"/>
          <w:szCs w:val="22"/>
        </w:rPr>
        <w:t>ection 34</w:t>
      </w:r>
      <w:r w:rsidR="00AC2666">
        <w:rPr>
          <w:rFonts w:asciiTheme="minorHAnsi" w:hAnsiTheme="minorHAnsi" w:cstheme="minorHAnsi"/>
          <w:sz w:val="22"/>
          <w:szCs w:val="22"/>
        </w:rPr>
        <w:t>E</w:t>
      </w:r>
      <w:r w:rsidRPr="00FD6184">
        <w:rPr>
          <w:rFonts w:asciiTheme="minorHAnsi" w:hAnsiTheme="minorHAnsi" w:cstheme="minorHAnsi"/>
          <w:sz w:val="22"/>
          <w:szCs w:val="22"/>
        </w:rPr>
        <w:t xml:space="preserve"> of the </w:t>
      </w:r>
      <w:r w:rsidRPr="00AA5AA6">
        <w:rPr>
          <w:rFonts w:asciiTheme="minorHAnsi" w:hAnsiTheme="minorHAnsi" w:cstheme="minorHAnsi"/>
          <w:i/>
          <w:sz w:val="22"/>
          <w:szCs w:val="22"/>
        </w:rPr>
        <w:t>Safety, Rehabilitation and Compensation Act 1988</w:t>
      </w:r>
      <w:r w:rsidRPr="00AA5AA6">
        <w:rPr>
          <w:rFonts w:asciiTheme="minorHAnsi" w:hAnsiTheme="minorHAnsi" w:cstheme="minorHAnsi"/>
          <w:sz w:val="22"/>
          <w:szCs w:val="22"/>
        </w:rPr>
        <w:t xml:space="preserve"> </w:t>
      </w:r>
      <w:r w:rsidRPr="00FD6184">
        <w:rPr>
          <w:rFonts w:asciiTheme="minorHAnsi" w:hAnsiTheme="minorHAnsi" w:cstheme="minorHAnsi"/>
          <w:sz w:val="22"/>
          <w:szCs w:val="22"/>
        </w:rPr>
        <w:t>(</w:t>
      </w:r>
      <w:r w:rsidRPr="00AA5AA6">
        <w:rPr>
          <w:rFonts w:asciiTheme="minorHAnsi" w:hAnsiTheme="minorHAnsi" w:cstheme="minorHAnsi"/>
          <w:b/>
          <w:sz w:val="22"/>
          <w:szCs w:val="22"/>
        </w:rPr>
        <w:t>the SRC Act</w:t>
      </w:r>
      <w:r w:rsidRPr="00FD6184">
        <w:rPr>
          <w:rFonts w:asciiTheme="minorHAnsi" w:hAnsiTheme="minorHAnsi" w:cstheme="minorHAnsi"/>
          <w:sz w:val="22"/>
          <w:szCs w:val="22"/>
        </w:rPr>
        <w:t>)</w:t>
      </w:r>
      <w:r w:rsidRPr="00AA5AA6">
        <w:rPr>
          <w:rFonts w:asciiTheme="minorHAnsi" w:hAnsiTheme="minorHAnsi" w:cstheme="minorHAnsi"/>
          <w:sz w:val="22"/>
          <w:szCs w:val="22"/>
        </w:rPr>
        <w:t xml:space="preserve">. </w:t>
      </w:r>
    </w:p>
    <w:p w14:paraId="56CDDD1C" w14:textId="30788494" w:rsidR="00497BA6" w:rsidRDefault="00497BA6" w:rsidP="00AA5AA6">
      <w:pPr>
        <w:shd w:val="clear" w:color="auto" w:fill="FFFFFF"/>
        <w:spacing w:before="120" w:after="120"/>
        <w:ind w:left="-567"/>
        <w:jc w:val="both"/>
        <w:rPr>
          <w:rFonts w:asciiTheme="minorHAnsi" w:hAnsiTheme="minorHAnsi" w:cstheme="minorHAnsi"/>
          <w:sz w:val="22"/>
          <w:szCs w:val="22"/>
        </w:rPr>
      </w:pPr>
      <w:r w:rsidRPr="00497BA6">
        <w:rPr>
          <w:rFonts w:asciiTheme="minorHAnsi" w:hAnsiTheme="minorHAnsi" w:cstheme="minorHAnsi"/>
          <w:sz w:val="22"/>
          <w:szCs w:val="22"/>
        </w:rPr>
        <w:t>The purpose of the Instrument is to establish the</w:t>
      </w:r>
      <w:r w:rsidR="00AC2666">
        <w:rPr>
          <w:rFonts w:asciiTheme="minorHAnsi" w:hAnsiTheme="minorHAnsi" w:cstheme="minorHAnsi"/>
          <w:sz w:val="22"/>
          <w:szCs w:val="22"/>
        </w:rPr>
        <w:t xml:space="preserve"> minimum operational standards that an approved rehabilitation program provider</w:t>
      </w:r>
      <w:r w:rsidRPr="00497BA6">
        <w:rPr>
          <w:rFonts w:asciiTheme="minorHAnsi" w:hAnsiTheme="minorHAnsi" w:cstheme="minorHAnsi"/>
          <w:sz w:val="22"/>
          <w:szCs w:val="22"/>
        </w:rPr>
        <w:t xml:space="preserve"> under the SRC </w:t>
      </w:r>
      <w:r w:rsidR="0088794F" w:rsidRPr="00497BA6">
        <w:rPr>
          <w:rFonts w:asciiTheme="minorHAnsi" w:hAnsiTheme="minorHAnsi" w:cstheme="minorHAnsi"/>
          <w:sz w:val="22"/>
          <w:szCs w:val="22"/>
        </w:rPr>
        <w:t>Ac</w:t>
      </w:r>
      <w:r w:rsidR="0088794F">
        <w:rPr>
          <w:rFonts w:asciiTheme="minorHAnsi" w:hAnsiTheme="minorHAnsi" w:cstheme="minorHAnsi"/>
          <w:sz w:val="22"/>
          <w:szCs w:val="22"/>
        </w:rPr>
        <w:t xml:space="preserve">t </w:t>
      </w:r>
      <w:r w:rsidR="00AC2666">
        <w:rPr>
          <w:rFonts w:asciiTheme="minorHAnsi" w:hAnsiTheme="minorHAnsi" w:cstheme="minorHAnsi"/>
          <w:sz w:val="22"/>
          <w:szCs w:val="22"/>
        </w:rPr>
        <w:t>must continue to</w:t>
      </w:r>
      <w:r w:rsidRPr="00497BA6">
        <w:rPr>
          <w:rFonts w:asciiTheme="minorHAnsi" w:hAnsiTheme="minorHAnsi" w:cstheme="minorHAnsi"/>
          <w:sz w:val="22"/>
          <w:szCs w:val="22"/>
        </w:rPr>
        <w:t xml:space="preserve"> meet </w:t>
      </w:r>
      <w:r w:rsidR="00261853">
        <w:rPr>
          <w:rFonts w:asciiTheme="minorHAnsi" w:hAnsiTheme="minorHAnsi" w:cstheme="minorHAnsi"/>
          <w:sz w:val="22"/>
          <w:szCs w:val="22"/>
        </w:rPr>
        <w:t>during</w:t>
      </w:r>
      <w:r w:rsidRPr="00497BA6">
        <w:rPr>
          <w:rFonts w:asciiTheme="minorHAnsi" w:hAnsiTheme="minorHAnsi" w:cstheme="minorHAnsi"/>
          <w:sz w:val="22"/>
          <w:szCs w:val="22"/>
        </w:rPr>
        <w:t xml:space="preserve"> the approval period. The </w:t>
      </w:r>
      <w:r w:rsidR="00AC2666">
        <w:rPr>
          <w:rFonts w:asciiTheme="minorHAnsi" w:hAnsiTheme="minorHAnsi" w:cstheme="minorHAnsi"/>
          <w:sz w:val="22"/>
          <w:szCs w:val="22"/>
        </w:rPr>
        <w:t>operation standards</w:t>
      </w:r>
      <w:r w:rsidRPr="00497BA6">
        <w:rPr>
          <w:rFonts w:asciiTheme="minorHAnsi" w:hAnsiTheme="minorHAnsi" w:cstheme="minorHAnsi"/>
          <w:sz w:val="22"/>
          <w:szCs w:val="22"/>
        </w:rPr>
        <w:t xml:space="preserve"> include matters </w:t>
      </w:r>
      <w:r w:rsidR="00AC2666">
        <w:rPr>
          <w:rFonts w:asciiTheme="minorHAnsi" w:hAnsiTheme="minorHAnsi" w:cstheme="minorHAnsi"/>
          <w:sz w:val="22"/>
          <w:szCs w:val="22"/>
        </w:rPr>
        <w:t xml:space="preserve">such as effectiveness, availability, cost, governance, solvency, </w:t>
      </w:r>
      <w:r w:rsidRPr="00497BA6">
        <w:rPr>
          <w:rFonts w:asciiTheme="minorHAnsi" w:hAnsiTheme="minorHAnsi" w:cstheme="minorHAnsi"/>
          <w:sz w:val="22"/>
          <w:szCs w:val="22"/>
        </w:rPr>
        <w:t>qualifications</w:t>
      </w:r>
      <w:r w:rsidR="00AC2666">
        <w:rPr>
          <w:rFonts w:asciiTheme="minorHAnsi" w:hAnsiTheme="minorHAnsi" w:cstheme="minorHAnsi"/>
          <w:sz w:val="22"/>
          <w:szCs w:val="22"/>
        </w:rPr>
        <w:t xml:space="preserve"> and practices of individuals providing rehabilitation services. </w:t>
      </w:r>
      <w:r w:rsidRPr="00497BA6">
        <w:rPr>
          <w:rFonts w:asciiTheme="minorHAnsi" w:hAnsiTheme="minorHAnsi" w:cstheme="minorHAnsi"/>
          <w:sz w:val="22"/>
          <w:szCs w:val="22"/>
        </w:rPr>
        <w:t xml:space="preserve"> </w:t>
      </w:r>
    </w:p>
    <w:p w14:paraId="09FB245F" w14:textId="56DC26EB" w:rsidR="00497BA6" w:rsidRPr="00497BA6" w:rsidRDefault="00497BA6" w:rsidP="0088794F">
      <w:pPr>
        <w:spacing w:before="120" w:after="120"/>
        <w:ind w:left="-567"/>
        <w:rPr>
          <w:rFonts w:asciiTheme="minorHAnsi" w:hAnsiTheme="minorHAnsi" w:cstheme="minorHAnsi"/>
          <w:sz w:val="22"/>
          <w:szCs w:val="22"/>
        </w:rPr>
      </w:pPr>
      <w:r w:rsidRPr="00497BA6">
        <w:rPr>
          <w:rFonts w:asciiTheme="minorHAnsi" w:hAnsiTheme="minorHAnsi" w:cstheme="minorHAnsi"/>
          <w:sz w:val="22"/>
          <w:szCs w:val="22"/>
        </w:rPr>
        <w:t>This Legislative Instrument will affect:</w:t>
      </w:r>
    </w:p>
    <w:p w14:paraId="1668BA8A" w14:textId="07B30C2A" w:rsidR="00497BA6" w:rsidRPr="0088794F" w:rsidRDefault="00497BA6" w:rsidP="0088794F">
      <w:pPr>
        <w:pStyle w:val="ListParagraph"/>
        <w:numPr>
          <w:ilvl w:val="0"/>
          <w:numId w:val="45"/>
        </w:numPr>
        <w:spacing w:before="120" w:after="120"/>
        <w:rPr>
          <w:rFonts w:asciiTheme="minorHAnsi" w:hAnsiTheme="minorHAnsi" w:cstheme="minorHAnsi"/>
          <w:sz w:val="22"/>
          <w:szCs w:val="22"/>
        </w:rPr>
      </w:pPr>
      <w:r w:rsidRPr="0088794F">
        <w:rPr>
          <w:rFonts w:asciiTheme="minorHAnsi" w:hAnsiTheme="minorHAnsi" w:cstheme="minorHAnsi"/>
          <w:sz w:val="22"/>
          <w:szCs w:val="22"/>
        </w:rPr>
        <w:t>employees requiring rehabilitation services;</w:t>
      </w:r>
    </w:p>
    <w:p w14:paraId="37C0A40F" w14:textId="0CAF8ABA" w:rsidR="00497BA6" w:rsidRPr="0088794F" w:rsidRDefault="00497BA6" w:rsidP="0088794F">
      <w:pPr>
        <w:pStyle w:val="ListParagraph"/>
        <w:numPr>
          <w:ilvl w:val="0"/>
          <w:numId w:val="45"/>
        </w:numPr>
        <w:spacing w:before="120" w:after="120"/>
        <w:rPr>
          <w:rFonts w:asciiTheme="minorHAnsi" w:hAnsiTheme="minorHAnsi" w:cstheme="minorHAnsi"/>
          <w:sz w:val="22"/>
          <w:szCs w:val="22"/>
        </w:rPr>
      </w:pPr>
      <w:r w:rsidRPr="0088794F">
        <w:rPr>
          <w:rFonts w:asciiTheme="minorHAnsi" w:hAnsiTheme="minorHAnsi" w:cstheme="minorHAnsi"/>
          <w:sz w:val="22"/>
          <w:szCs w:val="22"/>
        </w:rPr>
        <w:t>individuals, partnerships and companies (and their employees) approved as rehabilitation program providers; and</w:t>
      </w:r>
    </w:p>
    <w:p w14:paraId="063BC057" w14:textId="77777777" w:rsidR="0088794F" w:rsidRDefault="00497BA6" w:rsidP="0088794F">
      <w:pPr>
        <w:pStyle w:val="ListParagraph"/>
        <w:numPr>
          <w:ilvl w:val="0"/>
          <w:numId w:val="45"/>
        </w:numPr>
        <w:spacing w:before="120" w:after="120"/>
        <w:rPr>
          <w:rFonts w:asciiTheme="minorHAnsi" w:hAnsiTheme="minorHAnsi" w:cstheme="minorHAnsi"/>
          <w:sz w:val="22"/>
          <w:szCs w:val="22"/>
        </w:rPr>
      </w:pPr>
      <w:r w:rsidRPr="0088794F">
        <w:rPr>
          <w:rFonts w:asciiTheme="minorHAnsi" w:hAnsiTheme="minorHAnsi" w:cstheme="minorHAnsi"/>
          <w:sz w:val="22"/>
          <w:szCs w:val="22"/>
        </w:rPr>
        <w:t>employers with rehabilitation obligations towards employees.</w:t>
      </w:r>
    </w:p>
    <w:p w14:paraId="75D116F9" w14:textId="3D4E766A" w:rsidR="00213AE5" w:rsidRPr="0088794F" w:rsidRDefault="00213AE5" w:rsidP="0088794F">
      <w:pPr>
        <w:pStyle w:val="Heading3"/>
        <w:ind w:left="-567"/>
        <w:rPr>
          <w:rFonts w:asciiTheme="minorHAnsi" w:hAnsiTheme="minorHAnsi" w:cstheme="minorHAnsi"/>
          <w:b/>
          <w:i/>
          <w:color w:val="auto"/>
          <w:sz w:val="22"/>
          <w:szCs w:val="22"/>
        </w:rPr>
      </w:pPr>
      <w:r w:rsidRPr="0088794F">
        <w:rPr>
          <w:rFonts w:asciiTheme="minorHAnsi" w:hAnsiTheme="minorHAnsi" w:cstheme="minorHAnsi"/>
          <w:b/>
          <w:i/>
          <w:color w:val="auto"/>
          <w:sz w:val="22"/>
          <w:szCs w:val="22"/>
        </w:rPr>
        <w:t>Human rights implications</w:t>
      </w:r>
    </w:p>
    <w:p w14:paraId="4B7E7737" w14:textId="68E064B6" w:rsidR="001A7A9B" w:rsidRDefault="00213AE5" w:rsidP="00AA5AA6">
      <w:pPr>
        <w:shd w:val="clear" w:color="auto" w:fill="FFFFFF"/>
        <w:spacing w:before="120" w:after="120"/>
        <w:ind w:left="-567"/>
        <w:jc w:val="both"/>
        <w:rPr>
          <w:rFonts w:asciiTheme="minorHAnsi" w:hAnsiTheme="minorHAnsi" w:cstheme="minorHAnsi"/>
          <w:sz w:val="22"/>
          <w:szCs w:val="22"/>
        </w:rPr>
      </w:pPr>
      <w:r w:rsidRPr="00FD6184">
        <w:rPr>
          <w:rFonts w:asciiTheme="minorHAnsi" w:hAnsiTheme="minorHAnsi" w:cstheme="minorHAnsi"/>
          <w:sz w:val="22"/>
          <w:szCs w:val="22"/>
        </w:rPr>
        <w:t xml:space="preserve">Comcare has assessed whether the instrument is compatible with the human rights and freedoms recognised or declared by the international instruments listed in subsection 3(1) of the HR Act as they apply to Australia. </w:t>
      </w:r>
    </w:p>
    <w:p w14:paraId="75370B2E" w14:textId="57F4EBCD" w:rsidR="001A7A9B" w:rsidRDefault="00DB1C44" w:rsidP="001A7A9B">
      <w:pPr>
        <w:spacing w:before="120" w:after="120"/>
        <w:ind w:left="-567"/>
        <w:rPr>
          <w:rFonts w:asciiTheme="minorHAnsi" w:hAnsiTheme="minorHAnsi" w:cstheme="minorHAnsi"/>
          <w:sz w:val="22"/>
          <w:szCs w:val="22"/>
        </w:rPr>
      </w:pPr>
      <w:r w:rsidRPr="001A7A9B">
        <w:rPr>
          <w:rFonts w:asciiTheme="minorHAnsi" w:hAnsiTheme="minorHAnsi" w:cstheme="minorHAnsi"/>
          <w:sz w:val="22"/>
          <w:szCs w:val="22"/>
        </w:rPr>
        <w:t>The Instrument engages the following rights:</w:t>
      </w:r>
    </w:p>
    <w:p w14:paraId="48538E76" w14:textId="0F4F6DE1" w:rsidR="00DB1C44" w:rsidRPr="001A7A9B" w:rsidRDefault="00DB1C44" w:rsidP="001A7A9B">
      <w:pPr>
        <w:pStyle w:val="ListParagraph"/>
        <w:numPr>
          <w:ilvl w:val="0"/>
          <w:numId w:val="44"/>
        </w:numPr>
        <w:spacing w:before="120" w:after="120"/>
        <w:rPr>
          <w:rFonts w:asciiTheme="minorHAnsi" w:hAnsiTheme="minorHAnsi" w:cstheme="minorHAnsi"/>
          <w:sz w:val="22"/>
          <w:szCs w:val="22"/>
        </w:rPr>
      </w:pPr>
      <w:r w:rsidRPr="001A7A9B">
        <w:rPr>
          <w:rFonts w:asciiTheme="minorHAnsi" w:hAnsiTheme="minorHAnsi" w:cstheme="minorHAnsi"/>
          <w:sz w:val="22"/>
          <w:szCs w:val="22"/>
        </w:rPr>
        <w:t xml:space="preserve">the rights of people with disability; </w:t>
      </w:r>
    </w:p>
    <w:p w14:paraId="488D23BA" w14:textId="77777777" w:rsidR="00DB1C44" w:rsidRPr="001A7A9B" w:rsidRDefault="00DB1C44" w:rsidP="001A7A9B">
      <w:pPr>
        <w:pStyle w:val="ListParagraph"/>
        <w:numPr>
          <w:ilvl w:val="0"/>
          <w:numId w:val="44"/>
        </w:numPr>
        <w:spacing w:before="120" w:after="120"/>
        <w:rPr>
          <w:rFonts w:asciiTheme="minorHAnsi" w:hAnsiTheme="minorHAnsi" w:cstheme="minorHAnsi"/>
          <w:sz w:val="22"/>
          <w:szCs w:val="22"/>
        </w:rPr>
      </w:pPr>
      <w:r w:rsidRPr="001A7A9B">
        <w:rPr>
          <w:rFonts w:asciiTheme="minorHAnsi" w:hAnsiTheme="minorHAnsi" w:cstheme="minorHAnsi"/>
          <w:sz w:val="22"/>
          <w:szCs w:val="22"/>
        </w:rPr>
        <w:t>the right to work; and</w:t>
      </w:r>
    </w:p>
    <w:p w14:paraId="69A06EC2" w14:textId="77777777" w:rsidR="00DB1C44" w:rsidRPr="001A7A9B" w:rsidRDefault="00DB1C44" w:rsidP="001A7A9B">
      <w:pPr>
        <w:pStyle w:val="ListParagraph"/>
        <w:numPr>
          <w:ilvl w:val="0"/>
          <w:numId w:val="44"/>
        </w:numPr>
        <w:spacing w:before="120" w:after="120"/>
        <w:rPr>
          <w:rFonts w:asciiTheme="minorHAnsi" w:hAnsiTheme="minorHAnsi" w:cstheme="minorHAnsi"/>
          <w:sz w:val="22"/>
          <w:szCs w:val="22"/>
        </w:rPr>
      </w:pPr>
      <w:r w:rsidRPr="001A7A9B">
        <w:rPr>
          <w:rFonts w:asciiTheme="minorHAnsi" w:hAnsiTheme="minorHAnsi" w:cstheme="minorHAnsi"/>
          <w:sz w:val="22"/>
          <w:szCs w:val="22"/>
        </w:rPr>
        <w:t>the right to privacy and reputation.</w:t>
      </w:r>
    </w:p>
    <w:p w14:paraId="4AC600A9" w14:textId="77777777" w:rsidR="00DB1C44" w:rsidRPr="00E628E3" w:rsidRDefault="00DB1C44" w:rsidP="001A7A9B">
      <w:pPr>
        <w:spacing w:before="120" w:after="120"/>
        <w:ind w:left="-567"/>
        <w:rPr>
          <w:rFonts w:asciiTheme="minorHAnsi" w:hAnsiTheme="minorHAnsi" w:cstheme="minorHAnsi"/>
          <w:i/>
          <w:sz w:val="22"/>
          <w:szCs w:val="22"/>
        </w:rPr>
      </w:pPr>
      <w:r w:rsidRPr="00E628E3">
        <w:rPr>
          <w:rFonts w:asciiTheme="minorHAnsi" w:hAnsiTheme="minorHAnsi" w:cstheme="minorHAnsi"/>
          <w:i/>
          <w:sz w:val="22"/>
          <w:szCs w:val="22"/>
        </w:rPr>
        <w:t>The rights of people with disability</w:t>
      </w:r>
    </w:p>
    <w:p w14:paraId="6E7F5833" w14:textId="2858B2F2" w:rsidR="0088794F" w:rsidRDefault="00DB1C44" w:rsidP="00AA5AA6">
      <w:pPr>
        <w:shd w:val="clear" w:color="auto" w:fill="FFFFFF"/>
        <w:spacing w:before="120" w:after="120"/>
        <w:ind w:left="-567"/>
        <w:jc w:val="both"/>
        <w:rPr>
          <w:rFonts w:asciiTheme="minorHAnsi" w:hAnsiTheme="minorHAnsi" w:cstheme="minorHAnsi"/>
          <w:sz w:val="22"/>
          <w:szCs w:val="22"/>
        </w:rPr>
      </w:pPr>
      <w:r w:rsidRPr="001A7A9B">
        <w:rPr>
          <w:rFonts w:asciiTheme="minorHAnsi" w:hAnsiTheme="minorHAnsi" w:cstheme="minorHAnsi"/>
          <w:sz w:val="22"/>
          <w:szCs w:val="22"/>
        </w:rPr>
        <w:t>The rights of people with disability are in the Convention of the Rights of Persons with Disabilities (CRPD). The CRPD rights engaged by the Instrument are Article 26 (</w:t>
      </w:r>
      <w:proofErr w:type="spellStart"/>
      <w:r w:rsidRPr="001A7A9B">
        <w:rPr>
          <w:rFonts w:asciiTheme="minorHAnsi" w:hAnsiTheme="minorHAnsi" w:cstheme="minorHAnsi"/>
          <w:sz w:val="22"/>
          <w:szCs w:val="22"/>
        </w:rPr>
        <w:t>habilitation</w:t>
      </w:r>
      <w:proofErr w:type="spellEnd"/>
      <w:r w:rsidRPr="001A7A9B">
        <w:rPr>
          <w:rFonts w:asciiTheme="minorHAnsi" w:hAnsiTheme="minorHAnsi" w:cstheme="minorHAnsi"/>
          <w:sz w:val="22"/>
          <w:szCs w:val="22"/>
        </w:rPr>
        <w:t xml:space="preserve"> and rehabilitation) and Article 27 (work and employment).</w:t>
      </w:r>
    </w:p>
    <w:p w14:paraId="081D9132" w14:textId="4D05B1B5" w:rsidR="00DB1C44" w:rsidRPr="001A7A9B" w:rsidRDefault="00DB1C44" w:rsidP="00AA5AA6">
      <w:pPr>
        <w:shd w:val="clear" w:color="auto" w:fill="FFFFFF"/>
        <w:spacing w:before="120" w:after="120"/>
        <w:ind w:left="-567"/>
        <w:jc w:val="both"/>
        <w:rPr>
          <w:rFonts w:asciiTheme="minorHAnsi" w:hAnsiTheme="minorHAnsi" w:cstheme="minorHAnsi"/>
          <w:sz w:val="22"/>
          <w:szCs w:val="22"/>
        </w:rPr>
      </w:pPr>
      <w:r w:rsidRPr="001A7A9B">
        <w:rPr>
          <w:rFonts w:asciiTheme="minorHAnsi" w:hAnsiTheme="minorHAnsi" w:cstheme="minorHAnsi"/>
          <w:sz w:val="22"/>
          <w:szCs w:val="22"/>
        </w:rPr>
        <w:t xml:space="preserve">Article 26 requires countries to organise and strengthen </w:t>
      </w:r>
      <w:proofErr w:type="spellStart"/>
      <w:r w:rsidRPr="001A7A9B">
        <w:rPr>
          <w:rFonts w:asciiTheme="minorHAnsi" w:hAnsiTheme="minorHAnsi" w:cstheme="minorHAnsi"/>
          <w:sz w:val="22"/>
          <w:szCs w:val="22"/>
        </w:rPr>
        <w:t>habilitation</w:t>
      </w:r>
      <w:proofErr w:type="spellEnd"/>
      <w:r w:rsidRPr="001A7A9B">
        <w:rPr>
          <w:rFonts w:asciiTheme="minorHAnsi" w:hAnsiTheme="minorHAnsi" w:cstheme="minorHAnsi"/>
          <w:sz w:val="22"/>
          <w:szCs w:val="22"/>
        </w:rPr>
        <w:t xml:space="preserve"> and rehabilitation programmes for people with disability, particularly in health, employment, education and social services. Article 26(2) requires the promotion and development of initial and continuing training for professionals and staff working in </w:t>
      </w:r>
      <w:proofErr w:type="spellStart"/>
      <w:r w:rsidRPr="001A7A9B">
        <w:rPr>
          <w:rFonts w:asciiTheme="minorHAnsi" w:hAnsiTheme="minorHAnsi" w:cstheme="minorHAnsi"/>
          <w:sz w:val="22"/>
          <w:szCs w:val="22"/>
        </w:rPr>
        <w:t>habilitation</w:t>
      </w:r>
      <w:proofErr w:type="spellEnd"/>
      <w:r w:rsidRPr="001A7A9B">
        <w:rPr>
          <w:rFonts w:asciiTheme="minorHAnsi" w:hAnsiTheme="minorHAnsi" w:cstheme="minorHAnsi"/>
          <w:sz w:val="22"/>
          <w:szCs w:val="22"/>
        </w:rPr>
        <w:t xml:space="preserve"> and rehabilitation services. </w:t>
      </w:r>
    </w:p>
    <w:p w14:paraId="7157D14D" w14:textId="7F59A47D" w:rsidR="00DB1C44" w:rsidRPr="001A7A9B" w:rsidRDefault="00DB1C44" w:rsidP="00AA5AA6">
      <w:pPr>
        <w:shd w:val="clear" w:color="auto" w:fill="FFFFFF"/>
        <w:spacing w:before="120" w:after="120"/>
        <w:ind w:left="-567"/>
        <w:jc w:val="both"/>
        <w:rPr>
          <w:rFonts w:asciiTheme="minorHAnsi" w:hAnsiTheme="minorHAnsi" w:cstheme="minorHAnsi"/>
          <w:sz w:val="22"/>
          <w:szCs w:val="22"/>
        </w:rPr>
      </w:pPr>
      <w:r w:rsidRPr="001A7A9B">
        <w:rPr>
          <w:rFonts w:asciiTheme="minorHAnsi" w:hAnsiTheme="minorHAnsi" w:cstheme="minorHAnsi"/>
          <w:sz w:val="22"/>
          <w:szCs w:val="22"/>
        </w:rPr>
        <w:t xml:space="preserve">Article 27 establishes the right of persons with disabilities to </w:t>
      </w:r>
      <w:r w:rsidR="0088794F" w:rsidRPr="001A7A9B">
        <w:rPr>
          <w:rFonts w:asciiTheme="minorHAnsi" w:hAnsiTheme="minorHAnsi" w:cstheme="minorHAnsi"/>
          <w:sz w:val="22"/>
          <w:szCs w:val="22"/>
        </w:rPr>
        <w:t>work and</w:t>
      </w:r>
      <w:r w:rsidRPr="001A7A9B">
        <w:rPr>
          <w:rFonts w:asciiTheme="minorHAnsi" w:hAnsiTheme="minorHAnsi" w:cstheme="minorHAnsi"/>
          <w:sz w:val="22"/>
          <w:szCs w:val="22"/>
        </w:rPr>
        <w:t xml:space="preserve"> includes the right to the opportunity to gain a living by work freely chosen or accepted in a labour market and work environment that is open, inclusive and accessible to persons with disabilities. Article 27(1)(k) </w:t>
      </w:r>
      <w:r w:rsidRPr="001A7A9B">
        <w:rPr>
          <w:rFonts w:asciiTheme="minorHAnsi" w:hAnsiTheme="minorHAnsi" w:cstheme="minorHAnsi"/>
          <w:sz w:val="22"/>
          <w:szCs w:val="22"/>
        </w:rPr>
        <w:lastRenderedPageBreak/>
        <w:t xml:space="preserve">requires the promotion of vocational and professional rehabilitation, job retention and return to work programmes for persons with disabilities. </w:t>
      </w:r>
    </w:p>
    <w:p w14:paraId="51056245" w14:textId="62F88A94" w:rsidR="00DB1C44" w:rsidRPr="001A7A9B" w:rsidRDefault="00DB1C44" w:rsidP="00AA5AA6">
      <w:pPr>
        <w:shd w:val="clear" w:color="auto" w:fill="FFFFFF"/>
        <w:spacing w:before="120" w:after="120"/>
        <w:ind w:left="-567"/>
        <w:jc w:val="both"/>
        <w:rPr>
          <w:rFonts w:asciiTheme="minorHAnsi" w:hAnsiTheme="minorHAnsi" w:cstheme="minorHAnsi"/>
          <w:sz w:val="22"/>
          <w:szCs w:val="22"/>
        </w:rPr>
      </w:pPr>
      <w:r w:rsidRPr="001A7A9B">
        <w:rPr>
          <w:rFonts w:asciiTheme="minorHAnsi" w:hAnsiTheme="minorHAnsi" w:cstheme="minorHAnsi"/>
          <w:sz w:val="22"/>
          <w:szCs w:val="22"/>
        </w:rPr>
        <w:t>This Instrument is compatible with human rights because it advances the protection of rights for people with disability by encouraging rehabilitation and participation in the work force.</w:t>
      </w:r>
    </w:p>
    <w:p w14:paraId="5697CF1A" w14:textId="77A7A6A8" w:rsidR="00DB1C44" w:rsidRPr="001A7A9B" w:rsidRDefault="00DB1C44" w:rsidP="00AA5AA6">
      <w:pPr>
        <w:shd w:val="clear" w:color="auto" w:fill="FFFFFF"/>
        <w:spacing w:before="120" w:after="120"/>
        <w:ind w:left="-567"/>
        <w:jc w:val="both"/>
        <w:rPr>
          <w:rFonts w:asciiTheme="minorHAnsi" w:hAnsiTheme="minorHAnsi" w:cstheme="minorHAnsi"/>
          <w:sz w:val="22"/>
          <w:szCs w:val="22"/>
        </w:rPr>
      </w:pPr>
      <w:r w:rsidRPr="001A7A9B">
        <w:rPr>
          <w:rFonts w:asciiTheme="minorHAnsi" w:hAnsiTheme="minorHAnsi" w:cstheme="minorHAnsi"/>
          <w:sz w:val="22"/>
          <w:szCs w:val="22"/>
        </w:rPr>
        <w:t xml:space="preserve">The Instruments sets </w:t>
      </w:r>
      <w:r w:rsidR="0090080C" w:rsidRPr="001A7A9B">
        <w:rPr>
          <w:rFonts w:asciiTheme="minorHAnsi" w:hAnsiTheme="minorHAnsi" w:cstheme="minorHAnsi"/>
          <w:sz w:val="22"/>
          <w:szCs w:val="22"/>
        </w:rPr>
        <w:t>several</w:t>
      </w:r>
      <w:r w:rsidRPr="001A7A9B">
        <w:rPr>
          <w:rFonts w:asciiTheme="minorHAnsi" w:hAnsiTheme="minorHAnsi" w:cstheme="minorHAnsi"/>
          <w:sz w:val="22"/>
          <w:szCs w:val="22"/>
        </w:rPr>
        <w:t xml:space="preserve"> </w:t>
      </w:r>
      <w:r w:rsidR="009D4AF4">
        <w:rPr>
          <w:rFonts w:asciiTheme="minorHAnsi" w:hAnsiTheme="minorHAnsi" w:cstheme="minorHAnsi"/>
          <w:sz w:val="22"/>
          <w:szCs w:val="22"/>
        </w:rPr>
        <w:t xml:space="preserve">operational </w:t>
      </w:r>
      <w:r w:rsidR="0088794F">
        <w:rPr>
          <w:rFonts w:asciiTheme="minorHAnsi" w:hAnsiTheme="minorHAnsi" w:cstheme="minorHAnsi"/>
          <w:sz w:val="22"/>
          <w:szCs w:val="22"/>
        </w:rPr>
        <w:t>standards</w:t>
      </w:r>
      <w:r w:rsidRPr="001A7A9B">
        <w:rPr>
          <w:rFonts w:asciiTheme="minorHAnsi" w:hAnsiTheme="minorHAnsi" w:cstheme="minorHAnsi"/>
          <w:sz w:val="22"/>
          <w:szCs w:val="22"/>
        </w:rPr>
        <w:t xml:space="preserve"> with which</w:t>
      </w:r>
      <w:r w:rsidR="0090080C">
        <w:rPr>
          <w:rFonts w:asciiTheme="minorHAnsi" w:hAnsiTheme="minorHAnsi" w:cstheme="minorHAnsi"/>
          <w:sz w:val="22"/>
          <w:szCs w:val="22"/>
        </w:rPr>
        <w:t xml:space="preserve"> rehabilitation program providers</w:t>
      </w:r>
      <w:r w:rsidRPr="001A7A9B">
        <w:rPr>
          <w:rFonts w:asciiTheme="minorHAnsi" w:hAnsiTheme="minorHAnsi" w:cstheme="minorHAnsi"/>
          <w:sz w:val="22"/>
          <w:szCs w:val="22"/>
        </w:rPr>
        <w:t xml:space="preserve"> must comply. These include standards for organisational and administrative </w:t>
      </w:r>
      <w:r w:rsidR="00E628E3">
        <w:rPr>
          <w:rFonts w:asciiTheme="minorHAnsi" w:hAnsiTheme="minorHAnsi" w:cstheme="minorHAnsi"/>
          <w:sz w:val="22"/>
          <w:szCs w:val="22"/>
        </w:rPr>
        <w:t>management</w:t>
      </w:r>
      <w:r w:rsidRPr="001A7A9B">
        <w:rPr>
          <w:rFonts w:asciiTheme="minorHAnsi" w:hAnsiTheme="minorHAnsi" w:cstheme="minorHAnsi"/>
          <w:sz w:val="22"/>
          <w:szCs w:val="22"/>
        </w:rPr>
        <w:t xml:space="preserve">, quality assurance and continuous improvement; and principles for staff management and </w:t>
      </w:r>
      <w:r w:rsidR="00E628E3">
        <w:rPr>
          <w:rFonts w:asciiTheme="minorHAnsi" w:hAnsiTheme="minorHAnsi" w:cstheme="minorHAnsi"/>
          <w:sz w:val="22"/>
          <w:szCs w:val="22"/>
        </w:rPr>
        <w:t>effective</w:t>
      </w:r>
      <w:r w:rsidRPr="001A7A9B">
        <w:rPr>
          <w:rFonts w:asciiTheme="minorHAnsi" w:hAnsiTheme="minorHAnsi" w:cstheme="minorHAnsi"/>
          <w:sz w:val="22"/>
          <w:szCs w:val="22"/>
        </w:rPr>
        <w:t xml:space="preserve"> service delivery. This provides injured employees, including those with disabilities, with greater assurance of the quality of rehabilitation</w:t>
      </w:r>
      <w:r w:rsidR="00E628E3">
        <w:rPr>
          <w:rFonts w:asciiTheme="minorHAnsi" w:hAnsiTheme="minorHAnsi" w:cstheme="minorHAnsi"/>
          <w:sz w:val="22"/>
          <w:szCs w:val="22"/>
        </w:rPr>
        <w:t xml:space="preserve"> program</w:t>
      </w:r>
      <w:r w:rsidRPr="001A7A9B">
        <w:rPr>
          <w:rFonts w:asciiTheme="minorHAnsi" w:hAnsiTheme="minorHAnsi" w:cstheme="minorHAnsi"/>
          <w:sz w:val="22"/>
          <w:szCs w:val="22"/>
        </w:rPr>
        <w:t xml:space="preserve"> providers approved by Comcare</w:t>
      </w:r>
      <w:r w:rsidR="0090080C">
        <w:rPr>
          <w:rFonts w:asciiTheme="minorHAnsi" w:hAnsiTheme="minorHAnsi" w:cstheme="minorHAnsi"/>
          <w:sz w:val="22"/>
          <w:szCs w:val="22"/>
        </w:rPr>
        <w:t>.</w:t>
      </w:r>
    </w:p>
    <w:p w14:paraId="18F0F0B7" w14:textId="77777777" w:rsidR="00DB1C44" w:rsidRPr="00E628E3" w:rsidRDefault="00DB1C44" w:rsidP="00E628E3">
      <w:pPr>
        <w:spacing w:before="120" w:after="120"/>
        <w:ind w:left="-567"/>
        <w:rPr>
          <w:rFonts w:asciiTheme="minorHAnsi" w:hAnsiTheme="minorHAnsi" w:cstheme="minorHAnsi"/>
          <w:i/>
          <w:sz w:val="22"/>
          <w:szCs w:val="22"/>
        </w:rPr>
      </w:pPr>
      <w:r w:rsidRPr="00E628E3">
        <w:rPr>
          <w:rFonts w:asciiTheme="minorHAnsi" w:hAnsiTheme="minorHAnsi" w:cstheme="minorHAnsi"/>
          <w:i/>
          <w:sz w:val="22"/>
          <w:szCs w:val="22"/>
        </w:rPr>
        <w:t>The right to work</w:t>
      </w:r>
    </w:p>
    <w:p w14:paraId="6E4F4EE8" w14:textId="3C26B73C" w:rsidR="00DB1C44" w:rsidRPr="001A7A9B" w:rsidRDefault="00DB1C44" w:rsidP="00AA5AA6">
      <w:pPr>
        <w:shd w:val="clear" w:color="auto" w:fill="FFFFFF"/>
        <w:spacing w:before="120"/>
        <w:ind w:left="-567"/>
        <w:jc w:val="both"/>
        <w:rPr>
          <w:rFonts w:asciiTheme="minorHAnsi" w:hAnsiTheme="minorHAnsi" w:cstheme="minorHAnsi"/>
          <w:sz w:val="22"/>
          <w:szCs w:val="22"/>
        </w:rPr>
      </w:pPr>
      <w:r w:rsidRPr="001A7A9B">
        <w:rPr>
          <w:rFonts w:asciiTheme="minorHAnsi" w:hAnsiTheme="minorHAnsi" w:cstheme="minorHAnsi"/>
          <w:sz w:val="22"/>
          <w:szCs w:val="22"/>
        </w:rPr>
        <w:t>The Instrument engages the right to work set out at Article 6(1) of the International Covenant on Economic, Social and Cultural Rights (ICESCR), which is the right of everyone to the opportunity to gain their living by work which they freely choose or accept.</w:t>
      </w:r>
    </w:p>
    <w:p w14:paraId="7392FD7C" w14:textId="68A8DE10" w:rsidR="00DB1C44" w:rsidRPr="001A7A9B" w:rsidRDefault="00DB1C44" w:rsidP="00AA5AA6">
      <w:pPr>
        <w:shd w:val="clear" w:color="auto" w:fill="FFFFFF"/>
        <w:spacing w:before="120"/>
        <w:ind w:left="-567"/>
        <w:jc w:val="both"/>
        <w:rPr>
          <w:rFonts w:asciiTheme="minorHAnsi" w:hAnsiTheme="minorHAnsi" w:cstheme="minorHAnsi"/>
          <w:sz w:val="22"/>
          <w:szCs w:val="22"/>
        </w:rPr>
      </w:pPr>
      <w:r w:rsidRPr="001A7A9B">
        <w:rPr>
          <w:rFonts w:asciiTheme="minorHAnsi" w:hAnsiTheme="minorHAnsi" w:cstheme="minorHAnsi"/>
          <w:sz w:val="22"/>
          <w:szCs w:val="22"/>
        </w:rPr>
        <w:t>The measures taken in the Instrument generally promote the right to work. The measure reinforces the principle that labour market participation of people with disability should be encouraged and supported, and therefore complements the advancement of the rights of people with disability.</w:t>
      </w:r>
    </w:p>
    <w:p w14:paraId="2C97416C" w14:textId="18A6B3F5" w:rsidR="00DB1C44" w:rsidRPr="001A7A9B" w:rsidRDefault="00DB1C44" w:rsidP="00AA5AA6">
      <w:pPr>
        <w:shd w:val="clear" w:color="auto" w:fill="FFFFFF"/>
        <w:spacing w:before="120"/>
        <w:ind w:left="-567"/>
        <w:jc w:val="both"/>
        <w:rPr>
          <w:rFonts w:asciiTheme="minorHAnsi" w:hAnsiTheme="minorHAnsi" w:cstheme="minorHAnsi"/>
          <w:sz w:val="22"/>
          <w:szCs w:val="22"/>
        </w:rPr>
      </w:pPr>
      <w:r w:rsidRPr="001A7A9B">
        <w:rPr>
          <w:rFonts w:asciiTheme="minorHAnsi" w:hAnsiTheme="minorHAnsi" w:cstheme="minorHAnsi"/>
          <w:sz w:val="22"/>
          <w:szCs w:val="22"/>
        </w:rPr>
        <w:t xml:space="preserve">The Instrument limits the right to work by placing </w:t>
      </w:r>
      <w:r w:rsidR="0002643F">
        <w:rPr>
          <w:rFonts w:asciiTheme="minorHAnsi" w:hAnsiTheme="minorHAnsi" w:cstheme="minorHAnsi"/>
          <w:sz w:val="22"/>
          <w:szCs w:val="22"/>
        </w:rPr>
        <w:t>standards on who can provide rehabilitation services</w:t>
      </w:r>
      <w:r w:rsidRPr="001A7A9B">
        <w:rPr>
          <w:rFonts w:asciiTheme="minorHAnsi" w:hAnsiTheme="minorHAnsi" w:cstheme="minorHAnsi"/>
          <w:sz w:val="22"/>
          <w:szCs w:val="22"/>
        </w:rPr>
        <w:t xml:space="preserve">. The limitation is for the legitimate objective of </w:t>
      </w:r>
      <w:r w:rsidR="0002643F">
        <w:rPr>
          <w:rFonts w:asciiTheme="minorHAnsi" w:hAnsiTheme="minorHAnsi" w:cstheme="minorHAnsi"/>
          <w:sz w:val="22"/>
          <w:szCs w:val="22"/>
        </w:rPr>
        <w:t>assuring the</w:t>
      </w:r>
      <w:r w:rsidRPr="001A7A9B">
        <w:rPr>
          <w:rFonts w:asciiTheme="minorHAnsi" w:hAnsiTheme="minorHAnsi" w:cstheme="minorHAnsi"/>
          <w:sz w:val="22"/>
          <w:szCs w:val="22"/>
        </w:rPr>
        <w:t xml:space="preserve"> quality o</w:t>
      </w:r>
      <w:r w:rsidR="0002643F">
        <w:rPr>
          <w:rFonts w:asciiTheme="minorHAnsi" w:hAnsiTheme="minorHAnsi" w:cstheme="minorHAnsi"/>
          <w:sz w:val="22"/>
          <w:szCs w:val="22"/>
        </w:rPr>
        <w:t>f</w:t>
      </w:r>
      <w:r w:rsidRPr="001A7A9B">
        <w:rPr>
          <w:rFonts w:asciiTheme="minorHAnsi" w:hAnsiTheme="minorHAnsi" w:cstheme="minorHAnsi"/>
          <w:sz w:val="22"/>
          <w:szCs w:val="22"/>
        </w:rPr>
        <w:t xml:space="preserve"> </w:t>
      </w:r>
      <w:r w:rsidR="006B4D12">
        <w:rPr>
          <w:rFonts w:asciiTheme="minorHAnsi" w:hAnsiTheme="minorHAnsi" w:cstheme="minorHAnsi"/>
          <w:sz w:val="22"/>
          <w:szCs w:val="22"/>
        </w:rPr>
        <w:t xml:space="preserve">workplace </w:t>
      </w:r>
      <w:r w:rsidRPr="001A7A9B">
        <w:rPr>
          <w:rFonts w:asciiTheme="minorHAnsi" w:hAnsiTheme="minorHAnsi" w:cstheme="minorHAnsi"/>
          <w:sz w:val="22"/>
          <w:szCs w:val="22"/>
        </w:rPr>
        <w:t>rehabilitation service providers. The measure is rationally connected to this objective</w:t>
      </w:r>
      <w:r w:rsidR="007F6693">
        <w:rPr>
          <w:rFonts w:asciiTheme="minorHAnsi" w:hAnsiTheme="minorHAnsi" w:cstheme="minorHAnsi"/>
          <w:sz w:val="22"/>
          <w:szCs w:val="22"/>
        </w:rPr>
        <w:t xml:space="preserve"> as it requires rehabilitation program providers to meet the operational standards</w:t>
      </w:r>
      <w:r w:rsidR="0002643F">
        <w:rPr>
          <w:rFonts w:asciiTheme="minorHAnsi" w:hAnsiTheme="minorHAnsi" w:cstheme="minorHAnsi"/>
          <w:sz w:val="22"/>
          <w:szCs w:val="22"/>
        </w:rPr>
        <w:t xml:space="preserve">. </w:t>
      </w:r>
      <w:r w:rsidRPr="001A7A9B">
        <w:rPr>
          <w:rFonts w:asciiTheme="minorHAnsi" w:hAnsiTheme="minorHAnsi" w:cstheme="minorHAnsi"/>
          <w:sz w:val="22"/>
          <w:szCs w:val="22"/>
        </w:rPr>
        <w:t>The limitations are reasonable, necessary and proportionate as they</w:t>
      </w:r>
      <w:r w:rsidR="0002643F">
        <w:rPr>
          <w:rFonts w:asciiTheme="minorHAnsi" w:hAnsiTheme="minorHAnsi" w:cstheme="minorHAnsi"/>
          <w:sz w:val="22"/>
          <w:szCs w:val="22"/>
        </w:rPr>
        <w:t xml:space="preserve"> are</w:t>
      </w:r>
      <w:r w:rsidRPr="001A7A9B">
        <w:rPr>
          <w:rFonts w:asciiTheme="minorHAnsi" w:hAnsiTheme="minorHAnsi" w:cstheme="minorHAnsi"/>
          <w:sz w:val="22"/>
          <w:szCs w:val="22"/>
        </w:rPr>
        <w:t xml:space="preserve"> directly re</w:t>
      </w:r>
      <w:r w:rsidR="007F6693">
        <w:rPr>
          <w:rFonts w:asciiTheme="minorHAnsi" w:hAnsiTheme="minorHAnsi" w:cstheme="minorHAnsi"/>
          <w:sz w:val="22"/>
          <w:szCs w:val="22"/>
        </w:rPr>
        <w:t>levant</w:t>
      </w:r>
      <w:r w:rsidRPr="001A7A9B">
        <w:rPr>
          <w:rFonts w:asciiTheme="minorHAnsi" w:hAnsiTheme="minorHAnsi" w:cstheme="minorHAnsi"/>
          <w:sz w:val="22"/>
          <w:szCs w:val="22"/>
        </w:rPr>
        <w:t xml:space="preserve"> to and necessary for the provision of professional and skilled workplace rehabilitation services </w:t>
      </w:r>
      <w:r w:rsidR="006B4D12">
        <w:rPr>
          <w:rFonts w:asciiTheme="minorHAnsi" w:hAnsiTheme="minorHAnsi" w:cstheme="minorHAnsi"/>
          <w:sz w:val="22"/>
          <w:szCs w:val="22"/>
        </w:rPr>
        <w:t>of</w:t>
      </w:r>
      <w:r w:rsidRPr="001A7A9B">
        <w:rPr>
          <w:rFonts w:asciiTheme="minorHAnsi" w:hAnsiTheme="minorHAnsi" w:cstheme="minorHAnsi"/>
          <w:sz w:val="22"/>
          <w:szCs w:val="22"/>
        </w:rPr>
        <w:t xml:space="preserve"> a high standard.</w:t>
      </w:r>
    </w:p>
    <w:p w14:paraId="41B5A806" w14:textId="77777777" w:rsidR="00DB1C44" w:rsidRPr="00D22256" w:rsidRDefault="00DB1C44" w:rsidP="00D22256">
      <w:pPr>
        <w:spacing w:before="120" w:after="120"/>
        <w:ind w:left="-567"/>
        <w:rPr>
          <w:rFonts w:asciiTheme="minorHAnsi" w:hAnsiTheme="minorHAnsi" w:cstheme="minorHAnsi"/>
          <w:i/>
          <w:sz w:val="22"/>
          <w:szCs w:val="22"/>
        </w:rPr>
      </w:pPr>
      <w:r w:rsidRPr="00D22256">
        <w:rPr>
          <w:rFonts w:asciiTheme="minorHAnsi" w:hAnsiTheme="minorHAnsi" w:cstheme="minorHAnsi"/>
          <w:i/>
          <w:sz w:val="22"/>
          <w:szCs w:val="22"/>
        </w:rPr>
        <w:t xml:space="preserve">Privacy </w:t>
      </w:r>
    </w:p>
    <w:p w14:paraId="70FBB536" w14:textId="77777777" w:rsidR="00DB1C44" w:rsidRPr="001A7A9B" w:rsidRDefault="00DB1C44" w:rsidP="00AA5AA6">
      <w:pPr>
        <w:shd w:val="clear" w:color="auto" w:fill="FFFFFF"/>
        <w:spacing w:before="120"/>
        <w:ind w:left="-567"/>
        <w:jc w:val="both"/>
        <w:rPr>
          <w:rFonts w:asciiTheme="minorHAnsi" w:hAnsiTheme="minorHAnsi" w:cstheme="minorHAnsi"/>
          <w:sz w:val="22"/>
          <w:szCs w:val="22"/>
        </w:rPr>
      </w:pPr>
      <w:r w:rsidRPr="001A7A9B">
        <w:rPr>
          <w:rFonts w:asciiTheme="minorHAnsi" w:hAnsiTheme="minorHAnsi" w:cstheme="minorHAnsi"/>
          <w:sz w:val="22"/>
          <w:szCs w:val="22"/>
        </w:rPr>
        <w:t>Article 17(1) of the International Covenant on Civil and Political Rights (ICCPR) prohibits unlawful or arbitrary interference with a person’s privacy, family, home and correspondence. The right to privacy is not an absolute right, and limitations are permissible.</w:t>
      </w:r>
    </w:p>
    <w:p w14:paraId="0363B9F4" w14:textId="7A4BCF75" w:rsidR="00DB1C44" w:rsidRPr="001A7A9B" w:rsidRDefault="00DB1C44" w:rsidP="00AA5AA6">
      <w:pPr>
        <w:shd w:val="clear" w:color="auto" w:fill="FFFFFF"/>
        <w:spacing w:before="120"/>
        <w:ind w:left="-567"/>
        <w:jc w:val="both"/>
        <w:rPr>
          <w:rFonts w:asciiTheme="minorHAnsi" w:hAnsiTheme="minorHAnsi" w:cstheme="minorHAnsi"/>
          <w:sz w:val="22"/>
          <w:szCs w:val="22"/>
        </w:rPr>
      </w:pPr>
      <w:r w:rsidRPr="001A7A9B">
        <w:rPr>
          <w:rFonts w:asciiTheme="minorHAnsi" w:hAnsiTheme="minorHAnsi" w:cstheme="minorHAnsi"/>
          <w:sz w:val="22"/>
          <w:szCs w:val="22"/>
        </w:rPr>
        <w:t xml:space="preserve">The Instrument engages the right to privacy </w:t>
      </w:r>
      <w:r w:rsidR="00B97083">
        <w:rPr>
          <w:rFonts w:asciiTheme="minorHAnsi" w:hAnsiTheme="minorHAnsi" w:cstheme="minorHAnsi"/>
          <w:sz w:val="22"/>
          <w:szCs w:val="22"/>
        </w:rPr>
        <w:t>because Comcare may</w:t>
      </w:r>
      <w:r w:rsidRPr="001A7A9B">
        <w:rPr>
          <w:rFonts w:asciiTheme="minorHAnsi" w:hAnsiTheme="minorHAnsi" w:cstheme="minorHAnsi"/>
          <w:sz w:val="22"/>
          <w:szCs w:val="22"/>
        </w:rPr>
        <w:t xml:space="preserve"> collect</w:t>
      </w:r>
      <w:r w:rsidR="00B97083">
        <w:rPr>
          <w:rFonts w:asciiTheme="minorHAnsi" w:hAnsiTheme="minorHAnsi" w:cstheme="minorHAnsi"/>
          <w:sz w:val="22"/>
          <w:szCs w:val="22"/>
        </w:rPr>
        <w:t xml:space="preserve"> </w:t>
      </w:r>
      <w:r w:rsidRPr="001A7A9B">
        <w:rPr>
          <w:rFonts w:asciiTheme="minorHAnsi" w:hAnsiTheme="minorHAnsi" w:cstheme="minorHAnsi"/>
          <w:sz w:val="22"/>
          <w:szCs w:val="22"/>
        </w:rPr>
        <w:t>personal information</w:t>
      </w:r>
      <w:r w:rsidR="00B97083">
        <w:rPr>
          <w:rFonts w:asciiTheme="minorHAnsi" w:hAnsiTheme="minorHAnsi" w:cstheme="minorHAnsi"/>
          <w:sz w:val="22"/>
          <w:szCs w:val="22"/>
        </w:rPr>
        <w:t xml:space="preserve"> to assess compliance with the Instrument</w:t>
      </w:r>
      <w:r w:rsidRPr="001A7A9B">
        <w:rPr>
          <w:rFonts w:asciiTheme="minorHAnsi" w:hAnsiTheme="minorHAnsi" w:cstheme="minorHAnsi"/>
          <w:sz w:val="22"/>
          <w:szCs w:val="22"/>
        </w:rPr>
        <w:t xml:space="preserve">. The collected information includes the qualifications and experience of individuals employed or otherwise engaged by </w:t>
      </w:r>
      <w:r w:rsidR="007F6693">
        <w:rPr>
          <w:rFonts w:asciiTheme="minorHAnsi" w:hAnsiTheme="minorHAnsi" w:cstheme="minorHAnsi"/>
          <w:sz w:val="22"/>
          <w:szCs w:val="22"/>
        </w:rPr>
        <w:t>rehabilitation program providers</w:t>
      </w:r>
      <w:r w:rsidRPr="001A7A9B">
        <w:rPr>
          <w:rFonts w:asciiTheme="minorHAnsi" w:hAnsiTheme="minorHAnsi" w:cstheme="minorHAnsi"/>
          <w:sz w:val="22"/>
          <w:szCs w:val="22"/>
        </w:rPr>
        <w:t>. If the</w:t>
      </w:r>
      <w:r w:rsidR="007F6693">
        <w:rPr>
          <w:rFonts w:asciiTheme="minorHAnsi" w:hAnsiTheme="minorHAnsi" w:cstheme="minorHAnsi"/>
          <w:sz w:val="22"/>
          <w:szCs w:val="22"/>
        </w:rPr>
        <w:t xml:space="preserve"> rehabilitation program provider</w:t>
      </w:r>
      <w:r w:rsidRPr="001A7A9B">
        <w:rPr>
          <w:rFonts w:asciiTheme="minorHAnsi" w:hAnsiTheme="minorHAnsi" w:cstheme="minorHAnsi"/>
          <w:sz w:val="22"/>
          <w:szCs w:val="22"/>
        </w:rPr>
        <w:t xml:space="preserve"> is an individual the</w:t>
      </w:r>
      <w:r w:rsidR="007F6693">
        <w:rPr>
          <w:rFonts w:asciiTheme="minorHAnsi" w:hAnsiTheme="minorHAnsi" w:cstheme="minorHAnsi"/>
          <w:sz w:val="22"/>
          <w:szCs w:val="22"/>
        </w:rPr>
        <w:t xml:space="preserve"> </w:t>
      </w:r>
      <w:r w:rsidRPr="001A7A9B">
        <w:rPr>
          <w:rFonts w:asciiTheme="minorHAnsi" w:hAnsiTheme="minorHAnsi" w:cstheme="minorHAnsi"/>
          <w:sz w:val="22"/>
          <w:szCs w:val="22"/>
        </w:rPr>
        <w:t xml:space="preserve">Instrument </w:t>
      </w:r>
      <w:r w:rsidR="007F1C21">
        <w:rPr>
          <w:rFonts w:asciiTheme="minorHAnsi" w:hAnsiTheme="minorHAnsi" w:cstheme="minorHAnsi"/>
          <w:sz w:val="22"/>
          <w:szCs w:val="22"/>
        </w:rPr>
        <w:t xml:space="preserve">assessing compliance with the Instrument </w:t>
      </w:r>
      <w:r w:rsidRPr="001A7A9B">
        <w:rPr>
          <w:rFonts w:asciiTheme="minorHAnsi" w:hAnsiTheme="minorHAnsi" w:cstheme="minorHAnsi"/>
          <w:sz w:val="22"/>
          <w:szCs w:val="22"/>
        </w:rPr>
        <w:t xml:space="preserve">requires the collection of information relating to the individual’s financial solvency. </w:t>
      </w:r>
    </w:p>
    <w:p w14:paraId="23E17752" w14:textId="68F01F62" w:rsidR="00DB1C44" w:rsidRPr="001A7A9B" w:rsidRDefault="00DB1C44" w:rsidP="00AA5AA6">
      <w:pPr>
        <w:shd w:val="clear" w:color="auto" w:fill="FFFFFF"/>
        <w:spacing w:before="120"/>
        <w:ind w:left="-567"/>
        <w:jc w:val="both"/>
        <w:rPr>
          <w:rFonts w:asciiTheme="minorHAnsi" w:hAnsiTheme="minorHAnsi" w:cstheme="minorHAnsi"/>
          <w:sz w:val="22"/>
          <w:szCs w:val="22"/>
        </w:rPr>
      </w:pPr>
      <w:r w:rsidRPr="001A7A9B">
        <w:rPr>
          <w:rFonts w:asciiTheme="minorHAnsi" w:hAnsiTheme="minorHAnsi" w:cstheme="minorHAnsi"/>
          <w:sz w:val="22"/>
          <w:szCs w:val="22"/>
        </w:rPr>
        <w:t xml:space="preserve">The ability to collect information to </w:t>
      </w:r>
      <w:r w:rsidR="007F6693">
        <w:rPr>
          <w:rFonts w:asciiTheme="minorHAnsi" w:hAnsiTheme="minorHAnsi" w:cstheme="minorHAnsi"/>
          <w:sz w:val="22"/>
          <w:szCs w:val="22"/>
        </w:rPr>
        <w:t>assess compliance with the operational standards</w:t>
      </w:r>
      <w:r w:rsidRPr="001A7A9B">
        <w:rPr>
          <w:rFonts w:asciiTheme="minorHAnsi" w:hAnsiTheme="minorHAnsi" w:cstheme="minorHAnsi"/>
          <w:sz w:val="22"/>
          <w:szCs w:val="22"/>
        </w:rPr>
        <w:t xml:space="preserve"> is reasonable, necessary and proportionate, as all personal information will be lawfully collected in accordance with </w:t>
      </w:r>
      <w:r w:rsidRPr="00AA5AA6">
        <w:rPr>
          <w:rFonts w:asciiTheme="minorHAnsi" w:hAnsiTheme="minorHAnsi" w:cstheme="minorHAnsi"/>
          <w:i/>
          <w:sz w:val="22"/>
          <w:szCs w:val="22"/>
        </w:rPr>
        <w:t>the Privacy Act 1988</w:t>
      </w:r>
      <w:r w:rsidRPr="001A7A9B">
        <w:rPr>
          <w:rFonts w:asciiTheme="minorHAnsi" w:hAnsiTheme="minorHAnsi" w:cstheme="minorHAnsi"/>
          <w:sz w:val="22"/>
          <w:szCs w:val="22"/>
        </w:rPr>
        <w:t xml:space="preserve"> (</w:t>
      </w:r>
      <w:proofErr w:type="spellStart"/>
      <w:r w:rsidRPr="001A7A9B">
        <w:rPr>
          <w:rFonts w:asciiTheme="minorHAnsi" w:hAnsiTheme="minorHAnsi" w:cstheme="minorHAnsi"/>
          <w:sz w:val="22"/>
          <w:szCs w:val="22"/>
        </w:rPr>
        <w:t>Cth</w:t>
      </w:r>
      <w:proofErr w:type="spellEnd"/>
      <w:r w:rsidRPr="001A7A9B">
        <w:rPr>
          <w:rFonts w:asciiTheme="minorHAnsi" w:hAnsiTheme="minorHAnsi" w:cstheme="minorHAnsi"/>
          <w:sz w:val="22"/>
          <w:szCs w:val="22"/>
        </w:rPr>
        <w:t xml:space="preserve">), and it is reasonably necessary for and directly related to Comcare’s functions and powers under Part III of the </w:t>
      </w:r>
      <w:r w:rsidR="00D22256">
        <w:rPr>
          <w:rFonts w:asciiTheme="minorHAnsi" w:hAnsiTheme="minorHAnsi" w:cstheme="minorHAnsi"/>
          <w:sz w:val="22"/>
          <w:szCs w:val="22"/>
        </w:rPr>
        <w:t>SRC Act</w:t>
      </w:r>
      <w:r w:rsidRPr="001A7A9B">
        <w:rPr>
          <w:rFonts w:asciiTheme="minorHAnsi" w:hAnsiTheme="minorHAnsi" w:cstheme="minorHAnsi"/>
          <w:sz w:val="22"/>
          <w:szCs w:val="22"/>
        </w:rPr>
        <w:t>.</w:t>
      </w:r>
      <w:r w:rsidR="00D22256">
        <w:rPr>
          <w:rFonts w:asciiTheme="minorHAnsi" w:hAnsiTheme="minorHAnsi" w:cstheme="minorHAnsi"/>
          <w:sz w:val="22"/>
          <w:szCs w:val="22"/>
        </w:rPr>
        <w:t xml:space="preserve"> </w:t>
      </w:r>
      <w:r w:rsidRPr="001A7A9B">
        <w:rPr>
          <w:rFonts w:asciiTheme="minorHAnsi" w:hAnsiTheme="minorHAnsi" w:cstheme="minorHAnsi"/>
          <w:sz w:val="22"/>
          <w:szCs w:val="22"/>
        </w:rPr>
        <w:t>Comcare does not collect any unnecessary or sensitive personal information and all personal information collected is required for Comcare to perform its function in assessing</w:t>
      </w:r>
      <w:r w:rsidR="00AA5AA6">
        <w:rPr>
          <w:rFonts w:asciiTheme="minorHAnsi" w:hAnsiTheme="minorHAnsi" w:cstheme="minorHAnsi"/>
          <w:sz w:val="22"/>
          <w:szCs w:val="22"/>
        </w:rPr>
        <w:t xml:space="preserve"> </w:t>
      </w:r>
      <w:r w:rsidRPr="001A7A9B">
        <w:rPr>
          <w:rFonts w:asciiTheme="minorHAnsi" w:hAnsiTheme="minorHAnsi" w:cstheme="minorHAnsi"/>
          <w:sz w:val="22"/>
          <w:szCs w:val="22"/>
        </w:rPr>
        <w:t>rehabilitation</w:t>
      </w:r>
      <w:r w:rsidR="00AA5AA6">
        <w:rPr>
          <w:rFonts w:asciiTheme="minorHAnsi" w:hAnsiTheme="minorHAnsi" w:cstheme="minorHAnsi"/>
          <w:sz w:val="22"/>
          <w:szCs w:val="22"/>
        </w:rPr>
        <w:t xml:space="preserve"> program </w:t>
      </w:r>
      <w:r w:rsidRPr="001A7A9B">
        <w:rPr>
          <w:rFonts w:asciiTheme="minorHAnsi" w:hAnsiTheme="minorHAnsi" w:cstheme="minorHAnsi"/>
          <w:sz w:val="22"/>
          <w:szCs w:val="22"/>
        </w:rPr>
        <w:t>provider</w:t>
      </w:r>
      <w:r w:rsidR="007F6693">
        <w:rPr>
          <w:rFonts w:asciiTheme="minorHAnsi" w:hAnsiTheme="minorHAnsi" w:cstheme="minorHAnsi"/>
          <w:sz w:val="22"/>
          <w:szCs w:val="22"/>
        </w:rPr>
        <w:t>s.</w:t>
      </w:r>
    </w:p>
    <w:p w14:paraId="1762B64F" w14:textId="77777777" w:rsidR="0013419D" w:rsidRDefault="0013419D" w:rsidP="00B9698A">
      <w:pPr>
        <w:pStyle w:val="Heading3"/>
        <w:ind w:left="-567"/>
        <w:rPr>
          <w:rFonts w:asciiTheme="minorHAnsi" w:hAnsiTheme="minorHAnsi" w:cstheme="minorHAnsi"/>
          <w:b/>
          <w:i/>
          <w:color w:val="auto"/>
          <w:sz w:val="22"/>
          <w:szCs w:val="22"/>
        </w:rPr>
      </w:pPr>
    </w:p>
    <w:p w14:paraId="03DC660A" w14:textId="2106A7DE" w:rsidR="00213AE5" w:rsidRPr="00EC0795" w:rsidRDefault="00213AE5" w:rsidP="0013419D">
      <w:pPr>
        <w:pStyle w:val="Heading3"/>
        <w:ind w:left="-567"/>
        <w:rPr>
          <w:rFonts w:asciiTheme="minorHAnsi" w:hAnsiTheme="minorHAnsi" w:cstheme="minorHAnsi"/>
          <w:b/>
          <w:i/>
          <w:color w:val="auto"/>
          <w:sz w:val="22"/>
          <w:szCs w:val="22"/>
        </w:rPr>
      </w:pPr>
      <w:r w:rsidRPr="00EC0795">
        <w:rPr>
          <w:rFonts w:asciiTheme="minorHAnsi" w:hAnsiTheme="minorHAnsi" w:cstheme="minorHAnsi"/>
          <w:b/>
          <w:i/>
          <w:color w:val="auto"/>
          <w:sz w:val="22"/>
          <w:szCs w:val="22"/>
        </w:rPr>
        <w:t>Conclusion</w:t>
      </w:r>
    </w:p>
    <w:p w14:paraId="16CD100F" w14:textId="69C3818C" w:rsidR="00D10A7F" w:rsidRPr="0013419D" w:rsidRDefault="00AA5AA6" w:rsidP="0013419D">
      <w:pPr>
        <w:shd w:val="clear" w:color="auto" w:fill="FFFFFF"/>
        <w:spacing w:before="120"/>
        <w:ind w:left="-567"/>
        <w:jc w:val="both"/>
        <w:rPr>
          <w:rFonts w:asciiTheme="minorHAnsi" w:hAnsiTheme="minorHAnsi" w:cstheme="minorHAnsi"/>
          <w:sz w:val="22"/>
          <w:szCs w:val="22"/>
        </w:rPr>
      </w:pPr>
      <w:r w:rsidRPr="00B9698A">
        <w:rPr>
          <w:rFonts w:asciiTheme="minorHAnsi" w:hAnsiTheme="minorHAnsi" w:cstheme="minorHAnsi"/>
          <w:sz w:val="22"/>
          <w:szCs w:val="22"/>
        </w:rPr>
        <w:t>The Legislative Instrument</w:t>
      </w:r>
      <w:r w:rsidRPr="00AA5AA6">
        <w:rPr>
          <w:rFonts w:asciiTheme="minorHAnsi" w:hAnsiTheme="minorHAnsi" w:cstheme="minorHAnsi"/>
          <w:sz w:val="22"/>
          <w:szCs w:val="22"/>
        </w:rPr>
        <w:t xml:space="preserve"> is compatible with human rights because it promotes human rights, and to the extent that it may limit human rights those limitations are reasonable, necessary and proportionate.</w:t>
      </w:r>
    </w:p>
    <w:sectPr w:rsidR="00D10A7F" w:rsidRPr="0013419D" w:rsidSect="008C2EAC">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89B88" w14:textId="77777777" w:rsidR="00DD764C" w:rsidRDefault="00DD764C">
      <w:r>
        <w:separator/>
      </w:r>
    </w:p>
  </w:endnote>
  <w:endnote w:type="continuationSeparator" w:id="0">
    <w:p w14:paraId="7C89DEDD" w14:textId="77777777" w:rsidR="00DD764C" w:rsidRDefault="00DD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CondBook">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51596" w14:textId="77777777" w:rsidR="00DD764C" w:rsidRDefault="00DD764C">
      <w:r>
        <w:separator/>
      </w:r>
    </w:p>
  </w:footnote>
  <w:footnote w:type="continuationSeparator" w:id="0">
    <w:p w14:paraId="2880C451" w14:textId="77777777" w:rsidR="00DD764C" w:rsidRDefault="00DD764C">
      <w:r>
        <w:continuationSeparator/>
      </w:r>
    </w:p>
  </w:footnote>
  <w:footnote w:id="1">
    <w:p w14:paraId="7ECB09D2" w14:textId="77777777" w:rsidR="000E799A" w:rsidRDefault="000E799A" w:rsidP="000E799A">
      <w:pPr>
        <w:pStyle w:val="FootnoteText"/>
      </w:pPr>
      <w:r>
        <w:rPr>
          <w:rStyle w:val="FootnoteReference"/>
        </w:rPr>
        <w:footnoteRef/>
      </w:r>
      <w:r>
        <w:t xml:space="preserve"> </w:t>
      </w:r>
      <w:r w:rsidRPr="008A16EE">
        <w:rPr>
          <w:rFonts w:asciiTheme="minorHAnsi" w:eastAsiaTheme="minorHAnsi" w:hAnsiTheme="minorHAnsi" w:cstheme="minorBidi"/>
          <w:i/>
        </w:rPr>
        <w:t>A reference to a ‘workplace rehabilitation provider’ has the same meaning as a ‘rehabilitation program provider’ as defined in the Act</w:t>
      </w:r>
      <w:r>
        <w:rPr>
          <w:rFonts w:asciiTheme="minorHAnsi" w:eastAsiaTheme="minorHAnsi" w:hAnsiTheme="minorHAnsi" w:cstheme="minorBidi"/>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9CA"/>
    <w:multiLevelType w:val="multilevel"/>
    <w:tmpl w:val="F35CBC02"/>
    <w:lvl w:ilvl="0">
      <w:start w:val="1"/>
      <w:numFmt w:val="bullet"/>
      <w:pStyle w:val="Bullet"/>
      <w:lvlText w:val="•"/>
      <w:lvlJc w:val="left"/>
      <w:pPr>
        <w:tabs>
          <w:tab w:val="num" w:pos="567"/>
        </w:tabs>
        <w:ind w:left="567" w:hanging="567"/>
      </w:pPr>
      <w:rPr>
        <w:rFonts w:ascii="Times New Roman" w:hAnsi="Times New Roman" w:cs="Times New Roman" w:hint="default"/>
        <w:sz w:val="32"/>
        <w:szCs w:val="32"/>
      </w:rPr>
    </w:lvl>
    <w:lvl w:ilvl="1">
      <w:start w:val="1"/>
      <w:numFmt w:val="bullet"/>
      <w:pStyle w:val="Dash"/>
      <w:lvlText w:val="–"/>
      <w:lvlJc w:val="left"/>
      <w:pPr>
        <w:tabs>
          <w:tab w:val="num" w:pos="1134"/>
        </w:tabs>
        <w:ind w:left="1134" w:hanging="567"/>
      </w:pPr>
      <w:rPr>
        <w:rFonts w:ascii="Times New Roman" w:hAnsi="Times New Roman" w:cs="Times New Roman" w:hint="default"/>
      </w:rPr>
    </w:lvl>
    <w:lvl w:ilvl="2">
      <w:start w:val="1"/>
      <w:numFmt w:val="bullet"/>
      <w:pStyle w:val="DoubleDo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3914F1"/>
    <w:multiLevelType w:val="hybridMultilevel"/>
    <w:tmpl w:val="2B968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C7686"/>
    <w:multiLevelType w:val="hybridMultilevel"/>
    <w:tmpl w:val="E7240B1C"/>
    <w:lvl w:ilvl="0" w:tplc="3EB2BD0C">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 w15:restartNumberingAfterBreak="0">
    <w:nsid w:val="0D302F24"/>
    <w:multiLevelType w:val="hybridMultilevel"/>
    <w:tmpl w:val="4282D8CE"/>
    <w:lvl w:ilvl="0" w:tplc="CC1E2202">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4" w15:restartNumberingAfterBreak="0">
    <w:nsid w:val="0FD503A7"/>
    <w:multiLevelType w:val="hybridMultilevel"/>
    <w:tmpl w:val="FC5013C6"/>
    <w:lvl w:ilvl="0" w:tplc="2810581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 w15:restartNumberingAfterBreak="0">
    <w:nsid w:val="182C7B36"/>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19ED5AB0"/>
    <w:multiLevelType w:val="hybridMultilevel"/>
    <w:tmpl w:val="A866F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856251"/>
    <w:multiLevelType w:val="hybridMultilevel"/>
    <w:tmpl w:val="C8FCE334"/>
    <w:lvl w:ilvl="0" w:tplc="03D6642E">
      <w:start w:val="1"/>
      <w:numFmt w:val="lowerLetter"/>
      <w:lvlText w:val="(%1)"/>
      <w:lvlJc w:val="left"/>
      <w:pPr>
        <w:ind w:left="1500" w:hanging="360"/>
      </w:pPr>
    </w:lvl>
    <w:lvl w:ilvl="1" w:tplc="0C090019">
      <w:start w:val="1"/>
      <w:numFmt w:val="lowerLetter"/>
      <w:lvlText w:val="%2."/>
      <w:lvlJc w:val="left"/>
      <w:pPr>
        <w:ind w:left="2220" w:hanging="360"/>
      </w:pPr>
    </w:lvl>
    <w:lvl w:ilvl="2" w:tplc="0C09001B">
      <w:start w:val="1"/>
      <w:numFmt w:val="lowerRoman"/>
      <w:lvlText w:val="%3."/>
      <w:lvlJc w:val="right"/>
      <w:pPr>
        <w:ind w:left="2940" w:hanging="180"/>
      </w:pPr>
    </w:lvl>
    <w:lvl w:ilvl="3" w:tplc="0C09000F">
      <w:start w:val="1"/>
      <w:numFmt w:val="decimal"/>
      <w:lvlText w:val="%4."/>
      <w:lvlJc w:val="left"/>
      <w:pPr>
        <w:ind w:left="3660" w:hanging="360"/>
      </w:pPr>
    </w:lvl>
    <w:lvl w:ilvl="4" w:tplc="0C090019">
      <w:start w:val="1"/>
      <w:numFmt w:val="lowerLetter"/>
      <w:lvlText w:val="%5."/>
      <w:lvlJc w:val="left"/>
      <w:pPr>
        <w:ind w:left="4380" w:hanging="360"/>
      </w:pPr>
    </w:lvl>
    <w:lvl w:ilvl="5" w:tplc="0C09001B">
      <w:start w:val="1"/>
      <w:numFmt w:val="lowerRoman"/>
      <w:lvlText w:val="%6."/>
      <w:lvlJc w:val="right"/>
      <w:pPr>
        <w:ind w:left="5100" w:hanging="180"/>
      </w:pPr>
    </w:lvl>
    <w:lvl w:ilvl="6" w:tplc="0C09000F">
      <w:start w:val="1"/>
      <w:numFmt w:val="decimal"/>
      <w:lvlText w:val="%7."/>
      <w:lvlJc w:val="left"/>
      <w:pPr>
        <w:ind w:left="5820" w:hanging="360"/>
      </w:pPr>
    </w:lvl>
    <w:lvl w:ilvl="7" w:tplc="0C090019">
      <w:start w:val="1"/>
      <w:numFmt w:val="lowerLetter"/>
      <w:lvlText w:val="%8."/>
      <w:lvlJc w:val="left"/>
      <w:pPr>
        <w:ind w:left="6540" w:hanging="360"/>
      </w:pPr>
    </w:lvl>
    <w:lvl w:ilvl="8" w:tplc="0C09001B">
      <w:start w:val="1"/>
      <w:numFmt w:val="lowerRoman"/>
      <w:lvlText w:val="%9."/>
      <w:lvlJc w:val="right"/>
      <w:pPr>
        <w:ind w:left="7260" w:hanging="180"/>
      </w:pPr>
    </w:lvl>
  </w:abstractNum>
  <w:abstractNum w:abstractNumId="8" w15:restartNumberingAfterBreak="0">
    <w:nsid w:val="1CB03774"/>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9" w15:restartNumberingAfterBreak="0">
    <w:nsid w:val="1E4F630F"/>
    <w:multiLevelType w:val="hybridMultilevel"/>
    <w:tmpl w:val="9E2C7D88"/>
    <w:lvl w:ilvl="0" w:tplc="9BC08E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A0172B"/>
    <w:multiLevelType w:val="multilevel"/>
    <w:tmpl w:val="0BECA4AC"/>
    <w:lvl w:ilvl="0">
      <w:start w:val="1"/>
      <w:numFmt w:val="bullet"/>
      <w:lvlText w:val="o"/>
      <w:lvlJc w:val="left"/>
      <w:pPr>
        <w:tabs>
          <w:tab w:val="num" w:pos="567"/>
        </w:tabs>
        <w:ind w:left="567" w:hanging="567"/>
      </w:pPr>
      <w:rPr>
        <w:rFonts w:ascii="Courier New" w:hAnsi="Courier New" w:cs="Courier New"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0B73869"/>
    <w:multiLevelType w:val="hybridMultilevel"/>
    <w:tmpl w:val="30BABCDE"/>
    <w:lvl w:ilvl="0" w:tplc="8D1A89A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20F21241"/>
    <w:multiLevelType w:val="hybridMultilevel"/>
    <w:tmpl w:val="F2FAF682"/>
    <w:lvl w:ilvl="0" w:tplc="FB9634F6">
      <w:start w:val="1"/>
      <w:numFmt w:val="bullet"/>
      <w:lvlText w:val=""/>
      <w:lvlJc w:val="left"/>
      <w:pPr>
        <w:ind w:left="720" w:hanging="360"/>
      </w:pPr>
      <w:rPr>
        <w:rFonts w:ascii="Symbol" w:hAnsi="Symbol" w:hint="default"/>
      </w:rPr>
    </w:lvl>
    <w:lvl w:ilvl="1" w:tplc="25720970" w:tentative="1">
      <w:start w:val="1"/>
      <w:numFmt w:val="bullet"/>
      <w:lvlText w:val="o"/>
      <w:lvlJc w:val="left"/>
      <w:pPr>
        <w:ind w:left="1440" w:hanging="360"/>
      </w:pPr>
      <w:rPr>
        <w:rFonts w:ascii="Courier New" w:hAnsi="Courier New" w:cs="Courier New" w:hint="default"/>
      </w:rPr>
    </w:lvl>
    <w:lvl w:ilvl="2" w:tplc="88D4B280" w:tentative="1">
      <w:start w:val="1"/>
      <w:numFmt w:val="bullet"/>
      <w:lvlText w:val=""/>
      <w:lvlJc w:val="left"/>
      <w:pPr>
        <w:ind w:left="2160" w:hanging="360"/>
      </w:pPr>
      <w:rPr>
        <w:rFonts w:ascii="Wingdings" w:hAnsi="Wingdings" w:hint="default"/>
      </w:rPr>
    </w:lvl>
    <w:lvl w:ilvl="3" w:tplc="7E54E9C4" w:tentative="1">
      <w:start w:val="1"/>
      <w:numFmt w:val="bullet"/>
      <w:lvlText w:val=""/>
      <w:lvlJc w:val="left"/>
      <w:pPr>
        <w:ind w:left="2880" w:hanging="360"/>
      </w:pPr>
      <w:rPr>
        <w:rFonts w:ascii="Symbol" w:hAnsi="Symbol" w:hint="default"/>
      </w:rPr>
    </w:lvl>
    <w:lvl w:ilvl="4" w:tplc="95DA380C" w:tentative="1">
      <w:start w:val="1"/>
      <w:numFmt w:val="bullet"/>
      <w:lvlText w:val="o"/>
      <w:lvlJc w:val="left"/>
      <w:pPr>
        <w:ind w:left="3600" w:hanging="360"/>
      </w:pPr>
      <w:rPr>
        <w:rFonts w:ascii="Courier New" w:hAnsi="Courier New" w:cs="Courier New" w:hint="default"/>
      </w:rPr>
    </w:lvl>
    <w:lvl w:ilvl="5" w:tplc="A2A2C1B2" w:tentative="1">
      <w:start w:val="1"/>
      <w:numFmt w:val="bullet"/>
      <w:lvlText w:val=""/>
      <w:lvlJc w:val="left"/>
      <w:pPr>
        <w:ind w:left="4320" w:hanging="360"/>
      </w:pPr>
      <w:rPr>
        <w:rFonts w:ascii="Wingdings" w:hAnsi="Wingdings" w:hint="default"/>
      </w:rPr>
    </w:lvl>
    <w:lvl w:ilvl="6" w:tplc="66B48BFC" w:tentative="1">
      <w:start w:val="1"/>
      <w:numFmt w:val="bullet"/>
      <w:lvlText w:val=""/>
      <w:lvlJc w:val="left"/>
      <w:pPr>
        <w:ind w:left="5040" w:hanging="360"/>
      </w:pPr>
      <w:rPr>
        <w:rFonts w:ascii="Symbol" w:hAnsi="Symbol" w:hint="default"/>
      </w:rPr>
    </w:lvl>
    <w:lvl w:ilvl="7" w:tplc="B2C823F4" w:tentative="1">
      <w:start w:val="1"/>
      <w:numFmt w:val="bullet"/>
      <w:lvlText w:val="o"/>
      <w:lvlJc w:val="left"/>
      <w:pPr>
        <w:ind w:left="5760" w:hanging="360"/>
      </w:pPr>
      <w:rPr>
        <w:rFonts w:ascii="Courier New" w:hAnsi="Courier New" w:cs="Courier New" w:hint="default"/>
      </w:rPr>
    </w:lvl>
    <w:lvl w:ilvl="8" w:tplc="8A684408" w:tentative="1">
      <w:start w:val="1"/>
      <w:numFmt w:val="bullet"/>
      <w:lvlText w:val=""/>
      <w:lvlJc w:val="left"/>
      <w:pPr>
        <w:ind w:left="6480" w:hanging="360"/>
      </w:pPr>
      <w:rPr>
        <w:rFonts w:ascii="Wingdings" w:hAnsi="Wingdings" w:hint="default"/>
      </w:rPr>
    </w:lvl>
  </w:abstractNum>
  <w:abstractNum w:abstractNumId="13" w15:restartNumberingAfterBreak="0">
    <w:nsid w:val="213A752F"/>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25335BCB"/>
    <w:multiLevelType w:val="hybridMultilevel"/>
    <w:tmpl w:val="A6DA8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0C3627"/>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15:restartNumberingAfterBreak="0">
    <w:nsid w:val="2F730622"/>
    <w:multiLevelType w:val="hybridMultilevel"/>
    <w:tmpl w:val="D048EFF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7" w15:restartNumberingAfterBreak="0">
    <w:nsid w:val="30684DB5"/>
    <w:multiLevelType w:val="hybridMultilevel"/>
    <w:tmpl w:val="DFD6904A"/>
    <w:lvl w:ilvl="0" w:tplc="7AB27EB2">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8" w15:restartNumberingAfterBreak="0">
    <w:nsid w:val="32A802DA"/>
    <w:multiLevelType w:val="hybridMultilevel"/>
    <w:tmpl w:val="077A56B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9" w15:restartNumberingAfterBreak="0">
    <w:nsid w:val="3EA32867"/>
    <w:multiLevelType w:val="hybridMultilevel"/>
    <w:tmpl w:val="61D0F10C"/>
    <w:lvl w:ilvl="0" w:tplc="3E1E5A8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0" w15:restartNumberingAfterBreak="0">
    <w:nsid w:val="41A23478"/>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1" w15:restartNumberingAfterBreak="0">
    <w:nsid w:val="42045563"/>
    <w:multiLevelType w:val="hybridMultilevel"/>
    <w:tmpl w:val="F7BC7698"/>
    <w:lvl w:ilvl="0" w:tplc="1B4EF766">
      <w:start w:val="1"/>
      <w:numFmt w:val="lowerLetter"/>
      <w:lvlText w:val="(%1)"/>
      <w:lvlJc w:val="left"/>
      <w:pPr>
        <w:ind w:left="1500" w:hanging="360"/>
      </w:pPr>
      <w:rPr>
        <w:rFonts w:hint="default"/>
        <w:i w:val="0"/>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2" w15:restartNumberingAfterBreak="0">
    <w:nsid w:val="4914395D"/>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3" w15:restartNumberingAfterBreak="0">
    <w:nsid w:val="4E2E0478"/>
    <w:multiLevelType w:val="singleLevel"/>
    <w:tmpl w:val="AA3C36B8"/>
    <w:lvl w:ilvl="0">
      <w:start w:val="2"/>
      <w:numFmt w:val="decimal"/>
      <w:pStyle w:val="Paragraphnumbered"/>
      <w:lvlText w:val="%1."/>
      <w:legacy w:legacy="1" w:legacySpace="0" w:legacyIndent="567"/>
      <w:lvlJc w:val="left"/>
      <w:pPr>
        <w:ind w:left="567" w:hanging="567"/>
      </w:pPr>
      <w:rPr>
        <w:color w:val="auto"/>
      </w:rPr>
    </w:lvl>
  </w:abstractNum>
  <w:abstractNum w:abstractNumId="24" w15:restartNumberingAfterBreak="0">
    <w:nsid w:val="4EDF13C0"/>
    <w:multiLevelType w:val="hybridMultilevel"/>
    <w:tmpl w:val="A12EE89A"/>
    <w:lvl w:ilvl="0" w:tplc="BB042974">
      <w:start w:val="1"/>
      <w:numFmt w:val="bullet"/>
      <w:lvlText w:val=""/>
      <w:lvlJc w:val="left"/>
      <w:pPr>
        <w:ind w:left="360" w:hanging="360"/>
      </w:pPr>
      <w:rPr>
        <w:rFonts w:ascii="Symbol" w:hAnsi="Symbol" w:hint="default"/>
      </w:rPr>
    </w:lvl>
    <w:lvl w:ilvl="1" w:tplc="B33EF918" w:tentative="1">
      <w:start w:val="1"/>
      <w:numFmt w:val="bullet"/>
      <w:lvlText w:val="o"/>
      <w:lvlJc w:val="left"/>
      <w:pPr>
        <w:ind w:left="1080" w:hanging="360"/>
      </w:pPr>
      <w:rPr>
        <w:rFonts w:ascii="Courier New" w:hAnsi="Courier New" w:cs="Courier New" w:hint="default"/>
      </w:rPr>
    </w:lvl>
    <w:lvl w:ilvl="2" w:tplc="8F0C50B8" w:tentative="1">
      <w:start w:val="1"/>
      <w:numFmt w:val="bullet"/>
      <w:lvlText w:val=""/>
      <w:lvlJc w:val="left"/>
      <w:pPr>
        <w:ind w:left="1800" w:hanging="360"/>
      </w:pPr>
      <w:rPr>
        <w:rFonts w:ascii="Wingdings" w:hAnsi="Wingdings" w:hint="default"/>
      </w:rPr>
    </w:lvl>
    <w:lvl w:ilvl="3" w:tplc="0EC028F4" w:tentative="1">
      <w:start w:val="1"/>
      <w:numFmt w:val="bullet"/>
      <w:lvlText w:val=""/>
      <w:lvlJc w:val="left"/>
      <w:pPr>
        <w:ind w:left="2520" w:hanging="360"/>
      </w:pPr>
      <w:rPr>
        <w:rFonts w:ascii="Symbol" w:hAnsi="Symbol" w:hint="default"/>
      </w:rPr>
    </w:lvl>
    <w:lvl w:ilvl="4" w:tplc="9E6635EA" w:tentative="1">
      <w:start w:val="1"/>
      <w:numFmt w:val="bullet"/>
      <w:lvlText w:val="o"/>
      <w:lvlJc w:val="left"/>
      <w:pPr>
        <w:ind w:left="3240" w:hanging="360"/>
      </w:pPr>
      <w:rPr>
        <w:rFonts w:ascii="Courier New" w:hAnsi="Courier New" w:cs="Courier New" w:hint="default"/>
      </w:rPr>
    </w:lvl>
    <w:lvl w:ilvl="5" w:tplc="E214D3B8" w:tentative="1">
      <w:start w:val="1"/>
      <w:numFmt w:val="bullet"/>
      <w:lvlText w:val=""/>
      <w:lvlJc w:val="left"/>
      <w:pPr>
        <w:ind w:left="3960" w:hanging="360"/>
      </w:pPr>
      <w:rPr>
        <w:rFonts w:ascii="Wingdings" w:hAnsi="Wingdings" w:hint="default"/>
      </w:rPr>
    </w:lvl>
    <w:lvl w:ilvl="6" w:tplc="DF0EC754" w:tentative="1">
      <w:start w:val="1"/>
      <w:numFmt w:val="bullet"/>
      <w:lvlText w:val=""/>
      <w:lvlJc w:val="left"/>
      <w:pPr>
        <w:ind w:left="4680" w:hanging="360"/>
      </w:pPr>
      <w:rPr>
        <w:rFonts w:ascii="Symbol" w:hAnsi="Symbol" w:hint="default"/>
      </w:rPr>
    </w:lvl>
    <w:lvl w:ilvl="7" w:tplc="5A88A272" w:tentative="1">
      <w:start w:val="1"/>
      <w:numFmt w:val="bullet"/>
      <w:lvlText w:val="o"/>
      <w:lvlJc w:val="left"/>
      <w:pPr>
        <w:ind w:left="5400" w:hanging="360"/>
      </w:pPr>
      <w:rPr>
        <w:rFonts w:ascii="Courier New" w:hAnsi="Courier New" w:cs="Courier New" w:hint="default"/>
      </w:rPr>
    </w:lvl>
    <w:lvl w:ilvl="8" w:tplc="6F5486EC" w:tentative="1">
      <w:start w:val="1"/>
      <w:numFmt w:val="bullet"/>
      <w:lvlText w:val=""/>
      <w:lvlJc w:val="left"/>
      <w:pPr>
        <w:ind w:left="6120" w:hanging="360"/>
      </w:pPr>
      <w:rPr>
        <w:rFonts w:ascii="Wingdings" w:hAnsi="Wingdings" w:hint="default"/>
      </w:rPr>
    </w:lvl>
  </w:abstractNum>
  <w:abstractNum w:abstractNumId="25" w15:restartNumberingAfterBreak="0">
    <w:nsid w:val="51742820"/>
    <w:multiLevelType w:val="hybridMultilevel"/>
    <w:tmpl w:val="61D0F10C"/>
    <w:lvl w:ilvl="0" w:tplc="3E1E5A8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526249F0"/>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7" w15:restartNumberingAfterBreak="0">
    <w:nsid w:val="57FC1ACD"/>
    <w:multiLevelType w:val="hybridMultilevel"/>
    <w:tmpl w:val="9E14D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B443C0"/>
    <w:multiLevelType w:val="hybridMultilevel"/>
    <w:tmpl w:val="BD82D65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9" w15:restartNumberingAfterBreak="0">
    <w:nsid w:val="614864B6"/>
    <w:multiLevelType w:val="hybridMultilevel"/>
    <w:tmpl w:val="F7BC7698"/>
    <w:lvl w:ilvl="0" w:tplc="1B4EF766">
      <w:start w:val="1"/>
      <w:numFmt w:val="lowerLetter"/>
      <w:lvlText w:val="(%1)"/>
      <w:lvlJc w:val="left"/>
      <w:pPr>
        <w:ind w:left="1500" w:hanging="360"/>
      </w:pPr>
      <w:rPr>
        <w:rFonts w:hint="default"/>
        <w:i w:val="0"/>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0" w15:restartNumberingAfterBreak="0">
    <w:nsid w:val="615078E1"/>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1" w15:restartNumberingAfterBreak="0">
    <w:nsid w:val="623132F0"/>
    <w:multiLevelType w:val="hybridMultilevel"/>
    <w:tmpl w:val="E7240B1C"/>
    <w:lvl w:ilvl="0" w:tplc="3EB2BD0C">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2" w15:restartNumberingAfterBreak="0">
    <w:nsid w:val="64FD1005"/>
    <w:multiLevelType w:val="hybridMultilevel"/>
    <w:tmpl w:val="493ACCDA"/>
    <w:lvl w:ilvl="0" w:tplc="4C024F9A">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3" w15:restartNumberingAfterBreak="0">
    <w:nsid w:val="67DE79FE"/>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4" w15:restartNumberingAfterBreak="0">
    <w:nsid w:val="6E1F6801"/>
    <w:multiLevelType w:val="hybridMultilevel"/>
    <w:tmpl w:val="847286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FD5A4F"/>
    <w:multiLevelType w:val="multilevel"/>
    <w:tmpl w:val="AC12B9C0"/>
    <w:lvl w:ilvl="0">
      <w:start w:val="1"/>
      <w:numFmt w:val="bullet"/>
      <w:lvlText w:val="o"/>
      <w:lvlJc w:val="left"/>
      <w:pPr>
        <w:tabs>
          <w:tab w:val="num" w:pos="567"/>
        </w:tabs>
        <w:ind w:left="567" w:hanging="567"/>
      </w:pPr>
      <w:rPr>
        <w:rFonts w:ascii="Courier New" w:hAnsi="Courier New" w:cs="Courier New"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4B762F4"/>
    <w:multiLevelType w:val="hybridMultilevel"/>
    <w:tmpl w:val="EE8AD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196943"/>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8" w15:restartNumberingAfterBreak="0">
    <w:nsid w:val="766C51EE"/>
    <w:multiLevelType w:val="hybridMultilevel"/>
    <w:tmpl w:val="6BA4D248"/>
    <w:lvl w:ilvl="0" w:tplc="779AB1CC">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9" w15:restartNumberingAfterBreak="0">
    <w:nsid w:val="77FF3551"/>
    <w:multiLevelType w:val="hybridMultilevel"/>
    <w:tmpl w:val="2B968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9B3FCE"/>
    <w:multiLevelType w:val="hybridMultilevel"/>
    <w:tmpl w:val="61D0F10C"/>
    <w:lvl w:ilvl="0" w:tplc="3E1E5A8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1" w15:restartNumberingAfterBreak="0">
    <w:nsid w:val="7C2609EA"/>
    <w:multiLevelType w:val="hybridMultilevel"/>
    <w:tmpl w:val="7422B39C"/>
    <w:lvl w:ilvl="0" w:tplc="03B4890E">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42" w15:restartNumberingAfterBreak="0">
    <w:nsid w:val="7D2A0C6E"/>
    <w:multiLevelType w:val="hybridMultilevel"/>
    <w:tmpl w:val="C8FCE334"/>
    <w:lvl w:ilvl="0" w:tplc="03D664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abstractNumId w:val="23"/>
  </w:num>
  <w:num w:numId="2">
    <w:abstractNumId w:val="24"/>
  </w:num>
  <w:num w:numId="3">
    <w:abstractNumId w:val="12"/>
  </w:num>
  <w:num w:numId="4">
    <w:abstractNumId w:val="0"/>
  </w:num>
  <w:num w:numId="5">
    <w:abstractNumId w:val="6"/>
  </w:num>
  <w:num w:numId="6">
    <w:abstractNumId w:val="27"/>
  </w:num>
  <w:num w:numId="7">
    <w:abstractNumId w:val="36"/>
  </w:num>
  <w:num w:numId="8">
    <w:abstractNumId w:val="35"/>
  </w:num>
  <w:num w:numId="9">
    <w:abstractNumId w:val="10"/>
  </w:num>
  <w:num w:numId="10">
    <w:abstractNumId w:val="0"/>
  </w:num>
  <w:num w:numId="11">
    <w:abstractNumId w:val="13"/>
  </w:num>
  <w:num w:numId="12">
    <w:abstractNumId w:val="38"/>
  </w:num>
  <w:num w:numId="13">
    <w:abstractNumId w:val="9"/>
  </w:num>
  <w:num w:numId="14">
    <w:abstractNumId w:val="32"/>
  </w:num>
  <w:num w:numId="15">
    <w:abstractNumId w:val="37"/>
  </w:num>
  <w:num w:numId="16">
    <w:abstractNumId w:val="15"/>
  </w:num>
  <w:num w:numId="17">
    <w:abstractNumId w:val="8"/>
  </w:num>
  <w:num w:numId="18">
    <w:abstractNumId w:val="42"/>
  </w:num>
  <w:num w:numId="19">
    <w:abstractNumId w:val="4"/>
  </w:num>
  <w:num w:numId="20">
    <w:abstractNumId w:val="33"/>
  </w:num>
  <w:num w:numId="21">
    <w:abstractNumId w:val="41"/>
  </w:num>
  <w:num w:numId="22">
    <w:abstractNumId w:val="26"/>
  </w:num>
  <w:num w:numId="23">
    <w:abstractNumId w:val="19"/>
  </w:num>
  <w:num w:numId="24">
    <w:abstractNumId w:val="30"/>
  </w:num>
  <w:num w:numId="25">
    <w:abstractNumId w:val="40"/>
  </w:num>
  <w:num w:numId="26">
    <w:abstractNumId w:val="17"/>
  </w:num>
  <w:num w:numId="27">
    <w:abstractNumId w:val="11"/>
  </w:num>
  <w:num w:numId="28">
    <w:abstractNumId w:val="25"/>
  </w:num>
  <w:num w:numId="29">
    <w:abstractNumId w:val="3"/>
  </w:num>
  <w:num w:numId="30">
    <w:abstractNumId w:val="21"/>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1"/>
  </w:num>
  <w:num w:numId="37">
    <w:abstractNumId w:val="20"/>
  </w:num>
  <w:num w:numId="38">
    <w:abstractNumId w:val="14"/>
  </w:num>
  <w:num w:numId="39">
    <w:abstractNumId w:val="34"/>
  </w:num>
  <w:num w:numId="40">
    <w:abstractNumId w:val="2"/>
  </w:num>
  <w:num w:numId="41">
    <w:abstractNumId w:val="18"/>
  </w:num>
  <w:num w:numId="42">
    <w:abstractNumId w:val="1"/>
  </w:num>
  <w:num w:numId="43">
    <w:abstractNumId w:val="39"/>
  </w:num>
  <w:num w:numId="44">
    <w:abstractNumId w:val="28"/>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7F"/>
    <w:rsid w:val="000002F1"/>
    <w:rsid w:val="000046E9"/>
    <w:rsid w:val="0002643F"/>
    <w:rsid w:val="0004086B"/>
    <w:rsid w:val="0007222B"/>
    <w:rsid w:val="000B4848"/>
    <w:rsid w:val="000B6AF7"/>
    <w:rsid w:val="000E2A0E"/>
    <w:rsid w:val="000E799A"/>
    <w:rsid w:val="000F7C11"/>
    <w:rsid w:val="00100B0E"/>
    <w:rsid w:val="0010284C"/>
    <w:rsid w:val="00127CB6"/>
    <w:rsid w:val="00133D7C"/>
    <w:rsid w:val="0013419D"/>
    <w:rsid w:val="001704AD"/>
    <w:rsid w:val="00172524"/>
    <w:rsid w:val="00180512"/>
    <w:rsid w:val="001A7A9B"/>
    <w:rsid w:val="001B6CD1"/>
    <w:rsid w:val="001B7572"/>
    <w:rsid w:val="001C3B29"/>
    <w:rsid w:val="001C5BD7"/>
    <w:rsid w:val="001C7CA3"/>
    <w:rsid w:val="00213AE5"/>
    <w:rsid w:val="002144BB"/>
    <w:rsid w:val="0023440C"/>
    <w:rsid w:val="00261853"/>
    <w:rsid w:val="002662D2"/>
    <w:rsid w:val="002674C7"/>
    <w:rsid w:val="00270DFA"/>
    <w:rsid w:val="00295928"/>
    <w:rsid w:val="002974E6"/>
    <w:rsid w:val="002B4EBD"/>
    <w:rsid w:val="002B7FC3"/>
    <w:rsid w:val="002C55A2"/>
    <w:rsid w:val="002D56C6"/>
    <w:rsid w:val="002E1067"/>
    <w:rsid w:val="002F4121"/>
    <w:rsid w:val="00301A22"/>
    <w:rsid w:val="00304172"/>
    <w:rsid w:val="00307BE5"/>
    <w:rsid w:val="003514A5"/>
    <w:rsid w:val="0035769B"/>
    <w:rsid w:val="0036463E"/>
    <w:rsid w:val="00383190"/>
    <w:rsid w:val="003A1CE9"/>
    <w:rsid w:val="003E30F8"/>
    <w:rsid w:val="003F4068"/>
    <w:rsid w:val="00401B3C"/>
    <w:rsid w:val="00404811"/>
    <w:rsid w:val="004051E9"/>
    <w:rsid w:val="0041313D"/>
    <w:rsid w:val="00415603"/>
    <w:rsid w:val="004273A0"/>
    <w:rsid w:val="004463FD"/>
    <w:rsid w:val="00446758"/>
    <w:rsid w:val="00457805"/>
    <w:rsid w:val="00460CFF"/>
    <w:rsid w:val="00476806"/>
    <w:rsid w:val="004901C0"/>
    <w:rsid w:val="00497BA6"/>
    <w:rsid w:val="004A3C14"/>
    <w:rsid w:val="004B448E"/>
    <w:rsid w:val="004C0049"/>
    <w:rsid w:val="004C1F53"/>
    <w:rsid w:val="004F49B3"/>
    <w:rsid w:val="0054237E"/>
    <w:rsid w:val="0056107B"/>
    <w:rsid w:val="005721D7"/>
    <w:rsid w:val="00574992"/>
    <w:rsid w:val="00575AF3"/>
    <w:rsid w:val="00575E3C"/>
    <w:rsid w:val="00576372"/>
    <w:rsid w:val="00580AC6"/>
    <w:rsid w:val="005A70B8"/>
    <w:rsid w:val="005B4D79"/>
    <w:rsid w:val="005D62DB"/>
    <w:rsid w:val="005F414B"/>
    <w:rsid w:val="005F71FF"/>
    <w:rsid w:val="00601FD5"/>
    <w:rsid w:val="00603C40"/>
    <w:rsid w:val="00612BEA"/>
    <w:rsid w:val="00621592"/>
    <w:rsid w:val="0062246F"/>
    <w:rsid w:val="00630E6A"/>
    <w:rsid w:val="006403EB"/>
    <w:rsid w:val="00643304"/>
    <w:rsid w:val="0064695D"/>
    <w:rsid w:val="00652D33"/>
    <w:rsid w:val="00662D29"/>
    <w:rsid w:val="006656E2"/>
    <w:rsid w:val="006717C5"/>
    <w:rsid w:val="006747B3"/>
    <w:rsid w:val="006A7234"/>
    <w:rsid w:val="006B07F2"/>
    <w:rsid w:val="006B4D12"/>
    <w:rsid w:val="006D19AC"/>
    <w:rsid w:val="006D5A4B"/>
    <w:rsid w:val="006E1623"/>
    <w:rsid w:val="006E4243"/>
    <w:rsid w:val="007031D7"/>
    <w:rsid w:val="007167D2"/>
    <w:rsid w:val="007379F8"/>
    <w:rsid w:val="007467CD"/>
    <w:rsid w:val="0075575B"/>
    <w:rsid w:val="0075760F"/>
    <w:rsid w:val="00765CC8"/>
    <w:rsid w:val="007667B7"/>
    <w:rsid w:val="0077518A"/>
    <w:rsid w:val="0077677A"/>
    <w:rsid w:val="00776ECB"/>
    <w:rsid w:val="007814EE"/>
    <w:rsid w:val="0078747B"/>
    <w:rsid w:val="0079780F"/>
    <w:rsid w:val="007C6C0E"/>
    <w:rsid w:val="007D0166"/>
    <w:rsid w:val="007D1475"/>
    <w:rsid w:val="007D2FE3"/>
    <w:rsid w:val="007D71B5"/>
    <w:rsid w:val="007D73F4"/>
    <w:rsid w:val="007E1EF3"/>
    <w:rsid w:val="007F1C21"/>
    <w:rsid w:val="007F6550"/>
    <w:rsid w:val="007F6693"/>
    <w:rsid w:val="008037DF"/>
    <w:rsid w:val="008063EB"/>
    <w:rsid w:val="00821FDE"/>
    <w:rsid w:val="00825791"/>
    <w:rsid w:val="008309F5"/>
    <w:rsid w:val="00846940"/>
    <w:rsid w:val="00860E8F"/>
    <w:rsid w:val="00867E42"/>
    <w:rsid w:val="00881C7F"/>
    <w:rsid w:val="0088794F"/>
    <w:rsid w:val="008971DB"/>
    <w:rsid w:val="008A2B29"/>
    <w:rsid w:val="008A306A"/>
    <w:rsid w:val="008A652C"/>
    <w:rsid w:val="008A7C76"/>
    <w:rsid w:val="008A7EC3"/>
    <w:rsid w:val="008B6F50"/>
    <w:rsid w:val="008D2D29"/>
    <w:rsid w:val="008E3651"/>
    <w:rsid w:val="008E4717"/>
    <w:rsid w:val="008E6558"/>
    <w:rsid w:val="008F0FAC"/>
    <w:rsid w:val="008F6C2B"/>
    <w:rsid w:val="0090080C"/>
    <w:rsid w:val="009262EE"/>
    <w:rsid w:val="0093025C"/>
    <w:rsid w:val="00937389"/>
    <w:rsid w:val="009519CE"/>
    <w:rsid w:val="0095556A"/>
    <w:rsid w:val="00965EDE"/>
    <w:rsid w:val="00977713"/>
    <w:rsid w:val="00994992"/>
    <w:rsid w:val="009A6F88"/>
    <w:rsid w:val="009B293B"/>
    <w:rsid w:val="009B5B21"/>
    <w:rsid w:val="009D4AF4"/>
    <w:rsid w:val="009F69C0"/>
    <w:rsid w:val="00A02211"/>
    <w:rsid w:val="00A32B0E"/>
    <w:rsid w:val="00A40834"/>
    <w:rsid w:val="00A46C20"/>
    <w:rsid w:val="00A565A3"/>
    <w:rsid w:val="00A75E47"/>
    <w:rsid w:val="00A80C4E"/>
    <w:rsid w:val="00A82411"/>
    <w:rsid w:val="00AA5AA6"/>
    <w:rsid w:val="00AB336F"/>
    <w:rsid w:val="00AC2666"/>
    <w:rsid w:val="00AC5B8A"/>
    <w:rsid w:val="00AD7F05"/>
    <w:rsid w:val="00AE0356"/>
    <w:rsid w:val="00AE687B"/>
    <w:rsid w:val="00AE6F6D"/>
    <w:rsid w:val="00AF54C2"/>
    <w:rsid w:val="00B00699"/>
    <w:rsid w:val="00B21766"/>
    <w:rsid w:val="00B21BE0"/>
    <w:rsid w:val="00B23E5E"/>
    <w:rsid w:val="00B27CF5"/>
    <w:rsid w:val="00B71920"/>
    <w:rsid w:val="00B81ADA"/>
    <w:rsid w:val="00B8462F"/>
    <w:rsid w:val="00B85376"/>
    <w:rsid w:val="00B867B5"/>
    <w:rsid w:val="00B9698A"/>
    <w:rsid w:val="00B97083"/>
    <w:rsid w:val="00BC1038"/>
    <w:rsid w:val="00BC2F71"/>
    <w:rsid w:val="00BE0A81"/>
    <w:rsid w:val="00BE5FDC"/>
    <w:rsid w:val="00C01141"/>
    <w:rsid w:val="00C036CE"/>
    <w:rsid w:val="00C14064"/>
    <w:rsid w:val="00C16A25"/>
    <w:rsid w:val="00C16EDD"/>
    <w:rsid w:val="00C17F10"/>
    <w:rsid w:val="00C23565"/>
    <w:rsid w:val="00C34B5A"/>
    <w:rsid w:val="00CA5B18"/>
    <w:rsid w:val="00CB0FF2"/>
    <w:rsid w:val="00CC0171"/>
    <w:rsid w:val="00CC431B"/>
    <w:rsid w:val="00CD0196"/>
    <w:rsid w:val="00CE2665"/>
    <w:rsid w:val="00CF471A"/>
    <w:rsid w:val="00CF7120"/>
    <w:rsid w:val="00D076A8"/>
    <w:rsid w:val="00D10A7F"/>
    <w:rsid w:val="00D20F28"/>
    <w:rsid w:val="00D22256"/>
    <w:rsid w:val="00D540C6"/>
    <w:rsid w:val="00D63D6E"/>
    <w:rsid w:val="00D82BD9"/>
    <w:rsid w:val="00D86146"/>
    <w:rsid w:val="00D92CEB"/>
    <w:rsid w:val="00D94086"/>
    <w:rsid w:val="00DA218C"/>
    <w:rsid w:val="00DB1C44"/>
    <w:rsid w:val="00DB3092"/>
    <w:rsid w:val="00DC017A"/>
    <w:rsid w:val="00DC5450"/>
    <w:rsid w:val="00DD764C"/>
    <w:rsid w:val="00DE2D3A"/>
    <w:rsid w:val="00DE4A0F"/>
    <w:rsid w:val="00DE513C"/>
    <w:rsid w:val="00DF0F62"/>
    <w:rsid w:val="00DF2E5C"/>
    <w:rsid w:val="00E02217"/>
    <w:rsid w:val="00E04442"/>
    <w:rsid w:val="00E33AD5"/>
    <w:rsid w:val="00E56370"/>
    <w:rsid w:val="00E628E3"/>
    <w:rsid w:val="00E647B9"/>
    <w:rsid w:val="00E65AA9"/>
    <w:rsid w:val="00EB0926"/>
    <w:rsid w:val="00EC0795"/>
    <w:rsid w:val="00EC2A4B"/>
    <w:rsid w:val="00EE281A"/>
    <w:rsid w:val="00EE2F84"/>
    <w:rsid w:val="00EE7FC5"/>
    <w:rsid w:val="00F355D7"/>
    <w:rsid w:val="00F4369B"/>
    <w:rsid w:val="00F445AE"/>
    <w:rsid w:val="00F518D4"/>
    <w:rsid w:val="00F7538D"/>
    <w:rsid w:val="00F76293"/>
    <w:rsid w:val="00F77F7F"/>
    <w:rsid w:val="00F82709"/>
    <w:rsid w:val="00F91DBB"/>
    <w:rsid w:val="00F9368D"/>
    <w:rsid w:val="00F94295"/>
    <w:rsid w:val="00FA0344"/>
    <w:rsid w:val="00FA5BAA"/>
    <w:rsid w:val="00FB37AC"/>
    <w:rsid w:val="00FC3C1E"/>
    <w:rsid w:val="00FD6184"/>
    <w:rsid w:val="00FE1770"/>
    <w:rsid w:val="00FF1E8E"/>
    <w:rsid w:val="00FF7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CD0FF0"/>
  <w15:docId w15:val="{D7FA2BC9-1679-44AD-8C39-0D541EB3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A7F"/>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D10A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Heading1"/>
    <w:next w:val="Paragraphnumbered"/>
    <w:link w:val="Heading2Char"/>
    <w:qFormat/>
    <w:rsid w:val="00D10A7F"/>
    <w:pPr>
      <w:numPr>
        <w:ilvl w:val="12"/>
      </w:numPr>
      <w:spacing w:before="240" w:line="360" w:lineRule="auto"/>
      <w:outlineLvl w:val="1"/>
    </w:pPr>
    <w:rPr>
      <w:rFonts w:ascii="Times New Roman" w:eastAsia="Times New Roman" w:hAnsi="Times New Roman" w:cs="Times New Roman"/>
      <w:bCs w:val="0"/>
      <w:color w:val="auto"/>
      <w:sz w:val="24"/>
      <w:szCs w:val="20"/>
    </w:rPr>
  </w:style>
  <w:style w:type="paragraph" w:styleId="Heading3">
    <w:name w:val="heading 3"/>
    <w:basedOn w:val="Normal"/>
    <w:next w:val="Normal"/>
    <w:link w:val="Heading3Char"/>
    <w:uiPriority w:val="9"/>
    <w:semiHidden/>
    <w:unhideWhenUsed/>
    <w:qFormat/>
    <w:rsid w:val="00213AE5"/>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D10A7F"/>
    <w:rPr>
      <w:rFonts w:ascii="Times New Roman" w:eastAsia="Times New Roman" w:hAnsi="Times New Roman" w:cs="Times New Roman"/>
      <w:b/>
      <w:sz w:val="24"/>
      <w:szCs w:val="20"/>
      <w:lang w:eastAsia="en-AU"/>
    </w:rPr>
  </w:style>
  <w:style w:type="paragraph" w:customStyle="1" w:styleId="Paragraphnumbered">
    <w:name w:val="Paragraph (numbered)"/>
    <w:basedOn w:val="Normal"/>
    <w:uiPriority w:val="99"/>
    <w:rsid w:val="00D10A7F"/>
    <w:pPr>
      <w:numPr>
        <w:numId w:val="1"/>
      </w:numPr>
      <w:spacing w:before="240" w:line="360" w:lineRule="auto"/>
    </w:pPr>
  </w:style>
  <w:style w:type="paragraph" w:customStyle="1" w:styleId="Classification">
    <w:name w:val="Classification"/>
    <w:basedOn w:val="Normal"/>
    <w:rsid w:val="00D10A7F"/>
    <w:pPr>
      <w:spacing w:before="60" w:after="60"/>
      <w:jc w:val="center"/>
    </w:pPr>
    <w:rPr>
      <w:rFonts w:ascii="Arial" w:hAnsi="Arial"/>
      <w:b/>
      <w:caps/>
      <w:color w:val="FF0000"/>
      <w:sz w:val="28"/>
    </w:rPr>
  </w:style>
  <w:style w:type="paragraph" w:customStyle="1" w:styleId="Celltext">
    <w:name w:val="Cell text"/>
    <w:basedOn w:val="Normal"/>
    <w:rsid w:val="00D10A7F"/>
    <w:pPr>
      <w:spacing w:before="120"/>
    </w:pPr>
  </w:style>
  <w:style w:type="paragraph" w:customStyle="1" w:styleId="Celllabel">
    <w:name w:val="Cell label"/>
    <w:basedOn w:val="Celltext"/>
    <w:next w:val="Celltext"/>
    <w:rsid w:val="00D10A7F"/>
    <w:rPr>
      <w:b/>
    </w:rPr>
  </w:style>
  <w:style w:type="character" w:customStyle="1" w:styleId="Heading1Char">
    <w:name w:val="Heading 1 Char"/>
    <w:basedOn w:val="DefaultParagraphFont"/>
    <w:link w:val="Heading1"/>
    <w:uiPriority w:val="9"/>
    <w:rsid w:val="00D10A7F"/>
    <w:rPr>
      <w:rFonts w:asciiTheme="majorHAnsi" w:eastAsiaTheme="majorEastAsia" w:hAnsiTheme="majorHAnsi" w:cstheme="majorBidi"/>
      <w:b/>
      <w:bCs/>
      <w:color w:val="365F91" w:themeColor="accent1" w:themeShade="BF"/>
      <w:sz w:val="28"/>
      <w:szCs w:val="28"/>
      <w:lang w:eastAsia="en-AU"/>
    </w:rPr>
  </w:style>
  <w:style w:type="paragraph" w:styleId="BalloonText">
    <w:name w:val="Balloon Text"/>
    <w:basedOn w:val="Normal"/>
    <w:link w:val="BalloonTextChar"/>
    <w:uiPriority w:val="99"/>
    <w:semiHidden/>
    <w:unhideWhenUsed/>
    <w:rsid w:val="0056107B"/>
    <w:rPr>
      <w:rFonts w:ascii="Tahoma" w:hAnsi="Tahoma" w:cs="Tahoma"/>
      <w:sz w:val="16"/>
      <w:szCs w:val="16"/>
    </w:rPr>
  </w:style>
  <w:style w:type="character" w:customStyle="1" w:styleId="BalloonTextChar">
    <w:name w:val="Balloon Text Char"/>
    <w:basedOn w:val="DefaultParagraphFont"/>
    <w:link w:val="BalloonText"/>
    <w:uiPriority w:val="99"/>
    <w:semiHidden/>
    <w:rsid w:val="0056107B"/>
    <w:rPr>
      <w:rFonts w:ascii="Tahoma" w:eastAsia="Times New Roman" w:hAnsi="Tahoma" w:cs="Tahoma"/>
      <w:sz w:val="16"/>
      <w:szCs w:val="16"/>
      <w:lang w:eastAsia="en-AU"/>
    </w:rPr>
  </w:style>
  <w:style w:type="paragraph" w:styleId="Header">
    <w:name w:val="header"/>
    <w:basedOn w:val="Normal"/>
    <w:link w:val="HeaderChar"/>
    <w:unhideWhenUsed/>
    <w:rsid w:val="00DE4A0F"/>
    <w:pPr>
      <w:tabs>
        <w:tab w:val="center" w:pos="4513"/>
        <w:tab w:val="right" w:pos="9026"/>
      </w:tabs>
    </w:pPr>
  </w:style>
  <w:style w:type="character" w:customStyle="1" w:styleId="HeaderChar">
    <w:name w:val="Header Char"/>
    <w:basedOn w:val="DefaultParagraphFont"/>
    <w:link w:val="Header"/>
    <w:rsid w:val="00DE4A0F"/>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DE4A0F"/>
    <w:pPr>
      <w:tabs>
        <w:tab w:val="center" w:pos="4513"/>
        <w:tab w:val="right" w:pos="9026"/>
      </w:tabs>
    </w:pPr>
  </w:style>
  <w:style w:type="character" w:customStyle="1" w:styleId="FooterChar">
    <w:name w:val="Footer Char"/>
    <w:basedOn w:val="DefaultParagraphFont"/>
    <w:link w:val="Footer"/>
    <w:uiPriority w:val="99"/>
    <w:rsid w:val="00DE4A0F"/>
    <w:rPr>
      <w:rFonts w:ascii="Times New Roman" w:eastAsia="Times New Roman" w:hAnsi="Times New Roman" w:cs="Times New Roman"/>
      <w:sz w:val="24"/>
      <w:szCs w:val="20"/>
      <w:lang w:eastAsia="en-AU"/>
    </w:rPr>
  </w:style>
  <w:style w:type="character" w:styleId="PlaceholderText">
    <w:name w:val="Placeholder Text"/>
    <w:basedOn w:val="DefaultParagraphFont"/>
    <w:uiPriority w:val="99"/>
    <w:semiHidden/>
    <w:rsid w:val="00643304"/>
    <w:rPr>
      <w:color w:val="808080"/>
    </w:rPr>
  </w:style>
  <w:style w:type="character" w:customStyle="1" w:styleId="Style2">
    <w:name w:val="Style2"/>
    <w:basedOn w:val="DefaultParagraphFont"/>
    <w:uiPriority w:val="1"/>
    <w:rsid w:val="008D2D29"/>
    <w:rPr>
      <w:rFonts w:ascii="Arial" w:hAnsi="Arial"/>
      <w:b/>
      <w:color w:val="FF0000"/>
      <w:sz w:val="28"/>
    </w:rPr>
  </w:style>
  <w:style w:type="paragraph" w:customStyle="1" w:styleId="Bullet">
    <w:name w:val="Bullet"/>
    <w:basedOn w:val="Normal"/>
    <w:link w:val="BulletChar"/>
    <w:rsid w:val="00E33AD5"/>
    <w:pPr>
      <w:numPr>
        <w:numId w:val="4"/>
      </w:numPr>
      <w:spacing w:before="280" w:after="200"/>
    </w:pPr>
  </w:style>
  <w:style w:type="character" w:customStyle="1" w:styleId="BulletChar">
    <w:name w:val="Bullet Char"/>
    <w:basedOn w:val="DefaultParagraphFont"/>
    <w:link w:val="Bullet"/>
    <w:rsid w:val="00E33AD5"/>
    <w:rPr>
      <w:rFonts w:ascii="Times New Roman" w:eastAsia="Times New Roman" w:hAnsi="Times New Roman" w:cs="Times New Roman"/>
      <w:sz w:val="24"/>
      <w:szCs w:val="20"/>
      <w:lang w:eastAsia="en-AU"/>
    </w:rPr>
  </w:style>
  <w:style w:type="paragraph" w:customStyle="1" w:styleId="Dash">
    <w:name w:val="Dash"/>
    <w:basedOn w:val="Normal"/>
    <w:rsid w:val="00E33AD5"/>
    <w:pPr>
      <w:numPr>
        <w:ilvl w:val="1"/>
        <w:numId w:val="4"/>
      </w:numPr>
      <w:spacing w:after="200"/>
    </w:pPr>
  </w:style>
  <w:style w:type="paragraph" w:customStyle="1" w:styleId="DoubleDot">
    <w:name w:val="Double Dot"/>
    <w:basedOn w:val="Normal"/>
    <w:rsid w:val="00E33AD5"/>
    <w:pPr>
      <w:numPr>
        <w:ilvl w:val="2"/>
        <w:numId w:val="4"/>
      </w:numPr>
      <w:spacing w:after="200"/>
    </w:pPr>
  </w:style>
  <w:style w:type="paragraph" w:styleId="ListParagraph">
    <w:name w:val="List Paragraph"/>
    <w:basedOn w:val="Normal"/>
    <w:uiPriority w:val="34"/>
    <w:qFormat/>
    <w:rsid w:val="00BE5FDC"/>
    <w:pPr>
      <w:ind w:left="720"/>
      <w:contextualSpacing/>
    </w:pPr>
    <w:rPr>
      <w:szCs w:val="24"/>
    </w:rPr>
  </w:style>
  <w:style w:type="paragraph" w:styleId="FootnoteText">
    <w:name w:val="footnote text"/>
    <w:basedOn w:val="Normal"/>
    <w:link w:val="FootnoteTextChar"/>
    <w:uiPriority w:val="99"/>
    <w:unhideWhenUsed/>
    <w:rsid w:val="008A306A"/>
    <w:rPr>
      <w:sz w:val="20"/>
    </w:rPr>
  </w:style>
  <w:style w:type="character" w:customStyle="1" w:styleId="FootnoteTextChar">
    <w:name w:val="Footnote Text Char"/>
    <w:basedOn w:val="DefaultParagraphFont"/>
    <w:link w:val="FootnoteText"/>
    <w:uiPriority w:val="99"/>
    <w:rsid w:val="008A306A"/>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unhideWhenUsed/>
    <w:rsid w:val="008A306A"/>
    <w:rPr>
      <w:vertAlign w:val="superscript"/>
    </w:rPr>
  </w:style>
  <w:style w:type="paragraph" w:customStyle="1" w:styleId="ShortT">
    <w:name w:val="ShortT"/>
    <w:basedOn w:val="Normal"/>
    <w:next w:val="Normal"/>
    <w:qFormat/>
    <w:rsid w:val="00213AE5"/>
    <w:rPr>
      <w:b/>
      <w:sz w:val="40"/>
    </w:rPr>
  </w:style>
  <w:style w:type="paragraph" w:customStyle="1" w:styleId="ActHead5">
    <w:name w:val="ActHead 5"/>
    <w:aliases w:val="s"/>
    <w:basedOn w:val="Normal"/>
    <w:next w:val="subsection"/>
    <w:qFormat/>
    <w:rsid w:val="00213AE5"/>
    <w:pPr>
      <w:keepNext/>
      <w:keepLines/>
      <w:spacing w:before="280"/>
      <w:ind w:left="1134" w:hanging="1134"/>
      <w:outlineLvl w:val="4"/>
    </w:pPr>
    <w:rPr>
      <w:b/>
      <w:kern w:val="28"/>
    </w:rPr>
  </w:style>
  <w:style w:type="paragraph" w:customStyle="1" w:styleId="ActHead6">
    <w:name w:val="ActHead 6"/>
    <w:aliases w:val="as"/>
    <w:basedOn w:val="Normal"/>
    <w:next w:val="Normal"/>
    <w:qFormat/>
    <w:rsid w:val="00213AE5"/>
    <w:pPr>
      <w:keepNext/>
      <w:keepLines/>
      <w:ind w:left="1134" w:hanging="1134"/>
      <w:outlineLvl w:val="5"/>
    </w:pPr>
    <w:rPr>
      <w:rFonts w:ascii="Arial" w:hAnsi="Arial"/>
      <w:b/>
      <w:kern w:val="28"/>
      <w:sz w:val="32"/>
    </w:rPr>
  </w:style>
  <w:style w:type="paragraph" w:customStyle="1" w:styleId="ActHead9">
    <w:name w:val="ActHead 9"/>
    <w:aliases w:val="aat"/>
    <w:basedOn w:val="Normal"/>
    <w:next w:val="ItemHead"/>
    <w:qFormat/>
    <w:rsid w:val="00213AE5"/>
    <w:pPr>
      <w:keepNext/>
      <w:keepLines/>
      <w:spacing w:before="280"/>
      <w:ind w:left="1134" w:hanging="1134"/>
      <w:outlineLvl w:val="8"/>
    </w:pPr>
    <w:rPr>
      <w:b/>
      <w:i/>
      <w:kern w:val="28"/>
      <w:sz w:val="28"/>
    </w:rPr>
  </w:style>
  <w:style w:type="paragraph" w:customStyle="1" w:styleId="subsection">
    <w:name w:val="subsection"/>
    <w:aliases w:val="ss"/>
    <w:basedOn w:val="Normal"/>
    <w:link w:val="subsectionChar"/>
    <w:rsid w:val="00213AE5"/>
    <w:pPr>
      <w:tabs>
        <w:tab w:val="right" w:pos="1021"/>
      </w:tabs>
      <w:spacing w:before="180"/>
      <w:ind w:left="1134" w:hanging="1134"/>
    </w:pPr>
    <w:rPr>
      <w:sz w:val="22"/>
    </w:rPr>
  </w:style>
  <w:style w:type="paragraph" w:customStyle="1" w:styleId="Definition">
    <w:name w:val="Definition"/>
    <w:aliases w:val="dd"/>
    <w:basedOn w:val="Normal"/>
    <w:rsid w:val="00213AE5"/>
    <w:pPr>
      <w:spacing w:before="180"/>
      <w:ind w:left="1134"/>
    </w:pPr>
    <w:rPr>
      <w:sz w:val="22"/>
    </w:rPr>
  </w:style>
  <w:style w:type="paragraph" w:customStyle="1" w:styleId="Item">
    <w:name w:val="Item"/>
    <w:aliases w:val="i"/>
    <w:basedOn w:val="Normal"/>
    <w:next w:val="ItemHead"/>
    <w:rsid w:val="00213AE5"/>
    <w:pPr>
      <w:keepLines/>
      <w:spacing w:before="80"/>
      <w:ind w:left="709"/>
    </w:pPr>
    <w:rPr>
      <w:sz w:val="22"/>
    </w:rPr>
  </w:style>
  <w:style w:type="paragraph" w:customStyle="1" w:styleId="ItemHead">
    <w:name w:val="ItemHead"/>
    <w:aliases w:val="ih"/>
    <w:basedOn w:val="Normal"/>
    <w:next w:val="Item"/>
    <w:rsid w:val="00213AE5"/>
    <w:pPr>
      <w:keepNext/>
      <w:keepLines/>
      <w:spacing w:before="220"/>
      <w:ind w:left="709" w:hanging="709"/>
    </w:pPr>
    <w:rPr>
      <w:rFonts w:ascii="Arial" w:hAnsi="Arial"/>
      <w:b/>
      <w:kern w:val="28"/>
    </w:rPr>
  </w:style>
  <w:style w:type="paragraph" w:customStyle="1" w:styleId="notetext">
    <w:name w:val="note(text)"/>
    <w:aliases w:val="n"/>
    <w:basedOn w:val="Normal"/>
    <w:link w:val="notetextChar"/>
    <w:rsid w:val="00213AE5"/>
    <w:pPr>
      <w:spacing w:before="122" w:line="198" w:lineRule="exact"/>
      <w:ind w:left="1985" w:hanging="851"/>
    </w:pPr>
    <w:rPr>
      <w:sz w:val="18"/>
    </w:rPr>
  </w:style>
  <w:style w:type="paragraph" w:customStyle="1" w:styleId="paragraphsub">
    <w:name w:val="paragraph(sub)"/>
    <w:aliases w:val="aa"/>
    <w:basedOn w:val="Normal"/>
    <w:rsid w:val="00213AE5"/>
    <w:pPr>
      <w:tabs>
        <w:tab w:val="right" w:pos="1985"/>
      </w:tabs>
      <w:spacing w:before="40"/>
      <w:ind w:left="2098" w:hanging="2098"/>
    </w:pPr>
    <w:rPr>
      <w:sz w:val="22"/>
    </w:rPr>
  </w:style>
  <w:style w:type="paragraph" w:styleId="TOC5">
    <w:name w:val="toc 5"/>
    <w:basedOn w:val="Normal"/>
    <w:next w:val="Normal"/>
    <w:uiPriority w:val="39"/>
    <w:unhideWhenUsed/>
    <w:rsid w:val="00213AE5"/>
    <w:pPr>
      <w:keepLines/>
      <w:tabs>
        <w:tab w:val="right" w:leader="dot" w:pos="8278"/>
      </w:tabs>
      <w:spacing w:before="40"/>
      <w:ind w:left="1985" w:right="567" w:hanging="567"/>
    </w:pPr>
    <w:rPr>
      <w:kern w:val="28"/>
      <w:sz w:val="18"/>
    </w:rPr>
  </w:style>
  <w:style w:type="paragraph" w:styleId="TOC6">
    <w:name w:val="toc 6"/>
    <w:basedOn w:val="Normal"/>
    <w:next w:val="Normal"/>
    <w:uiPriority w:val="39"/>
    <w:unhideWhenUsed/>
    <w:rsid w:val="00213AE5"/>
    <w:pPr>
      <w:keepLines/>
      <w:tabs>
        <w:tab w:val="right" w:pos="8278"/>
      </w:tabs>
      <w:spacing w:before="120"/>
      <w:ind w:left="1344" w:right="567" w:hanging="1344"/>
    </w:pPr>
    <w:rPr>
      <w:b/>
      <w:kern w:val="28"/>
    </w:rPr>
  </w:style>
  <w:style w:type="paragraph" w:styleId="TOC9">
    <w:name w:val="toc 9"/>
    <w:basedOn w:val="Normal"/>
    <w:next w:val="Normal"/>
    <w:uiPriority w:val="39"/>
    <w:unhideWhenUsed/>
    <w:rsid w:val="00213AE5"/>
    <w:pPr>
      <w:keepLines/>
      <w:tabs>
        <w:tab w:val="right" w:pos="8278"/>
      </w:tabs>
      <w:spacing w:before="80"/>
      <w:ind w:left="851" w:right="567"/>
    </w:pPr>
    <w:rPr>
      <w:i/>
      <w:kern w:val="28"/>
      <w:sz w:val="20"/>
    </w:rPr>
  </w:style>
  <w:style w:type="paragraph" w:customStyle="1" w:styleId="notepara">
    <w:name w:val="note(para)"/>
    <w:aliases w:val="na"/>
    <w:basedOn w:val="Normal"/>
    <w:rsid w:val="00213AE5"/>
    <w:pPr>
      <w:spacing w:before="40" w:line="198" w:lineRule="exact"/>
      <w:ind w:left="2354" w:hanging="369"/>
    </w:pPr>
    <w:rPr>
      <w:sz w:val="18"/>
    </w:rPr>
  </w:style>
  <w:style w:type="table" w:styleId="TableGrid">
    <w:name w:val="Table Grid"/>
    <w:basedOn w:val="TableNormal"/>
    <w:uiPriority w:val="59"/>
    <w:rsid w:val="00213AE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213AE5"/>
    <w:pPr>
      <w:keepNext/>
      <w:pBdr>
        <w:bottom w:val="single" w:sz="4" w:space="12" w:color="auto"/>
      </w:pBdr>
      <w:tabs>
        <w:tab w:val="left" w:pos="3402"/>
      </w:tabs>
      <w:spacing w:line="300" w:lineRule="atLeast"/>
      <w:ind w:right="397"/>
    </w:pPr>
  </w:style>
  <w:style w:type="paragraph" w:customStyle="1" w:styleId="SignCoverPageStart">
    <w:name w:val="SignCoverPageStart"/>
    <w:basedOn w:val="Normal"/>
    <w:next w:val="Normal"/>
    <w:rsid w:val="00213AE5"/>
    <w:pPr>
      <w:pBdr>
        <w:top w:val="single" w:sz="4" w:space="1" w:color="auto"/>
      </w:pBdr>
      <w:spacing w:before="360" w:line="260" w:lineRule="atLeast"/>
      <w:ind w:right="397"/>
      <w:jc w:val="both"/>
    </w:pPr>
    <w:rPr>
      <w:sz w:val="22"/>
    </w:rPr>
  </w:style>
  <w:style w:type="character" w:customStyle="1" w:styleId="subsectionChar">
    <w:name w:val="subsection Char"/>
    <w:aliases w:val="ss Char"/>
    <w:basedOn w:val="DefaultParagraphFont"/>
    <w:link w:val="subsection"/>
    <w:locked/>
    <w:rsid w:val="00213AE5"/>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213AE5"/>
    <w:rPr>
      <w:rFonts w:ascii="Times New Roman" w:eastAsia="Times New Roman" w:hAnsi="Times New Roman" w:cs="Times New Roman"/>
      <w:sz w:val="18"/>
      <w:szCs w:val="20"/>
      <w:lang w:eastAsia="en-AU"/>
    </w:rPr>
  </w:style>
  <w:style w:type="character" w:customStyle="1" w:styleId="Heading3Char">
    <w:name w:val="Heading 3 Char"/>
    <w:basedOn w:val="DefaultParagraphFont"/>
    <w:link w:val="Heading3"/>
    <w:uiPriority w:val="9"/>
    <w:semiHidden/>
    <w:rsid w:val="00213AE5"/>
    <w:rPr>
      <w:rFonts w:asciiTheme="majorHAnsi" w:eastAsiaTheme="majorEastAsia" w:hAnsiTheme="majorHAnsi" w:cstheme="majorBidi"/>
      <w:color w:val="243F60" w:themeColor="accent1" w:themeShade="7F"/>
      <w:sz w:val="24"/>
      <w:szCs w:val="24"/>
      <w:lang w:eastAsia="en-AU"/>
    </w:rPr>
  </w:style>
  <w:style w:type="paragraph" w:customStyle="1" w:styleId="Default">
    <w:name w:val="Default"/>
    <w:rsid w:val="00213AE5"/>
    <w:pPr>
      <w:autoSpaceDE w:val="0"/>
      <w:autoSpaceDN w:val="0"/>
      <w:adjustRightInd w:val="0"/>
      <w:spacing w:after="0" w:line="240" w:lineRule="auto"/>
    </w:pPr>
    <w:rPr>
      <w:rFonts w:ascii="AvantGarde CondBook" w:hAnsi="AvantGarde CondBook" w:cs="AvantGarde CondBook"/>
      <w:color w:val="000000"/>
      <w:sz w:val="24"/>
      <w:szCs w:val="24"/>
    </w:rPr>
  </w:style>
  <w:style w:type="paragraph" w:customStyle="1" w:styleId="Pa1">
    <w:name w:val="Pa1"/>
    <w:basedOn w:val="Default"/>
    <w:next w:val="Default"/>
    <w:uiPriority w:val="99"/>
    <w:rsid w:val="00213AE5"/>
    <w:pPr>
      <w:spacing w:line="201" w:lineRule="atLeast"/>
    </w:pPr>
    <w:rPr>
      <w:rFonts w:cstheme="minorBidi"/>
      <w:color w:val="auto"/>
    </w:rPr>
  </w:style>
  <w:style w:type="paragraph" w:customStyle="1" w:styleId="TableTextform">
    <w:name w:val="TableText form"/>
    <w:basedOn w:val="Normal"/>
    <w:qFormat/>
    <w:rsid w:val="007467CD"/>
    <w:pPr>
      <w:spacing w:before="40" w:after="240"/>
    </w:pPr>
    <w:rPr>
      <w:rFonts w:ascii="Arial" w:hAnsi="Arial" w:cs="Arial"/>
      <w:bCs/>
      <w:sz w:val="20"/>
      <w:lang w:eastAsia="en-US"/>
    </w:rPr>
  </w:style>
  <w:style w:type="character" w:styleId="CommentReference">
    <w:name w:val="annotation reference"/>
    <w:basedOn w:val="DefaultParagraphFont"/>
    <w:uiPriority w:val="99"/>
    <w:semiHidden/>
    <w:unhideWhenUsed/>
    <w:rsid w:val="0007222B"/>
    <w:rPr>
      <w:sz w:val="16"/>
      <w:szCs w:val="16"/>
    </w:rPr>
  </w:style>
  <w:style w:type="paragraph" w:styleId="CommentText">
    <w:name w:val="annotation text"/>
    <w:basedOn w:val="Normal"/>
    <w:link w:val="CommentTextChar"/>
    <w:uiPriority w:val="99"/>
    <w:semiHidden/>
    <w:unhideWhenUsed/>
    <w:rsid w:val="0007222B"/>
    <w:rPr>
      <w:sz w:val="20"/>
    </w:rPr>
  </w:style>
  <w:style w:type="character" w:customStyle="1" w:styleId="CommentTextChar">
    <w:name w:val="Comment Text Char"/>
    <w:basedOn w:val="DefaultParagraphFont"/>
    <w:link w:val="CommentText"/>
    <w:uiPriority w:val="99"/>
    <w:semiHidden/>
    <w:rsid w:val="0007222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7222B"/>
    <w:rPr>
      <w:b/>
      <w:bCs/>
    </w:rPr>
  </w:style>
  <w:style w:type="character" w:customStyle="1" w:styleId="CommentSubjectChar">
    <w:name w:val="Comment Subject Char"/>
    <w:basedOn w:val="CommentTextChar"/>
    <w:link w:val="CommentSubject"/>
    <w:uiPriority w:val="99"/>
    <w:semiHidden/>
    <w:rsid w:val="0007222B"/>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12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787DEB2-057C-4988-8B67-FAD9A8718C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C019737F0EF8C4F979F5BFB0282C0F2" ma:contentTypeVersion="" ma:contentTypeDescription="PDMS Document Site Content Type" ma:contentTypeScope="" ma:versionID="a0a452998d8e543fe1d61dc3eb1afc39">
  <xsd:schema xmlns:xsd="http://www.w3.org/2001/XMLSchema" xmlns:xs="http://www.w3.org/2001/XMLSchema" xmlns:p="http://schemas.microsoft.com/office/2006/metadata/properties" xmlns:ns2="F787DEB2-057C-4988-8B67-FAD9A8718CCF" targetNamespace="http://schemas.microsoft.com/office/2006/metadata/properties" ma:root="true" ma:fieldsID="c94bbd537d533538ea88c2659eb72c8c" ns2:_="">
    <xsd:import namespace="F787DEB2-057C-4988-8B67-FAD9A8718CC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7DEB2-057C-4988-8B67-FAD9A8718CC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F2E1E-97F2-4B42-98F7-C7D08C16BE77}">
  <ds:schemaRefs>
    <ds:schemaRef ds:uri="http://schemas.microsoft.com/sharepoint/v3/contenttype/forms"/>
  </ds:schemaRefs>
</ds:datastoreItem>
</file>

<file path=customXml/itemProps2.xml><?xml version="1.0" encoding="utf-8"?>
<ds:datastoreItem xmlns:ds="http://schemas.openxmlformats.org/officeDocument/2006/customXml" ds:itemID="{F2052F81-C0B2-4F7C-BC1E-3AE3D46160B6}">
  <ds:schemaRefs>
    <ds:schemaRef ds:uri="http://schemas.microsoft.com/office/2006/metadata/properties"/>
    <ds:schemaRef ds:uri="http://schemas.microsoft.com/office/infopath/2007/PartnerControls"/>
    <ds:schemaRef ds:uri="F787DEB2-057C-4988-8B67-FAD9A8718CCF"/>
  </ds:schemaRefs>
</ds:datastoreItem>
</file>

<file path=customXml/itemProps3.xml><?xml version="1.0" encoding="utf-8"?>
<ds:datastoreItem xmlns:ds="http://schemas.openxmlformats.org/officeDocument/2006/customXml" ds:itemID="{A5C77102-7DC1-447B-9DA2-51453EDBA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7DEB2-057C-4988-8B67-FAD9A8718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E8B4A-4603-4A4B-97A3-D9D8FB1DC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Submission - AG - Brandis</vt:lpstr>
    </vt:vector>
  </TitlesOfParts>
  <Company>Australian Attorney General's Department</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 AG - Brandis</dc:title>
  <dc:subject>Subject</dc:subject>
  <dc:creator>vucagj</dc:creator>
  <cp:lastModifiedBy>Janit Gardner</cp:lastModifiedBy>
  <cp:revision>8</cp:revision>
  <cp:lastPrinted>2019-08-07T06:54:00Z</cp:lastPrinted>
  <dcterms:created xsi:type="dcterms:W3CDTF">2019-08-23T02:19:00Z</dcterms:created>
  <dcterms:modified xsi:type="dcterms:W3CDTF">2019-08-30T02:58:00Z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Off">
    <vt:lpwstr>ActionOff</vt:lpwstr>
  </property>
  <property fmtid="{D5CDD505-2E9C-101B-9397-08002B2CF9AE}" pid="3" name="AdditionalSecurityInformation">
    <vt:lpwstr/>
  </property>
  <property fmtid="{D5CDD505-2E9C-101B-9397-08002B2CF9AE}" pid="4" name="AOPhone">
    <vt:lpwstr>AOPhone</vt:lpwstr>
  </property>
  <property fmtid="{D5CDD505-2E9C-101B-9397-08002B2CF9AE}" pid="5" name="Branch">
    <vt:lpwstr>Branch</vt:lpwstr>
  </property>
  <property fmtid="{D5CDD505-2E9C-101B-9397-08002B2CF9AE}" pid="6" name="ClearanceActualDate">
    <vt:lpwstr/>
  </property>
  <property fmtid="{D5CDD505-2E9C-101B-9397-08002B2CF9AE}" pid="7" name="ClearanceDueDate">
    <vt:lpwstr/>
  </property>
  <property fmtid="{D5CDD505-2E9C-101B-9397-08002B2CF9AE}" pid="8" name="ContentTypeId">
    <vt:lpwstr>0x010100266966F133664895A6EE3632470D45F50200D2F43FB68EC75746AF3911A9E77A6AB2</vt:lpwstr>
  </property>
  <property fmtid="{D5CDD505-2E9C-101B-9397-08002B2CF9AE}" pid="9" name="CriticalDate">
    <vt:lpwstr/>
  </property>
  <property fmtid="{D5CDD505-2E9C-101B-9397-08002B2CF9AE}" pid="10" name="CriticalDateReason">
    <vt:lpwstr/>
  </property>
  <property fmtid="{D5CDD505-2E9C-101B-9397-08002B2CF9AE}" pid="11" name="DateSenttoRO">
    <vt:lpwstr>DateSenttoRO</vt:lpwstr>
  </property>
  <property fmtid="{D5CDD505-2E9C-101B-9397-08002B2CF9AE}" pid="12" name="Div">
    <vt:lpwstr>Div</vt:lpwstr>
  </property>
  <property fmtid="{D5CDD505-2E9C-101B-9397-08002B2CF9AE}" pid="13" name="DivActionArea">
    <vt:lpwstr>DivActionArea</vt:lpwstr>
  </property>
  <property fmtid="{D5CDD505-2E9C-101B-9397-08002B2CF9AE}" pid="14" name="Electorates">
    <vt:lpwstr> </vt:lpwstr>
  </property>
  <property fmtid="{D5CDD505-2E9C-101B-9397-08002B2CF9AE}" pid="15" name="GroupResponsible">
    <vt:lpwstr>Comcare</vt:lpwstr>
  </property>
  <property fmtid="{D5CDD505-2E9C-101B-9397-08002B2CF9AE}" pid="16" name="HandlingProtocol">
    <vt:lpwstr>Standard</vt:lpwstr>
  </property>
  <property fmtid="{D5CDD505-2E9C-101B-9397-08002B2CF9AE}" pid="17" name="HPTRIM_Ignore">
    <vt:bool>true</vt:bool>
  </property>
  <property fmtid="{D5CDD505-2E9C-101B-9397-08002B2CF9AE}" pid="18" name="InformationMinister">
    <vt:lpwstr> </vt:lpwstr>
  </property>
  <property fmtid="{D5CDD505-2E9C-101B-9397-08002B2CF9AE}" pid="19" name="InitiatorAddressBlock">
    <vt:lpwstr/>
  </property>
  <property fmtid="{D5CDD505-2E9C-101B-9397-08002B2CF9AE}" pid="20" name="InitiatorAddressLine1">
    <vt:lpwstr/>
  </property>
  <property fmtid="{D5CDD505-2E9C-101B-9397-08002B2CF9AE}" pid="21" name="InitiatorAddressLine1And2">
    <vt:lpwstr/>
  </property>
  <property fmtid="{D5CDD505-2E9C-101B-9397-08002B2CF9AE}" pid="22" name="InitiatorAddressLine2">
    <vt:lpwstr/>
  </property>
  <property fmtid="{D5CDD505-2E9C-101B-9397-08002B2CF9AE}" pid="23" name="InitiatorContactName">
    <vt:lpwstr/>
  </property>
  <property fmtid="{D5CDD505-2E9C-101B-9397-08002B2CF9AE}" pid="24" name="InitiatorContactPosition">
    <vt:lpwstr/>
  </property>
  <property fmtid="{D5CDD505-2E9C-101B-9397-08002B2CF9AE}" pid="25" name="InitiatorCountry">
    <vt:lpwstr/>
  </property>
  <property fmtid="{D5CDD505-2E9C-101B-9397-08002B2CF9AE}" pid="26" name="InitiatorEmail">
    <vt:lpwstr/>
  </property>
  <property fmtid="{D5CDD505-2E9C-101B-9397-08002B2CF9AE}" pid="27" name="InitiatorFax">
    <vt:lpwstr/>
  </property>
  <property fmtid="{D5CDD505-2E9C-101B-9397-08002B2CF9AE}" pid="28" name="InitiatorFirstName">
    <vt:lpwstr/>
  </property>
  <property fmtid="{D5CDD505-2E9C-101B-9397-08002B2CF9AE}" pid="29" name="InitiatorFormalTitle">
    <vt:lpwstr/>
  </property>
  <property fmtid="{D5CDD505-2E9C-101B-9397-08002B2CF9AE}" pid="30" name="InitiatorFullName">
    <vt:lpwstr/>
  </property>
  <property fmtid="{D5CDD505-2E9C-101B-9397-08002B2CF9AE}" pid="31" name="InitiatorLastName">
    <vt:lpwstr/>
  </property>
  <property fmtid="{D5CDD505-2E9C-101B-9397-08002B2CF9AE}" pid="32" name="InitiatorMobile">
    <vt:lpwstr/>
  </property>
  <property fmtid="{D5CDD505-2E9C-101B-9397-08002B2CF9AE}" pid="33" name="InitiatorMPElectorate">
    <vt:lpwstr/>
  </property>
  <property fmtid="{D5CDD505-2E9C-101B-9397-08002B2CF9AE}" pid="34" name="InitiatorMPState">
    <vt:lpwstr/>
  </property>
  <property fmtid="{D5CDD505-2E9C-101B-9397-08002B2CF9AE}" pid="35" name="InitiatorName">
    <vt:lpwstr/>
  </property>
  <property fmtid="{D5CDD505-2E9C-101B-9397-08002B2CF9AE}" pid="36" name="InitiatorOnBehalfVia">
    <vt:lpwstr/>
  </property>
  <property fmtid="{D5CDD505-2E9C-101B-9397-08002B2CF9AE}" pid="37" name="InitiatorOrganisation">
    <vt:lpwstr/>
  </property>
  <property fmtid="{D5CDD505-2E9C-101B-9397-08002B2CF9AE}" pid="38" name="InitiatorOrganisationContactInformation">
    <vt:lpwstr/>
  </property>
  <property fmtid="{D5CDD505-2E9C-101B-9397-08002B2CF9AE}" pid="39" name="InitiatorOrganisationType">
    <vt:lpwstr/>
  </property>
  <property fmtid="{D5CDD505-2E9C-101B-9397-08002B2CF9AE}" pid="40" name="InitiatorOrganisationWebsite">
    <vt:lpwstr/>
  </property>
  <property fmtid="{D5CDD505-2E9C-101B-9397-08002B2CF9AE}" pid="41" name="InitiatorParliamentaryTitle">
    <vt:lpwstr/>
  </property>
  <property fmtid="{D5CDD505-2E9C-101B-9397-08002B2CF9AE}" pid="42" name="InitiatorPhone">
    <vt:lpwstr/>
  </property>
  <property fmtid="{D5CDD505-2E9C-101B-9397-08002B2CF9AE}" pid="43" name="InitiatorPostCode">
    <vt:lpwstr/>
  </property>
  <property fmtid="{D5CDD505-2E9C-101B-9397-08002B2CF9AE}" pid="44" name="InitiatorPostNominal">
    <vt:lpwstr/>
  </property>
  <property fmtid="{D5CDD505-2E9C-101B-9397-08002B2CF9AE}" pid="45" name="InitiatorState">
    <vt:lpwstr/>
  </property>
  <property fmtid="{D5CDD505-2E9C-101B-9397-08002B2CF9AE}" pid="46" name="InitiatorSuburbOrCity">
    <vt:lpwstr/>
  </property>
  <property fmtid="{D5CDD505-2E9C-101B-9397-08002B2CF9AE}" pid="47" name="InitiatorSuburbStatePostcode">
    <vt:lpwstr/>
  </property>
  <property fmtid="{D5CDD505-2E9C-101B-9397-08002B2CF9AE}" pid="48" name="InitiatorTitle">
    <vt:lpwstr/>
  </property>
  <property fmtid="{D5CDD505-2E9C-101B-9397-08002B2CF9AE}" pid="49" name="InitiatorTitledFullName">
    <vt:lpwstr/>
  </property>
  <property fmtid="{D5CDD505-2E9C-101B-9397-08002B2CF9AE}" pid="50" name="LastClearingOfficer">
    <vt:lpwstr/>
  </property>
  <property fmtid="{D5CDD505-2E9C-101B-9397-08002B2CF9AE}" pid="51" name="LinkedMinCorro">
    <vt:lpwstr>LinkedMinCorro</vt:lpwstr>
  </property>
  <property fmtid="{D5CDD505-2E9C-101B-9397-08002B2CF9AE}" pid="52" name="Ministers">
    <vt:lpwstr>Christian Porter</vt:lpwstr>
  </property>
  <property fmtid="{D5CDD505-2E9C-101B-9397-08002B2CF9AE}" pid="53" name="MOActionDueDate">
    <vt:lpwstr/>
  </property>
  <property fmtid="{D5CDD505-2E9C-101B-9397-08002B2CF9AE}" pid="54" name="PdrId">
    <vt:lpwstr>MS19-000261</vt:lpwstr>
  </property>
  <property fmtid="{D5CDD505-2E9C-101B-9397-08002B2CF9AE}" pid="55" name="Principal">
    <vt:lpwstr>Christian Porter</vt:lpwstr>
  </property>
  <property fmtid="{D5CDD505-2E9C-101B-9397-08002B2CF9AE}" pid="56" name="ReasonForSensitivity">
    <vt:lpwstr/>
  </property>
  <property fmtid="{D5CDD505-2E9C-101B-9397-08002B2CF9AE}" pid="57" name="RefNo">
    <vt:lpwstr>RefNo</vt:lpwstr>
  </property>
  <property fmtid="{D5CDD505-2E9C-101B-9397-08002B2CF9AE}" pid="58" name="RegisteredDate">
    <vt:lpwstr>06 June 2019</vt:lpwstr>
  </property>
  <property fmtid="{D5CDD505-2E9C-101B-9397-08002B2CF9AE}" pid="59" name="RequestedAction">
    <vt:lpwstr>Noting</vt:lpwstr>
  </property>
  <property fmtid="{D5CDD505-2E9C-101B-9397-08002B2CF9AE}" pid="60" name="RespDate">
    <vt:lpwstr>RespDate</vt:lpwstr>
  </property>
  <property fmtid="{D5CDD505-2E9C-101B-9397-08002B2CF9AE}" pid="61" name="RespOff">
    <vt:lpwstr>RespOff</vt:lpwstr>
  </property>
  <property fmtid="{D5CDD505-2E9C-101B-9397-08002B2CF9AE}" pid="62" name="RespOffRole">
    <vt:lpwstr>RespOffRole</vt:lpwstr>
  </property>
  <property fmtid="{D5CDD505-2E9C-101B-9397-08002B2CF9AE}" pid="63" name="ResponsibleMinister">
    <vt:lpwstr>Christian Porter</vt:lpwstr>
  </property>
  <property fmtid="{D5CDD505-2E9C-101B-9397-08002B2CF9AE}" pid="64" name="RespTel">
    <vt:lpwstr>RespTel</vt:lpwstr>
  </property>
  <property fmtid="{D5CDD505-2E9C-101B-9397-08002B2CF9AE}" pid="65" name="SecurityClassification">
    <vt:lpwstr>UNCLASSIFIED  </vt:lpwstr>
  </property>
  <property fmtid="{D5CDD505-2E9C-101B-9397-08002B2CF9AE}" pid="66" name="Subject">
    <vt:lpwstr>Safety, Rehabilitation and Compensation Guidelines for Rehabilitation Authorities 2019</vt:lpwstr>
  </property>
  <property fmtid="{D5CDD505-2E9C-101B-9397-08002B2CF9AE}" pid="67" name="TaskSeqNo">
    <vt:lpwstr>0</vt:lpwstr>
  </property>
  <property fmtid="{D5CDD505-2E9C-101B-9397-08002B2CF9AE}" pid="68" name="TemplateSubType">
    <vt:lpwstr>Basic</vt:lpwstr>
  </property>
  <property fmtid="{D5CDD505-2E9C-101B-9397-08002B2CF9AE}" pid="69" name="TemplateType">
    <vt:lpwstr>Information Submission</vt:lpwstr>
  </property>
  <property fmtid="{D5CDD505-2E9C-101B-9397-08002B2CF9AE}" pid="70" name="TrustedGroups">
    <vt:lpwstr>Parliamentary Coordinator MS, DLO, Ministerial Staff, Business Administrator, Limited Distribution MS</vt:lpwstr>
  </property>
</Properties>
</file>