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A4C5D" w14:textId="77777777" w:rsidR="00002885" w:rsidRPr="00164241" w:rsidRDefault="00002885" w:rsidP="00002885">
      <w:pPr>
        <w:ind w:left="1440" w:firstLine="720"/>
        <w:rPr>
          <w:b/>
          <w:u w:val="single"/>
        </w:rPr>
      </w:pPr>
      <w:r w:rsidRPr="00164241">
        <w:rPr>
          <w:b/>
          <w:u w:val="single"/>
        </w:rPr>
        <w:t>EXPLANATORY STATEMENT</w:t>
      </w:r>
    </w:p>
    <w:p w14:paraId="55306CBE" w14:textId="77777777" w:rsidR="00002885" w:rsidRPr="00E10EE3" w:rsidRDefault="00002885" w:rsidP="000C74B0">
      <w:pPr>
        <w:ind w:left="2127"/>
      </w:pPr>
      <w:r w:rsidRPr="00E10EE3">
        <w:rPr>
          <w:i/>
        </w:rPr>
        <w:t>Therapeutic Goods Act 1989</w:t>
      </w:r>
    </w:p>
    <w:p w14:paraId="3DC89083" w14:textId="77777777" w:rsidR="00002885" w:rsidRPr="00E10EE3" w:rsidRDefault="00AE511D" w:rsidP="000C74B0">
      <w:pPr>
        <w:ind w:left="2127"/>
        <w:rPr>
          <w:i/>
        </w:rPr>
      </w:pPr>
      <w:r w:rsidRPr="00AE511D">
        <w:rPr>
          <w:i/>
        </w:rPr>
        <w:t xml:space="preserve">Poisons Standard </w:t>
      </w:r>
      <w:r w:rsidR="00D36DE0">
        <w:rPr>
          <w:i/>
        </w:rPr>
        <w:t>October</w:t>
      </w:r>
      <w:r w:rsidR="00D36DE0" w:rsidRPr="00AE511D">
        <w:rPr>
          <w:i/>
        </w:rPr>
        <w:t xml:space="preserve"> </w:t>
      </w:r>
      <w:r w:rsidR="006046E1">
        <w:rPr>
          <w:i/>
        </w:rPr>
        <w:t>2019</w:t>
      </w:r>
    </w:p>
    <w:p w14:paraId="525CC31C" w14:textId="4585124D" w:rsidR="000C74B0" w:rsidRDefault="000C74B0" w:rsidP="00002885">
      <w:r w:rsidRPr="000C74B0">
        <w:t xml:space="preserve">The </w:t>
      </w:r>
      <w:r w:rsidRPr="000C74B0">
        <w:rPr>
          <w:i/>
        </w:rPr>
        <w:t>Therapeutic Goods Act 1989</w:t>
      </w:r>
      <w:r w:rsidRPr="000C74B0">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w:t>
      </w:r>
      <w:r w:rsidR="00C67682">
        <w:t xml:space="preserve"> Australian</w:t>
      </w:r>
      <w:r w:rsidRPr="000C74B0">
        <w:t xml:space="preserve"> </w:t>
      </w:r>
      <w:r w:rsidR="00075831">
        <w:t xml:space="preserve">Government </w:t>
      </w:r>
      <w:r w:rsidRPr="000C74B0">
        <w:t>Department of Health.</w:t>
      </w:r>
    </w:p>
    <w:p w14:paraId="4BB5FAFD"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1F6A9261"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Subsection </w:t>
      </w:r>
      <w:proofErr w:type="gramStart"/>
      <w:r w:rsidRPr="000C74B0">
        <w:rPr>
          <w:rFonts w:eastAsiaTheme="minorHAnsi"/>
          <w:color w:val="000000"/>
          <w:lang w:val="en-AU"/>
        </w:rPr>
        <w:t>52D(</w:t>
      </w:r>
      <w:proofErr w:type="gramEnd"/>
      <w:r w:rsidRPr="000C74B0">
        <w:rPr>
          <w:rFonts w:eastAsiaTheme="minorHAnsi"/>
          <w:color w:val="000000"/>
          <w:lang w:val="en-AU"/>
        </w:rPr>
        <w:t>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
    <w:p w14:paraId="567E5E3E" w14:textId="447D14D5"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Poisons Standard reflects decisions of </w:t>
      </w:r>
      <w:r w:rsidR="00150B11">
        <w:rPr>
          <w:rFonts w:eastAsiaTheme="minorHAnsi"/>
          <w:color w:val="000000"/>
          <w:lang w:val="en-AU"/>
        </w:rPr>
        <w:t xml:space="preserve">the </w:t>
      </w:r>
      <w:r w:rsidRPr="000C74B0">
        <w:rPr>
          <w:rFonts w:eastAsiaTheme="minorHAnsi"/>
          <w:color w:val="000000"/>
          <w:lang w:val="en-AU"/>
        </w:rPr>
        <w:t>Secretary</w:t>
      </w:r>
      <w:r w:rsidR="00476BAA">
        <w:rPr>
          <w:rFonts w:eastAsiaTheme="minorHAnsi"/>
          <w:color w:val="000000"/>
          <w:lang w:val="en-AU"/>
        </w:rPr>
        <w:t xml:space="preserve"> </w:t>
      </w:r>
      <w:r w:rsidR="00476BAA" w:rsidRPr="00476BAA">
        <w:rPr>
          <w:rFonts w:eastAsiaTheme="minorHAnsi"/>
          <w:color w:val="000000"/>
          <w:lang w:val="en-AU"/>
        </w:rPr>
        <w:t>or a delegate of the Secretary</w:t>
      </w:r>
      <w:r w:rsidRPr="000C74B0">
        <w:rPr>
          <w:rFonts w:eastAsiaTheme="minorHAnsi"/>
          <w:color w:val="000000"/>
          <w:lang w:val="en-AU"/>
        </w:rPr>
        <w:t xml:space="preserve"> regarding the classification of medicines and poisons into the different Schedules, signifying the degree of risk and the control recommended to be exercised over their availability to the public.</w:t>
      </w:r>
    </w:p>
    <w:p w14:paraId="48F2438B"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11160F3B"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 </w:t>
      </w:r>
    </w:p>
    <w:p w14:paraId="1652F4D9"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w:t>
      </w:r>
      <w:r w:rsidRPr="000C74B0">
        <w:rPr>
          <w:rFonts w:eastAsiaTheme="minorHAnsi"/>
          <w:color w:val="000000"/>
          <w:lang w:val="en-AU"/>
        </w:rPr>
        <w:lastRenderedPageBreak/>
        <w:t>Standard. The advertising of substances included in Schedule 9 or Schedule 10 of the Poisons Standard is also prohibited.</w:t>
      </w:r>
    </w:p>
    <w:p w14:paraId="0787D4F8" w14:textId="77777777" w:rsid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Scheduling Policy Framework (“the SPF”) provides guidance on whether a decision concerning the scheduling of substances under the Poisons Standard would benefit from being referred to ACMS or ACCS for advice. A copy of the SPF can be found at </w:t>
      </w:r>
      <w:hyperlink r:id="rId9" w:history="1">
        <w:r w:rsidRPr="006E0414">
          <w:rPr>
            <w:rStyle w:val="Hyperlink"/>
            <w:rFonts w:eastAsiaTheme="minorHAnsi"/>
            <w:lang w:val="en-AU"/>
          </w:rPr>
          <w:t>https://www.tga.gov.au/publication/ahmac-scheduling-policy-framework-medicines-and-chemicals</w:t>
        </w:r>
      </w:hyperlink>
      <w:r w:rsidRPr="000C74B0">
        <w:rPr>
          <w:rFonts w:eastAsiaTheme="minorHAnsi"/>
          <w:color w:val="000000"/>
          <w:lang w:val="en-AU"/>
        </w:rPr>
        <w:t>.</w:t>
      </w:r>
    </w:p>
    <w:p w14:paraId="0101E10D" w14:textId="77777777" w:rsidR="000C74B0" w:rsidRP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purpose of this instrument is to make a new Poisons Standard, the </w:t>
      </w:r>
      <w:r w:rsidRPr="00150B11">
        <w:rPr>
          <w:rFonts w:eastAsiaTheme="minorHAnsi"/>
          <w:i/>
          <w:color w:val="000000"/>
          <w:lang w:val="en-AU"/>
        </w:rPr>
        <w:t>Poisons Standard October 2019</w:t>
      </w:r>
      <w:r w:rsidRPr="000C74B0">
        <w:rPr>
          <w:rFonts w:eastAsiaTheme="minorHAnsi"/>
          <w:color w:val="000000"/>
          <w:lang w:val="en-AU"/>
        </w:rPr>
        <w:t xml:space="preserve">, in substitution for the previous Poisons Standard, the </w:t>
      </w:r>
      <w:r w:rsidRPr="00150B11">
        <w:rPr>
          <w:rFonts w:eastAsiaTheme="minorHAnsi"/>
          <w:i/>
          <w:color w:val="000000"/>
          <w:lang w:val="en-AU"/>
        </w:rPr>
        <w:t>Poisons Standard June 2019</w:t>
      </w:r>
      <w:r w:rsidRPr="000C74B0">
        <w:rPr>
          <w:rFonts w:eastAsiaTheme="minorHAnsi"/>
          <w:color w:val="000000"/>
          <w:lang w:val="en-AU"/>
        </w:rPr>
        <w:t xml:space="preserve"> (which commenced on 1 </w:t>
      </w:r>
      <w:r>
        <w:rPr>
          <w:rFonts w:eastAsiaTheme="minorHAnsi"/>
          <w:color w:val="000000"/>
          <w:lang w:val="en-AU"/>
        </w:rPr>
        <w:t>June</w:t>
      </w:r>
      <w:r w:rsidRPr="000C74B0">
        <w:rPr>
          <w:rFonts w:eastAsiaTheme="minorHAnsi"/>
          <w:color w:val="000000"/>
          <w:lang w:val="en-AU"/>
        </w:rPr>
        <w:t xml:space="preserve"> 2019, and which is repealed and replaced by this new Poisons Standard). </w:t>
      </w:r>
    </w:p>
    <w:p w14:paraId="4023509E" w14:textId="77777777" w:rsidR="000C74B0" w:rsidRDefault="000C74B0" w:rsidP="000C74B0">
      <w:pPr>
        <w:autoSpaceDE w:val="0"/>
        <w:autoSpaceDN w:val="0"/>
        <w:adjustRightInd w:val="0"/>
        <w:rPr>
          <w:rFonts w:eastAsiaTheme="minorHAnsi"/>
          <w:color w:val="000000"/>
          <w:lang w:val="en-AU"/>
        </w:rPr>
      </w:pPr>
      <w:r w:rsidRPr="000C74B0">
        <w:rPr>
          <w:rFonts w:eastAsiaTheme="minorHAnsi"/>
          <w:color w:val="000000"/>
          <w:lang w:val="en-AU"/>
        </w:rPr>
        <w:t xml:space="preserve">The </w:t>
      </w:r>
      <w:r w:rsidRPr="00150B11">
        <w:rPr>
          <w:rFonts w:eastAsiaTheme="minorHAnsi"/>
          <w:i/>
          <w:color w:val="000000"/>
          <w:lang w:val="en-AU"/>
        </w:rPr>
        <w:t>Poisons Standard October 2019</w:t>
      </w:r>
      <w:r w:rsidRPr="000C74B0">
        <w:rPr>
          <w:rFonts w:eastAsiaTheme="minorHAnsi"/>
          <w:color w:val="000000"/>
          <w:lang w:val="en-AU"/>
        </w:rPr>
        <w:t xml:space="preserve"> incorporates a number of changes compared to the </w:t>
      </w:r>
      <w:r w:rsidRPr="00150B11">
        <w:rPr>
          <w:rFonts w:eastAsiaTheme="minorHAnsi"/>
          <w:i/>
          <w:color w:val="000000"/>
          <w:lang w:val="en-AU"/>
        </w:rPr>
        <w:t>Poisons Standard June 2019</w:t>
      </w:r>
      <w:r w:rsidRPr="000C74B0">
        <w:rPr>
          <w:rFonts w:eastAsiaTheme="minorHAnsi"/>
          <w:color w:val="000000"/>
          <w:lang w:val="en-AU"/>
        </w:rPr>
        <w:t xml:space="preserve">. These amendments principally involve changes to existing entries, and the inclusion of a number of specified substances in the Poisons Standard for the first time. A number of these changes were made following the provision of advice from the ACCS or the ACMS, in accordance with the procedures set out in Subdivision 3D.2 of Part 6 of the </w:t>
      </w:r>
      <w:r w:rsidRPr="00150B11">
        <w:rPr>
          <w:rFonts w:eastAsiaTheme="minorHAnsi"/>
          <w:i/>
          <w:color w:val="000000"/>
          <w:lang w:val="en-AU"/>
        </w:rPr>
        <w:t>Therapeutic Goods Regulations 1990</w:t>
      </w:r>
      <w:r w:rsidRPr="000C74B0">
        <w:rPr>
          <w:rFonts w:eastAsiaTheme="minorHAnsi"/>
          <w:color w:val="000000"/>
          <w:lang w:val="en-AU"/>
        </w:rPr>
        <w:t xml:space="preserve"> for amending the Poisons Standard when a proposed amendment is referred to an expert advisory committee.</w:t>
      </w:r>
    </w:p>
    <w:p w14:paraId="25D88D46" w14:textId="77777777" w:rsidR="000461D2" w:rsidRPr="00362F90" w:rsidRDefault="000C74B0" w:rsidP="000C74B0">
      <w:pPr>
        <w:autoSpaceDE w:val="0"/>
        <w:autoSpaceDN w:val="0"/>
        <w:adjustRightInd w:val="0"/>
      </w:pPr>
      <w:r w:rsidRPr="000C74B0">
        <w:t xml:space="preserve">In relation to amendments made to existing entries </w:t>
      </w:r>
      <w:r w:rsidR="009C38C6">
        <w:t xml:space="preserve">that are reflected </w:t>
      </w:r>
      <w:r w:rsidRPr="000C74B0">
        <w:t>in</w:t>
      </w:r>
      <w:r w:rsidR="009C38C6">
        <w:t xml:space="preserve"> </w:t>
      </w:r>
      <w:r w:rsidRPr="000C74B0">
        <w:t xml:space="preserve">the </w:t>
      </w:r>
      <w:r w:rsidRPr="009C38C6">
        <w:rPr>
          <w:i/>
        </w:rPr>
        <w:t>Poisons Standard October 2019</w:t>
      </w:r>
      <w:r w:rsidRPr="00C75332">
        <w:t xml:space="preserve">, </w:t>
      </w:r>
      <w:r w:rsidR="00BD70E4" w:rsidRPr="00C75332">
        <w:t>p</w:t>
      </w:r>
      <w:r w:rsidR="000461D2" w:rsidRPr="00C75332">
        <w:t>ublic comment was invited on matters referre</w:t>
      </w:r>
      <w:r w:rsidR="000014DC" w:rsidRPr="00C75332">
        <w:t xml:space="preserve">d to the </w:t>
      </w:r>
      <w:r w:rsidR="00035120" w:rsidRPr="00C75332">
        <w:t xml:space="preserve">July 2017 Joint ACMS-ACCS meeting, November 2017 ACMS meeting, </w:t>
      </w:r>
      <w:r w:rsidR="00C03383" w:rsidRPr="00C75332">
        <w:t>M</w:t>
      </w:r>
      <w:r w:rsidR="00F72153" w:rsidRPr="00C75332">
        <w:t>arch 2019</w:t>
      </w:r>
      <w:r w:rsidR="00C03383" w:rsidRPr="00C75332">
        <w:t xml:space="preserve"> ACCS</w:t>
      </w:r>
      <w:r w:rsidR="00035120" w:rsidRPr="00C75332">
        <w:t xml:space="preserve"> meeting</w:t>
      </w:r>
      <w:r w:rsidR="00C03383" w:rsidRPr="00C75332">
        <w:t xml:space="preserve">, </w:t>
      </w:r>
      <w:r w:rsidR="00035120" w:rsidRPr="00C75332">
        <w:t xml:space="preserve">the March 2019 ACMS meeting and the March 2019 </w:t>
      </w:r>
      <w:r w:rsidR="00C03383" w:rsidRPr="00C75332">
        <w:t>Joint ACMS-ACC</w:t>
      </w:r>
      <w:r w:rsidR="00F72153" w:rsidRPr="00C75332">
        <w:t>S meeting</w:t>
      </w:r>
      <w:r w:rsidR="00290C61" w:rsidRPr="00C75332">
        <w:t xml:space="preserve"> as follows:</w:t>
      </w:r>
    </w:p>
    <w:p w14:paraId="7FB08D7E" w14:textId="77777777" w:rsidR="0048272C" w:rsidRDefault="0048272C" w:rsidP="0048272C">
      <w:pPr>
        <w:pStyle w:val="ListParagraph"/>
        <w:numPr>
          <w:ilvl w:val="0"/>
          <w:numId w:val="40"/>
        </w:numPr>
        <w:ind w:left="425" w:hanging="425"/>
        <w:contextualSpacing w:val="0"/>
      </w:pPr>
      <w:r>
        <w:t>the i</w:t>
      </w:r>
      <w:r w:rsidRPr="00362F90">
        <w:t>nvitation to comment in relation to</w:t>
      </w:r>
      <w:r>
        <w:t xml:space="preserve"> </w:t>
      </w:r>
      <w:r w:rsidRPr="009C38C6">
        <w:t>methylisothiazolinone</w:t>
      </w:r>
      <w:r>
        <w:t xml:space="preserve"> </w:t>
      </w:r>
      <w:r w:rsidRPr="003B6C00">
        <w:t>was advertised on the TGA website on</w:t>
      </w:r>
      <w:r>
        <w:t xml:space="preserve"> </w:t>
      </w:r>
      <w:hyperlink r:id="rId10" w:history="1">
        <w:r w:rsidRPr="0048272C">
          <w:rPr>
            <w:rStyle w:val="Hyperlink"/>
          </w:rPr>
          <w:t>17 May 2017</w:t>
        </w:r>
      </w:hyperlink>
      <w:r w:rsidR="00676177">
        <w:t>,</w:t>
      </w:r>
      <w:r>
        <w:t xml:space="preserve"> </w:t>
      </w:r>
      <w:r w:rsidRPr="00F53F9C">
        <w:t>with a closing date of</w:t>
      </w:r>
      <w:r>
        <w:t xml:space="preserve"> 15 June 2017;</w:t>
      </w:r>
    </w:p>
    <w:p w14:paraId="33311D86" w14:textId="77777777" w:rsidR="0048272C" w:rsidRDefault="0048272C" w:rsidP="0048272C">
      <w:pPr>
        <w:pStyle w:val="ListParagraph"/>
        <w:numPr>
          <w:ilvl w:val="0"/>
          <w:numId w:val="40"/>
        </w:numPr>
        <w:ind w:left="425" w:hanging="425"/>
        <w:contextualSpacing w:val="0"/>
      </w:pPr>
      <w:r>
        <w:t>the i</w:t>
      </w:r>
      <w:r w:rsidRPr="00362F90">
        <w:t>nvitation to comment in relation to</w:t>
      </w:r>
      <w:r>
        <w:t xml:space="preserve"> </w:t>
      </w:r>
      <w:r w:rsidRPr="009C38C6">
        <w:t>hyaluronic acid</w:t>
      </w:r>
      <w:r w:rsidRPr="00702E0D">
        <w:t xml:space="preserve"> and its polymers</w:t>
      </w:r>
      <w:r>
        <w:t xml:space="preserve"> (referred to as hyaluronic acid) </w:t>
      </w:r>
      <w:r w:rsidRPr="003B6C00">
        <w:t>was advertised on the TGA website on</w:t>
      </w:r>
      <w:r>
        <w:t xml:space="preserve"> </w:t>
      </w:r>
      <w:hyperlink r:id="rId11" w:history="1">
        <w:r w:rsidRPr="0048272C">
          <w:rPr>
            <w:rStyle w:val="Hyperlink"/>
          </w:rPr>
          <w:t>6 September 2017</w:t>
        </w:r>
      </w:hyperlink>
      <w:r w:rsidR="00676177">
        <w:t>,</w:t>
      </w:r>
      <w:r>
        <w:t xml:space="preserve"> </w:t>
      </w:r>
      <w:r w:rsidRPr="00F53F9C">
        <w:t>with a closing date of</w:t>
      </w:r>
      <w:r>
        <w:t xml:space="preserve"> 6 October 2017; </w:t>
      </w:r>
    </w:p>
    <w:p w14:paraId="7E46762B" w14:textId="77777777" w:rsidR="005262CF" w:rsidRDefault="0048272C" w:rsidP="0048272C">
      <w:pPr>
        <w:pStyle w:val="ListParagraph"/>
        <w:numPr>
          <w:ilvl w:val="0"/>
          <w:numId w:val="40"/>
        </w:numPr>
        <w:ind w:left="425" w:hanging="425"/>
        <w:contextualSpacing w:val="0"/>
      </w:pPr>
      <w:r>
        <w:t>the invitation</w:t>
      </w:r>
      <w:r w:rsidR="005262CF" w:rsidRPr="00362F90">
        <w:t xml:space="preserve"> to comment in relation to</w:t>
      </w:r>
      <w:r w:rsidR="005262CF">
        <w:t xml:space="preserve"> </w:t>
      </w:r>
      <w:r w:rsidR="00F0713A">
        <w:t xml:space="preserve">glyceryl </w:t>
      </w:r>
      <w:proofErr w:type="spellStart"/>
      <w:r w:rsidR="00F0713A">
        <w:t>trinitrate</w:t>
      </w:r>
      <w:proofErr w:type="spellEnd"/>
      <w:r w:rsidR="00F0713A">
        <w:t xml:space="preserve">, </w:t>
      </w:r>
      <w:r w:rsidR="00F0713A" w:rsidRPr="00F0713A">
        <w:t>paracetamol</w:t>
      </w:r>
      <w:r w:rsidR="00F0713A">
        <w:t xml:space="preserve">, </w:t>
      </w:r>
      <w:proofErr w:type="spellStart"/>
      <w:r w:rsidR="00F0713A" w:rsidRPr="00F0713A">
        <w:t>cyclosilazanes</w:t>
      </w:r>
      <w:proofErr w:type="spellEnd"/>
      <w:r w:rsidR="00F0713A" w:rsidRPr="00F0713A">
        <w:t>,</w:t>
      </w:r>
      <w:r w:rsidR="00F0713A">
        <w:t xml:space="preserve"> and</w:t>
      </w:r>
      <w:r w:rsidR="00F0713A" w:rsidRPr="00F0713A">
        <w:t xml:space="preserve"> di-me, me hydrogen, polymers with di-me, me hydrogen </w:t>
      </w:r>
      <w:proofErr w:type="spellStart"/>
      <w:r w:rsidR="00F0713A" w:rsidRPr="00F0713A">
        <w:t>silazanes</w:t>
      </w:r>
      <w:proofErr w:type="spellEnd"/>
      <w:r w:rsidR="00F0713A" w:rsidRPr="00F0713A">
        <w:t>, reaction products with 3-(</w:t>
      </w:r>
      <w:proofErr w:type="spellStart"/>
      <w:r w:rsidR="00F0713A" w:rsidRPr="00F0713A">
        <w:t>triethoxysilyl</w:t>
      </w:r>
      <w:proofErr w:type="spellEnd"/>
      <w:r w:rsidR="00F0713A" w:rsidRPr="00F0713A">
        <w:t>)-1-propanamine (</w:t>
      </w:r>
      <w:r w:rsidR="00DC401C">
        <w:t>CAS</w:t>
      </w:r>
      <w:r w:rsidR="00F0713A" w:rsidRPr="00F0713A">
        <w:t xml:space="preserve"> 475645-84-2)</w:t>
      </w:r>
      <w:r w:rsidR="007B0EA4">
        <w:t xml:space="preserve"> (</w:t>
      </w:r>
      <w:r w:rsidR="009E4925">
        <w:t xml:space="preserve">referred to as polymer in </w:t>
      </w:r>
      <w:proofErr w:type="spellStart"/>
      <w:r w:rsidR="009E4925">
        <w:t>d</w:t>
      </w:r>
      <w:r w:rsidR="007B0EA4">
        <w:t>urazane</w:t>
      </w:r>
      <w:proofErr w:type="spellEnd"/>
      <w:r w:rsidR="007B0EA4">
        <w:t xml:space="preserve"> 1500)</w:t>
      </w:r>
      <w:r w:rsidR="00F0713A">
        <w:t xml:space="preserve">, </w:t>
      </w:r>
      <w:r w:rsidR="005262CF" w:rsidRPr="003B6C00">
        <w:t>was advertised on the TGA website on</w:t>
      </w:r>
      <w:r w:rsidR="000832EE">
        <w:t xml:space="preserve"> </w:t>
      </w:r>
      <w:hyperlink r:id="rId12" w:history="1">
        <w:r w:rsidR="000832EE" w:rsidRPr="0048272C">
          <w:rPr>
            <w:rStyle w:val="Hyperlink"/>
          </w:rPr>
          <w:t>13 December 2018</w:t>
        </w:r>
      </w:hyperlink>
      <w:r w:rsidR="005262CF">
        <w:t xml:space="preserve">, </w:t>
      </w:r>
      <w:r w:rsidR="005262CF" w:rsidRPr="00F53F9C">
        <w:t>with a closing date of</w:t>
      </w:r>
      <w:r w:rsidR="005262CF">
        <w:t xml:space="preserve"> 21 January 2019;</w:t>
      </w:r>
      <w:r>
        <w:t xml:space="preserve"> and</w:t>
      </w:r>
    </w:p>
    <w:p w14:paraId="70303D50" w14:textId="77777777" w:rsidR="007127A1" w:rsidRPr="003B6C00" w:rsidRDefault="0048272C" w:rsidP="0048272C">
      <w:pPr>
        <w:pStyle w:val="ListParagraph"/>
        <w:numPr>
          <w:ilvl w:val="0"/>
          <w:numId w:val="40"/>
        </w:numPr>
        <w:ind w:left="425" w:hanging="425"/>
        <w:contextualSpacing w:val="0"/>
      </w:pPr>
      <w:proofErr w:type="gramStart"/>
      <w:r>
        <w:t>the</w:t>
      </w:r>
      <w:proofErr w:type="gramEnd"/>
      <w:r>
        <w:t xml:space="preserve"> invitation </w:t>
      </w:r>
      <w:r w:rsidR="007127A1" w:rsidRPr="00362F90">
        <w:t>to comment in relation to</w:t>
      </w:r>
      <w:r w:rsidR="007127A1">
        <w:t xml:space="preserve"> </w:t>
      </w:r>
      <w:r w:rsidR="007127A1" w:rsidRPr="003B6C00">
        <w:t>MCPB</w:t>
      </w:r>
      <w:r w:rsidR="007127A1">
        <w:t xml:space="preserve"> </w:t>
      </w:r>
      <w:r w:rsidR="007127A1" w:rsidRPr="003B6C00">
        <w:t>was advertised on the TGA website on</w:t>
      </w:r>
      <w:r w:rsidR="007127A1">
        <w:t xml:space="preserve"> </w:t>
      </w:r>
      <w:hyperlink r:id="rId13" w:history="1">
        <w:r w:rsidR="007127A1" w:rsidRPr="0048272C">
          <w:rPr>
            <w:rStyle w:val="Hyperlink"/>
          </w:rPr>
          <w:t>10 January 2019</w:t>
        </w:r>
      </w:hyperlink>
      <w:r w:rsidR="00F0713A">
        <w:t>,</w:t>
      </w:r>
      <w:r w:rsidR="007127A1">
        <w:t xml:space="preserve"> </w:t>
      </w:r>
      <w:r w:rsidR="007127A1" w:rsidRPr="00F53F9C">
        <w:t>with a closing date of</w:t>
      </w:r>
      <w:r w:rsidR="007127A1">
        <w:t xml:space="preserve"> </w:t>
      </w:r>
      <w:r w:rsidR="00C260E7">
        <w:t>8 February</w:t>
      </w:r>
      <w:r>
        <w:t xml:space="preserve"> 2019.</w:t>
      </w:r>
    </w:p>
    <w:p w14:paraId="05AD2346" w14:textId="77777777" w:rsidR="003D5BEC" w:rsidRPr="003D5BEC" w:rsidRDefault="007A2F37" w:rsidP="003D5BEC">
      <w:pPr>
        <w:autoSpaceDE w:val="0"/>
        <w:autoSpaceDN w:val="0"/>
        <w:adjustRightInd w:val="0"/>
        <w:rPr>
          <w:rFonts w:eastAsiaTheme="minorHAnsi"/>
          <w:lang w:val="en-AU"/>
        </w:rPr>
      </w:pPr>
      <w:r w:rsidRPr="00C46096">
        <w:rPr>
          <w:rFonts w:eastAsiaTheme="minorHAnsi"/>
          <w:lang w:val="en-AU"/>
        </w:rPr>
        <w:t>Further public comment was subsequently invited on the delegates’ interim decisions</w:t>
      </w:r>
      <w:r w:rsidR="003D5BEC">
        <w:rPr>
          <w:rFonts w:eastAsiaTheme="minorHAnsi"/>
          <w:lang w:val="en-AU"/>
        </w:rPr>
        <w:t xml:space="preserve"> </w:t>
      </w:r>
      <w:r w:rsidR="0048272C">
        <w:rPr>
          <w:rFonts w:eastAsiaTheme="minorHAnsi"/>
          <w:lang w:val="en-AU"/>
        </w:rPr>
        <w:t>as follows</w:t>
      </w:r>
      <w:r w:rsidR="003D5BEC">
        <w:rPr>
          <w:rFonts w:eastAsiaTheme="minorHAnsi"/>
          <w:lang w:val="en-AU"/>
        </w:rPr>
        <w:t>:</w:t>
      </w:r>
    </w:p>
    <w:p w14:paraId="5E2ED59F" w14:textId="77777777" w:rsidR="0048272C" w:rsidRPr="00EC2144" w:rsidRDefault="0048272C" w:rsidP="0048272C">
      <w:pPr>
        <w:pStyle w:val="ListParagraph"/>
        <w:numPr>
          <w:ilvl w:val="0"/>
          <w:numId w:val="41"/>
        </w:numPr>
        <w:ind w:left="425" w:hanging="425"/>
        <w:contextualSpacing w:val="0"/>
      </w:pPr>
      <w:r>
        <w:t xml:space="preserve">the invitation </w:t>
      </w:r>
      <w:r w:rsidRPr="00362F90">
        <w:t>to comment in relation to</w:t>
      </w:r>
      <w:r>
        <w:t xml:space="preserve"> m</w:t>
      </w:r>
      <w:r w:rsidRPr="00D87B82">
        <w:t>ethylisothiazolinone</w:t>
      </w:r>
      <w:r>
        <w:t xml:space="preserve"> </w:t>
      </w:r>
      <w:r w:rsidRPr="003B6C00">
        <w:t>was advertised on the TGA website on</w:t>
      </w:r>
      <w:r>
        <w:t xml:space="preserve"> </w:t>
      </w:r>
      <w:hyperlink r:id="rId14" w:history="1">
        <w:r w:rsidRPr="0048272C">
          <w:rPr>
            <w:rStyle w:val="Hyperlink"/>
          </w:rPr>
          <w:t>15 September 2017</w:t>
        </w:r>
      </w:hyperlink>
      <w:r w:rsidR="00676177">
        <w:t>,</w:t>
      </w:r>
      <w:r>
        <w:t xml:space="preserve"> </w:t>
      </w:r>
      <w:r w:rsidRPr="00F53F9C">
        <w:t>with a closing date of</w:t>
      </w:r>
      <w:r>
        <w:t xml:space="preserve"> 3 October 2017;</w:t>
      </w:r>
    </w:p>
    <w:p w14:paraId="45C62082" w14:textId="77777777" w:rsidR="0048272C" w:rsidRDefault="0048272C" w:rsidP="0048272C">
      <w:pPr>
        <w:pStyle w:val="ListParagraph"/>
        <w:numPr>
          <w:ilvl w:val="0"/>
          <w:numId w:val="41"/>
        </w:numPr>
        <w:ind w:left="425" w:hanging="425"/>
        <w:contextualSpacing w:val="0"/>
      </w:pPr>
      <w:r>
        <w:lastRenderedPageBreak/>
        <w:t xml:space="preserve">the invitation </w:t>
      </w:r>
      <w:r w:rsidRPr="00362F90">
        <w:t>to comment in relation to</w:t>
      </w:r>
      <w:r>
        <w:t xml:space="preserve"> h</w:t>
      </w:r>
      <w:r w:rsidRPr="00702E0D">
        <w:t>yaluronic acid and its polymers</w:t>
      </w:r>
      <w:r>
        <w:t xml:space="preserve"> (referred to as h</w:t>
      </w:r>
      <w:r w:rsidRPr="00702E0D">
        <w:t>yaluronic acid</w:t>
      </w:r>
      <w:r>
        <w:t xml:space="preserve">) </w:t>
      </w:r>
      <w:r w:rsidRPr="003B6C00">
        <w:t>was advertised on the TGA website on</w:t>
      </w:r>
      <w:r>
        <w:t xml:space="preserve"> </w:t>
      </w:r>
      <w:hyperlink r:id="rId15" w:history="1">
        <w:r w:rsidRPr="0048272C">
          <w:rPr>
            <w:rStyle w:val="Hyperlink"/>
          </w:rPr>
          <w:t>5 February 2018</w:t>
        </w:r>
      </w:hyperlink>
      <w:r w:rsidR="00676177">
        <w:t>,</w:t>
      </w:r>
      <w:r>
        <w:t xml:space="preserve"> </w:t>
      </w:r>
      <w:r w:rsidRPr="00F53F9C">
        <w:t>with a closing date of</w:t>
      </w:r>
      <w:r>
        <w:t xml:space="preserve"> 5 March 2018; and</w:t>
      </w:r>
    </w:p>
    <w:p w14:paraId="5CD9FCB5" w14:textId="77777777" w:rsidR="003D5BEC" w:rsidRDefault="0048272C" w:rsidP="0048272C">
      <w:pPr>
        <w:pStyle w:val="ListParagraph"/>
        <w:numPr>
          <w:ilvl w:val="0"/>
          <w:numId w:val="41"/>
        </w:numPr>
        <w:ind w:left="425" w:hanging="425"/>
        <w:contextualSpacing w:val="0"/>
      </w:pPr>
      <w:r>
        <w:t xml:space="preserve">the invitation </w:t>
      </w:r>
      <w:r w:rsidRPr="00362F90">
        <w:t>to comment in relation to</w:t>
      </w:r>
      <w:r>
        <w:t xml:space="preserve"> g</w:t>
      </w:r>
      <w:r w:rsidR="003D5BEC">
        <w:t xml:space="preserve">lyceryl </w:t>
      </w:r>
      <w:proofErr w:type="spellStart"/>
      <w:r w:rsidR="003D5BEC">
        <w:t>trinitrate</w:t>
      </w:r>
      <w:proofErr w:type="spellEnd"/>
      <w:r w:rsidR="003D5BEC">
        <w:t xml:space="preserve">, </w:t>
      </w:r>
      <w:r w:rsidR="003D5BEC" w:rsidRPr="00F0713A">
        <w:t>paracetamol</w:t>
      </w:r>
      <w:r w:rsidR="003D5BEC">
        <w:t xml:space="preserve">, </w:t>
      </w:r>
      <w:proofErr w:type="spellStart"/>
      <w:r w:rsidR="003D5BEC" w:rsidRPr="00F0713A">
        <w:t>cyclosilazanes</w:t>
      </w:r>
      <w:proofErr w:type="spellEnd"/>
      <w:r w:rsidR="003D5BEC" w:rsidRPr="00F0713A">
        <w:t>,</w:t>
      </w:r>
      <w:r w:rsidR="00B7410C">
        <w:t xml:space="preserve"> </w:t>
      </w:r>
      <w:r w:rsidR="003D5BEC" w:rsidRPr="00F0713A">
        <w:t xml:space="preserve">di-me, me hydrogen, polymers with di-me, me hydrogen </w:t>
      </w:r>
      <w:proofErr w:type="spellStart"/>
      <w:r w:rsidR="003D5BEC" w:rsidRPr="00F0713A">
        <w:t>silazanes</w:t>
      </w:r>
      <w:proofErr w:type="spellEnd"/>
      <w:r w:rsidR="003D5BEC" w:rsidRPr="00F0713A">
        <w:t>, reaction products with 3-(</w:t>
      </w:r>
      <w:proofErr w:type="spellStart"/>
      <w:r w:rsidR="003D5BEC" w:rsidRPr="00F0713A">
        <w:t>triethoxysilyl</w:t>
      </w:r>
      <w:proofErr w:type="spellEnd"/>
      <w:r w:rsidR="003D5BEC" w:rsidRPr="00F0713A">
        <w:t>)-1-propanamine (</w:t>
      </w:r>
      <w:proofErr w:type="spellStart"/>
      <w:r w:rsidR="003D5BEC" w:rsidRPr="00F0713A">
        <w:t>cas</w:t>
      </w:r>
      <w:proofErr w:type="spellEnd"/>
      <w:r w:rsidR="003D5BEC" w:rsidRPr="00F0713A">
        <w:t xml:space="preserve"> 475645-84-2)</w:t>
      </w:r>
      <w:r w:rsidR="00CB61F2">
        <w:t xml:space="preserve"> (</w:t>
      </w:r>
      <w:r w:rsidR="009E4925">
        <w:t xml:space="preserve">referred to as polymer in </w:t>
      </w:r>
      <w:proofErr w:type="spellStart"/>
      <w:r w:rsidR="009E4925">
        <w:t>d</w:t>
      </w:r>
      <w:r w:rsidR="00CB61F2">
        <w:t>urazane</w:t>
      </w:r>
      <w:proofErr w:type="spellEnd"/>
      <w:r w:rsidR="00CB61F2">
        <w:t xml:space="preserve"> 1500)</w:t>
      </w:r>
      <w:r w:rsidR="00B7410C">
        <w:t xml:space="preserve"> and MCPB</w:t>
      </w:r>
      <w:r w:rsidR="003D5BEC">
        <w:t xml:space="preserve">, </w:t>
      </w:r>
      <w:r w:rsidR="003D5BEC" w:rsidRPr="003B6C00">
        <w:t>was advertised on the TGA website on</w:t>
      </w:r>
      <w:r w:rsidR="003D5BEC">
        <w:t xml:space="preserve"> </w:t>
      </w:r>
      <w:hyperlink r:id="rId16" w:history="1">
        <w:r w:rsidR="00B7410C" w:rsidRPr="0048272C">
          <w:rPr>
            <w:rStyle w:val="Hyperlink"/>
          </w:rPr>
          <w:t>6 June</w:t>
        </w:r>
        <w:r w:rsidRPr="0048272C">
          <w:rPr>
            <w:rStyle w:val="Hyperlink"/>
          </w:rPr>
          <w:t xml:space="preserve"> 2019</w:t>
        </w:r>
      </w:hyperlink>
      <w:r w:rsidR="00676177">
        <w:t>,</w:t>
      </w:r>
      <w:r w:rsidR="003D5BEC">
        <w:t xml:space="preserve"> </w:t>
      </w:r>
      <w:r w:rsidR="003D5BEC" w:rsidRPr="00F53F9C">
        <w:t>with a closing date of</w:t>
      </w:r>
      <w:r w:rsidR="003D5BEC">
        <w:t xml:space="preserve"> </w:t>
      </w:r>
      <w:r w:rsidR="00B7410C">
        <w:t>4 July 2019</w:t>
      </w:r>
      <w:r>
        <w:t>.</w:t>
      </w:r>
    </w:p>
    <w:p w14:paraId="31C091A8" w14:textId="77777777" w:rsidR="00AB0193" w:rsidRDefault="00584570" w:rsidP="000461D2">
      <w:pPr>
        <w:autoSpaceDE w:val="0"/>
        <w:autoSpaceDN w:val="0"/>
        <w:adjustRightInd w:val="0"/>
        <w:rPr>
          <w:rFonts w:eastAsiaTheme="minorHAnsi"/>
          <w:lang w:val="en-AU"/>
        </w:rPr>
      </w:pPr>
      <w:r>
        <w:rPr>
          <w:rFonts w:eastAsiaTheme="minorHAnsi"/>
          <w:lang w:val="en-AU"/>
        </w:rPr>
        <w:t>The delegates’ final decisions</w:t>
      </w:r>
      <w:r w:rsidR="007A2F37" w:rsidRPr="00EC2144">
        <w:rPr>
          <w:rFonts w:eastAsiaTheme="minorHAnsi"/>
          <w:lang w:val="en-AU"/>
        </w:rPr>
        <w:t xml:space="preserve"> were published on the TGA website </w:t>
      </w:r>
      <w:r w:rsidR="00AB0193">
        <w:rPr>
          <w:rFonts w:eastAsiaTheme="minorHAnsi"/>
          <w:lang w:val="en-AU"/>
        </w:rPr>
        <w:t>in relation to:</w:t>
      </w:r>
    </w:p>
    <w:p w14:paraId="43A0B512" w14:textId="77777777" w:rsidR="0048272C" w:rsidRDefault="0048272C" w:rsidP="0048272C">
      <w:pPr>
        <w:pStyle w:val="ListParagraph"/>
        <w:numPr>
          <w:ilvl w:val="0"/>
          <w:numId w:val="42"/>
        </w:numPr>
        <w:ind w:left="425" w:hanging="425"/>
        <w:contextualSpacing w:val="0"/>
      </w:pPr>
      <w:r>
        <w:t>H</w:t>
      </w:r>
      <w:r w:rsidRPr="00702E0D">
        <w:t>yaluronic acid and its polymers</w:t>
      </w:r>
      <w:r>
        <w:t xml:space="preserve"> (referred to as h</w:t>
      </w:r>
      <w:r w:rsidRPr="00702E0D">
        <w:t>yaluronic acid</w:t>
      </w:r>
      <w:r>
        <w:t>)</w:t>
      </w:r>
      <w:r w:rsidRPr="00702E0D">
        <w:t xml:space="preserve"> </w:t>
      </w:r>
      <w:r w:rsidRPr="003B6C00">
        <w:t>on</w:t>
      </w:r>
      <w:r>
        <w:t xml:space="preserve"> </w:t>
      </w:r>
      <w:hyperlink r:id="rId17" w:history="1">
        <w:r w:rsidRPr="0048272C">
          <w:rPr>
            <w:rStyle w:val="Hyperlink"/>
          </w:rPr>
          <w:t>10 April 2018</w:t>
        </w:r>
      </w:hyperlink>
      <w:r>
        <w:t xml:space="preserve">; </w:t>
      </w:r>
    </w:p>
    <w:p w14:paraId="074F419E" w14:textId="77777777" w:rsidR="0048272C" w:rsidRPr="00EC2144" w:rsidRDefault="0048272C" w:rsidP="0048272C">
      <w:pPr>
        <w:pStyle w:val="ListParagraph"/>
        <w:numPr>
          <w:ilvl w:val="0"/>
          <w:numId w:val="42"/>
        </w:numPr>
        <w:ind w:left="425" w:hanging="425"/>
        <w:contextualSpacing w:val="0"/>
      </w:pPr>
      <w:r>
        <w:t>M</w:t>
      </w:r>
      <w:r w:rsidRPr="00D87B82">
        <w:t>ethylisothiazolinone</w:t>
      </w:r>
      <w:r>
        <w:t xml:space="preserve"> </w:t>
      </w:r>
      <w:r w:rsidRPr="003B6C00">
        <w:t>on</w:t>
      </w:r>
      <w:r>
        <w:t xml:space="preserve"> </w:t>
      </w:r>
      <w:hyperlink r:id="rId18" w:history="1">
        <w:r w:rsidRPr="0048272C">
          <w:rPr>
            <w:rStyle w:val="Hyperlink"/>
          </w:rPr>
          <w:t>31 October 2017</w:t>
        </w:r>
      </w:hyperlink>
      <w:r>
        <w:t>; and</w:t>
      </w:r>
    </w:p>
    <w:p w14:paraId="06950838" w14:textId="0A358CD2" w:rsidR="00AB0193" w:rsidRDefault="00AB0193" w:rsidP="0048272C">
      <w:pPr>
        <w:pStyle w:val="ListParagraph"/>
        <w:numPr>
          <w:ilvl w:val="0"/>
          <w:numId w:val="42"/>
        </w:numPr>
        <w:ind w:left="425" w:hanging="425"/>
        <w:contextualSpacing w:val="0"/>
      </w:pPr>
      <w:r>
        <w:t xml:space="preserve">Glyceryl </w:t>
      </w:r>
      <w:proofErr w:type="spellStart"/>
      <w:r>
        <w:t>trinitrate</w:t>
      </w:r>
      <w:proofErr w:type="spellEnd"/>
      <w:r>
        <w:t xml:space="preserve">, </w:t>
      </w:r>
      <w:r w:rsidRPr="00F0713A">
        <w:t>paracetamol</w:t>
      </w:r>
      <w:r>
        <w:t xml:space="preserve">, </w:t>
      </w:r>
      <w:proofErr w:type="spellStart"/>
      <w:r w:rsidRPr="00F0713A">
        <w:t>cyclosilazanes</w:t>
      </w:r>
      <w:proofErr w:type="spellEnd"/>
      <w:r w:rsidRPr="00F0713A">
        <w:t>,</w:t>
      </w:r>
      <w:r>
        <w:t xml:space="preserve"> </w:t>
      </w:r>
      <w:r w:rsidRPr="00F0713A">
        <w:t xml:space="preserve">di-me, me hydrogen, polymers with di-me, me hydrogen </w:t>
      </w:r>
      <w:proofErr w:type="spellStart"/>
      <w:r w:rsidRPr="00F0713A">
        <w:t>silazanes</w:t>
      </w:r>
      <w:proofErr w:type="spellEnd"/>
      <w:r w:rsidRPr="00F0713A">
        <w:t>, reaction products with 3-(</w:t>
      </w:r>
      <w:proofErr w:type="spellStart"/>
      <w:r w:rsidRPr="00F0713A">
        <w:t>triethoxysilyl</w:t>
      </w:r>
      <w:proofErr w:type="spellEnd"/>
      <w:r w:rsidRPr="00F0713A">
        <w:t>)-1-propanamine (</w:t>
      </w:r>
      <w:r w:rsidR="00676177" w:rsidRPr="00F0713A">
        <w:t xml:space="preserve">CAS </w:t>
      </w:r>
      <w:r w:rsidRPr="00F0713A">
        <w:t>475645-84-2)</w:t>
      </w:r>
      <w:r>
        <w:t xml:space="preserve"> </w:t>
      </w:r>
      <w:r w:rsidR="00BC5BF3">
        <w:t xml:space="preserve">(referred to as polymer in </w:t>
      </w:r>
      <w:proofErr w:type="spellStart"/>
      <w:r w:rsidR="00BC5BF3">
        <w:t>durazane</w:t>
      </w:r>
      <w:proofErr w:type="spellEnd"/>
      <w:r w:rsidR="00BC5BF3">
        <w:t xml:space="preserve"> 1500) </w:t>
      </w:r>
      <w:r>
        <w:t>and MCPB</w:t>
      </w:r>
      <w:r w:rsidR="008F09E7">
        <w:t xml:space="preserve"> on </w:t>
      </w:r>
      <w:hyperlink r:id="rId19" w:history="1">
        <w:r w:rsidR="008F09E7" w:rsidRPr="00767C78">
          <w:rPr>
            <w:rStyle w:val="Hyperlink"/>
          </w:rPr>
          <w:t>22 August</w:t>
        </w:r>
        <w:r w:rsidR="0048272C" w:rsidRPr="00767C78">
          <w:rPr>
            <w:rStyle w:val="Hyperlink"/>
          </w:rPr>
          <w:t xml:space="preserve"> 2019</w:t>
        </w:r>
      </w:hyperlink>
      <w:r w:rsidR="0048272C">
        <w:t>.</w:t>
      </w:r>
    </w:p>
    <w:p w14:paraId="71CFAC97" w14:textId="63359E40" w:rsidR="00FA6599" w:rsidRDefault="00FA6599" w:rsidP="00FA6599">
      <w:pPr>
        <w:rPr>
          <w:rFonts w:eastAsiaTheme="minorHAnsi"/>
          <w:lang w:val="en-AU"/>
        </w:rPr>
      </w:pPr>
      <w:r w:rsidRPr="00FA6599">
        <w:rPr>
          <w:rFonts w:eastAsiaTheme="minorHAnsi"/>
          <w:lang w:val="en-AU"/>
        </w:rPr>
        <w:t xml:space="preserve">In recognition of the concerns raised in the public submissions on the practicality of the implementation date </w:t>
      </w:r>
      <w:r w:rsidR="00ED4F72">
        <w:rPr>
          <w:rFonts w:eastAsiaTheme="minorHAnsi"/>
          <w:lang w:val="en-AU"/>
        </w:rPr>
        <w:t xml:space="preserve">proposed in the interim decision </w:t>
      </w:r>
      <w:r w:rsidRPr="00FA6599">
        <w:rPr>
          <w:rFonts w:eastAsiaTheme="minorHAnsi"/>
          <w:lang w:val="en-AU"/>
        </w:rPr>
        <w:t>for</w:t>
      </w:r>
      <w:r>
        <w:rPr>
          <w:rFonts w:eastAsiaTheme="minorHAnsi"/>
          <w:lang w:val="en-AU"/>
        </w:rPr>
        <w:t xml:space="preserve"> </w:t>
      </w:r>
      <w:hyperlink r:id="rId20" w:history="1">
        <w:r w:rsidRPr="00ED4F72">
          <w:rPr>
            <w:rStyle w:val="Hyperlink"/>
            <w:rFonts w:eastAsiaTheme="minorHAnsi"/>
            <w:lang w:val="en-AU"/>
          </w:rPr>
          <w:t>hyaluronic acid and its polymers</w:t>
        </w:r>
      </w:hyperlink>
      <w:r w:rsidRPr="00FA6599">
        <w:rPr>
          <w:rFonts w:eastAsiaTheme="minorHAnsi"/>
          <w:lang w:val="en-AU"/>
        </w:rPr>
        <w:t xml:space="preserve"> </w:t>
      </w:r>
      <w:r>
        <w:rPr>
          <w:rFonts w:eastAsiaTheme="minorHAnsi"/>
          <w:lang w:val="en-AU"/>
        </w:rPr>
        <w:t xml:space="preserve">and </w:t>
      </w:r>
      <w:hyperlink r:id="rId21" w:anchor="interim" w:history="1">
        <w:r w:rsidRPr="00ED4F72">
          <w:rPr>
            <w:rStyle w:val="Hyperlink"/>
            <w:rFonts w:eastAsiaTheme="minorHAnsi"/>
            <w:lang w:val="en-AU"/>
          </w:rPr>
          <w:t>methylisothiazolinone</w:t>
        </w:r>
      </w:hyperlink>
      <w:r w:rsidR="00767C78">
        <w:rPr>
          <w:rFonts w:eastAsiaTheme="minorHAnsi"/>
          <w:lang w:val="en-AU"/>
        </w:rPr>
        <w:t>,</w:t>
      </w:r>
      <w:r>
        <w:rPr>
          <w:rFonts w:eastAsiaTheme="minorHAnsi"/>
          <w:lang w:val="en-AU"/>
        </w:rPr>
        <w:t xml:space="preserve"> </w:t>
      </w:r>
      <w:r w:rsidR="00ED4F72">
        <w:rPr>
          <w:rFonts w:eastAsiaTheme="minorHAnsi"/>
          <w:lang w:val="en-AU"/>
        </w:rPr>
        <w:t>the delegate decided</w:t>
      </w:r>
      <w:r w:rsidR="008B6EB0">
        <w:rPr>
          <w:rFonts w:eastAsiaTheme="minorHAnsi"/>
          <w:lang w:val="en-AU"/>
        </w:rPr>
        <w:t xml:space="preserve"> </w:t>
      </w:r>
      <w:r w:rsidR="00075831">
        <w:rPr>
          <w:rFonts w:eastAsiaTheme="minorHAnsi"/>
          <w:lang w:val="en-AU"/>
        </w:rPr>
        <w:t xml:space="preserve">to lengthen the </w:t>
      </w:r>
      <w:r w:rsidR="008B6EB0">
        <w:rPr>
          <w:rFonts w:eastAsiaTheme="minorHAnsi"/>
          <w:lang w:val="en-AU"/>
        </w:rPr>
        <w:t xml:space="preserve"> implementation </w:t>
      </w:r>
      <w:r w:rsidR="00075831">
        <w:rPr>
          <w:rFonts w:eastAsiaTheme="minorHAnsi"/>
          <w:lang w:val="en-AU"/>
        </w:rPr>
        <w:t xml:space="preserve">timeframe </w:t>
      </w:r>
      <w:r w:rsidR="008B6EB0">
        <w:rPr>
          <w:rFonts w:eastAsiaTheme="minorHAnsi"/>
          <w:lang w:val="en-AU"/>
        </w:rPr>
        <w:t>in order to allow industry sufficient time to comply with these amendments.</w:t>
      </w:r>
      <w:r>
        <w:rPr>
          <w:rFonts w:eastAsiaTheme="minorHAnsi"/>
          <w:lang w:val="en-AU"/>
        </w:rPr>
        <w:t xml:space="preserve"> </w:t>
      </w:r>
      <w:r w:rsidR="0064047D">
        <w:rPr>
          <w:rFonts w:eastAsiaTheme="minorHAnsi"/>
          <w:lang w:val="en-AU"/>
        </w:rPr>
        <w:t>As such these decisions have</w:t>
      </w:r>
      <w:r w:rsidR="00075831">
        <w:rPr>
          <w:rFonts w:eastAsiaTheme="minorHAnsi"/>
          <w:lang w:val="en-AU"/>
        </w:rPr>
        <w:t xml:space="preserve"> come into effect from</w:t>
      </w:r>
      <w:r w:rsidR="0064047D">
        <w:rPr>
          <w:rFonts w:eastAsiaTheme="minorHAnsi"/>
          <w:lang w:val="en-AU"/>
        </w:rPr>
        <w:t xml:space="preserve"> 1</w:t>
      </w:r>
      <w:r w:rsidR="00075831">
        <w:rPr>
          <w:rFonts w:eastAsiaTheme="minorHAnsi"/>
          <w:lang w:val="en-AU"/>
        </w:rPr>
        <w:t xml:space="preserve"> October 2019.</w:t>
      </w:r>
    </w:p>
    <w:p w14:paraId="1E68FA34" w14:textId="55EAEBAE" w:rsidR="00256D9B" w:rsidRDefault="00256D9B" w:rsidP="008D3C37">
      <w:pPr>
        <w:rPr>
          <w:rFonts w:eastAsiaTheme="minorHAnsi"/>
          <w:lang w:val="en-AU"/>
        </w:rPr>
      </w:pPr>
      <w:r>
        <w:rPr>
          <w:rFonts w:eastAsiaTheme="minorHAnsi"/>
          <w:lang w:val="en-AU"/>
        </w:rPr>
        <w:t>The</w:t>
      </w:r>
      <w:r>
        <w:t xml:space="preserve"> </w:t>
      </w:r>
      <w:r w:rsidR="00D74DE5" w:rsidRPr="00D74DE5">
        <w:rPr>
          <w:rFonts w:eastAsiaTheme="minorHAnsi"/>
          <w:i/>
          <w:lang w:val="en-AU"/>
        </w:rPr>
        <w:t>Poisons Standard October 2019</w:t>
      </w:r>
      <w:r w:rsidRPr="00203CBA">
        <w:rPr>
          <w:rFonts w:eastAsiaTheme="minorHAnsi"/>
          <w:lang w:val="en-AU"/>
        </w:rPr>
        <w:t xml:space="preserve"> </w:t>
      </w:r>
      <w:r w:rsidR="00D74DE5">
        <w:rPr>
          <w:rFonts w:eastAsiaTheme="minorHAnsi"/>
          <w:lang w:val="en-AU"/>
        </w:rPr>
        <w:t xml:space="preserve">also incorporates the introduction of </w:t>
      </w:r>
      <w:r w:rsidRPr="00203CBA">
        <w:rPr>
          <w:rFonts w:eastAsiaTheme="minorHAnsi"/>
          <w:lang w:val="en-AU"/>
        </w:rPr>
        <w:t xml:space="preserve">a number of </w:t>
      </w:r>
      <w:r>
        <w:rPr>
          <w:rFonts w:eastAsiaTheme="minorHAnsi"/>
          <w:lang w:val="en-AU"/>
        </w:rPr>
        <w:t xml:space="preserve">new </w:t>
      </w:r>
      <w:r w:rsidRPr="00203CBA">
        <w:rPr>
          <w:rFonts w:eastAsiaTheme="minorHAnsi"/>
          <w:lang w:val="en-AU"/>
        </w:rPr>
        <w:t>substances to the Poisons Standard for the first time</w:t>
      </w:r>
      <w:r>
        <w:rPr>
          <w:rFonts w:eastAsiaTheme="minorHAnsi"/>
          <w:lang w:val="en-AU"/>
        </w:rPr>
        <w:t>.</w:t>
      </w:r>
      <w:r w:rsidR="00B34841">
        <w:rPr>
          <w:rFonts w:eastAsiaTheme="minorHAnsi"/>
          <w:lang w:val="en-AU"/>
        </w:rPr>
        <w:t xml:space="preserve"> </w:t>
      </w:r>
      <w:r>
        <w:rPr>
          <w:rFonts w:eastAsiaTheme="minorHAnsi"/>
          <w:lang w:val="en-AU"/>
        </w:rPr>
        <w:t>T</w:t>
      </w:r>
      <w:r w:rsidR="00B34841">
        <w:rPr>
          <w:rFonts w:eastAsiaTheme="minorHAnsi"/>
          <w:lang w:val="en-AU"/>
        </w:rPr>
        <w:t>hese include</w:t>
      </w:r>
      <w:r>
        <w:rPr>
          <w:rFonts w:eastAsiaTheme="minorHAnsi"/>
          <w:lang w:val="en-AU"/>
        </w:rPr>
        <w:t xml:space="preserve"> a number of specific entries for</w:t>
      </w:r>
      <w:r w:rsidR="00B34841">
        <w:rPr>
          <w:rFonts w:eastAsiaTheme="minorHAnsi"/>
          <w:lang w:val="en-AU"/>
        </w:rPr>
        <w:t xml:space="preserve"> </w:t>
      </w:r>
      <w:proofErr w:type="spellStart"/>
      <w:r w:rsidRPr="00B34841">
        <w:rPr>
          <w:rFonts w:eastAsiaTheme="minorHAnsi"/>
          <w:lang w:val="en-AU"/>
        </w:rPr>
        <w:t>alpelisib</w:t>
      </w:r>
      <w:proofErr w:type="spellEnd"/>
      <w:r>
        <w:rPr>
          <w:rFonts w:eastAsiaTheme="minorHAnsi"/>
          <w:lang w:val="en-AU"/>
        </w:rPr>
        <w:t>,</w:t>
      </w:r>
      <w:r w:rsidRPr="00B34841">
        <w:rPr>
          <w:rFonts w:eastAsiaTheme="minorHAnsi"/>
          <w:lang w:val="en-AU"/>
        </w:rPr>
        <w:t xml:space="preserve"> </w:t>
      </w:r>
      <w:proofErr w:type="spellStart"/>
      <w:r w:rsidRPr="00B34841">
        <w:rPr>
          <w:rFonts w:eastAsiaTheme="minorHAnsi"/>
          <w:lang w:val="en-AU"/>
        </w:rPr>
        <w:t>darolutamide</w:t>
      </w:r>
      <w:proofErr w:type="spellEnd"/>
      <w:r>
        <w:rPr>
          <w:rFonts w:eastAsiaTheme="minorHAnsi"/>
          <w:lang w:val="en-AU"/>
        </w:rPr>
        <w:t>,</w:t>
      </w:r>
      <w:r w:rsidRPr="00B34841">
        <w:rPr>
          <w:rFonts w:eastAsiaTheme="minorHAnsi"/>
          <w:lang w:val="en-AU"/>
        </w:rPr>
        <w:t xml:space="preserve"> </w:t>
      </w:r>
      <w:proofErr w:type="spellStart"/>
      <w:r w:rsidRPr="00B34841">
        <w:rPr>
          <w:rFonts w:eastAsiaTheme="minorHAnsi"/>
          <w:lang w:val="en-AU"/>
        </w:rPr>
        <w:t>linaclotide</w:t>
      </w:r>
      <w:proofErr w:type="spellEnd"/>
      <w:r>
        <w:rPr>
          <w:rFonts w:eastAsiaTheme="minorHAnsi"/>
          <w:lang w:val="en-AU"/>
        </w:rPr>
        <w:t>,</w:t>
      </w:r>
      <w:r w:rsidRPr="00B34841">
        <w:rPr>
          <w:rFonts w:eastAsiaTheme="minorHAnsi"/>
          <w:lang w:val="en-AU"/>
        </w:rPr>
        <w:t xml:space="preserve"> </w:t>
      </w:r>
      <w:proofErr w:type="spellStart"/>
      <w:r w:rsidR="00B34841" w:rsidRPr="00B34841">
        <w:rPr>
          <w:rFonts w:eastAsiaTheme="minorHAnsi"/>
          <w:lang w:val="en-AU"/>
        </w:rPr>
        <w:t>lorlatinib</w:t>
      </w:r>
      <w:proofErr w:type="spellEnd"/>
      <w:r w:rsidR="00B34841">
        <w:rPr>
          <w:rFonts w:eastAsiaTheme="minorHAnsi"/>
          <w:lang w:val="en-AU"/>
        </w:rPr>
        <w:t xml:space="preserve">, </w:t>
      </w:r>
      <w:proofErr w:type="spellStart"/>
      <w:r w:rsidR="00B34841" w:rsidRPr="00B34841">
        <w:rPr>
          <w:rFonts w:eastAsiaTheme="minorHAnsi"/>
          <w:lang w:val="en-AU"/>
        </w:rPr>
        <w:t>niraparib</w:t>
      </w:r>
      <w:proofErr w:type="spellEnd"/>
      <w:r>
        <w:rPr>
          <w:rFonts w:eastAsiaTheme="minorHAnsi"/>
          <w:lang w:val="en-AU"/>
        </w:rPr>
        <w:t xml:space="preserve"> and</w:t>
      </w:r>
      <w:r w:rsidR="00B34841">
        <w:rPr>
          <w:rFonts w:eastAsiaTheme="minorHAnsi"/>
          <w:lang w:val="en-AU"/>
        </w:rPr>
        <w:t xml:space="preserve"> </w:t>
      </w:r>
      <w:proofErr w:type="spellStart"/>
      <w:r w:rsidR="00B34841" w:rsidRPr="00B34841">
        <w:rPr>
          <w:rFonts w:eastAsiaTheme="minorHAnsi"/>
          <w:lang w:val="en-AU"/>
        </w:rPr>
        <w:t>risankizumab</w:t>
      </w:r>
      <w:proofErr w:type="spellEnd"/>
      <w:r w:rsidR="00C75332">
        <w:rPr>
          <w:rFonts w:eastAsiaTheme="minorHAnsi"/>
          <w:lang w:val="en-AU"/>
        </w:rPr>
        <w:t xml:space="preserve"> in Schedule 4</w:t>
      </w:r>
      <w:r w:rsidR="00B34841">
        <w:rPr>
          <w:rFonts w:eastAsiaTheme="minorHAnsi"/>
          <w:lang w:val="en-AU"/>
        </w:rPr>
        <w:t>.</w:t>
      </w:r>
      <w:r w:rsidR="00275B2B">
        <w:rPr>
          <w:rFonts w:eastAsiaTheme="minorHAnsi"/>
          <w:lang w:val="en-AU"/>
        </w:rPr>
        <w:t xml:space="preserve"> </w:t>
      </w:r>
      <w:r w:rsidR="00D36DE0">
        <w:rPr>
          <w:rFonts w:eastAsiaTheme="minorHAnsi"/>
          <w:lang w:val="en-AU"/>
        </w:rPr>
        <w:t xml:space="preserve">A new </w:t>
      </w:r>
      <w:r w:rsidR="00002787">
        <w:rPr>
          <w:rFonts w:eastAsiaTheme="minorHAnsi"/>
          <w:lang w:val="en-AU"/>
        </w:rPr>
        <w:t xml:space="preserve">Appendix </w:t>
      </w:r>
      <w:r w:rsidR="00D36DE0">
        <w:rPr>
          <w:rFonts w:eastAsiaTheme="minorHAnsi"/>
          <w:lang w:val="en-AU"/>
        </w:rPr>
        <w:t xml:space="preserve">K </w:t>
      </w:r>
      <w:r w:rsidR="00002787">
        <w:rPr>
          <w:rFonts w:eastAsiaTheme="minorHAnsi"/>
          <w:lang w:val="en-AU"/>
        </w:rPr>
        <w:t>entry for</w:t>
      </w:r>
      <w:r w:rsidR="00D36DE0">
        <w:rPr>
          <w:rFonts w:eastAsiaTheme="minorHAnsi"/>
          <w:lang w:val="en-AU"/>
        </w:rPr>
        <w:t xml:space="preserve"> </w:t>
      </w:r>
      <w:proofErr w:type="spellStart"/>
      <w:r w:rsidR="00275B2B" w:rsidRPr="00275B2B">
        <w:rPr>
          <w:rFonts w:eastAsiaTheme="minorHAnsi"/>
          <w:lang w:val="en-AU"/>
        </w:rPr>
        <w:t>risankizumab</w:t>
      </w:r>
      <w:proofErr w:type="spellEnd"/>
      <w:r w:rsidR="00275B2B">
        <w:rPr>
          <w:rFonts w:eastAsiaTheme="minorHAnsi"/>
          <w:lang w:val="en-AU"/>
        </w:rPr>
        <w:t xml:space="preserve"> </w:t>
      </w:r>
      <w:r w:rsidR="00002787">
        <w:rPr>
          <w:rFonts w:eastAsiaTheme="minorHAnsi"/>
          <w:lang w:val="en-AU"/>
        </w:rPr>
        <w:t xml:space="preserve">was also </w:t>
      </w:r>
      <w:r w:rsidR="00D36DE0">
        <w:rPr>
          <w:rFonts w:eastAsiaTheme="minorHAnsi"/>
          <w:lang w:val="en-AU"/>
        </w:rPr>
        <w:t>created</w:t>
      </w:r>
      <w:r w:rsidR="00EF7158">
        <w:rPr>
          <w:rFonts w:eastAsiaTheme="minorHAnsi"/>
          <w:lang w:val="en-AU"/>
        </w:rPr>
        <w:t>.</w:t>
      </w:r>
    </w:p>
    <w:p w14:paraId="3C5356A9" w14:textId="77777777" w:rsidR="00EF7158" w:rsidRDefault="00256D9B" w:rsidP="008D3C37">
      <w:pPr>
        <w:rPr>
          <w:rFonts w:eastAsiaTheme="minorHAnsi"/>
          <w:lang w:val="en-AU"/>
        </w:rPr>
      </w:pPr>
      <w:r>
        <w:rPr>
          <w:rFonts w:eastAsiaTheme="minorHAnsi"/>
          <w:lang w:val="en-AU"/>
        </w:rPr>
        <w:t>A small number of minor amendments were also included in this instrument, including for example editorial amendments to the current entries for</w:t>
      </w:r>
      <w:r w:rsidRPr="00256D9B">
        <w:t xml:space="preserve"> </w:t>
      </w:r>
      <w:r w:rsidRPr="00256D9B">
        <w:rPr>
          <w:rFonts w:eastAsiaTheme="minorHAnsi"/>
          <w:i/>
          <w:lang w:val="en-AU"/>
        </w:rPr>
        <w:t>N</w:t>
      </w:r>
      <w:proofErr w:type="gramStart"/>
      <w:r w:rsidRPr="00256D9B">
        <w:rPr>
          <w:rFonts w:eastAsiaTheme="minorHAnsi"/>
          <w:lang w:val="en-AU"/>
        </w:rPr>
        <w:t>,</w:t>
      </w:r>
      <w:r w:rsidRPr="00256D9B">
        <w:rPr>
          <w:rFonts w:eastAsiaTheme="minorHAnsi"/>
          <w:i/>
          <w:lang w:val="en-AU"/>
        </w:rPr>
        <w:t>N</w:t>
      </w:r>
      <w:proofErr w:type="gramEnd"/>
      <w:r w:rsidRPr="00256D9B">
        <w:rPr>
          <w:rFonts w:eastAsiaTheme="minorHAnsi"/>
          <w:lang w:val="en-AU"/>
        </w:rPr>
        <w:t>-</w:t>
      </w:r>
      <w:proofErr w:type="spellStart"/>
      <w:r w:rsidRPr="00256D9B">
        <w:rPr>
          <w:rFonts w:eastAsiaTheme="minorHAnsi"/>
          <w:lang w:val="en-AU"/>
        </w:rPr>
        <w:t>diallyldichloroacetamide</w:t>
      </w:r>
      <w:proofErr w:type="spellEnd"/>
      <w:r>
        <w:rPr>
          <w:rFonts w:eastAsiaTheme="minorHAnsi"/>
          <w:lang w:val="en-AU"/>
        </w:rPr>
        <w:t xml:space="preserve">, </w:t>
      </w:r>
      <w:r w:rsidRPr="00256D9B">
        <w:rPr>
          <w:rFonts w:eastAsiaTheme="minorHAnsi"/>
          <w:lang w:val="en-AU"/>
        </w:rPr>
        <w:t>3-iodo-2-propynyl butyl carbamate (</w:t>
      </w:r>
      <w:proofErr w:type="spellStart"/>
      <w:r w:rsidRPr="00256D9B">
        <w:rPr>
          <w:rFonts w:eastAsiaTheme="minorHAnsi"/>
          <w:lang w:val="en-AU"/>
        </w:rPr>
        <w:t>iodocarb</w:t>
      </w:r>
      <w:proofErr w:type="spellEnd"/>
      <w:r w:rsidRPr="00256D9B">
        <w:rPr>
          <w:rFonts w:eastAsiaTheme="minorHAnsi"/>
          <w:lang w:val="en-AU"/>
        </w:rPr>
        <w:t>)</w:t>
      </w:r>
      <w:r>
        <w:rPr>
          <w:rFonts w:eastAsiaTheme="minorHAnsi"/>
          <w:lang w:val="en-AU"/>
        </w:rPr>
        <w:t xml:space="preserve"> and </w:t>
      </w:r>
      <w:r w:rsidRPr="00256D9B">
        <w:rPr>
          <w:rFonts w:eastAsiaTheme="minorHAnsi"/>
          <w:lang w:val="en-AU"/>
        </w:rPr>
        <w:t>allyl esters</w:t>
      </w:r>
      <w:r>
        <w:rPr>
          <w:rFonts w:eastAsiaTheme="minorHAnsi"/>
          <w:lang w:val="en-AU"/>
        </w:rPr>
        <w:t>.</w:t>
      </w:r>
      <w:bookmarkStart w:id="0" w:name="_GoBack"/>
      <w:bookmarkEnd w:id="0"/>
    </w:p>
    <w:p w14:paraId="64306CF4" w14:textId="30D35B51" w:rsidR="00256D9B" w:rsidRPr="00256D9B" w:rsidRDefault="00256D9B" w:rsidP="00256D9B">
      <w:pPr>
        <w:rPr>
          <w:rFonts w:eastAsiaTheme="minorHAnsi"/>
          <w:lang w:val="en-AU"/>
        </w:rPr>
      </w:pPr>
      <w:r w:rsidRPr="00256D9B">
        <w:rPr>
          <w:rFonts w:eastAsiaTheme="minorHAnsi"/>
          <w:lang w:val="en-AU"/>
        </w:rPr>
        <w:t>The decisions to introduce the new substances and to make the</w:t>
      </w:r>
      <w:r w:rsidR="00ED4F72">
        <w:rPr>
          <w:rFonts w:eastAsiaTheme="minorHAnsi"/>
          <w:lang w:val="en-AU"/>
        </w:rPr>
        <w:t xml:space="preserve"> above</w:t>
      </w:r>
      <w:r w:rsidRPr="00256D9B">
        <w:rPr>
          <w:rFonts w:eastAsiaTheme="minorHAnsi"/>
          <w:lang w:val="en-AU"/>
        </w:rPr>
        <w:t xml:space="preserve"> technical and minor </w:t>
      </w:r>
      <w:proofErr w:type="gramStart"/>
      <w:r w:rsidRPr="00256D9B">
        <w:rPr>
          <w:rFonts w:eastAsiaTheme="minorHAnsi"/>
          <w:lang w:val="en-AU"/>
        </w:rPr>
        <w:t>amendments</w:t>
      </w:r>
      <w:r w:rsidR="00D74DE5">
        <w:rPr>
          <w:rFonts w:eastAsiaTheme="minorHAnsi"/>
          <w:lang w:val="en-AU"/>
        </w:rPr>
        <w:t>,</w:t>
      </w:r>
      <w:proofErr w:type="gramEnd"/>
      <w:r w:rsidR="00D74DE5">
        <w:rPr>
          <w:rFonts w:eastAsiaTheme="minorHAnsi"/>
          <w:lang w:val="en-AU"/>
        </w:rPr>
        <w:t xml:space="preserve"> </w:t>
      </w:r>
      <w:r w:rsidRPr="00256D9B">
        <w:rPr>
          <w:rFonts w:eastAsiaTheme="minorHAnsi"/>
          <w:lang w:val="en-AU"/>
        </w:rPr>
        <w:t>were delegate-only decisions that were not open to public consultation as they were considered, in accordance with the SPF, to be sufficiently straightforward as to not require consultation.</w:t>
      </w:r>
    </w:p>
    <w:p w14:paraId="30D0CB7F" w14:textId="77777777" w:rsidR="00256D9B" w:rsidRPr="00256D9B" w:rsidRDefault="00256D9B" w:rsidP="00256D9B">
      <w:pPr>
        <w:rPr>
          <w:rFonts w:eastAsiaTheme="minorHAnsi"/>
          <w:lang w:val="en-AU"/>
        </w:rPr>
      </w:pPr>
      <w:r w:rsidRPr="00256D9B">
        <w:rPr>
          <w:rFonts w:eastAsiaTheme="minorHAnsi"/>
          <w:lang w:val="en-AU"/>
        </w:rPr>
        <w:t xml:space="preserve">The Poisons Standard </w:t>
      </w:r>
      <w:r>
        <w:rPr>
          <w:rFonts w:eastAsiaTheme="minorHAnsi"/>
          <w:lang w:val="en-AU"/>
        </w:rPr>
        <w:t>October</w:t>
      </w:r>
      <w:r w:rsidRPr="00256D9B">
        <w:rPr>
          <w:rFonts w:eastAsiaTheme="minorHAnsi"/>
          <w:lang w:val="en-AU"/>
        </w:rPr>
        <w:t xml:space="preserve"> 2019 is a legislative instrument for the purposes of the </w:t>
      </w:r>
      <w:r w:rsidRPr="00256D9B">
        <w:rPr>
          <w:rFonts w:eastAsiaTheme="minorHAnsi"/>
          <w:i/>
          <w:lang w:val="en-AU"/>
        </w:rPr>
        <w:t>Legislation Act 2003</w:t>
      </w:r>
      <w:r w:rsidRPr="00256D9B">
        <w:rPr>
          <w:rFonts w:eastAsiaTheme="minorHAnsi"/>
          <w:lang w:val="en-AU"/>
        </w:rPr>
        <w:t xml:space="preserve"> (“the LA”). However, section 42 (disallowance) of the LA does not apply (refer to subsection </w:t>
      </w:r>
      <w:proofErr w:type="gramStart"/>
      <w:r w:rsidRPr="00256D9B">
        <w:rPr>
          <w:rFonts w:eastAsiaTheme="minorHAnsi"/>
          <w:lang w:val="en-AU"/>
        </w:rPr>
        <w:t>52D(</w:t>
      </w:r>
      <w:proofErr w:type="gramEnd"/>
      <w:r w:rsidRPr="00256D9B">
        <w:rPr>
          <w:rFonts w:eastAsiaTheme="minorHAnsi"/>
          <w:lang w:val="en-AU"/>
        </w:rPr>
        <w:t xml:space="preserve">4A) of the Act). As it 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be accompanied by a statement of compatibility with the human rights recognised under that Act. </w:t>
      </w:r>
    </w:p>
    <w:p w14:paraId="551B8E78" w14:textId="77777777" w:rsidR="00F15F2D" w:rsidRPr="00484CED" w:rsidRDefault="00256D9B" w:rsidP="00256D9B">
      <w:r w:rsidRPr="00256D9B">
        <w:rPr>
          <w:rFonts w:eastAsiaTheme="minorHAnsi"/>
          <w:lang w:val="en-AU"/>
        </w:rPr>
        <w:t xml:space="preserve">The Poisons Standard </w:t>
      </w:r>
      <w:r>
        <w:rPr>
          <w:rFonts w:eastAsiaTheme="minorHAnsi"/>
          <w:lang w:val="en-AU"/>
        </w:rPr>
        <w:t>October</w:t>
      </w:r>
      <w:r w:rsidRPr="00256D9B">
        <w:rPr>
          <w:rFonts w:eastAsiaTheme="minorHAnsi"/>
          <w:lang w:val="en-AU"/>
        </w:rPr>
        <w:t xml:space="preserve"> 2019 commences on 1 </w:t>
      </w:r>
      <w:r>
        <w:rPr>
          <w:rFonts w:eastAsiaTheme="minorHAnsi"/>
          <w:lang w:val="en-AU"/>
        </w:rPr>
        <w:t>October</w:t>
      </w:r>
      <w:r w:rsidRPr="00256D9B">
        <w:rPr>
          <w:rFonts w:eastAsiaTheme="minorHAnsi"/>
          <w:lang w:val="en-AU"/>
        </w:rPr>
        <w:t xml:space="preserve"> 2019.</w:t>
      </w:r>
    </w:p>
    <w:sectPr w:rsidR="00F15F2D" w:rsidRPr="00484CED" w:rsidSect="00872BB1">
      <w:footerReference w:type="default" r:id="rId22"/>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1384A" w14:textId="77777777" w:rsidR="00A73CBC" w:rsidRDefault="00A73CBC" w:rsidP="00002885">
      <w:r>
        <w:separator/>
      </w:r>
    </w:p>
  </w:endnote>
  <w:endnote w:type="continuationSeparator" w:id="0">
    <w:p w14:paraId="1B35C5B1" w14:textId="77777777" w:rsidR="00A73CBC" w:rsidRDefault="00A73CB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14:paraId="48B082F6" w14:textId="5BD562D3" w:rsidR="00117231" w:rsidRDefault="00117231">
        <w:pPr>
          <w:pStyle w:val="Footer"/>
          <w:jc w:val="center"/>
        </w:pPr>
        <w:r>
          <w:fldChar w:fldCharType="begin"/>
        </w:r>
        <w:r>
          <w:instrText xml:space="preserve"> PAGE   \* MERGEFORMAT </w:instrText>
        </w:r>
        <w:r>
          <w:fldChar w:fldCharType="separate"/>
        </w:r>
        <w:r w:rsidR="00640FCD">
          <w:rPr>
            <w:noProof/>
          </w:rPr>
          <w:t>3</w:t>
        </w:r>
        <w:r>
          <w:rPr>
            <w:noProof/>
          </w:rPr>
          <w:fldChar w:fldCharType="end"/>
        </w:r>
      </w:p>
    </w:sdtContent>
  </w:sdt>
  <w:p w14:paraId="369CFA33" w14:textId="77777777"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5743E" w14:textId="77777777" w:rsidR="00A73CBC" w:rsidRDefault="00A73CBC" w:rsidP="00002885">
      <w:r>
        <w:separator/>
      </w:r>
    </w:p>
  </w:footnote>
  <w:footnote w:type="continuationSeparator" w:id="0">
    <w:p w14:paraId="57C8CB57" w14:textId="77777777" w:rsidR="00A73CBC" w:rsidRDefault="00A73CBC"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DA422F"/>
    <w:multiLevelType w:val="hybridMultilevel"/>
    <w:tmpl w:val="8FBC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2EA291C"/>
    <w:multiLevelType w:val="hybridMultilevel"/>
    <w:tmpl w:val="A430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FF5908"/>
    <w:multiLevelType w:val="hybridMultilevel"/>
    <w:tmpl w:val="C44C4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6"/>
  </w:num>
  <w:num w:numId="3">
    <w:abstractNumId w:val="31"/>
  </w:num>
  <w:num w:numId="4">
    <w:abstractNumId w:val="16"/>
  </w:num>
  <w:num w:numId="5">
    <w:abstractNumId w:val="7"/>
  </w:num>
  <w:num w:numId="6">
    <w:abstractNumId w:val="36"/>
  </w:num>
  <w:num w:numId="7">
    <w:abstractNumId w:val="17"/>
  </w:num>
  <w:num w:numId="8">
    <w:abstractNumId w:val="29"/>
  </w:num>
  <w:num w:numId="9">
    <w:abstractNumId w:val="23"/>
  </w:num>
  <w:num w:numId="10">
    <w:abstractNumId w:val="1"/>
  </w:num>
  <w:num w:numId="11">
    <w:abstractNumId w:val="37"/>
  </w:num>
  <w:num w:numId="12">
    <w:abstractNumId w:val="9"/>
  </w:num>
  <w:num w:numId="13">
    <w:abstractNumId w:val="24"/>
  </w:num>
  <w:num w:numId="14">
    <w:abstractNumId w:val="27"/>
  </w:num>
  <w:num w:numId="15">
    <w:abstractNumId w:val="41"/>
  </w:num>
  <w:num w:numId="16">
    <w:abstractNumId w:val="25"/>
  </w:num>
  <w:num w:numId="17">
    <w:abstractNumId w:val="18"/>
  </w:num>
  <w:num w:numId="18">
    <w:abstractNumId w:val="0"/>
  </w:num>
  <w:num w:numId="19">
    <w:abstractNumId w:val="34"/>
  </w:num>
  <w:num w:numId="20">
    <w:abstractNumId w:val="3"/>
  </w:num>
  <w:num w:numId="21">
    <w:abstractNumId w:val="14"/>
  </w:num>
  <w:num w:numId="22">
    <w:abstractNumId w:val="39"/>
  </w:num>
  <w:num w:numId="23">
    <w:abstractNumId w:val="35"/>
  </w:num>
  <w:num w:numId="24">
    <w:abstractNumId w:val="19"/>
  </w:num>
  <w:num w:numId="25">
    <w:abstractNumId w:val="22"/>
  </w:num>
  <w:num w:numId="26">
    <w:abstractNumId w:val="33"/>
  </w:num>
  <w:num w:numId="27">
    <w:abstractNumId w:val="11"/>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8"/>
  </w:num>
  <w:num w:numId="31">
    <w:abstractNumId w:val="32"/>
  </w:num>
  <w:num w:numId="32">
    <w:abstractNumId w:val="20"/>
  </w:num>
  <w:num w:numId="33">
    <w:abstractNumId w:val="15"/>
  </w:num>
  <w:num w:numId="34">
    <w:abstractNumId w:val="10"/>
  </w:num>
  <w:num w:numId="35">
    <w:abstractNumId w:val="5"/>
  </w:num>
  <w:num w:numId="36">
    <w:abstractNumId w:val="21"/>
  </w:num>
  <w:num w:numId="37">
    <w:abstractNumId w:val="30"/>
  </w:num>
  <w:num w:numId="38">
    <w:abstractNumId w:val="12"/>
  </w:num>
  <w:num w:numId="39">
    <w:abstractNumId w:val="13"/>
  </w:num>
  <w:num w:numId="40">
    <w:abstractNumId w:val="8"/>
  </w:num>
  <w:num w:numId="41">
    <w:abstractNumId w:val="4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14DC"/>
    <w:rsid w:val="00002787"/>
    <w:rsid w:val="00002885"/>
    <w:rsid w:val="000031D3"/>
    <w:rsid w:val="00003460"/>
    <w:rsid w:val="00003F40"/>
    <w:rsid w:val="00011147"/>
    <w:rsid w:val="00011923"/>
    <w:rsid w:val="00013101"/>
    <w:rsid w:val="0001344B"/>
    <w:rsid w:val="0001557A"/>
    <w:rsid w:val="00015D91"/>
    <w:rsid w:val="00015F7D"/>
    <w:rsid w:val="000163D5"/>
    <w:rsid w:val="00016497"/>
    <w:rsid w:val="00020B01"/>
    <w:rsid w:val="0002378A"/>
    <w:rsid w:val="000245BC"/>
    <w:rsid w:val="00024DBC"/>
    <w:rsid w:val="00035120"/>
    <w:rsid w:val="000410C1"/>
    <w:rsid w:val="000416AC"/>
    <w:rsid w:val="00044A0E"/>
    <w:rsid w:val="000461D2"/>
    <w:rsid w:val="000479E8"/>
    <w:rsid w:val="00047A51"/>
    <w:rsid w:val="00050EB5"/>
    <w:rsid w:val="000547AB"/>
    <w:rsid w:val="00057A65"/>
    <w:rsid w:val="00060D54"/>
    <w:rsid w:val="000611B6"/>
    <w:rsid w:val="000611F1"/>
    <w:rsid w:val="00065A55"/>
    <w:rsid w:val="000723FA"/>
    <w:rsid w:val="00075831"/>
    <w:rsid w:val="000810CF"/>
    <w:rsid w:val="000832EE"/>
    <w:rsid w:val="00083426"/>
    <w:rsid w:val="00083B34"/>
    <w:rsid w:val="00085CAB"/>
    <w:rsid w:val="00085F57"/>
    <w:rsid w:val="0008693E"/>
    <w:rsid w:val="00090731"/>
    <w:rsid w:val="0009240B"/>
    <w:rsid w:val="00096CF4"/>
    <w:rsid w:val="00097388"/>
    <w:rsid w:val="000A1AE9"/>
    <w:rsid w:val="000A26F2"/>
    <w:rsid w:val="000A30D2"/>
    <w:rsid w:val="000A433D"/>
    <w:rsid w:val="000A54E1"/>
    <w:rsid w:val="000A665B"/>
    <w:rsid w:val="000B5294"/>
    <w:rsid w:val="000C0B6E"/>
    <w:rsid w:val="000C1920"/>
    <w:rsid w:val="000C1C9C"/>
    <w:rsid w:val="000C1F50"/>
    <w:rsid w:val="000C2B11"/>
    <w:rsid w:val="000C6AC7"/>
    <w:rsid w:val="000C74B0"/>
    <w:rsid w:val="000D0790"/>
    <w:rsid w:val="000D07F2"/>
    <w:rsid w:val="000D084B"/>
    <w:rsid w:val="000D1217"/>
    <w:rsid w:val="000D589B"/>
    <w:rsid w:val="000D5B0D"/>
    <w:rsid w:val="000D5C26"/>
    <w:rsid w:val="000D7D58"/>
    <w:rsid w:val="000E10D0"/>
    <w:rsid w:val="000E1A37"/>
    <w:rsid w:val="000E1D7F"/>
    <w:rsid w:val="000E2752"/>
    <w:rsid w:val="000E3A76"/>
    <w:rsid w:val="000F10CF"/>
    <w:rsid w:val="000F4187"/>
    <w:rsid w:val="000F46C6"/>
    <w:rsid w:val="000F5B73"/>
    <w:rsid w:val="000F66E3"/>
    <w:rsid w:val="00101113"/>
    <w:rsid w:val="00103637"/>
    <w:rsid w:val="00107427"/>
    <w:rsid w:val="00107A47"/>
    <w:rsid w:val="001100E5"/>
    <w:rsid w:val="0011193B"/>
    <w:rsid w:val="00112C17"/>
    <w:rsid w:val="001147B1"/>
    <w:rsid w:val="0011569B"/>
    <w:rsid w:val="00115C3B"/>
    <w:rsid w:val="00117231"/>
    <w:rsid w:val="001178E6"/>
    <w:rsid w:val="001247BF"/>
    <w:rsid w:val="001263E3"/>
    <w:rsid w:val="00131841"/>
    <w:rsid w:val="00133E6E"/>
    <w:rsid w:val="00136ECD"/>
    <w:rsid w:val="0013744B"/>
    <w:rsid w:val="00137A4D"/>
    <w:rsid w:val="0014023B"/>
    <w:rsid w:val="00140CDD"/>
    <w:rsid w:val="0015058D"/>
    <w:rsid w:val="00150B11"/>
    <w:rsid w:val="00150B6E"/>
    <w:rsid w:val="00152DCA"/>
    <w:rsid w:val="00154877"/>
    <w:rsid w:val="00154F69"/>
    <w:rsid w:val="00160B52"/>
    <w:rsid w:val="00160DD7"/>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1DA8"/>
    <w:rsid w:val="001A7ABF"/>
    <w:rsid w:val="001B16FE"/>
    <w:rsid w:val="001B1A51"/>
    <w:rsid w:val="001B25B0"/>
    <w:rsid w:val="001B2819"/>
    <w:rsid w:val="001B79E5"/>
    <w:rsid w:val="001C0CF6"/>
    <w:rsid w:val="001C2836"/>
    <w:rsid w:val="001C28B3"/>
    <w:rsid w:val="001C5ED4"/>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73F5"/>
    <w:rsid w:val="002244F4"/>
    <w:rsid w:val="002263B8"/>
    <w:rsid w:val="002305C1"/>
    <w:rsid w:val="00231DF6"/>
    <w:rsid w:val="0023235D"/>
    <w:rsid w:val="00235B34"/>
    <w:rsid w:val="00237639"/>
    <w:rsid w:val="00240DB3"/>
    <w:rsid w:val="00245C64"/>
    <w:rsid w:val="002472DF"/>
    <w:rsid w:val="0025034D"/>
    <w:rsid w:val="00250856"/>
    <w:rsid w:val="0025421D"/>
    <w:rsid w:val="00256D9B"/>
    <w:rsid w:val="00260B7A"/>
    <w:rsid w:val="002617D0"/>
    <w:rsid w:val="0026204F"/>
    <w:rsid w:val="0026226E"/>
    <w:rsid w:val="00272528"/>
    <w:rsid w:val="0027445B"/>
    <w:rsid w:val="00275B2B"/>
    <w:rsid w:val="00277672"/>
    <w:rsid w:val="00280FDD"/>
    <w:rsid w:val="00281B78"/>
    <w:rsid w:val="00283416"/>
    <w:rsid w:val="00283679"/>
    <w:rsid w:val="00283C62"/>
    <w:rsid w:val="00290C61"/>
    <w:rsid w:val="00290E42"/>
    <w:rsid w:val="0029630A"/>
    <w:rsid w:val="00296A3C"/>
    <w:rsid w:val="002A0901"/>
    <w:rsid w:val="002A1A5D"/>
    <w:rsid w:val="002A1E3E"/>
    <w:rsid w:val="002A39A8"/>
    <w:rsid w:val="002A39B3"/>
    <w:rsid w:val="002A5D82"/>
    <w:rsid w:val="002A7266"/>
    <w:rsid w:val="002B1352"/>
    <w:rsid w:val="002B1B8E"/>
    <w:rsid w:val="002B61BD"/>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21DB4"/>
    <w:rsid w:val="00330DF9"/>
    <w:rsid w:val="0033244E"/>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7276"/>
    <w:rsid w:val="003572D8"/>
    <w:rsid w:val="00357B5C"/>
    <w:rsid w:val="00362F90"/>
    <w:rsid w:val="00366B0C"/>
    <w:rsid w:val="003715A7"/>
    <w:rsid w:val="00372064"/>
    <w:rsid w:val="00373423"/>
    <w:rsid w:val="00374974"/>
    <w:rsid w:val="00376855"/>
    <w:rsid w:val="00377830"/>
    <w:rsid w:val="00377F14"/>
    <w:rsid w:val="003806A8"/>
    <w:rsid w:val="003829DB"/>
    <w:rsid w:val="00383160"/>
    <w:rsid w:val="00384D93"/>
    <w:rsid w:val="00391669"/>
    <w:rsid w:val="00391AB4"/>
    <w:rsid w:val="003A342F"/>
    <w:rsid w:val="003A3C28"/>
    <w:rsid w:val="003B2E72"/>
    <w:rsid w:val="003B5A6F"/>
    <w:rsid w:val="003B6C00"/>
    <w:rsid w:val="003C2E82"/>
    <w:rsid w:val="003C33DB"/>
    <w:rsid w:val="003C3801"/>
    <w:rsid w:val="003C5E79"/>
    <w:rsid w:val="003C777B"/>
    <w:rsid w:val="003D2B5B"/>
    <w:rsid w:val="003D34C8"/>
    <w:rsid w:val="003D3A8B"/>
    <w:rsid w:val="003D5BEC"/>
    <w:rsid w:val="003D5C29"/>
    <w:rsid w:val="003D6ADB"/>
    <w:rsid w:val="003E3086"/>
    <w:rsid w:val="003E7057"/>
    <w:rsid w:val="003E7B33"/>
    <w:rsid w:val="003F596A"/>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76BAA"/>
    <w:rsid w:val="004819F8"/>
    <w:rsid w:val="0048272C"/>
    <w:rsid w:val="00483395"/>
    <w:rsid w:val="00484116"/>
    <w:rsid w:val="00484CED"/>
    <w:rsid w:val="0048570D"/>
    <w:rsid w:val="00490962"/>
    <w:rsid w:val="004A0446"/>
    <w:rsid w:val="004A465D"/>
    <w:rsid w:val="004A5607"/>
    <w:rsid w:val="004B5EB7"/>
    <w:rsid w:val="004C252D"/>
    <w:rsid w:val="004C39ED"/>
    <w:rsid w:val="004C4F67"/>
    <w:rsid w:val="004C6F14"/>
    <w:rsid w:val="004D4B91"/>
    <w:rsid w:val="004D69B3"/>
    <w:rsid w:val="004E19E1"/>
    <w:rsid w:val="004E3EF7"/>
    <w:rsid w:val="004E43B8"/>
    <w:rsid w:val="004E4891"/>
    <w:rsid w:val="004E4ABE"/>
    <w:rsid w:val="004F03F3"/>
    <w:rsid w:val="004F2DF2"/>
    <w:rsid w:val="004F6243"/>
    <w:rsid w:val="00500BCA"/>
    <w:rsid w:val="00501333"/>
    <w:rsid w:val="00503FCA"/>
    <w:rsid w:val="0050787F"/>
    <w:rsid w:val="00507EF5"/>
    <w:rsid w:val="00510AE8"/>
    <w:rsid w:val="00510AF0"/>
    <w:rsid w:val="00513ADE"/>
    <w:rsid w:val="00515E59"/>
    <w:rsid w:val="005166A2"/>
    <w:rsid w:val="005177AA"/>
    <w:rsid w:val="005219A0"/>
    <w:rsid w:val="005262CF"/>
    <w:rsid w:val="005275E7"/>
    <w:rsid w:val="0053185D"/>
    <w:rsid w:val="00532734"/>
    <w:rsid w:val="005329BF"/>
    <w:rsid w:val="00533303"/>
    <w:rsid w:val="0053481F"/>
    <w:rsid w:val="00535D66"/>
    <w:rsid w:val="005442AA"/>
    <w:rsid w:val="00544A86"/>
    <w:rsid w:val="00556156"/>
    <w:rsid w:val="0055736A"/>
    <w:rsid w:val="00557E31"/>
    <w:rsid w:val="00562CF6"/>
    <w:rsid w:val="005648B1"/>
    <w:rsid w:val="00571CFB"/>
    <w:rsid w:val="00571FE7"/>
    <w:rsid w:val="00573390"/>
    <w:rsid w:val="0057652A"/>
    <w:rsid w:val="00577AB0"/>
    <w:rsid w:val="0058128A"/>
    <w:rsid w:val="00581F00"/>
    <w:rsid w:val="00582C07"/>
    <w:rsid w:val="005834A3"/>
    <w:rsid w:val="005841EF"/>
    <w:rsid w:val="00584570"/>
    <w:rsid w:val="005859B8"/>
    <w:rsid w:val="00585A4E"/>
    <w:rsid w:val="005863AE"/>
    <w:rsid w:val="00586D23"/>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46D"/>
    <w:rsid w:val="005D5CC9"/>
    <w:rsid w:val="005F03F6"/>
    <w:rsid w:val="005F11D2"/>
    <w:rsid w:val="005F18DC"/>
    <w:rsid w:val="005F19BF"/>
    <w:rsid w:val="005F28D9"/>
    <w:rsid w:val="005F3E4F"/>
    <w:rsid w:val="006027E8"/>
    <w:rsid w:val="006046E1"/>
    <w:rsid w:val="00606156"/>
    <w:rsid w:val="00610B80"/>
    <w:rsid w:val="00610B92"/>
    <w:rsid w:val="00613493"/>
    <w:rsid w:val="006168B4"/>
    <w:rsid w:val="00617BC2"/>
    <w:rsid w:val="00624509"/>
    <w:rsid w:val="00626D35"/>
    <w:rsid w:val="00635828"/>
    <w:rsid w:val="00637558"/>
    <w:rsid w:val="0064047D"/>
    <w:rsid w:val="00640FCD"/>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6177"/>
    <w:rsid w:val="00677858"/>
    <w:rsid w:val="0068178C"/>
    <w:rsid w:val="00684FFC"/>
    <w:rsid w:val="00686402"/>
    <w:rsid w:val="006905E4"/>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BBC"/>
    <w:rsid w:val="006E0D8F"/>
    <w:rsid w:val="006E5047"/>
    <w:rsid w:val="006F0BDB"/>
    <w:rsid w:val="006F3284"/>
    <w:rsid w:val="006F6B94"/>
    <w:rsid w:val="00701DAD"/>
    <w:rsid w:val="00702E0D"/>
    <w:rsid w:val="00705A13"/>
    <w:rsid w:val="00705C26"/>
    <w:rsid w:val="007105C1"/>
    <w:rsid w:val="007127A1"/>
    <w:rsid w:val="0071553E"/>
    <w:rsid w:val="00716CBF"/>
    <w:rsid w:val="00717271"/>
    <w:rsid w:val="00717E89"/>
    <w:rsid w:val="00722370"/>
    <w:rsid w:val="00724A06"/>
    <w:rsid w:val="007264AE"/>
    <w:rsid w:val="00731D65"/>
    <w:rsid w:val="007363BC"/>
    <w:rsid w:val="00741A10"/>
    <w:rsid w:val="00742626"/>
    <w:rsid w:val="00751790"/>
    <w:rsid w:val="007558A1"/>
    <w:rsid w:val="00766E05"/>
    <w:rsid w:val="00767C78"/>
    <w:rsid w:val="00771CC6"/>
    <w:rsid w:val="00774020"/>
    <w:rsid w:val="007764BA"/>
    <w:rsid w:val="007812DD"/>
    <w:rsid w:val="00786F66"/>
    <w:rsid w:val="007905DA"/>
    <w:rsid w:val="00790A2B"/>
    <w:rsid w:val="007A1CE0"/>
    <w:rsid w:val="007A2F37"/>
    <w:rsid w:val="007A7E1A"/>
    <w:rsid w:val="007B0E29"/>
    <w:rsid w:val="007B0EA4"/>
    <w:rsid w:val="007B1199"/>
    <w:rsid w:val="007B7932"/>
    <w:rsid w:val="007C21EE"/>
    <w:rsid w:val="007C4E7D"/>
    <w:rsid w:val="007C4FD6"/>
    <w:rsid w:val="007C618D"/>
    <w:rsid w:val="007D1171"/>
    <w:rsid w:val="007D2DAE"/>
    <w:rsid w:val="007D6892"/>
    <w:rsid w:val="007D7863"/>
    <w:rsid w:val="007E000E"/>
    <w:rsid w:val="007E171B"/>
    <w:rsid w:val="007E36BA"/>
    <w:rsid w:val="007E3722"/>
    <w:rsid w:val="007E37CC"/>
    <w:rsid w:val="007E542E"/>
    <w:rsid w:val="007E78F5"/>
    <w:rsid w:val="007F0B79"/>
    <w:rsid w:val="007F2131"/>
    <w:rsid w:val="007F2B19"/>
    <w:rsid w:val="007F4E20"/>
    <w:rsid w:val="007F5859"/>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1C12"/>
    <w:rsid w:val="00854598"/>
    <w:rsid w:val="00854D98"/>
    <w:rsid w:val="0086586C"/>
    <w:rsid w:val="00865A56"/>
    <w:rsid w:val="008671F6"/>
    <w:rsid w:val="0087140C"/>
    <w:rsid w:val="00872BB1"/>
    <w:rsid w:val="00873E9D"/>
    <w:rsid w:val="008745CB"/>
    <w:rsid w:val="00876201"/>
    <w:rsid w:val="00884E9E"/>
    <w:rsid w:val="00884F67"/>
    <w:rsid w:val="008850E3"/>
    <w:rsid w:val="00891014"/>
    <w:rsid w:val="00894F11"/>
    <w:rsid w:val="008957C7"/>
    <w:rsid w:val="00896BD9"/>
    <w:rsid w:val="00897C3E"/>
    <w:rsid w:val="008A0C55"/>
    <w:rsid w:val="008A2541"/>
    <w:rsid w:val="008B45FD"/>
    <w:rsid w:val="008B6C25"/>
    <w:rsid w:val="008B6EB0"/>
    <w:rsid w:val="008C17E6"/>
    <w:rsid w:val="008C3C3D"/>
    <w:rsid w:val="008D02D1"/>
    <w:rsid w:val="008D22F6"/>
    <w:rsid w:val="008D28A9"/>
    <w:rsid w:val="008D3A8C"/>
    <w:rsid w:val="008D3C37"/>
    <w:rsid w:val="008D543F"/>
    <w:rsid w:val="008D704F"/>
    <w:rsid w:val="008D73F1"/>
    <w:rsid w:val="008E0492"/>
    <w:rsid w:val="008E45A8"/>
    <w:rsid w:val="008E5AE6"/>
    <w:rsid w:val="008F09E7"/>
    <w:rsid w:val="008F0EF8"/>
    <w:rsid w:val="008F1C3D"/>
    <w:rsid w:val="008F2166"/>
    <w:rsid w:val="008F286C"/>
    <w:rsid w:val="008F4CC4"/>
    <w:rsid w:val="008F6969"/>
    <w:rsid w:val="00901014"/>
    <w:rsid w:val="00902CD1"/>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6788D"/>
    <w:rsid w:val="009701C7"/>
    <w:rsid w:val="00971D37"/>
    <w:rsid w:val="00974E0D"/>
    <w:rsid w:val="00975799"/>
    <w:rsid w:val="00975E7E"/>
    <w:rsid w:val="00976823"/>
    <w:rsid w:val="00980DDF"/>
    <w:rsid w:val="0098658A"/>
    <w:rsid w:val="00987018"/>
    <w:rsid w:val="00987346"/>
    <w:rsid w:val="00987D93"/>
    <w:rsid w:val="00992167"/>
    <w:rsid w:val="009A09FA"/>
    <w:rsid w:val="009A0C5C"/>
    <w:rsid w:val="009A5873"/>
    <w:rsid w:val="009A6F09"/>
    <w:rsid w:val="009B0616"/>
    <w:rsid w:val="009B06E4"/>
    <w:rsid w:val="009B3927"/>
    <w:rsid w:val="009B3E00"/>
    <w:rsid w:val="009B4CAD"/>
    <w:rsid w:val="009C38C6"/>
    <w:rsid w:val="009C691B"/>
    <w:rsid w:val="009C6D2D"/>
    <w:rsid w:val="009C6FD8"/>
    <w:rsid w:val="009C7D27"/>
    <w:rsid w:val="009D032D"/>
    <w:rsid w:val="009D12ED"/>
    <w:rsid w:val="009D3F95"/>
    <w:rsid w:val="009D4397"/>
    <w:rsid w:val="009E0D0D"/>
    <w:rsid w:val="009E3E4C"/>
    <w:rsid w:val="009E4925"/>
    <w:rsid w:val="009E4F47"/>
    <w:rsid w:val="009E71A8"/>
    <w:rsid w:val="009F098A"/>
    <w:rsid w:val="009F155A"/>
    <w:rsid w:val="009F2D80"/>
    <w:rsid w:val="009F37AA"/>
    <w:rsid w:val="00A01AD4"/>
    <w:rsid w:val="00A02ADD"/>
    <w:rsid w:val="00A04832"/>
    <w:rsid w:val="00A0521D"/>
    <w:rsid w:val="00A07769"/>
    <w:rsid w:val="00A10F60"/>
    <w:rsid w:val="00A152AC"/>
    <w:rsid w:val="00A15A43"/>
    <w:rsid w:val="00A16144"/>
    <w:rsid w:val="00A21AD4"/>
    <w:rsid w:val="00A23DF3"/>
    <w:rsid w:val="00A25937"/>
    <w:rsid w:val="00A27838"/>
    <w:rsid w:val="00A34F15"/>
    <w:rsid w:val="00A3794D"/>
    <w:rsid w:val="00A41B89"/>
    <w:rsid w:val="00A45D17"/>
    <w:rsid w:val="00A45F20"/>
    <w:rsid w:val="00A46295"/>
    <w:rsid w:val="00A5277E"/>
    <w:rsid w:val="00A561CC"/>
    <w:rsid w:val="00A63D13"/>
    <w:rsid w:val="00A66966"/>
    <w:rsid w:val="00A669E6"/>
    <w:rsid w:val="00A673ED"/>
    <w:rsid w:val="00A70D69"/>
    <w:rsid w:val="00A72D44"/>
    <w:rsid w:val="00A7379F"/>
    <w:rsid w:val="00A739CD"/>
    <w:rsid w:val="00A73CBC"/>
    <w:rsid w:val="00A73D19"/>
    <w:rsid w:val="00A752CC"/>
    <w:rsid w:val="00A77FD7"/>
    <w:rsid w:val="00A83B2B"/>
    <w:rsid w:val="00A849C3"/>
    <w:rsid w:val="00A933EE"/>
    <w:rsid w:val="00A93D87"/>
    <w:rsid w:val="00A95B55"/>
    <w:rsid w:val="00A97C8E"/>
    <w:rsid w:val="00AA14D4"/>
    <w:rsid w:val="00AA24BD"/>
    <w:rsid w:val="00AA2FAB"/>
    <w:rsid w:val="00AA41BA"/>
    <w:rsid w:val="00AB0193"/>
    <w:rsid w:val="00AB7BEE"/>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070F8"/>
    <w:rsid w:val="00B12ACE"/>
    <w:rsid w:val="00B1398E"/>
    <w:rsid w:val="00B147AF"/>
    <w:rsid w:val="00B14BDC"/>
    <w:rsid w:val="00B21732"/>
    <w:rsid w:val="00B2406E"/>
    <w:rsid w:val="00B32E0B"/>
    <w:rsid w:val="00B34841"/>
    <w:rsid w:val="00B350FA"/>
    <w:rsid w:val="00B47B32"/>
    <w:rsid w:val="00B47D2D"/>
    <w:rsid w:val="00B55E28"/>
    <w:rsid w:val="00B55FA4"/>
    <w:rsid w:val="00B60F34"/>
    <w:rsid w:val="00B612C5"/>
    <w:rsid w:val="00B61E27"/>
    <w:rsid w:val="00B7255E"/>
    <w:rsid w:val="00B73FA6"/>
    <w:rsid w:val="00B7410C"/>
    <w:rsid w:val="00B744FA"/>
    <w:rsid w:val="00B8213A"/>
    <w:rsid w:val="00B8369D"/>
    <w:rsid w:val="00B846D4"/>
    <w:rsid w:val="00B85810"/>
    <w:rsid w:val="00B9062C"/>
    <w:rsid w:val="00B90ED1"/>
    <w:rsid w:val="00B914EF"/>
    <w:rsid w:val="00B92384"/>
    <w:rsid w:val="00B95B78"/>
    <w:rsid w:val="00B97687"/>
    <w:rsid w:val="00B97A05"/>
    <w:rsid w:val="00BA43E1"/>
    <w:rsid w:val="00BA7B0F"/>
    <w:rsid w:val="00BB061C"/>
    <w:rsid w:val="00BB1719"/>
    <w:rsid w:val="00BB2A8F"/>
    <w:rsid w:val="00BB3EC1"/>
    <w:rsid w:val="00BB5C25"/>
    <w:rsid w:val="00BB6CE0"/>
    <w:rsid w:val="00BB770B"/>
    <w:rsid w:val="00BC0581"/>
    <w:rsid w:val="00BC211B"/>
    <w:rsid w:val="00BC3E69"/>
    <w:rsid w:val="00BC5BF3"/>
    <w:rsid w:val="00BC6C9E"/>
    <w:rsid w:val="00BD08E3"/>
    <w:rsid w:val="00BD25C3"/>
    <w:rsid w:val="00BD70E4"/>
    <w:rsid w:val="00BD7292"/>
    <w:rsid w:val="00BE2F9F"/>
    <w:rsid w:val="00BE3859"/>
    <w:rsid w:val="00BE4750"/>
    <w:rsid w:val="00BE64EA"/>
    <w:rsid w:val="00BE6C5A"/>
    <w:rsid w:val="00BF02AC"/>
    <w:rsid w:val="00BF12D8"/>
    <w:rsid w:val="00BF2E43"/>
    <w:rsid w:val="00BF5186"/>
    <w:rsid w:val="00BF51CE"/>
    <w:rsid w:val="00BF5B86"/>
    <w:rsid w:val="00C00573"/>
    <w:rsid w:val="00C01184"/>
    <w:rsid w:val="00C03383"/>
    <w:rsid w:val="00C063CB"/>
    <w:rsid w:val="00C06E4C"/>
    <w:rsid w:val="00C122E7"/>
    <w:rsid w:val="00C1277C"/>
    <w:rsid w:val="00C15631"/>
    <w:rsid w:val="00C1765E"/>
    <w:rsid w:val="00C21B5F"/>
    <w:rsid w:val="00C260E7"/>
    <w:rsid w:val="00C268A7"/>
    <w:rsid w:val="00C27263"/>
    <w:rsid w:val="00C35036"/>
    <w:rsid w:val="00C365E0"/>
    <w:rsid w:val="00C37534"/>
    <w:rsid w:val="00C41CB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682"/>
    <w:rsid w:val="00C67E84"/>
    <w:rsid w:val="00C731D6"/>
    <w:rsid w:val="00C75332"/>
    <w:rsid w:val="00C91FAA"/>
    <w:rsid w:val="00C9448C"/>
    <w:rsid w:val="00C94C5D"/>
    <w:rsid w:val="00C95A45"/>
    <w:rsid w:val="00CA004A"/>
    <w:rsid w:val="00CA200C"/>
    <w:rsid w:val="00CA7590"/>
    <w:rsid w:val="00CB1879"/>
    <w:rsid w:val="00CB2C04"/>
    <w:rsid w:val="00CB46EF"/>
    <w:rsid w:val="00CB4ECE"/>
    <w:rsid w:val="00CB5731"/>
    <w:rsid w:val="00CB61F2"/>
    <w:rsid w:val="00CB69F3"/>
    <w:rsid w:val="00CD116B"/>
    <w:rsid w:val="00CD15B8"/>
    <w:rsid w:val="00CD3CF0"/>
    <w:rsid w:val="00CD7DDE"/>
    <w:rsid w:val="00CE19E3"/>
    <w:rsid w:val="00CE2276"/>
    <w:rsid w:val="00CE7CE9"/>
    <w:rsid w:val="00CF08F8"/>
    <w:rsid w:val="00CF3212"/>
    <w:rsid w:val="00CF46CD"/>
    <w:rsid w:val="00CF53E0"/>
    <w:rsid w:val="00CF763E"/>
    <w:rsid w:val="00D01F8F"/>
    <w:rsid w:val="00D0429E"/>
    <w:rsid w:val="00D04864"/>
    <w:rsid w:val="00D055BE"/>
    <w:rsid w:val="00D115AD"/>
    <w:rsid w:val="00D11BCB"/>
    <w:rsid w:val="00D12DE6"/>
    <w:rsid w:val="00D142C6"/>
    <w:rsid w:val="00D17AEF"/>
    <w:rsid w:val="00D20DAC"/>
    <w:rsid w:val="00D21F88"/>
    <w:rsid w:val="00D2671C"/>
    <w:rsid w:val="00D26DAA"/>
    <w:rsid w:val="00D308CE"/>
    <w:rsid w:val="00D320D7"/>
    <w:rsid w:val="00D36DE0"/>
    <w:rsid w:val="00D41FF8"/>
    <w:rsid w:val="00D430D5"/>
    <w:rsid w:val="00D44E32"/>
    <w:rsid w:val="00D45EC3"/>
    <w:rsid w:val="00D46429"/>
    <w:rsid w:val="00D4703A"/>
    <w:rsid w:val="00D476B4"/>
    <w:rsid w:val="00D47DB6"/>
    <w:rsid w:val="00D5187C"/>
    <w:rsid w:val="00D54FCC"/>
    <w:rsid w:val="00D557BB"/>
    <w:rsid w:val="00D558AC"/>
    <w:rsid w:val="00D60302"/>
    <w:rsid w:val="00D61187"/>
    <w:rsid w:val="00D63D34"/>
    <w:rsid w:val="00D64960"/>
    <w:rsid w:val="00D71601"/>
    <w:rsid w:val="00D72E47"/>
    <w:rsid w:val="00D73DC3"/>
    <w:rsid w:val="00D746C8"/>
    <w:rsid w:val="00D74DE5"/>
    <w:rsid w:val="00D74E66"/>
    <w:rsid w:val="00D74EC5"/>
    <w:rsid w:val="00D772C3"/>
    <w:rsid w:val="00D80BCB"/>
    <w:rsid w:val="00D80CB9"/>
    <w:rsid w:val="00D87B82"/>
    <w:rsid w:val="00D9082D"/>
    <w:rsid w:val="00D93FF8"/>
    <w:rsid w:val="00D95079"/>
    <w:rsid w:val="00D9666F"/>
    <w:rsid w:val="00D967AC"/>
    <w:rsid w:val="00DA44CD"/>
    <w:rsid w:val="00DA4825"/>
    <w:rsid w:val="00DA73DF"/>
    <w:rsid w:val="00DB25D2"/>
    <w:rsid w:val="00DB7345"/>
    <w:rsid w:val="00DC0D00"/>
    <w:rsid w:val="00DC1E2C"/>
    <w:rsid w:val="00DC401C"/>
    <w:rsid w:val="00DC4BA9"/>
    <w:rsid w:val="00DD0506"/>
    <w:rsid w:val="00DD5B84"/>
    <w:rsid w:val="00DD769D"/>
    <w:rsid w:val="00DE0A79"/>
    <w:rsid w:val="00DE1363"/>
    <w:rsid w:val="00DE1713"/>
    <w:rsid w:val="00DE508A"/>
    <w:rsid w:val="00DE7E47"/>
    <w:rsid w:val="00DF3F6E"/>
    <w:rsid w:val="00DF70A4"/>
    <w:rsid w:val="00E00574"/>
    <w:rsid w:val="00E011F8"/>
    <w:rsid w:val="00E01223"/>
    <w:rsid w:val="00E01B71"/>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663CF"/>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174E"/>
    <w:rsid w:val="00EA5236"/>
    <w:rsid w:val="00EA69F9"/>
    <w:rsid w:val="00EA7920"/>
    <w:rsid w:val="00EA797E"/>
    <w:rsid w:val="00EB0B37"/>
    <w:rsid w:val="00EB25FB"/>
    <w:rsid w:val="00EB573E"/>
    <w:rsid w:val="00EB69DE"/>
    <w:rsid w:val="00EB6EA7"/>
    <w:rsid w:val="00EC2144"/>
    <w:rsid w:val="00EC7C04"/>
    <w:rsid w:val="00ED4603"/>
    <w:rsid w:val="00ED46A4"/>
    <w:rsid w:val="00ED4F72"/>
    <w:rsid w:val="00ED5836"/>
    <w:rsid w:val="00EE5E9B"/>
    <w:rsid w:val="00EF0A4D"/>
    <w:rsid w:val="00EF2557"/>
    <w:rsid w:val="00EF4B08"/>
    <w:rsid w:val="00EF4C3B"/>
    <w:rsid w:val="00EF68C1"/>
    <w:rsid w:val="00EF6D47"/>
    <w:rsid w:val="00EF6DC9"/>
    <w:rsid w:val="00EF7158"/>
    <w:rsid w:val="00EF7330"/>
    <w:rsid w:val="00F005FD"/>
    <w:rsid w:val="00F06843"/>
    <w:rsid w:val="00F0713A"/>
    <w:rsid w:val="00F10773"/>
    <w:rsid w:val="00F10F62"/>
    <w:rsid w:val="00F12898"/>
    <w:rsid w:val="00F148D3"/>
    <w:rsid w:val="00F14E11"/>
    <w:rsid w:val="00F15F2D"/>
    <w:rsid w:val="00F172C7"/>
    <w:rsid w:val="00F178D3"/>
    <w:rsid w:val="00F25789"/>
    <w:rsid w:val="00F416DE"/>
    <w:rsid w:val="00F44088"/>
    <w:rsid w:val="00F45316"/>
    <w:rsid w:val="00F461CE"/>
    <w:rsid w:val="00F46EEC"/>
    <w:rsid w:val="00F47DA1"/>
    <w:rsid w:val="00F5028D"/>
    <w:rsid w:val="00F50F84"/>
    <w:rsid w:val="00F52208"/>
    <w:rsid w:val="00F53CEB"/>
    <w:rsid w:val="00F53F9C"/>
    <w:rsid w:val="00F553A9"/>
    <w:rsid w:val="00F63C7A"/>
    <w:rsid w:val="00F700C6"/>
    <w:rsid w:val="00F7033A"/>
    <w:rsid w:val="00F71948"/>
    <w:rsid w:val="00F72153"/>
    <w:rsid w:val="00F721AC"/>
    <w:rsid w:val="00F743AC"/>
    <w:rsid w:val="00F7539B"/>
    <w:rsid w:val="00F772D9"/>
    <w:rsid w:val="00F8056E"/>
    <w:rsid w:val="00F80834"/>
    <w:rsid w:val="00F81E5C"/>
    <w:rsid w:val="00F826B8"/>
    <w:rsid w:val="00F84A17"/>
    <w:rsid w:val="00F870FA"/>
    <w:rsid w:val="00F874A3"/>
    <w:rsid w:val="00F90D94"/>
    <w:rsid w:val="00F94665"/>
    <w:rsid w:val="00F94C31"/>
    <w:rsid w:val="00F9518D"/>
    <w:rsid w:val="00FA47F0"/>
    <w:rsid w:val="00FA5900"/>
    <w:rsid w:val="00FA6599"/>
    <w:rsid w:val="00FA7893"/>
    <w:rsid w:val="00FB0777"/>
    <w:rsid w:val="00FB1BCD"/>
    <w:rsid w:val="00FB3FA0"/>
    <w:rsid w:val="00FB7236"/>
    <w:rsid w:val="00FC116A"/>
    <w:rsid w:val="00FC3BA0"/>
    <w:rsid w:val="00FC4DF1"/>
    <w:rsid w:val="00FC51D8"/>
    <w:rsid w:val="00FC60F7"/>
    <w:rsid w:val="00FC6BB2"/>
    <w:rsid w:val="00FD00DD"/>
    <w:rsid w:val="00FD04C0"/>
    <w:rsid w:val="00FD0C58"/>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consultation-invitation/consultation-proposed-amendments-poisons-standard-accs-meeting-march-2019" TargetMode="External"/><Relationship Id="rId18" Type="http://schemas.openxmlformats.org/officeDocument/2006/relationships/hyperlink" Target="https://www.tga.gov.au/book-page/36-methylisothiazolinone" TargetMode="External"/><Relationship Id="rId3" Type="http://schemas.openxmlformats.org/officeDocument/2006/relationships/styles" Target="styles.xml"/><Relationship Id="rId21" Type="http://schemas.openxmlformats.org/officeDocument/2006/relationships/hyperlink" Target="https://www.tga.gov.au/book-page/36-methylisothiazolinone" TargetMode="External"/><Relationship Id="rId7" Type="http://schemas.openxmlformats.org/officeDocument/2006/relationships/footnotes" Target="footnotes.xml"/><Relationship Id="rId12" Type="http://schemas.openxmlformats.org/officeDocument/2006/relationships/hyperlink" Target="https://www.tga.gov.au/consultation-invitation/consultation-proposed-amendments-poisons-standard-accs-acms-and-joint-accsacms-meetings-march-2019" TargetMode="External"/><Relationship Id="rId17" Type="http://schemas.openxmlformats.org/officeDocument/2006/relationships/hyperlink" Target="https://www.tga.gov.au/book-page/11-hyaluronic-acid-0" TargetMode="External"/><Relationship Id="rId2" Type="http://schemas.openxmlformats.org/officeDocument/2006/relationships/numbering" Target="numbering.xml"/><Relationship Id="rId16" Type="http://schemas.openxmlformats.org/officeDocument/2006/relationships/hyperlink" Target="https://www.tga.gov.au/scheduling-decision-interim/interim-decisions-and-invitation-further-comment-substances-referred-march-2019-acmsaccs-meetings" TargetMode="External"/><Relationship Id="rId20" Type="http://schemas.openxmlformats.org/officeDocument/2006/relationships/hyperlink" Target="https://www.tga.gov.au/book-page/11-hyaluronic-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proposed-amendments-poisons-standard-accs-acms-and-joint-accsacms-meetings-november-201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ga.gov.au/scheduling-decision-interim/scheduling-delegates-interim-decisions-and-invitation-further-comment-accsacms-november-2017" TargetMode="External"/><Relationship Id="rId23" Type="http://schemas.openxmlformats.org/officeDocument/2006/relationships/fontTable" Target="fontTable.xml"/><Relationship Id="rId10" Type="http://schemas.openxmlformats.org/officeDocument/2006/relationships/hyperlink" Target="https://www.tga.gov.au/consultation-invitation/consultation-proposed-amendments-poisons-standard-accs-acms-and-joint-accsacms-meetings-july-2017" TargetMode="External"/><Relationship Id="rId19" Type="http://schemas.openxmlformats.org/officeDocument/2006/relationships/hyperlink" Target="https://www.tga.gov.au/scheduling-decision-final/notice-final-decision-amend-or-not-amend-current-poisons-standard-august-2019"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scheduling-decision-interim/scheduling-delegates-interim-decisions-and-invitation-further-comment-accsacms-march-and-july-20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2DC663B-D4B1-4186-9DB4-E1BBB67B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2019-08-09T01:19:00Z</cp:lastPrinted>
  <dcterms:created xsi:type="dcterms:W3CDTF">2019-09-13T06:56:00Z</dcterms:created>
  <dcterms:modified xsi:type="dcterms:W3CDTF">2019-09-13T06:56:00Z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