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EC9D8" w14:textId="77777777" w:rsidR="00210A30" w:rsidRDefault="00210A30" w:rsidP="00210A30">
      <w:pPr>
        <w:pStyle w:val="Heading1"/>
        <w:keepNext/>
        <w:keepLines/>
      </w:pPr>
      <w:bookmarkStart w:id="0" w:name="_GoBack"/>
      <w:bookmarkEnd w:id="0"/>
      <w:r>
        <w:t>EXPLANATORY STATEMENT</w:t>
      </w:r>
    </w:p>
    <w:p w14:paraId="66124805" w14:textId="6FAE0291" w:rsidR="00210A30" w:rsidRDefault="00735817" w:rsidP="00EF112C">
      <w:pPr>
        <w:pStyle w:val="Heading2"/>
        <w:numPr>
          <w:ilvl w:val="0"/>
          <w:numId w:val="0"/>
        </w:numPr>
      </w:pPr>
      <w:r>
        <w:t xml:space="preserve">Military Rehabilitation and Compensation (Warlike </w:t>
      </w:r>
      <w:r w:rsidR="00611880">
        <w:t>S</w:t>
      </w:r>
      <w:r>
        <w:t xml:space="preserve">ervice) </w:t>
      </w:r>
      <w:r w:rsidR="00925A86">
        <w:t>Determination 2019</w:t>
      </w:r>
    </w:p>
    <w:p w14:paraId="6661DEE0" w14:textId="77777777" w:rsidR="00600F3F" w:rsidRPr="00E46392" w:rsidRDefault="00E415FB" w:rsidP="00600F3F">
      <w:pPr>
        <w:keepLines w:val="0"/>
        <w:shd w:val="clear" w:color="auto" w:fill="FFFFFF"/>
        <w:spacing w:after="100" w:afterAutospacing="1"/>
        <w:rPr>
          <w:rFonts w:ascii="Times New Roman" w:hAnsi="Times New Roman"/>
          <w:color w:val="000000"/>
          <w:szCs w:val="22"/>
        </w:rPr>
      </w:pPr>
      <w:r w:rsidRPr="00E46392">
        <w:rPr>
          <w:rFonts w:ascii="Times New Roman" w:hAnsi="Times New Roman"/>
          <w:color w:val="000000"/>
          <w:szCs w:val="22"/>
        </w:rPr>
        <w:t xml:space="preserve">This </w:t>
      </w:r>
      <w:r w:rsidR="00527589" w:rsidRPr="00E46392">
        <w:rPr>
          <w:rFonts w:ascii="Times New Roman" w:hAnsi="Times New Roman"/>
          <w:color w:val="000000"/>
          <w:szCs w:val="22"/>
        </w:rPr>
        <w:t xml:space="preserve">Determination </w:t>
      </w:r>
      <w:r w:rsidRPr="00E46392">
        <w:rPr>
          <w:rFonts w:ascii="Times New Roman" w:hAnsi="Times New Roman"/>
          <w:color w:val="000000"/>
          <w:szCs w:val="22"/>
        </w:rPr>
        <w:t>repeals and replaces a previous determination made under paragraph 6(1</w:t>
      </w:r>
      <w:proofErr w:type="gramStart"/>
      <w:r w:rsidRPr="00E46392">
        <w:rPr>
          <w:rFonts w:ascii="Times New Roman" w:hAnsi="Times New Roman"/>
          <w:color w:val="000000"/>
          <w:szCs w:val="22"/>
        </w:rPr>
        <w:t>)(</w:t>
      </w:r>
      <w:proofErr w:type="gramEnd"/>
      <w:r w:rsidRPr="00E46392">
        <w:rPr>
          <w:rFonts w:ascii="Times New Roman" w:hAnsi="Times New Roman"/>
          <w:color w:val="000000"/>
          <w:szCs w:val="22"/>
        </w:rPr>
        <w:t>a) of the </w:t>
      </w:r>
      <w:r w:rsidRPr="00E46392">
        <w:rPr>
          <w:rFonts w:ascii="Times New Roman" w:hAnsi="Times New Roman"/>
          <w:i/>
          <w:iCs/>
          <w:color w:val="000000"/>
          <w:szCs w:val="22"/>
        </w:rPr>
        <w:t>Military Rehabilitation and Compensation Act 2004</w:t>
      </w:r>
      <w:r w:rsidRPr="00E46392">
        <w:rPr>
          <w:rFonts w:ascii="Times New Roman" w:hAnsi="Times New Roman"/>
          <w:color w:val="000000"/>
          <w:szCs w:val="22"/>
        </w:rPr>
        <w:t> (the Act). Paragraph 6(1)(a) of the Act defines warlike service as meaning service with the Australian Defence Force (the ADF) that is of a kind determined in writing by the Defence Minister to be warlike service for the purposes of the Act.</w:t>
      </w:r>
    </w:p>
    <w:p w14:paraId="53B02944" w14:textId="68E8A7DD" w:rsidR="00527589" w:rsidRPr="00E46392" w:rsidRDefault="00AB48A5" w:rsidP="00600F3F">
      <w:pPr>
        <w:keepLines w:val="0"/>
        <w:shd w:val="clear" w:color="auto" w:fill="FFFFFF"/>
        <w:spacing w:after="100" w:afterAutospacing="1"/>
        <w:rPr>
          <w:rFonts w:ascii="Times New Roman" w:eastAsia="NotDefSpecial" w:hAnsi="Times New Roman"/>
          <w:szCs w:val="22"/>
        </w:rPr>
      </w:pPr>
      <w:r w:rsidRPr="00AB48A5">
        <w:rPr>
          <w:rFonts w:ascii="Times New Roman" w:eastAsia="NotDefSpecial" w:hAnsi="Times New Roman"/>
          <w:szCs w:val="22"/>
        </w:rPr>
        <w:t>A determination of warlike service allows the Military Rehabilitation and Compensation Commission to apply a more beneficial standard of proof when assessing a claim for liability of a veteran’s injury, disease or death in relation to a period of 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warlike service and will mean greater compensation amounts will be payable compared to those members who were injured on peacetime service. The warlike service classification also renders a veteran automatically eligible for receipt of the Department of Veterans’ Affairs (DVA) Health Card – All Conditions (Gold Card) at age 70.  In recognition of the unquantifiable effects of combat, the Gold Card provides treatment for any medical condition on the Medicare Benefits Schedule, irrespective of the link to military service. A veteran in receipt of the Service Pension, and with a permanent impairment from accepted conditions assessed at 30 points or above, is also eligible for the Gold Card regardless of age.</w:t>
      </w:r>
    </w:p>
    <w:p w14:paraId="282BF324" w14:textId="77777777" w:rsidR="00600F3F" w:rsidRPr="00E46392" w:rsidRDefault="00DC560D" w:rsidP="00600F3F">
      <w:pPr>
        <w:autoSpaceDE w:val="0"/>
        <w:autoSpaceDN w:val="0"/>
        <w:adjustRightInd w:val="0"/>
        <w:rPr>
          <w:rFonts w:ascii="Times New Roman" w:eastAsia="NotDefSpecial" w:hAnsi="Times New Roman"/>
          <w:szCs w:val="22"/>
        </w:rPr>
      </w:pPr>
      <w:r w:rsidRPr="00E46392">
        <w:rPr>
          <w:rFonts w:ascii="Times New Roman" w:eastAsia="NotDefSpecial" w:hAnsi="Times New Roman"/>
          <w:szCs w:val="22"/>
        </w:rPr>
        <w:t xml:space="preserve">This Determination is a legislative instrument for the purposes of the </w:t>
      </w:r>
      <w:r w:rsidRPr="00E46392">
        <w:rPr>
          <w:rFonts w:ascii="Times New Roman" w:eastAsia="NotDefSpecial" w:hAnsi="Times New Roman"/>
          <w:i/>
          <w:szCs w:val="22"/>
        </w:rPr>
        <w:t xml:space="preserve">Legislation Act 2003 </w:t>
      </w:r>
      <w:r w:rsidRPr="00E46392">
        <w:rPr>
          <w:rFonts w:ascii="Times New Roman" w:eastAsia="NotDefSpecial" w:hAnsi="Times New Roman"/>
          <w:szCs w:val="22"/>
        </w:rPr>
        <w:t xml:space="preserve">and is exempt from disallowance pursuant to item 21 in Section 10 of the </w:t>
      </w:r>
      <w:r w:rsidRPr="00E46392">
        <w:rPr>
          <w:rFonts w:ascii="Times New Roman" w:eastAsia="NotDefSpecial" w:hAnsi="Times New Roman"/>
          <w:i/>
          <w:szCs w:val="22"/>
        </w:rPr>
        <w:t xml:space="preserve">Legislation (Exemptions and Other Matters) Regulation </w:t>
      </w:r>
      <w:r w:rsidRPr="00E46392">
        <w:rPr>
          <w:rFonts w:ascii="Times New Roman" w:eastAsia="NotDefSpecial" w:hAnsi="Times New Roman"/>
          <w:szCs w:val="22"/>
        </w:rPr>
        <w:t>2015 (the Regulations) and is also exempt from sunsetting pursuant to item 39 in Section 12 of the Regulations.</w:t>
      </w:r>
    </w:p>
    <w:p w14:paraId="391B72F6" w14:textId="77777777" w:rsidR="00600F3F" w:rsidRDefault="00600F3F" w:rsidP="00600F3F">
      <w:pPr>
        <w:autoSpaceDE w:val="0"/>
        <w:autoSpaceDN w:val="0"/>
        <w:adjustRightInd w:val="0"/>
        <w:rPr>
          <w:rFonts w:ascii="Times New Roman" w:eastAsia="NotDefSpecial" w:hAnsi="Times New Roman"/>
          <w:sz w:val="24"/>
          <w:szCs w:val="24"/>
        </w:rPr>
      </w:pPr>
    </w:p>
    <w:p w14:paraId="6D161AC3" w14:textId="07090154" w:rsidR="001808F9" w:rsidRDefault="001808F9" w:rsidP="00600F3F">
      <w:pPr>
        <w:autoSpaceDE w:val="0"/>
        <w:autoSpaceDN w:val="0"/>
        <w:adjustRightInd w:val="0"/>
        <w:rPr>
          <w:rFonts w:ascii="Times New Roman" w:hAnsi="Times New Roman"/>
          <w:color w:val="000000"/>
          <w:szCs w:val="22"/>
        </w:rPr>
      </w:pPr>
      <w:r w:rsidRPr="00E46392">
        <w:rPr>
          <w:rFonts w:ascii="Times New Roman" w:hAnsi="Times New Roman"/>
          <w:color w:val="000000"/>
          <w:szCs w:val="22"/>
        </w:rPr>
        <w:t>This Determination has the following purposes.</w:t>
      </w:r>
    </w:p>
    <w:p w14:paraId="040D8B0D" w14:textId="77777777" w:rsidR="00600F3F" w:rsidRPr="00E46392" w:rsidRDefault="00600F3F" w:rsidP="00600F3F">
      <w:pPr>
        <w:autoSpaceDE w:val="0"/>
        <w:autoSpaceDN w:val="0"/>
        <w:adjustRightInd w:val="0"/>
        <w:rPr>
          <w:rFonts w:ascii="Times New Roman" w:hAnsi="Times New Roman"/>
          <w:color w:val="000000"/>
          <w:szCs w:val="22"/>
        </w:rPr>
      </w:pPr>
    </w:p>
    <w:p w14:paraId="2F9688DD" w14:textId="6A3D1FA5" w:rsidR="008B175A" w:rsidRDefault="001626C8" w:rsidP="00135DF4">
      <w:pPr>
        <w:pStyle w:val="BlockText-Plain"/>
        <w:numPr>
          <w:ilvl w:val="0"/>
          <w:numId w:val="30"/>
        </w:numPr>
        <w:tabs>
          <w:tab w:val="left" w:pos="7380"/>
        </w:tabs>
        <w:spacing w:after="0"/>
        <w:ind w:left="714" w:hanging="357"/>
        <w:rPr>
          <w:rFonts w:ascii="Times New Roman" w:hAnsi="Times New Roman"/>
          <w:sz w:val="22"/>
          <w:szCs w:val="22"/>
        </w:rPr>
      </w:pPr>
      <w:r w:rsidRPr="002B5CAD">
        <w:rPr>
          <w:rFonts w:ascii="Times New Roman" w:hAnsi="Times New Roman"/>
          <w:sz w:val="22"/>
          <w:szCs w:val="22"/>
        </w:rPr>
        <w:t xml:space="preserve">Combine the operations for </w:t>
      </w:r>
      <w:r w:rsidR="000C4E9E" w:rsidRPr="002B5CAD">
        <w:rPr>
          <w:rFonts w:ascii="Times New Roman" w:hAnsi="Times New Roman"/>
          <w:sz w:val="22"/>
          <w:szCs w:val="22"/>
        </w:rPr>
        <w:t>O</w:t>
      </w:r>
      <w:r w:rsidR="00DF3C8E" w:rsidRPr="002B5CAD">
        <w:rPr>
          <w:rFonts w:ascii="Times New Roman" w:hAnsi="Times New Roman"/>
          <w:sz w:val="22"/>
          <w:szCs w:val="22"/>
        </w:rPr>
        <w:t>peration Slipper</w:t>
      </w:r>
      <w:r w:rsidR="002B5CAD">
        <w:rPr>
          <w:rFonts w:ascii="Times New Roman" w:hAnsi="Times New Roman"/>
          <w:sz w:val="22"/>
          <w:szCs w:val="22"/>
        </w:rPr>
        <w:t xml:space="preserve"> and</w:t>
      </w:r>
      <w:r w:rsidR="008B175A" w:rsidRPr="002B5CAD">
        <w:rPr>
          <w:rFonts w:ascii="Times New Roman" w:hAnsi="Times New Roman"/>
          <w:sz w:val="22"/>
          <w:szCs w:val="22"/>
        </w:rPr>
        <w:t xml:space="preserve"> add an end date for one </w:t>
      </w:r>
      <w:r w:rsidR="002B5CAD">
        <w:rPr>
          <w:rFonts w:ascii="Times New Roman" w:hAnsi="Times New Roman"/>
          <w:sz w:val="22"/>
          <w:szCs w:val="22"/>
        </w:rPr>
        <w:t>operation period.</w:t>
      </w:r>
    </w:p>
    <w:p w14:paraId="7796B288" w14:textId="5F045B51" w:rsidR="002B5CAD" w:rsidRDefault="002B5CAD" w:rsidP="002B5CAD">
      <w:pPr>
        <w:pStyle w:val="BlockText-Plain"/>
        <w:numPr>
          <w:ilvl w:val="0"/>
          <w:numId w:val="30"/>
        </w:numPr>
        <w:tabs>
          <w:tab w:val="left" w:pos="7380"/>
        </w:tabs>
        <w:spacing w:after="0"/>
        <w:ind w:left="714" w:hanging="357"/>
        <w:rPr>
          <w:rFonts w:ascii="Times New Roman" w:hAnsi="Times New Roman"/>
          <w:sz w:val="22"/>
          <w:szCs w:val="22"/>
        </w:rPr>
      </w:pPr>
      <w:r>
        <w:rPr>
          <w:rFonts w:ascii="Times New Roman" w:hAnsi="Times New Roman"/>
          <w:sz w:val="22"/>
          <w:szCs w:val="22"/>
        </w:rPr>
        <w:t xml:space="preserve">Combine the operations for Operation </w:t>
      </w:r>
      <w:r w:rsidR="00272E47">
        <w:rPr>
          <w:rFonts w:ascii="Times New Roman" w:hAnsi="Times New Roman"/>
          <w:sz w:val="22"/>
          <w:szCs w:val="22"/>
        </w:rPr>
        <w:t>Okra.</w:t>
      </w:r>
    </w:p>
    <w:p w14:paraId="45F3E936" w14:textId="1ADDF5D9" w:rsidR="002B5CAD" w:rsidRPr="00272E47" w:rsidRDefault="00272E47" w:rsidP="00457F40">
      <w:pPr>
        <w:pStyle w:val="BlockText-Plain"/>
        <w:numPr>
          <w:ilvl w:val="0"/>
          <w:numId w:val="30"/>
        </w:numPr>
        <w:tabs>
          <w:tab w:val="left" w:pos="7380"/>
        </w:tabs>
        <w:spacing w:after="0"/>
        <w:ind w:left="714" w:hanging="357"/>
        <w:rPr>
          <w:rFonts w:ascii="Times New Roman" w:hAnsi="Times New Roman"/>
          <w:sz w:val="22"/>
          <w:szCs w:val="22"/>
        </w:rPr>
      </w:pPr>
      <w:r w:rsidRPr="00272E47">
        <w:rPr>
          <w:rFonts w:ascii="Times New Roman" w:hAnsi="Times New Roman"/>
          <w:sz w:val="22"/>
          <w:szCs w:val="22"/>
        </w:rPr>
        <w:t>Amend the end date</w:t>
      </w:r>
      <w:r w:rsidR="00E26BDF">
        <w:rPr>
          <w:rFonts w:ascii="Times New Roman" w:hAnsi="Times New Roman"/>
          <w:sz w:val="22"/>
          <w:szCs w:val="22"/>
        </w:rPr>
        <w:t>s</w:t>
      </w:r>
      <w:r w:rsidRPr="00272E47">
        <w:rPr>
          <w:rFonts w:ascii="Times New Roman" w:hAnsi="Times New Roman"/>
          <w:sz w:val="22"/>
          <w:szCs w:val="22"/>
        </w:rPr>
        <w:t xml:space="preserve"> for Operation</w:t>
      </w:r>
      <w:r w:rsidR="00E26BDF">
        <w:rPr>
          <w:rFonts w:ascii="Times New Roman" w:hAnsi="Times New Roman"/>
          <w:sz w:val="22"/>
          <w:szCs w:val="22"/>
        </w:rPr>
        <w:t>s</w:t>
      </w:r>
      <w:r w:rsidR="00B6358A">
        <w:rPr>
          <w:rFonts w:ascii="Times New Roman" w:hAnsi="Times New Roman"/>
          <w:sz w:val="22"/>
          <w:szCs w:val="22"/>
        </w:rPr>
        <w:t xml:space="preserve"> Kruger</w:t>
      </w:r>
      <w:r w:rsidR="00E26BDF">
        <w:rPr>
          <w:rFonts w:ascii="Times New Roman" w:hAnsi="Times New Roman"/>
          <w:sz w:val="22"/>
          <w:szCs w:val="22"/>
        </w:rPr>
        <w:t xml:space="preserve">, </w:t>
      </w:r>
      <w:r w:rsidR="00B2669C">
        <w:rPr>
          <w:rFonts w:ascii="Times New Roman" w:hAnsi="Times New Roman"/>
          <w:sz w:val="22"/>
          <w:szCs w:val="22"/>
        </w:rPr>
        <w:t xml:space="preserve">Enduring Freedom, </w:t>
      </w:r>
      <w:r w:rsidR="00AE1CD9">
        <w:rPr>
          <w:rFonts w:ascii="Times New Roman" w:hAnsi="Times New Roman"/>
          <w:sz w:val="22"/>
          <w:szCs w:val="22"/>
        </w:rPr>
        <w:t xml:space="preserve">Ariki, Athena, Herrick, Slipper, </w:t>
      </w:r>
      <w:r w:rsidR="00B2669C">
        <w:rPr>
          <w:rFonts w:ascii="Times New Roman" w:hAnsi="Times New Roman"/>
          <w:sz w:val="22"/>
          <w:szCs w:val="22"/>
        </w:rPr>
        <w:t xml:space="preserve">Palate </w:t>
      </w:r>
      <w:r w:rsidR="00AE1CD9">
        <w:rPr>
          <w:rFonts w:ascii="Times New Roman" w:hAnsi="Times New Roman"/>
          <w:sz w:val="22"/>
          <w:szCs w:val="22"/>
        </w:rPr>
        <w:t xml:space="preserve">II and Riverbank. </w:t>
      </w:r>
    </w:p>
    <w:p w14:paraId="00995834" w14:textId="4B2CA9A8" w:rsidR="002B6403" w:rsidRPr="00E46392" w:rsidRDefault="00272E47" w:rsidP="002B6403">
      <w:pPr>
        <w:pStyle w:val="BlockText-Plain"/>
        <w:numPr>
          <w:ilvl w:val="0"/>
          <w:numId w:val="30"/>
        </w:numPr>
        <w:tabs>
          <w:tab w:val="left" w:pos="7380"/>
        </w:tabs>
        <w:spacing w:after="0"/>
        <w:ind w:left="714" w:hanging="357"/>
        <w:rPr>
          <w:rFonts w:ascii="Times New Roman" w:hAnsi="Times New Roman"/>
          <w:sz w:val="22"/>
          <w:szCs w:val="22"/>
        </w:rPr>
      </w:pPr>
      <w:r>
        <w:rPr>
          <w:rFonts w:ascii="Times New Roman" w:hAnsi="Times New Roman"/>
          <w:sz w:val="22"/>
          <w:szCs w:val="22"/>
        </w:rPr>
        <w:t>A</w:t>
      </w:r>
      <w:r w:rsidR="00B05214" w:rsidRPr="00E46392">
        <w:rPr>
          <w:rFonts w:ascii="Times New Roman" w:hAnsi="Times New Roman"/>
          <w:sz w:val="22"/>
          <w:szCs w:val="22"/>
        </w:rPr>
        <w:t xml:space="preserve">dd </w:t>
      </w:r>
      <w:r w:rsidR="005B67CA" w:rsidRPr="00E46392">
        <w:rPr>
          <w:rFonts w:ascii="Times New Roman" w:hAnsi="Times New Roman"/>
          <w:sz w:val="22"/>
          <w:szCs w:val="22"/>
        </w:rPr>
        <w:t xml:space="preserve">Operation Steadfast as a </w:t>
      </w:r>
      <w:r w:rsidR="000C4E9E" w:rsidRPr="00E46392">
        <w:rPr>
          <w:rFonts w:ascii="Times New Roman" w:hAnsi="Times New Roman"/>
          <w:sz w:val="22"/>
          <w:szCs w:val="22"/>
        </w:rPr>
        <w:t>new warlike o</w:t>
      </w:r>
      <w:r w:rsidR="00DF3C8E" w:rsidRPr="00E46392">
        <w:rPr>
          <w:rFonts w:ascii="Times New Roman" w:hAnsi="Times New Roman"/>
          <w:sz w:val="22"/>
          <w:szCs w:val="22"/>
        </w:rPr>
        <w:t>peration</w:t>
      </w:r>
      <w:r w:rsidR="000C4E9E" w:rsidRPr="00E46392">
        <w:rPr>
          <w:rFonts w:ascii="Times New Roman" w:hAnsi="Times New Roman"/>
          <w:sz w:val="22"/>
          <w:szCs w:val="22"/>
        </w:rPr>
        <w:t>.</w:t>
      </w:r>
    </w:p>
    <w:p w14:paraId="15D9643D" w14:textId="77777777" w:rsidR="006A77C4" w:rsidRPr="00E46392" w:rsidRDefault="006A77C4" w:rsidP="006A77C4">
      <w:pPr>
        <w:pStyle w:val="BlockText-Plain"/>
        <w:tabs>
          <w:tab w:val="left" w:pos="7380"/>
        </w:tabs>
        <w:spacing w:after="0"/>
        <w:rPr>
          <w:rFonts w:ascii="Times New Roman" w:hAnsi="Times New Roman"/>
          <w:sz w:val="22"/>
          <w:szCs w:val="22"/>
        </w:rPr>
      </w:pPr>
    </w:p>
    <w:p w14:paraId="4FE7251E" w14:textId="77777777" w:rsidR="006A77C4" w:rsidRPr="00E46392" w:rsidRDefault="006A77C4" w:rsidP="006A77C4">
      <w:pPr>
        <w:pStyle w:val="BlockText-Plain"/>
        <w:rPr>
          <w:rFonts w:ascii="Times New Roman" w:hAnsi="Times New Roman"/>
          <w:snapToGrid w:val="0"/>
          <w:sz w:val="22"/>
          <w:szCs w:val="22"/>
        </w:rPr>
      </w:pPr>
      <w:r w:rsidRPr="00E4639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E4639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7187D4A3" w14:textId="77777777" w:rsidR="00107E69" w:rsidRPr="00E46392" w:rsidRDefault="00107E69" w:rsidP="00107E69">
      <w:pPr>
        <w:pStyle w:val="BlockText-Plain"/>
        <w:rPr>
          <w:snapToGrid w:val="0"/>
          <w:sz w:val="22"/>
          <w:szCs w:val="22"/>
        </w:rPr>
      </w:pPr>
      <w:r w:rsidRPr="00E46392">
        <w:rPr>
          <w:rFonts w:ascii="Times New Roman" w:hAnsi="Times New Roman"/>
          <w:snapToGrid w:val="0"/>
          <w:sz w:val="22"/>
          <w:szCs w:val="22"/>
        </w:rPr>
        <w:t>Section 1 of this Determination sets out the manner in which this Determination may be cited</w:t>
      </w:r>
      <w:r w:rsidRPr="00E46392">
        <w:rPr>
          <w:snapToGrid w:val="0"/>
          <w:sz w:val="22"/>
          <w:szCs w:val="22"/>
        </w:rPr>
        <w:t>.</w:t>
      </w:r>
    </w:p>
    <w:p w14:paraId="02F5668E" w14:textId="77777777" w:rsidR="00107E69" w:rsidRPr="00E46392" w:rsidRDefault="00107E69" w:rsidP="00107E69">
      <w:pPr>
        <w:pStyle w:val="BlockText-Plain"/>
        <w:rPr>
          <w:rFonts w:ascii="Times New Roman" w:hAnsi="Times New Roman"/>
          <w:sz w:val="22"/>
          <w:szCs w:val="22"/>
        </w:rPr>
      </w:pPr>
      <w:r w:rsidRPr="00E46392">
        <w:rPr>
          <w:rFonts w:ascii="Times New Roman" w:hAnsi="Times New Roman"/>
          <w:sz w:val="22"/>
          <w:szCs w:val="22"/>
        </w:rPr>
        <w:t>Section 2 provides that this Determination commences on the day after</w:t>
      </w:r>
      <w:r w:rsidR="003D7335" w:rsidRPr="00E46392">
        <w:rPr>
          <w:rFonts w:ascii="Times New Roman" w:hAnsi="Times New Roman"/>
          <w:sz w:val="22"/>
          <w:szCs w:val="22"/>
        </w:rPr>
        <w:t xml:space="preserve"> registration</w:t>
      </w:r>
      <w:r w:rsidRPr="00E46392">
        <w:rPr>
          <w:rFonts w:ascii="Times New Roman" w:hAnsi="Times New Roman"/>
          <w:sz w:val="22"/>
          <w:szCs w:val="22"/>
        </w:rPr>
        <w:t>.</w:t>
      </w:r>
    </w:p>
    <w:p w14:paraId="1B6C1A73" w14:textId="77777777" w:rsidR="00107E69" w:rsidRPr="00E46392" w:rsidRDefault="00107E69" w:rsidP="00107E69">
      <w:pPr>
        <w:pStyle w:val="BlockText-Plain"/>
        <w:rPr>
          <w:rFonts w:ascii="Times New Roman" w:hAnsi="Times New Roman"/>
          <w:i/>
          <w:sz w:val="22"/>
          <w:szCs w:val="22"/>
        </w:rPr>
      </w:pPr>
      <w:r w:rsidRPr="00E46392">
        <w:rPr>
          <w:rFonts w:ascii="Times New Roman" w:hAnsi="Times New Roman"/>
          <w:snapToGrid w:val="0"/>
          <w:sz w:val="22"/>
          <w:szCs w:val="22"/>
        </w:rPr>
        <w:t xml:space="preserve">Section 3 identifies that this Determination has authority under </w:t>
      </w:r>
      <w:r w:rsidR="009A2F79" w:rsidRPr="00E46392">
        <w:rPr>
          <w:rFonts w:ascii="Times New Roman" w:hAnsi="Times New Roman"/>
          <w:snapToGrid w:val="0"/>
          <w:sz w:val="22"/>
          <w:szCs w:val="22"/>
        </w:rPr>
        <w:t>paragraph 6(1</w:t>
      </w:r>
      <w:proofErr w:type="gramStart"/>
      <w:r w:rsidR="009A2F79" w:rsidRPr="00E46392">
        <w:rPr>
          <w:rFonts w:ascii="Times New Roman" w:hAnsi="Times New Roman"/>
          <w:snapToGrid w:val="0"/>
          <w:sz w:val="22"/>
          <w:szCs w:val="22"/>
        </w:rPr>
        <w:t>)(</w:t>
      </w:r>
      <w:proofErr w:type="gramEnd"/>
      <w:r w:rsidR="009A2F79" w:rsidRPr="00E46392">
        <w:rPr>
          <w:rFonts w:ascii="Times New Roman" w:hAnsi="Times New Roman"/>
          <w:snapToGrid w:val="0"/>
          <w:sz w:val="22"/>
          <w:szCs w:val="22"/>
        </w:rPr>
        <w:t>a</w:t>
      </w:r>
      <w:r w:rsidRPr="00E46392">
        <w:rPr>
          <w:rFonts w:ascii="Times New Roman" w:hAnsi="Times New Roman"/>
          <w:snapToGrid w:val="0"/>
          <w:sz w:val="22"/>
          <w:szCs w:val="22"/>
        </w:rPr>
        <w:t xml:space="preserve">) of the </w:t>
      </w:r>
      <w:r w:rsidRPr="00E46392">
        <w:rPr>
          <w:rFonts w:ascii="Times New Roman" w:hAnsi="Times New Roman"/>
          <w:i/>
          <w:snapToGrid w:val="0"/>
          <w:sz w:val="22"/>
          <w:szCs w:val="22"/>
        </w:rPr>
        <w:t>Military Rehabilitation and Compensation Act 2004.</w:t>
      </w:r>
    </w:p>
    <w:p w14:paraId="1D3F5E7C" w14:textId="77777777" w:rsidR="00ED5E3D" w:rsidRPr="00E46392" w:rsidRDefault="00ED5E3D" w:rsidP="00ED5E3D">
      <w:pPr>
        <w:pStyle w:val="BlockText-Plain"/>
        <w:rPr>
          <w:rFonts w:ascii="Times New Roman" w:hAnsi="Times New Roman"/>
          <w:snapToGrid w:val="0"/>
          <w:sz w:val="22"/>
          <w:szCs w:val="22"/>
        </w:rPr>
      </w:pPr>
      <w:r w:rsidRPr="00E46392">
        <w:rPr>
          <w:rFonts w:ascii="Times New Roman" w:hAnsi="Times New Roman"/>
          <w:snapToGrid w:val="0"/>
          <w:sz w:val="22"/>
          <w:szCs w:val="22"/>
        </w:rPr>
        <w:lastRenderedPageBreak/>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23188813" w14:textId="77777777" w:rsidR="00107E69" w:rsidRPr="00E46392" w:rsidRDefault="00107E69" w:rsidP="00107E69">
      <w:pPr>
        <w:pStyle w:val="BlockText-Plain"/>
        <w:rPr>
          <w:rFonts w:ascii="Times New Roman" w:hAnsi="Times New Roman"/>
          <w:snapToGrid w:val="0"/>
          <w:sz w:val="22"/>
          <w:szCs w:val="22"/>
        </w:rPr>
      </w:pPr>
      <w:r w:rsidRPr="00E46392">
        <w:rPr>
          <w:rFonts w:ascii="Times New Roman" w:hAnsi="Times New Roman"/>
          <w:snapToGrid w:val="0"/>
          <w:sz w:val="22"/>
          <w:szCs w:val="22"/>
        </w:rPr>
        <w:t xml:space="preserve">Section 5 provides definitions used in this Determination. </w:t>
      </w:r>
    </w:p>
    <w:p w14:paraId="7F29103F" w14:textId="77777777" w:rsidR="00107E69" w:rsidRPr="00E46392" w:rsidRDefault="00107E69" w:rsidP="00107E69">
      <w:pPr>
        <w:pStyle w:val="BlockText-Plain"/>
        <w:rPr>
          <w:rFonts w:ascii="Times New Roman" w:eastAsia="NotDefSpecial" w:hAnsi="Times New Roman"/>
          <w:sz w:val="22"/>
          <w:szCs w:val="22"/>
        </w:rPr>
      </w:pPr>
      <w:r w:rsidRPr="00E46392">
        <w:rPr>
          <w:rFonts w:ascii="Times New Roman" w:hAnsi="Times New Roman"/>
          <w:snapToGrid w:val="0"/>
          <w:sz w:val="22"/>
          <w:szCs w:val="22"/>
        </w:rPr>
        <w:t xml:space="preserve">Section 6 </w:t>
      </w:r>
      <w:r w:rsidRPr="00E46392">
        <w:rPr>
          <w:rFonts w:ascii="Times New Roman" w:eastAsia="NotDefSpecial" w:hAnsi="Times New Roman"/>
          <w:sz w:val="22"/>
          <w:szCs w:val="22"/>
        </w:rPr>
        <w:t>provides that service in an operation described in Schedule 1 to this Determination is warlike service for the purposes of paragraph 6(1</w:t>
      </w:r>
      <w:proofErr w:type="gramStart"/>
      <w:r w:rsidRPr="00E46392">
        <w:rPr>
          <w:rFonts w:ascii="Times New Roman" w:eastAsia="NotDefSpecial" w:hAnsi="Times New Roman"/>
          <w:sz w:val="22"/>
          <w:szCs w:val="22"/>
        </w:rPr>
        <w:t>)(</w:t>
      </w:r>
      <w:proofErr w:type="gramEnd"/>
      <w:r w:rsidR="00A76A16" w:rsidRPr="00E46392">
        <w:rPr>
          <w:rFonts w:ascii="Times New Roman" w:eastAsia="NotDefSpecial" w:hAnsi="Times New Roman"/>
          <w:sz w:val="22"/>
          <w:szCs w:val="22"/>
        </w:rPr>
        <w:t>a</w:t>
      </w:r>
      <w:r w:rsidRPr="00E46392">
        <w:rPr>
          <w:rFonts w:ascii="Times New Roman" w:eastAsia="NotDefSpecial" w:hAnsi="Times New Roman"/>
          <w:sz w:val="22"/>
          <w:szCs w:val="22"/>
        </w:rPr>
        <w:t xml:space="preserve">) of the Act. </w:t>
      </w:r>
    </w:p>
    <w:p w14:paraId="6118E982" w14:textId="77777777" w:rsidR="009C6A5E" w:rsidRPr="00E46392" w:rsidRDefault="008B4416" w:rsidP="007F591C">
      <w:pPr>
        <w:keepLines w:val="0"/>
        <w:shd w:val="clear" w:color="auto" w:fill="FFFFFF"/>
        <w:spacing w:after="100" w:afterAutospacing="1"/>
        <w:rPr>
          <w:rFonts w:ascii="Times New Roman" w:hAnsi="Times New Roman"/>
          <w:color w:val="000000"/>
          <w:szCs w:val="22"/>
          <w:u w:val="single"/>
        </w:rPr>
      </w:pPr>
      <w:r w:rsidRPr="00E46392">
        <w:rPr>
          <w:rFonts w:ascii="Times New Roman" w:hAnsi="Times New Roman"/>
          <w:i/>
          <w:color w:val="000000"/>
          <w:szCs w:val="22"/>
          <w:u w:val="single"/>
        </w:rPr>
        <w:t>Schedule 1 – Warlike Service</w:t>
      </w:r>
    </w:p>
    <w:p w14:paraId="13C314AB" w14:textId="6460C350" w:rsidR="00A9224C" w:rsidRPr="00E46392" w:rsidRDefault="00A9224C" w:rsidP="00A9224C">
      <w:pPr>
        <w:pStyle w:val="BlockText-Plain"/>
        <w:rPr>
          <w:snapToGrid w:val="0"/>
          <w:sz w:val="22"/>
          <w:szCs w:val="22"/>
        </w:rPr>
      </w:pPr>
      <w:r w:rsidRPr="00E46392">
        <w:rPr>
          <w:rFonts w:ascii="Times New Roman" w:hAnsi="Times New Roman"/>
          <w:snapToGrid w:val="0"/>
          <w:sz w:val="22"/>
          <w:szCs w:val="22"/>
        </w:rPr>
        <w:t xml:space="preserve">Section 1 specifies the areas of operation and the period in which Service in that area is warlike for the purposes of the definition of warlike service in </w:t>
      </w:r>
      <w:r w:rsidR="00D0277C" w:rsidRPr="00E46392">
        <w:rPr>
          <w:rFonts w:ascii="Times New Roman" w:eastAsia="NotDefSpecial" w:hAnsi="Times New Roman"/>
          <w:sz w:val="22"/>
          <w:szCs w:val="22"/>
        </w:rPr>
        <w:t xml:space="preserve">paragraph 6(1)(a) </w:t>
      </w:r>
      <w:r w:rsidRPr="00E46392">
        <w:rPr>
          <w:rFonts w:ascii="Times New Roman" w:hAnsi="Times New Roman"/>
          <w:snapToGrid w:val="0"/>
          <w:sz w:val="22"/>
          <w:szCs w:val="22"/>
        </w:rPr>
        <w:t>of the Act. The differences between the table provided in this Dete</w:t>
      </w:r>
      <w:r w:rsidR="00EE0EFC" w:rsidRPr="00E46392">
        <w:rPr>
          <w:rFonts w:ascii="Times New Roman" w:hAnsi="Times New Roman"/>
          <w:snapToGrid w:val="0"/>
          <w:sz w:val="22"/>
          <w:szCs w:val="22"/>
        </w:rPr>
        <w:t xml:space="preserve">rmination and the </w:t>
      </w:r>
      <w:r w:rsidR="006B6FBA">
        <w:rPr>
          <w:rFonts w:ascii="Times New Roman" w:hAnsi="Times New Roman"/>
          <w:snapToGrid w:val="0"/>
          <w:sz w:val="22"/>
          <w:szCs w:val="22"/>
        </w:rPr>
        <w:t>D</w:t>
      </w:r>
      <w:r w:rsidR="00EE0EFC" w:rsidRPr="00E46392">
        <w:rPr>
          <w:rFonts w:ascii="Times New Roman" w:hAnsi="Times New Roman"/>
          <w:snapToGrid w:val="0"/>
          <w:sz w:val="22"/>
          <w:szCs w:val="22"/>
        </w:rPr>
        <w:t>etermination</w:t>
      </w:r>
      <w:r w:rsidRPr="00E46392">
        <w:rPr>
          <w:rFonts w:ascii="Times New Roman" w:hAnsi="Times New Roman"/>
          <w:snapToGrid w:val="0"/>
          <w:sz w:val="22"/>
          <w:szCs w:val="22"/>
        </w:rPr>
        <w:t xml:space="preserve"> that </w:t>
      </w:r>
      <w:r w:rsidR="00EE0EFC" w:rsidRPr="00E46392">
        <w:rPr>
          <w:rFonts w:ascii="Times New Roman" w:hAnsi="Times New Roman"/>
          <w:snapToGrid w:val="0"/>
          <w:sz w:val="22"/>
          <w:szCs w:val="22"/>
        </w:rPr>
        <w:t xml:space="preserve">is </w:t>
      </w:r>
      <w:r w:rsidRPr="00E46392">
        <w:rPr>
          <w:rFonts w:ascii="Times New Roman" w:hAnsi="Times New Roman"/>
          <w:snapToGrid w:val="0"/>
          <w:sz w:val="22"/>
          <w:szCs w:val="22"/>
        </w:rPr>
        <w:t>repealed by Schedule 2 to this Determination, are as follows</w:t>
      </w:r>
      <w:r w:rsidRPr="00E46392">
        <w:rPr>
          <w:snapToGrid w:val="0"/>
          <w:sz w:val="22"/>
          <w:szCs w:val="22"/>
        </w:rPr>
        <w:t>.</w:t>
      </w:r>
    </w:p>
    <w:p w14:paraId="5674C315" w14:textId="37D9AAEE" w:rsidR="00783217" w:rsidRDefault="00783217"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Operation Enduring Freedom – Afghanistan</w:t>
      </w:r>
      <w:r w:rsidR="00AF1D4C">
        <w:rPr>
          <w:rFonts w:ascii="Times New Roman" w:hAnsi="Times New Roman"/>
          <w:szCs w:val="22"/>
          <w:lang w:val="en-US"/>
        </w:rPr>
        <w:t xml:space="preserve"> has been amended to provide an end date to service period of </w:t>
      </w:r>
      <w:r>
        <w:rPr>
          <w:rFonts w:ascii="Times New Roman" w:hAnsi="Times New Roman"/>
          <w:szCs w:val="22"/>
          <w:lang w:val="en-US"/>
        </w:rPr>
        <w:t>31 December 2014.</w:t>
      </w:r>
    </w:p>
    <w:p w14:paraId="45DFBA90" w14:textId="5038C4CE" w:rsidR="008A0F15" w:rsidRDefault="008A0F15"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 xml:space="preserve">Operation Slipper </w:t>
      </w:r>
      <w:r w:rsidR="0046127E">
        <w:rPr>
          <w:rFonts w:ascii="Times New Roman" w:hAnsi="Times New Roman"/>
          <w:szCs w:val="22"/>
          <w:lang w:val="en-US"/>
        </w:rPr>
        <w:t xml:space="preserve">has been amended to provide an end date to service period of </w:t>
      </w:r>
      <w:r w:rsidR="0046127E">
        <w:rPr>
          <w:rFonts w:ascii="Times New Roman" w:hAnsi="Times New Roman"/>
          <w:szCs w:val="22"/>
          <w:lang w:val="en-US"/>
        </w:rPr>
        <w:br/>
      </w:r>
      <w:r>
        <w:rPr>
          <w:rFonts w:ascii="Times New Roman" w:hAnsi="Times New Roman"/>
          <w:szCs w:val="22"/>
          <w:lang w:val="en-US"/>
        </w:rPr>
        <w:t>31 December 2014.</w:t>
      </w:r>
    </w:p>
    <w:p w14:paraId="636275F2" w14:textId="5A906FA1" w:rsidR="00783217" w:rsidRDefault="008A0F15"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 xml:space="preserve">Operation Ariki </w:t>
      </w:r>
      <w:r w:rsidR="0046127E">
        <w:rPr>
          <w:rFonts w:ascii="Times New Roman" w:hAnsi="Times New Roman"/>
          <w:szCs w:val="22"/>
          <w:lang w:val="en-US"/>
        </w:rPr>
        <w:t xml:space="preserve">has been amended to provide an end date to service period of </w:t>
      </w:r>
      <w:r>
        <w:rPr>
          <w:rFonts w:ascii="Times New Roman" w:hAnsi="Times New Roman"/>
          <w:szCs w:val="22"/>
          <w:lang w:val="en-US"/>
        </w:rPr>
        <w:t>31 December 2014.</w:t>
      </w:r>
      <w:r w:rsidR="00783217">
        <w:rPr>
          <w:rFonts w:ascii="Times New Roman" w:hAnsi="Times New Roman"/>
          <w:szCs w:val="22"/>
          <w:lang w:val="en-US"/>
        </w:rPr>
        <w:t xml:space="preserve"> </w:t>
      </w:r>
    </w:p>
    <w:p w14:paraId="60E86CCC" w14:textId="3695C80C" w:rsidR="008A0F15" w:rsidRDefault="00747B9F"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 xml:space="preserve">Operation Athena </w:t>
      </w:r>
      <w:r w:rsidR="0046127E">
        <w:rPr>
          <w:rFonts w:ascii="Times New Roman" w:hAnsi="Times New Roman"/>
          <w:szCs w:val="22"/>
          <w:lang w:val="en-US"/>
        </w:rPr>
        <w:t xml:space="preserve">has been amended to provide an end date to service period of </w:t>
      </w:r>
      <w:r>
        <w:rPr>
          <w:rFonts w:ascii="Times New Roman" w:hAnsi="Times New Roman"/>
          <w:szCs w:val="22"/>
          <w:lang w:val="en-US"/>
        </w:rPr>
        <w:br/>
        <w:t>31 December 2014.</w:t>
      </w:r>
    </w:p>
    <w:p w14:paraId="40EA7D6F" w14:textId="1C2417C0" w:rsidR="008E0FC3" w:rsidRDefault="008E0FC3"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 xml:space="preserve">Operation International Security Assistance Force (ISAF) </w:t>
      </w:r>
      <w:r w:rsidR="0046127E">
        <w:rPr>
          <w:rFonts w:ascii="Times New Roman" w:hAnsi="Times New Roman"/>
          <w:szCs w:val="22"/>
          <w:lang w:val="en-US"/>
        </w:rPr>
        <w:t xml:space="preserve">has been amended to provide an end date to service period of </w:t>
      </w:r>
      <w:r>
        <w:rPr>
          <w:rFonts w:ascii="Times New Roman" w:hAnsi="Times New Roman"/>
          <w:szCs w:val="22"/>
          <w:lang w:val="en-US"/>
        </w:rPr>
        <w:t>31 December 2014.</w:t>
      </w:r>
    </w:p>
    <w:p w14:paraId="64695066" w14:textId="749DFAB8" w:rsidR="008E0FC3" w:rsidRDefault="008E0FC3"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 xml:space="preserve">Operation Herrick </w:t>
      </w:r>
      <w:r w:rsidR="00D22B9C">
        <w:rPr>
          <w:rFonts w:ascii="Times New Roman" w:hAnsi="Times New Roman"/>
          <w:szCs w:val="22"/>
          <w:lang w:val="en-US"/>
        </w:rPr>
        <w:t xml:space="preserve">has been amended to provide an end date to service period of </w:t>
      </w:r>
      <w:r w:rsidR="00D22B9C">
        <w:rPr>
          <w:rFonts w:ascii="Times New Roman" w:hAnsi="Times New Roman"/>
          <w:szCs w:val="22"/>
          <w:lang w:val="en-US"/>
        </w:rPr>
        <w:br/>
      </w:r>
      <w:r>
        <w:rPr>
          <w:rFonts w:ascii="Times New Roman" w:hAnsi="Times New Roman"/>
          <w:szCs w:val="22"/>
          <w:lang w:val="en-US"/>
        </w:rPr>
        <w:t>31 December 2014.</w:t>
      </w:r>
    </w:p>
    <w:p w14:paraId="50DAB6FD" w14:textId="43BC2AE3" w:rsidR="008E0FC3" w:rsidRDefault="00F97C67"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 xml:space="preserve">Operation Palate II </w:t>
      </w:r>
      <w:r w:rsidR="00D22B9C">
        <w:rPr>
          <w:rFonts w:ascii="Times New Roman" w:hAnsi="Times New Roman"/>
          <w:szCs w:val="22"/>
          <w:lang w:val="en-US"/>
        </w:rPr>
        <w:t>has been amended to provide an end date to service period of</w:t>
      </w:r>
      <w:r w:rsidR="00AF1D4C">
        <w:rPr>
          <w:rFonts w:ascii="Times New Roman" w:hAnsi="Times New Roman"/>
          <w:szCs w:val="22"/>
          <w:lang w:val="en-US"/>
        </w:rPr>
        <w:br/>
      </w:r>
      <w:r>
        <w:rPr>
          <w:rFonts w:ascii="Times New Roman" w:hAnsi="Times New Roman"/>
          <w:szCs w:val="22"/>
          <w:lang w:val="en-US"/>
        </w:rPr>
        <w:t>10 March 2017.</w:t>
      </w:r>
    </w:p>
    <w:p w14:paraId="297C3EA3" w14:textId="403B8166" w:rsidR="00B5780B" w:rsidRDefault="00B5780B"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Pr>
          <w:rFonts w:ascii="Times New Roman" w:hAnsi="Times New Roman"/>
          <w:szCs w:val="22"/>
          <w:lang w:val="en-US"/>
        </w:rPr>
        <w:t xml:space="preserve">Operation Riverbank </w:t>
      </w:r>
      <w:r w:rsidR="00D22B9C">
        <w:rPr>
          <w:rFonts w:ascii="Times New Roman" w:hAnsi="Times New Roman"/>
          <w:szCs w:val="22"/>
          <w:lang w:val="en-US"/>
        </w:rPr>
        <w:t>has been amended to provide an end date to service period of</w:t>
      </w:r>
      <w:r w:rsidR="00AF1D4C">
        <w:rPr>
          <w:rFonts w:ascii="Times New Roman" w:hAnsi="Times New Roman"/>
          <w:szCs w:val="22"/>
          <w:lang w:val="en-US"/>
        </w:rPr>
        <w:br/>
      </w:r>
      <w:r>
        <w:rPr>
          <w:rFonts w:ascii="Times New Roman" w:hAnsi="Times New Roman"/>
          <w:szCs w:val="22"/>
          <w:lang w:val="en-US"/>
        </w:rPr>
        <w:t>14 December 2013</w:t>
      </w:r>
      <w:r w:rsidR="00AF1D4C">
        <w:rPr>
          <w:rFonts w:ascii="Times New Roman" w:hAnsi="Times New Roman"/>
          <w:szCs w:val="22"/>
          <w:lang w:val="en-US"/>
        </w:rPr>
        <w:t>.</w:t>
      </w:r>
    </w:p>
    <w:p w14:paraId="3DFCA1F0" w14:textId="79A2DA06" w:rsidR="007F591C" w:rsidRDefault="00AE273B" w:rsidP="00747B9F">
      <w:pPr>
        <w:pStyle w:val="ListParagraph"/>
        <w:keepLines w:val="0"/>
        <w:numPr>
          <w:ilvl w:val="0"/>
          <w:numId w:val="31"/>
        </w:numPr>
        <w:shd w:val="clear" w:color="auto" w:fill="FFFFFF"/>
        <w:spacing w:after="100" w:afterAutospacing="1"/>
        <w:rPr>
          <w:rFonts w:ascii="Times New Roman" w:hAnsi="Times New Roman"/>
          <w:szCs w:val="22"/>
          <w:lang w:val="en-US"/>
        </w:rPr>
      </w:pPr>
      <w:r w:rsidRPr="00E46392">
        <w:rPr>
          <w:rFonts w:ascii="Times New Roman" w:hAnsi="Times New Roman"/>
          <w:szCs w:val="22"/>
          <w:lang w:val="en-US"/>
        </w:rPr>
        <w:t xml:space="preserve">Operation Kruger </w:t>
      </w:r>
      <w:r w:rsidR="00D22B9C">
        <w:rPr>
          <w:rFonts w:ascii="Times New Roman" w:hAnsi="Times New Roman"/>
          <w:szCs w:val="22"/>
          <w:lang w:val="en-US"/>
        </w:rPr>
        <w:t xml:space="preserve">has been amended to provide an end date to service period of </w:t>
      </w:r>
      <w:r w:rsidRPr="00747B9F">
        <w:rPr>
          <w:rFonts w:ascii="Times New Roman" w:hAnsi="Times New Roman"/>
          <w:szCs w:val="22"/>
          <w:lang w:val="en-US"/>
        </w:rPr>
        <w:t>9 August 2011.</w:t>
      </w:r>
    </w:p>
    <w:p w14:paraId="1FDD4869" w14:textId="6F87E2A7" w:rsidR="00EE0EFC" w:rsidRPr="00E46392" w:rsidRDefault="00EE0EFC" w:rsidP="00AE273B">
      <w:pPr>
        <w:pStyle w:val="ListParagraph"/>
        <w:keepLines w:val="0"/>
        <w:numPr>
          <w:ilvl w:val="0"/>
          <w:numId w:val="31"/>
        </w:numPr>
        <w:shd w:val="clear" w:color="auto" w:fill="FFFFFF"/>
        <w:spacing w:after="100" w:afterAutospacing="1"/>
        <w:rPr>
          <w:rFonts w:ascii="Times New Roman" w:hAnsi="Times New Roman"/>
          <w:szCs w:val="22"/>
          <w:lang w:val="en-US"/>
        </w:rPr>
      </w:pPr>
      <w:r w:rsidRPr="00E46392">
        <w:rPr>
          <w:rFonts w:ascii="Times New Roman" w:hAnsi="Times New Roman"/>
          <w:szCs w:val="22"/>
          <w:lang w:val="en-US"/>
        </w:rPr>
        <w:t>A new Operation Steadfast recogni</w:t>
      </w:r>
      <w:r w:rsidR="00F63861" w:rsidRPr="00E46392">
        <w:rPr>
          <w:rFonts w:ascii="Times New Roman" w:hAnsi="Times New Roman"/>
          <w:szCs w:val="22"/>
          <w:lang w:val="en-US"/>
        </w:rPr>
        <w:t>s</w:t>
      </w:r>
      <w:r w:rsidRPr="00E46392">
        <w:rPr>
          <w:rFonts w:ascii="Times New Roman" w:hAnsi="Times New Roman"/>
          <w:szCs w:val="22"/>
          <w:lang w:val="en-US"/>
        </w:rPr>
        <w:t>ing the ADF contribution to the NATO Mission in Iraq from the period on and after 10 September 2018 has been added</w:t>
      </w:r>
      <w:r w:rsidR="0046743C" w:rsidRPr="00E46392">
        <w:rPr>
          <w:rFonts w:ascii="Times New Roman" w:hAnsi="Times New Roman"/>
          <w:szCs w:val="22"/>
          <w:lang w:val="en-US"/>
        </w:rPr>
        <w:t xml:space="preserve"> at item </w:t>
      </w:r>
      <w:r w:rsidR="001B105B">
        <w:rPr>
          <w:rFonts w:ascii="Times New Roman" w:hAnsi="Times New Roman"/>
          <w:szCs w:val="22"/>
          <w:lang w:val="en-US"/>
        </w:rPr>
        <w:t>1</w:t>
      </w:r>
      <w:r w:rsidR="00D0277C">
        <w:rPr>
          <w:rFonts w:ascii="Times New Roman" w:hAnsi="Times New Roman"/>
          <w:szCs w:val="22"/>
          <w:lang w:val="en-US"/>
        </w:rPr>
        <w:t>7</w:t>
      </w:r>
      <w:r w:rsidR="0046743C" w:rsidRPr="00E46392">
        <w:rPr>
          <w:rFonts w:ascii="Times New Roman" w:hAnsi="Times New Roman"/>
          <w:szCs w:val="22"/>
          <w:lang w:val="en-US"/>
        </w:rPr>
        <w:t>.</w:t>
      </w:r>
    </w:p>
    <w:p w14:paraId="072F9DEB" w14:textId="77777777" w:rsidR="002536E1" w:rsidRPr="00E46392" w:rsidRDefault="007F591C" w:rsidP="007F591C">
      <w:pPr>
        <w:keepLines w:val="0"/>
        <w:shd w:val="clear" w:color="auto" w:fill="FFFFFF"/>
        <w:spacing w:after="100" w:afterAutospacing="1"/>
        <w:rPr>
          <w:rFonts w:ascii="Times New Roman" w:hAnsi="Times New Roman"/>
          <w:i/>
          <w:color w:val="000000"/>
          <w:szCs w:val="22"/>
          <w:u w:val="single"/>
        </w:rPr>
      </w:pPr>
      <w:r w:rsidRPr="00E46392">
        <w:rPr>
          <w:rFonts w:ascii="Times New Roman" w:hAnsi="Times New Roman"/>
          <w:i/>
          <w:color w:val="000000"/>
          <w:szCs w:val="22"/>
          <w:u w:val="single"/>
        </w:rPr>
        <w:t xml:space="preserve">Schedule 2 </w:t>
      </w:r>
      <w:r w:rsidR="002536E1" w:rsidRPr="00E46392">
        <w:rPr>
          <w:rFonts w:ascii="Times New Roman" w:hAnsi="Times New Roman"/>
          <w:i/>
          <w:color w:val="000000"/>
          <w:szCs w:val="22"/>
          <w:u w:val="single"/>
        </w:rPr>
        <w:t>– Repeals of instruments</w:t>
      </w:r>
    </w:p>
    <w:p w14:paraId="48C9F592" w14:textId="116A47BB" w:rsidR="007F591C" w:rsidRPr="00E46392" w:rsidRDefault="00780D8E" w:rsidP="007F591C">
      <w:pPr>
        <w:keepLines w:val="0"/>
        <w:shd w:val="clear" w:color="auto" w:fill="FFFFFF"/>
        <w:spacing w:after="100" w:afterAutospacing="1"/>
        <w:rPr>
          <w:rFonts w:ascii="Times New Roman" w:hAnsi="Times New Roman"/>
          <w:szCs w:val="22"/>
          <w:lang w:val="en-US"/>
        </w:rPr>
      </w:pPr>
      <w:r w:rsidRPr="00E46392">
        <w:rPr>
          <w:rFonts w:ascii="Times New Roman" w:hAnsi="Times New Roman"/>
          <w:color w:val="000000"/>
          <w:szCs w:val="22"/>
        </w:rPr>
        <w:t xml:space="preserve">Section 1 </w:t>
      </w:r>
      <w:r w:rsidR="007F591C" w:rsidRPr="00E46392">
        <w:rPr>
          <w:rFonts w:ascii="Times New Roman" w:hAnsi="Times New Roman"/>
          <w:color w:val="000000"/>
          <w:szCs w:val="22"/>
        </w:rPr>
        <w:t>repeals the Military Rehabilitation and Compensation (Warlike Service</w:t>
      </w:r>
      <w:r w:rsidR="008F047D">
        <w:rPr>
          <w:rFonts w:ascii="Times New Roman" w:hAnsi="Times New Roman"/>
          <w:color w:val="000000"/>
          <w:szCs w:val="22"/>
        </w:rPr>
        <w:t xml:space="preserve"> </w:t>
      </w:r>
      <w:r w:rsidR="008F047D">
        <w:rPr>
          <w:szCs w:val="22"/>
        </w:rPr>
        <w:t xml:space="preserve">– </w:t>
      </w:r>
      <w:r w:rsidR="009C6A5E" w:rsidRPr="00E46392">
        <w:rPr>
          <w:rFonts w:ascii="Times New Roman" w:hAnsi="Times New Roman"/>
          <w:color w:val="000000"/>
          <w:szCs w:val="22"/>
        </w:rPr>
        <w:t>2017 Measures No. 1</w:t>
      </w:r>
      <w:r w:rsidR="007F591C" w:rsidRPr="00E46392">
        <w:rPr>
          <w:rFonts w:ascii="Times New Roman" w:hAnsi="Times New Roman"/>
          <w:color w:val="000000"/>
          <w:szCs w:val="22"/>
        </w:rPr>
        <w:t>) Determination 201</w:t>
      </w:r>
      <w:r w:rsidR="009C6A5E" w:rsidRPr="00E46392">
        <w:rPr>
          <w:rFonts w:ascii="Times New Roman" w:hAnsi="Times New Roman"/>
          <w:color w:val="000000"/>
          <w:szCs w:val="22"/>
        </w:rPr>
        <w:t>7.</w:t>
      </w:r>
    </w:p>
    <w:p w14:paraId="29A6BABD" w14:textId="77777777" w:rsidR="00210A30" w:rsidRPr="00E46392" w:rsidRDefault="00210A30" w:rsidP="00780D8E">
      <w:pPr>
        <w:keepLines w:val="0"/>
        <w:shd w:val="clear" w:color="auto" w:fill="FFFFFF"/>
        <w:spacing w:after="100" w:afterAutospacing="1"/>
        <w:jc w:val="center"/>
        <w:rPr>
          <w:rFonts w:ascii="Times New Roman" w:hAnsi="Times New Roman"/>
          <w:snapToGrid w:val="0"/>
          <w:color w:val="000000"/>
          <w:szCs w:val="22"/>
        </w:rPr>
      </w:pPr>
      <w:r w:rsidRPr="00E46392">
        <w:rPr>
          <w:rFonts w:ascii="Times New Roman" w:hAnsi="Times New Roman"/>
          <w:b/>
          <w:color w:val="000000"/>
          <w:szCs w:val="22"/>
        </w:rPr>
        <w:t>Consultation</w:t>
      </w:r>
    </w:p>
    <w:p w14:paraId="7C56BB80" w14:textId="09D104B8" w:rsidR="00B72A9A" w:rsidRPr="00E46392" w:rsidRDefault="00B72A9A" w:rsidP="00B72A9A">
      <w:pPr>
        <w:autoSpaceDE w:val="0"/>
        <w:autoSpaceDN w:val="0"/>
        <w:adjustRightInd w:val="0"/>
        <w:jc w:val="both"/>
        <w:rPr>
          <w:rFonts w:ascii="Times New Roman" w:hAnsi="Times New Roman"/>
          <w:snapToGrid w:val="0"/>
          <w:szCs w:val="22"/>
        </w:rPr>
      </w:pPr>
      <w:r w:rsidRPr="00E46392">
        <w:rPr>
          <w:rFonts w:ascii="Times New Roman" w:eastAsia="NotDefSpecial" w:hAnsi="Times New Roman"/>
          <w:szCs w:val="22"/>
        </w:rPr>
        <w:t>The Department of Veterans' Affairs were consulted during the classification process. It is noted that decisions about the nature of service are subject to bipartisan consultation through Government and do not impact business or competition.</w:t>
      </w:r>
    </w:p>
    <w:p w14:paraId="26640B59" w14:textId="77777777" w:rsidR="00B72A9A" w:rsidRPr="00E46392" w:rsidRDefault="00B72A9A" w:rsidP="00B72A9A">
      <w:pPr>
        <w:keepLines w:val="0"/>
        <w:autoSpaceDE w:val="0"/>
        <w:autoSpaceDN w:val="0"/>
        <w:adjustRightInd w:val="0"/>
        <w:rPr>
          <w:rFonts w:ascii="Times New Roman" w:hAnsi="Times New Roman"/>
          <w:snapToGrid w:val="0"/>
          <w:color w:val="000000"/>
          <w:szCs w:val="22"/>
        </w:rPr>
      </w:pPr>
    </w:p>
    <w:p w14:paraId="671413E5" w14:textId="77777777" w:rsidR="0094389A" w:rsidRPr="00E46392" w:rsidRDefault="0094389A" w:rsidP="00210A30">
      <w:pPr>
        <w:keepLines w:val="0"/>
        <w:autoSpaceDE w:val="0"/>
        <w:autoSpaceDN w:val="0"/>
        <w:adjustRightInd w:val="0"/>
        <w:rPr>
          <w:rFonts w:ascii="Times New Roman" w:hAnsi="Times New Roman"/>
          <w:snapToGrid w:val="0"/>
          <w:color w:val="000000"/>
          <w:szCs w:val="22"/>
        </w:rPr>
      </w:pPr>
      <w:r w:rsidRPr="00E46392">
        <w:rPr>
          <w:rFonts w:ascii="Times New Roman" w:hAnsi="Times New Roman"/>
          <w:snapToGrid w:val="0"/>
          <w:color w:val="000000"/>
          <w:szCs w:val="22"/>
        </w:rPr>
        <w:t>The rulemaker was satisfied that further external consultation was not required</w:t>
      </w:r>
      <w:r w:rsidR="00F9144C" w:rsidRPr="00E46392">
        <w:rPr>
          <w:rFonts w:ascii="Times New Roman" w:hAnsi="Times New Roman"/>
          <w:snapToGrid w:val="0"/>
          <w:color w:val="000000"/>
          <w:szCs w:val="22"/>
        </w:rPr>
        <w:t>.</w:t>
      </w:r>
    </w:p>
    <w:p w14:paraId="084C2BBC" w14:textId="77777777" w:rsidR="00210A30" w:rsidRPr="00E46392" w:rsidRDefault="00210A30" w:rsidP="00210A30">
      <w:pPr>
        <w:keepLines w:val="0"/>
        <w:autoSpaceDE w:val="0"/>
        <w:autoSpaceDN w:val="0"/>
        <w:adjustRightInd w:val="0"/>
        <w:rPr>
          <w:rFonts w:ascii="Times New Roman" w:hAnsi="Times New Roman"/>
          <w:snapToGrid w:val="0"/>
          <w:szCs w:val="22"/>
        </w:rPr>
      </w:pPr>
    </w:p>
    <w:p w14:paraId="6D368238" w14:textId="77777777" w:rsidR="00210A30" w:rsidRPr="00E46392" w:rsidRDefault="00210A30" w:rsidP="00210A30">
      <w:pPr>
        <w:pStyle w:val="BlockText-Plain"/>
        <w:rPr>
          <w:rFonts w:ascii="Times New Roman" w:hAnsi="Times New Roman"/>
          <w:sz w:val="22"/>
          <w:szCs w:val="22"/>
        </w:rPr>
      </w:pPr>
    </w:p>
    <w:p w14:paraId="5F2E7DA7" w14:textId="77777777" w:rsidR="00522D93" w:rsidRPr="00E46392" w:rsidRDefault="00210A30" w:rsidP="00522D93">
      <w:pPr>
        <w:pStyle w:val="BlockText-Plain"/>
        <w:spacing w:after="0"/>
        <w:jc w:val="right"/>
        <w:rPr>
          <w:rFonts w:ascii="Times New Roman" w:eastAsia="NotDefSpecial" w:hAnsi="Times New Roman"/>
          <w:i/>
          <w:sz w:val="22"/>
          <w:szCs w:val="22"/>
        </w:rPr>
      </w:pPr>
      <w:r w:rsidRPr="00E46392">
        <w:rPr>
          <w:rFonts w:ascii="Times New Roman" w:hAnsi="Times New Roman"/>
          <w:b/>
          <w:sz w:val="22"/>
          <w:szCs w:val="22"/>
        </w:rPr>
        <w:t>Authority:</w:t>
      </w:r>
      <w:r w:rsidRPr="00E46392">
        <w:rPr>
          <w:rFonts w:ascii="Times New Roman" w:hAnsi="Times New Roman"/>
          <w:sz w:val="22"/>
          <w:szCs w:val="22"/>
        </w:rPr>
        <w:t xml:space="preserve">  </w:t>
      </w:r>
      <w:r w:rsidR="00E370FA" w:rsidRPr="00E46392">
        <w:rPr>
          <w:rFonts w:ascii="Times New Roman" w:eastAsia="NotDefSpecial" w:hAnsi="Times New Roman"/>
          <w:sz w:val="22"/>
          <w:szCs w:val="22"/>
        </w:rPr>
        <w:t>Paragraph 6(1</w:t>
      </w:r>
      <w:proofErr w:type="gramStart"/>
      <w:r w:rsidR="00E370FA" w:rsidRPr="00E46392">
        <w:rPr>
          <w:rFonts w:ascii="Times New Roman" w:eastAsia="NotDefSpecial" w:hAnsi="Times New Roman"/>
          <w:sz w:val="22"/>
          <w:szCs w:val="22"/>
        </w:rPr>
        <w:t>)(</w:t>
      </w:r>
      <w:proofErr w:type="gramEnd"/>
      <w:r w:rsidR="00E370FA" w:rsidRPr="00E46392">
        <w:rPr>
          <w:rFonts w:ascii="Times New Roman" w:eastAsia="NotDefSpecial" w:hAnsi="Times New Roman"/>
          <w:sz w:val="22"/>
          <w:szCs w:val="22"/>
        </w:rPr>
        <w:t xml:space="preserve">a) of the </w:t>
      </w:r>
      <w:r w:rsidRPr="00E46392">
        <w:rPr>
          <w:rFonts w:ascii="Times New Roman" w:eastAsia="NotDefSpecial" w:hAnsi="Times New Roman"/>
          <w:sz w:val="22"/>
          <w:szCs w:val="22"/>
        </w:rPr>
        <w:br/>
      </w:r>
      <w:r w:rsidR="00E370FA" w:rsidRPr="00E46392">
        <w:rPr>
          <w:rFonts w:ascii="Times New Roman" w:eastAsia="NotDefSpecial" w:hAnsi="Times New Roman"/>
          <w:i/>
          <w:sz w:val="22"/>
          <w:szCs w:val="22"/>
        </w:rPr>
        <w:t xml:space="preserve">Military Rehabilitation and </w:t>
      </w:r>
    </w:p>
    <w:p w14:paraId="15974B4F" w14:textId="77777777" w:rsidR="00210A30" w:rsidRPr="00E46392" w:rsidRDefault="00E370FA" w:rsidP="00522D93">
      <w:pPr>
        <w:pStyle w:val="BlockText-Plain"/>
        <w:spacing w:after="0"/>
        <w:jc w:val="right"/>
        <w:rPr>
          <w:rFonts w:ascii="Times New Roman" w:eastAsia="NotDefSpecial" w:hAnsi="Times New Roman"/>
          <w:sz w:val="22"/>
          <w:szCs w:val="22"/>
        </w:rPr>
      </w:pPr>
      <w:r w:rsidRPr="00E46392">
        <w:rPr>
          <w:rFonts w:ascii="Times New Roman" w:eastAsia="NotDefSpecial" w:hAnsi="Times New Roman"/>
          <w:i/>
          <w:sz w:val="22"/>
          <w:szCs w:val="22"/>
        </w:rPr>
        <w:t>Compensation Act 2004</w:t>
      </w:r>
    </w:p>
    <w:p w14:paraId="6830CECB" w14:textId="77777777" w:rsidR="00210A30" w:rsidRPr="00E46392" w:rsidRDefault="00210A30" w:rsidP="00210A30">
      <w:pPr>
        <w:pStyle w:val="BlockText-Plain"/>
        <w:jc w:val="center"/>
        <w:rPr>
          <w:b/>
          <w:color w:val="FF0000"/>
          <w:sz w:val="22"/>
          <w:szCs w:val="22"/>
        </w:rPr>
      </w:pPr>
    </w:p>
    <w:p w14:paraId="337A2B52" w14:textId="77777777" w:rsidR="00210A30" w:rsidRPr="00982EFC" w:rsidRDefault="00210A30" w:rsidP="00210A30">
      <w:pPr>
        <w:pStyle w:val="BlockText-Plain"/>
        <w:jc w:val="center"/>
        <w:rPr>
          <w:rFonts w:ascii="Times New Roman" w:hAnsi="Times New Roman"/>
          <w:b/>
          <w:snapToGrid w:val="0"/>
          <w:sz w:val="30"/>
          <w:szCs w:val="30"/>
        </w:rPr>
      </w:pPr>
      <w:r>
        <w:rPr>
          <w:b/>
        </w:rPr>
        <w:br w:type="page"/>
      </w:r>
      <w:r w:rsidRPr="00982EFC">
        <w:rPr>
          <w:rFonts w:ascii="Times New Roman" w:hAnsi="Times New Roman"/>
          <w:b/>
          <w:snapToGrid w:val="0"/>
          <w:sz w:val="30"/>
          <w:szCs w:val="30"/>
        </w:rPr>
        <w:lastRenderedPageBreak/>
        <w:t>Statement of Compatibility with Human Rights</w:t>
      </w:r>
    </w:p>
    <w:p w14:paraId="70DCC001" w14:textId="77777777" w:rsidR="00210A30" w:rsidRPr="00982EFC" w:rsidRDefault="00210A30" w:rsidP="00210A30">
      <w:pPr>
        <w:pStyle w:val="BlockText-Plain"/>
        <w:jc w:val="center"/>
        <w:rPr>
          <w:rFonts w:ascii="Times New Roman" w:hAnsi="Times New Roman"/>
          <w:i/>
          <w:snapToGrid w:val="0"/>
          <w:sz w:val="24"/>
          <w:szCs w:val="24"/>
        </w:rPr>
      </w:pPr>
      <w:r w:rsidRPr="00982EFC">
        <w:rPr>
          <w:rFonts w:ascii="Times New Roman" w:hAnsi="Times New Roman"/>
          <w:i/>
          <w:snapToGrid w:val="0"/>
          <w:sz w:val="24"/>
          <w:szCs w:val="24"/>
        </w:rPr>
        <w:t>Prepared in accordance with Part 3 of the Human Rights (Parliamentary Scrutiny) Act 2011</w:t>
      </w:r>
    </w:p>
    <w:p w14:paraId="5FBED0AF" w14:textId="00CCB758" w:rsidR="00210A30" w:rsidRPr="00982EFC" w:rsidRDefault="005A08AB" w:rsidP="00210A30">
      <w:pPr>
        <w:pStyle w:val="BlockText-Plain"/>
        <w:jc w:val="center"/>
        <w:rPr>
          <w:rFonts w:ascii="Times New Roman" w:hAnsi="Times New Roman"/>
          <w:b/>
          <w:snapToGrid w:val="0"/>
          <w:sz w:val="24"/>
          <w:szCs w:val="24"/>
        </w:rPr>
      </w:pPr>
      <w:r w:rsidRPr="00982EFC">
        <w:rPr>
          <w:rFonts w:ascii="Times New Roman" w:hAnsi="Times New Roman"/>
          <w:b/>
          <w:snapToGrid w:val="0"/>
          <w:sz w:val="24"/>
          <w:szCs w:val="24"/>
        </w:rPr>
        <w:t>Military Rehabilita</w:t>
      </w:r>
      <w:r w:rsidR="00A931C3">
        <w:rPr>
          <w:rFonts w:ascii="Times New Roman" w:hAnsi="Times New Roman"/>
          <w:b/>
          <w:snapToGrid w:val="0"/>
          <w:sz w:val="24"/>
          <w:szCs w:val="24"/>
        </w:rPr>
        <w:t>tion and Compensation (Warlike S</w:t>
      </w:r>
      <w:r w:rsidRPr="00982EFC">
        <w:rPr>
          <w:rFonts w:ascii="Times New Roman" w:hAnsi="Times New Roman"/>
          <w:b/>
          <w:snapToGrid w:val="0"/>
          <w:sz w:val="24"/>
          <w:szCs w:val="24"/>
        </w:rPr>
        <w:t>ervice) Determination 2019</w:t>
      </w:r>
    </w:p>
    <w:p w14:paraId="3658C030" w14:textId="77777777" w:rsidR="00210A30" w:rsidRPr="00982EFC" w:rsidRDefault="00210A30" w:rsidP="00FA2EA6">
      <w:pPr>
        <w:keepLines w:val="0"/>
        <w:autoSpaceDE w:val="0"/>
        <w:autoSpaceDN w:val="0"/>
        <w:adjustRightInd w:val="0"/>
        <w:spacing w:after="200"/>
        <w:jc w:val="both"/>
        <w:rPr>
          <w:rFonts w:ascii="Times New Roman" w:hAnsi="Times New Roman"/>
          <w:sz w:val="24"/>
          <w:szCs w:val="24"/>
        </w:rPr>
      </w:pPr>
      <w:r w:rsidRPr="00982EFC">
        <w:rPr>
          <w:rFonts w:ascii="Times New Roman" w:hAnsi="Times New Roman"/>
          <w:sz w:val="24"/>
          <w:szCs w:val="24"/>
        </w:rPr>
        <w:t xml:space="preserve">This Determination is compatible with the human rights and freedoms recognised or declared in the international instruments listed in section 3 of the </w:t>
      </w:r>
      <w:r w:rsidRPr="00982EFC">
        <w:rPr>
          <w:rFonts w:ascii="Times New Roman" w:hAnsi="Times New Roman"/>
          <w:i/>
          <w:iCs/>
          <w:sz w:val="24"/>
          <w:szCs w:val="24"/>
        </w:rPr>
        <w:t>Human Rights (Parliamentary Scrutiny) Act 2011</w:t>
      </w:r>
      <w:r w:rsidRPr="00982EFC">
        <w:rPr>
          <w:rFonts w:ascii="Times New Roman" w:hAnsi="Times New Roman"/>
          <w:sz w:val="24"/>
          <w:szCs w:val="24"/>
        </w:rPr>
        <w:t>.</w:t>
      </w:r>
    </w:p>
    <w:p w14:paraId="05D1B986" w14:textId="77777777" w:rsidR="00210A30" w:rsidRPr="00982EFC" w:rsidRDefault="00210A30" w:rsidP="00210A30">
      <w:pPr>
        <w:spacing w:after="200"/>
        <w:rPr>
          <w:rFonts w:ascii="Times New Roman" w:hAnsi="Times New Roman"/>
          <w:b/>
          <w:sz w:val="24"/>
          <w:szCs w:val="24"/>
        </w:rPr>
      </w:pPr>
      <w:r w:rsidRPr="00982EFC">
        <w:rPr>
          <w:rFonts w:ascii="Times New Roman" w:hAnsi="Times New Roman"/>
          <w:b/>
          <w:sz w:val="24"/>
          <w:szCs w:val="24"/>
        </w:rPr>
        <w:t>Overview of the Determination</w:t>
      </w:r>
    </w:p>
    <w:p w14:paraId="59C6F31D" w14:textId="77777777" w:rsidR="00982EFC" w:rsidRPr="00982EFC" w:rsidRDefault="00982EFC" w:rsidP="00982EFC">
      <w:pPr>
        <w:autoSpaceDE w:val="0"/>
        <w:autoSpaceDN w:val="0"/>
        <w:adjustRightInd w:val="0"/>
        <w:rPr>
          <w:rFonts w:ascii="Times New Roman" w:hAnsi="Times New Roman"/>
          <w:color w:val="000000"/>
          <w:sz w:val="24"/>
          <w:szCs w:val="24"/>
        </w:rPr>
      </w:pPr>
      <w:r w:rsidRPr="00982EFC">
        <w:rPr>
          <w:rFonts w:ascii="Times New Roman" w:hAnsi="Times New Roman"/>
          <w:color w:val="000000"/>
          <w:sz w:val="24"/>
          <w:szCs w:val="24"/>
        </w:rPr>
        <w:t>This Determination has the following purposes.</w:t>
      </w:r>
    </w:p>
    <w:p w14:paraId="40698A88" w14:textId="77777777" w:rsidR="00982EFC" w:rsidRPr="00982EFC" w:rsidRDefault="00982EFC" w:rsidP="00982EFC">
      <w:pPr>
        <w:autoSpaceDE w:val="0"/>
        <w:autoSpaceDN w:val="0"/>
        <w:adjustRightInd w:val="0"/>
        <w:rPr>
          <w:rFonts w:ascii="Times New Roman" w:hAnsi="Times New Roman"/>
          <w:color w:val="000000"/>
          <w:sz w:val="24"/>
          <w:szCs w:val="24"/>
        </w:rPr>
      </w:pPr>
    </w:p>
    <w:p w14:paraId="556600E0" w14:textId="77777777" w:rsidR="00A931C3" w:rsidRPr="00A931C3" w:rsidRDefault="00A931C3" w:rsidP="00A931C3">
      <w:pPr>
        <w:pStyle w:val="BlockText-Plain"/>
        <w:numPr>
          <w:ilvl w:val="0"/>
          <w:numId w:val="30"/>
        </w:numPr>
        <w:tabs>
          <w:tab w:val="left" w:pos="7380"/>
        </w:tabs>
        <w:spacing w:after="0"/>
        <w:ind w:left="714" w:hanging="357"/>
        <w:rPr>
          <w:rFonts w:ascii="Times New Roman" w:hAnsi="Times New Roman"/>
          <w:sz w:val="24"/>
          <w:szCs w:val="24"/>
        </w:rPr>
      </w:pPr>
      <w:r w:rsidRPr="00A931C3">
        <w:rPr>
          <w:rFonts w:ascii="Times New Roman" w:hAnsi="Times New Roman"/>
          <w:sz w:val="24"/>
          <w:szCs w:val="24"/>
        </w:rPr>
        <w:t>Combine the operations for Operation Slipper and add an end date for one operation period.</w:t>
      </w:r>
    </w:p>
    <w:p w14:paraId="453C85E3" w14:textId="77777777" w:rsidR="00A931C3" w:rsidRPr="00A931C3" w:rsidRDefault="00A931C3" w:rsidP="00A931C3">
      <w:pPr>
        <w:pStyle w:val="BlockText-Plain"/>
        <w:numPr>
          <w:ilvl w:val="0"/>
          <w:numId w:val="30"/>
        </w:numPr>
        <w:tabs>
          <w:tab w:val="left" w:pos="7380"/>
        </w:tabs>
        <w:spacing w:after="0"/>
        <w:ind w:left="714" w:hanging="357"/>
        <w:rPr>
          <w:rFonts w:ascii="Times New Roman" w:hAnsi="Times New Roman"/>
          <w:sz w:val="24"/>
          <w:szCs w:val="24"/>
        </w:rPr>
      </w:pPr>
      <w:r w:rsidRPr="00A931C3">
        <w:rPr>
          <w:rFonts w:ascii="Times New Roman" w:hAnsi="Times New Roman"/>
          <w:sz w:val="24"/>
          <w:szCs w:val="24"/>
        </w:rPr>
        <w:t>Combine the operations for Operation Okra.</w:t>
      </w:r>
    </w:p>
    <w:p w14:paraId="3DE9409D" w14:textId="77777777" w:rsidR="00A931C3" w:rsidRPr="00A931C3" w:rsidRDefault="00A931C3" w:rsidP="00A931C3">
      <w:pPr>
        <w:pStyle w:val="BlockText-Plain"/>
        <w:numPr>
          <w:ilvl w:val="0"/>
          <w:numId w:val="30"/>
        </w:numPr>
        <w:tabs>
          <w:tab w:val="left" w:pos="7380"/>
        </w:tabs>
        <w:spacing w:after="0"/>
        <w:ind w:left="714" w:hanging="357"/>
        <w:rPr>
          <w:rFonts w:ascii="Times New Roman" w:hAnsi="Times New Roman"/>
          <w:sz w:val="24"/>
          <w:szCs w:val="24"/>
        </w:rPr>
      </w:pPr>
      <w:r w:rsidRPr="00A931C3">
        <w:rPr>
          <w:rFonts w:ascii="Times New Roman" w:hAnsi="Times New Roman"/>
          <w:sz w:val="24"/>
          <w:szCs w:val="24"/>
        </w:rPr>
        <w:t xml:space="preserve">Amend the end dates for Operations Kruger, Enduring Freedom, Ariki, Athena, Herrick, Slipper, Palate II and Riverbank. </w:t>
      </w:r>
    </w:p>
    <w:p w14:paraId="38609722" w14:textId="77777777" w:rsidR="00A931C3" w:rsidRPr="00A931C3" w:rsidRDefault="00A931C3" w:rsidP="00A931C3">
      <w:pPr>
        <w:pStyle w:val="BlockText-Plain"/>
        <w:numPr>
          <w:ilvl w:val="0"/>
          <w:numId w:val="30"/>
        </w:numPr>
        <w:tabs>
          <w:tab w:val="left" w:pos="7380"/>
        </w:tabs>
        <w:spacing w:after="0"/>
        <w:ind w:left="714" w:hanging="357"/>
        <w:rPr>
          <w:rFonts w:ascii="Times New Roman" w:hAnsi="Times New Roman"/>
          <w:sz w:val="24"/>
          <w:szCs w:val="24"/>
        </w:rPr>
      </w:pPr>
      <w:r w:rsidRPr="00A931C3">
        <w:rPr>
          <w:rFonts w:ascii="Times New Roman" w:hAnsi="Times New Roman"/>
          <w:sz w:val="24"/>
          <w:szCs w:val="24"/>
        </w:rPr>
        <w:t>Add Operation Steadfast as a new warlike operation.</w:t>
      </w:r>
    </w:p>
    <w:p w14:paraId="7C7358E8" w14:textId="77777777" w:rsidR="00F9144C" w:rsidRDefault="00F9144C" w:rsidP="00056E7A">
      <w:pPr>
        <w:autoSpaceDE w:val="0"/>
        <w:autoSpaceDN w:val="0"/>
        <w:adjustRightInd w:val="0"/>
        <w:rPr>
          <w:rFonts w:ascii="Times New Roman" w:eastAsia="NotDefSpecial" w:hAnsi="Times New Roman"/>
          <w:sz w:val="24"/>
          <w:szCs w:val="24"/>
        </w:rPr>
      </w:pPr>
    </w:p>
    <w:p w14:paraId="7026AD92" w14:textId="77777777" w:rsidR="00056E7A" w:rsidRPr="00F9144C" w:rsidRDefault="00056E7A" w:rsidP="00056E7A">
      <w:pPr>
        <w:autoSpaceDE w:val="0"/>
        <w:autoSpaceDN w:val="0"/>
        <w:adjustRightInd w:val="0"/>
        <w:rPr>
          <w:rFonts w:ascii="Times New Roman" w:eastAsia="NotDefSpecial" w:hAnsi="Times New Roman"/>
          <w:sz w:val="24"/>
          <w:szCs w:val="24"/>
        </w:rPr>
      </w:pPr>
      <w:r w:rsidRPr="00F9144C">
        <w:rPr>
          <w:rFonts w:ascii="Times New Roman" w:eastAsia="NotDefSpecial" w:hAnsi="Times New Roman"/>
          <w:sz w:val="24"/>
          <w:szCs w:val="24"/>
        </w:rPr>
        <w:t>This Determination engages the following human rights.</w:t>
      </w:r>
    </w:p>
    <w:p w14:paraId="16DDAC75" w14:textId="77777777" w:rsidR="00056E7A" w:rsidRPr="00F9144C" w:rsidRDefault="00056E7A" w:rsidP="00056E7A">
      <w:pPr>
        <w:keepLines w:val="0"/>
        <w:autoSpaceDE w:val="0"/>
        <w:autoSpaceDN w:val="0"/>
        <w:adjustRightInd w:val="0"/>
        <w:ind w:left="720"/>
        <w:rPr>
          <w:rFonts w:ascii="Times New Roman" w:eastAsia="NotDefSpecial" w:hAnsi="Times New Roman"/>
          <w:sz w:val="24"/>
          <w:szCs w:val="24"/>
        </w:rPr>
      </w:pPr>
    </w:p>
    <w:p w14:paraId="512DC611" w14:textId="77777777" w:rsidR="00056E7A" w:rsidRPr="00F9144C" w:rsidRDefault="00056E7A" w:rsidP="00056E7A">
      <w:pPr>
        <w:keepLines w:val="0"/>
        <w:numPr>
          <w:ilvl w:val="0"/>
          <w:numId w:val="32"/>
        </w:numPr>
        <w:autoSpaceDE w:val="0"/>
        <w:autoSpaceDN w:val="0"/>
        <w:adjustRightInd w:val="0"/>
        <w:rPr>
          <w:rFonts w:ascii="Times New Roman" w:eastAsia="NotDefSpecial" w:hAnsi="Times New Roman"/>
          <w:sz w:val="24"/>
          <w:szCs w:val="24"/>
        </w:rPr>
      </w:pPr>
      <w:r w:rsidRPr="00F9144C">
        <w:rPr>
          <w:rFonts w:ascii="Times New Roman" w:eastAsia="NotDefSpecial" w:hAnsi="Times New Roman"/>
          <w:i/>
          <w:sz w:val="24"/>
          <w:szCs w:val="24"/>
        </w:rPr>
        <w:t>The right to health is the right to the enjoyment of the highest attainable standard of physical and mental health</w:t>
      </w:r>
      <w:r w:rsidRPr="00F9144C">
        <w:rPr>
          <w:rFonts w:ascii="Times New Roman" w:eastAsia="NotDefSpecial" w:hAnsi="Times New Roman"/>
          <w:sz w:val="24"/>
          <w:szCs w:val="24"/>
        </w:rPr>
        <w:t xml:space="preserve"> (article 12(1) International Covenant on Economic, Social and Cultural Rights).</w:t>
      </w:r>
    </w:p>
    <w:p w14:paraId="6414518A" w14:textId="77777777" w:rsidR="00056E7A" w:rsidRPr="00F9144C" w:rsidRDefault="00056E7A" w:rsidP="00056E7A">
      <w:pPr>
        <w:autoSpaceDE w:val="0"/>
        <w:autoSpaceDN w:val="0"/>
        <w:adjustRightInd w:val="0"/>
        <w:rPr>
          <w:rFonts w:ascii="Times New Roman" w:eastAsia="NotDefSpecial" w:hAnsi="Times New Roman"/>
          <w:sz w:val="24"/>
          <w:szCs w:val="24"/>
        </w:rPr>
      </w:pPr>
    </w:p>
    <w:p w14:paraId="7A891364" w14:textId="77777777" w:rsidR="00056E7A" w:rsidRPr="00F9144C" w:rsidRDefault="00056E7A" w:rsidP="00056E7A">
      <w:pPr>
        <w:keepLines w:val="0"/>
        <w:numPr>
          <w:ilvl w:val="0"/>
          <w:numId w:val="32"/>
        </w:numPr>
        <w:autoSpaceDE w:val="0"/>
        <w:autoSpaceDN w:val="0"/>
        <w:adjustRightInd w:val="0"/>
        <w:rPr>
          <w:rFonts w:ascii="Times New Roman" w:eastAsia="NotDefSpecial" w:hAnsi="Times New Roman"/>
          <w:sz w:val="24"/>
          <w:szCs w:val="24"/>
        </w:rPr>
      </w:pPr>
      <w:r w:rsidRPr="00F9144C">
        <w:rPr>
          <w:rFonts w:ascii="Times New Roman" w:eastAsia="NotDefSpecial" w:hAnsi="Times New Roman"/>
          <w:i/>
          <w:sz w:val="24"/>
          <w:szCs w:val="24"/>
        </w:rPr>
        <w:t>The right to social security requires a social security system be established and that a country must, within its maximum available resources, ensure access to a social security scheme</w:t>
      </w:r>
      <w:r w:rsidRPr="00F9144C">
        <w:rPr>
          <w:rFonts w:ascii="Times New Roman" w:eastAsia="NotDefSpecial" w:hAnsi="Times New Roman"/>
          <w:sz w:val="24"/>
          <w:szCs w:val="24"/>
        </w:rPr>
        <w:t xml:space="preserve"> (article 9 International Covenant on Economic, Social and Cultural Rights).</w:t>
      </w:r>
    </w:p>
    <w:p w14:paraId="77B9D19F" w14:textId="77777777" w:rsidR="00056E7A" w:rsidRPr="00F9144C" w:rsidRDefault="00056E7A" w:rsidP="00056E7A">
      <w:pPr>
        <w:autoSpaceDE w:val="0"/>
        <w:autoSpaceDN w:val="0"/>
        <w:adjustRightInd w:val="0"/>
        <w:rPr>
          <w:rFonts w:ascii="Times New Roman" w:eastAsia="NotDefSpecial" w:hAnsi="Times New Roman"/>
          <w:sz w:val="24"/>
          <w:szCs w:val="24"/>
        </w:rPr>
      </w:pPr>
    </w:p>
    <w:p w14:paraId="2EABA8FD" w14:textId="77777777" w:rsidR="00056E7A" w:rsidRPr="00F9144C" w:rsidRDefault="00056E7A" w:rsidP="00056E7A">
      <w:pPr>
        <w:keepLines w:val="0"/>
        <w:numPr>
          <w:ilvl w:val="0"/>
          <w:numId w:val="32"/>
        </w:numPr>
        <w:autoSpaceDE w:val="0"/>
        <w:autoSpaceDN w:val="0"/>
        <w:adjustRightInd w:val="0"/>
        <w:rPr>
          <w:rFonts w:ascii="Times New Roman" w:eastAsia="NotDefSpecial" w:hAnsi="Times New Roman"/>
          <w:sz w:val="24"/>
          <w:szCs w:val="24"/>
        </w:rPr>
      </w:pPr>
      <w:r w:rsidRPr="00F9144C">
        <w:rPr>
          <w:rFonts w:ascii="Times New Roman" w:eastAsia="NotDefSpecial" w:hAnsi="Times New Roman"/>
          <w:i/>
          <w:sz w:val="24"/>
          <w:szCs w:val="24"/>
        </w:rPr>
        <w:t>Live, take part and be included in the community</w:t>
      </w:r>
      <w:r w:rsidRPr="00F9144C">
        <w:rPr>
          <w:rFonts w:ascii="Times New Roman" w:eastAsia="NotDefSpecial" w:hAnsi="Times New Roman"/>
          <w:sz w:val="24"/>
          <w:szCs w:val="24"/>
        </w:rPr>
        <w:t xml:space="preserve"> (article 19 Convention on the Rights of Persons with Disabilities).</w:t>
      </w:r>
    </w:p>
    <w:p w14:paraId="0A7EBEDD" w14:textId="77777777" w:rsidR="00056E7A" w:rsidRPr="00F9144C" w:rsidRDefault="00056E7A" w:rsidP="00056E7A">
      <w:pPr>
        <w:autoSpaceDE w:val="0"/>
        <w:autoSpaceDN w:val="0"/>
        <w:adjustRightInd w:val="0"/>
        <w:rPr>
          <w:rFonts w:ascii="Times New Roman" w:eastAsia="NotDefSpecial" w:hAnsi="Times New Roman"/>
          <w:i/>
          <w:sz w:val="24"/>
          <w:szCs w:val="24"/>
        </w:rPr>
      </w:pPr>
    </w:p>
    <w:p w14:paraId="3B6CECAB" w14:textId="77777777" w:rsidR="00056E7A" w:rsidRPr="00F9144C" w:rsidRDefault="00056E7A" w:rsidP="00056E7A">
      <w:pPr>
        <w:autoSpaceDE w:val="0"/>
        <w:autoSpaceDN w:val="0"/>
        <w:adjustRightInd w:val="0"/>
        <w:rPr>
          <w:rFonts w:ascii="Times New Roman" w:eastAsia="NotDefSpecial" w:hAnsi="Times New Roman"/>
          <w:sz w:val="24"/>
          <w:szCs w:val="24"/>
        </w:rPr>
      </w:pPr>
      <w:r w:rsidRPr="00F9144C">
        <w:rPr>
          <w:rFonts w:ascii="Times New Roman" w:eastAsia="NotDefSpecial" w:hAnsi="Times New Roman"/>
          <w:i/>
          <w:sz w:val="24"/>
          <w:szCs w:val="24"/>
        </w:rPr>
        <w:t>Legitimate objective</w:t>
      </w:r>
      <w:r w:rsidRPr="00F9144C">
        <w:rPr>
          <w:rFonts w:ascii="Times New Roman" w:eastAsia="NotDefSpecial" w:hAnsi="Times New Roman"/>
          <w:sz w:val="24"/>
          <w:szCs w:val="24"/>
        </w:rPr>
        <w:t>: Defence members who become ill or injured in the course of duty may require special assistance and support on return from that duty. Whether an injury or illness is seen as arising out of duty may depend on the nature of the service that the member has been required to perform. The actual decision about whether the nature of service will be warlike or non-warlike is made by the Executive. This Determination ensures that the nature of service that a member provides is reflected in the level and type of benefits that they may be eligible for if they are ill or injured due to their Service.</w:t>
      </w:r>
    </w:p>
    <w:p w14:paraId="5CC0216E" w14:textId="77777777" w:rsidR="00056E7A" w:rsidRPr="00F9144C" w:rsidRDefault="00056E7A" w:rsidP="00056E7A">
      <w:pPr>
        <w:autoSpaceDE w:val="0"/>
        <w:autoSpaceDN w:val="0"/>
        <w:adjustRightInd w:val="0"/>
        <w:rPr>
          <w:rFonts w:ascii="Times New Roman" w:eastAsia="NotDefSpecial" w:hAnsi="Times New Roman"/>
          <w:sz w:val="24"/>
          <w:szCs w:val="24"/>
        </w:rPr>
      </w:pPr>
    </w:p>
    <w:p w14:paraId="51CF5379" w14:textId="77777777" w:rsidR="00056E7A" w:rsidRPr="00F9144C" w:rsidRDefault="00056E7A" w:rsidP="00056E7A">
      <w:pPr>
        <w:autoSpaceDE w:val="0"/>
        <w:autoSpaceDN w:val="0"/>
        <w:adjustRightInd w:val="0"/>
        <w:rPr>
          <w:rFonts w:ascii="Times New Roman" w:eastAsia="NotDefSpecial" w:hAnsi="Times New Roman"/>
          <w:sz w:val="24"/>
          <w:szCs w:val="24"/>
        </w:rPr>
      </w:pPr>
      <w:r w:rsidRPr="00F9144C">
        <w:rPr>
          <w:rFonts w:ascii="Times New Roman" w:eastAsia="NotDefSpecial" w:hAnsi="Times New Roman"/>
          <w:sz w:val="24"/>
          <w:szCs w:val="24"/>
        </w:rPr>
        <w:t>The historical dates in this Determination do not affect the rights of any persons (other than the Commonwealth) so as to disadvantage those persons nor does it impose liabilities (other than on the Commonwealth) in respect of anything done before the date this Determination is registered. It is a beneficial legislative instrument.</w:t>
      </w:r>
    </w:p>
    <w:p w14:paraId="19C232FC" w14:textId="77777777" w:rsidR="00056E7A" w:rsidRPr="00F9144C" w:rsidRDefault="00056E7A" w:rsidP="00056E7A">
      <w:pPr>
        <w:autoSpaceDE w:val="0"/>
        <w:autoSpaceDN w:val="0"/>
        <w:adjustRightInd w:val="0"/>
        <w:rPr>
          <w:rFonts w:ascii="Times New Roman" w:eastAsia="NotDefSpecial" w:hAnsi="Times New Roman"/>
          <w:sz w:val="24"/>
          <w:szCs w:val="24"/>
        </w:rPr>
      </w:pPr>
    </w:p>
    <w:p w14:paraId="4A2AA1D9" w14:textId="77777777" w:rsidR="00056E7A" w:rsidRPr="00F9144C" w:rsidRDefault="00056E7A" w:rsidP="00056E7A">
      <w:pPr>
        <w:autoSpaceDE w:val="0"/>
        <w:autoSpaceDN w:val="0"/>
        <w:adjustRightInd w:val="0"/>
        <w:rPr>
          <w:rFonts w:ascii="Times New Roman" w:eastAsia="NotDefSpecial" w:hAnsi="Times New Roman"/>
          <w:sz w:val="24"/>
          <w:szCs w:val="24"/>
        </w:rPr>
      </w:pPr>
      <w:r w:rsidRPr="00F9144C">
        <w:rPr>
          <w:rFonts w:ascii="Times New Roman" w:eastAsia="NotDefSpecial" w:hAnsi="Times New Roman"/>
          <w:i/>
          <w:sz w:val="24"/>
          <w:szCs w:val="24"/>
        </w:rPr>
        <w:t>Reasonable, necessary and proportionate</w:t>
      </w:r>
      <w:r w:rsidRPr="00F9144C">
        <w:rPr>
          <w:rFonts w:ascii="Times New Roman" w:eastAsia="NotDefSpecial" w:hAnsi="Times New Roman"/>
          <w:sz w:val="24"/>
          <w:szCs w:val="24"/>
        </w:rPr>
        <w:t>: Determining the nature of service that a member has provided allows the relevant level of additional support to be provided to assist the member with the health care and other needs that they may have as a member. Benefits may also be provided to a member's dependants, who are directly affected by the additional needs that a member may have as a result of their illness or injury.</w:t>
      </w:r>
    </w:p>
    <w:p w14:paraId="608FD36D" w14:textId="77777777" w:rsidR="00056E7A" w:rsidRPr="00F9144C" w:rsidRDefault="00056E7A" w:rsidP="00056E7A">
      <w:pPr>
        <w:autoSpaceDE w:val="0"/>
        <w:autoSpaceDN w:val="0"/>
        <w:adjustRightInd w:val="0"/>
        <w:rPr>
          <w:rFonts w:ascii="Times New Roman" w:eastAsia="NotDefSpecial" w:hAnsi="Times New Roman"/>
          <w:sz w:val="24"/>
          <w:szCs w:val="24"/>
        </w:rPr>
      </w:pPr>
    </w:p>
    <w:p w14:paraId="08AEF563" w14:textId="5C6A5E1F" w:rsidR="00056E7A" w:rsidRPr="00F9144C" w:rsidRDefault="00056E7A" w:rsidP="00056E7A">
      <w:pPr>
        <w:autoSpaceDE w:val="0"/>
        <w:autoSpaceDN w:val="0"/>
        <w:adjustRightInd w:val="0"/>
        <w:rPr>
          <w:rFonts w:ascii="Times New Roman" w:eastAsia="NotDefSpecial" w:hAnsi="Times New Roman"/>
          <w:sz w:val="24"/>
          <w:szCs w:val="24"/>
        </w:rPr>
      </w:pPr>
      <w:r w:rsidRPr="00F9144C">
        <w:rPr>
          <w:rFonts w:ascii="Times New Roman" w:eastAsia="NotDefSpecial" w:hAnsi="Times New Roman"/>
          <w:sz w:val="24"/>
          <w:szCs w:val="24"/>
        </w:rPr>
        <w:t>Although the application for benefits may require some provision of personal information and some limitation on the suppliers of health treatment and benefits that are provided, these restricti</w:t>
      </w:r>
      <w:r w:rsidR="00D579B6">
        <w:rPr>
          <w:rFonts w:ascii="Times New Roman" w:eastAsia="NotDefSpecial" w:hAnsi="Times New Roman"/>
          <w:sz w:val="24"/>
          <w:szCs w:val="24"/>
        </w:rPr>
        <w:t>ons are considered proportional.</w:t>
      </w:r>
    </w:p>
    <w:p w14:paraId="3B0882F3" w14:textId="77777777" w:rsidR="00056E7A" w:rsidRPr="00F9144C" w:rsidRDefault="00056E7A" w:rsidP="00056E7A">
      <w:pPr>
        <w:autoSpaceDE w:val="0"/>
        <w:autoSpaceDN w:val="0"/>
        <w:adjustRightInd w:val="0"/>
        <w:rPr>
          <w:rFonts w:ascii="Times New Roman" w:eastAsia="NotDefSpecial" w:hAnsi="Times New Roman"/>
          <w:sz w:val="24"/>
          <w:szCs w:val="24"/>
        </w:rPr>
      </w:pPr>
    </w:p>
    <w:p w14:paraId="50946FA8" w14:textId="36C28678" w:rsidR="00056E7A" w:rsidRPr="00F9144C" w:rsidRDefault="00D579B6" w:rsidP="00056E7A">
      <w:pPr>
        <w:keepLines w:val="0"/>
        <w:numPr>
          <w:ilvl w:val="0"/>
          <w:numId w:val="33"/>
        </w:numPr>
        <w:autoSpaceDE w:val="0"/>
        <w:autoSpaceDN w:val="0"/>
        <w:adjustRightInd w:val="0"/>
        <w:rPr>
          <w:rFonts w:ascii="Times New Roman" w:eastAsia="NotDefSpecial" w:hAnsi="Times New Roman"/>
          <w:sz w:val="24"/>
          <w:szCs w:val="24"/>
        </w:rPr>
      </w:pPr>
      <w:r>
        <w:rPr>
          <w:rFonts w:ascii="Times New Roman" w:eastAsia="NotDefSpecial" w:hAnsi="Times New Roman"/>
          <w:sz w:val="24"/>
          <w:szCs w:val="24"/>
        </w:rPr>
        <w:t>T</w:t>
      </w:r>
      <w:r w:rsidR="00056E7A" w:rsidRPr="00F9144C">
        <w:rPr>
          <w:rFonts w:ascii="Times New Roman" w:eastAsia="NotDefSpecial" w:hAnsi="Times New Roman"/>
          <w:sz w:val="24"/>
          <w:szCs w:val="24"/>
        </w:rPr>
        <w:t>he personal information is treated in accordance with legislated privacy protections; and</w:t>
      </w:r>
    </w:p>
    <w:p w14:paraId="698C4F87" w14:textId="77777777" w:rsidR="00056E7A" w:rsidRPr="00F9144C" w:rsidRDefault="00056E7A" w:rsidP="00056E7A">
      <w:pPr>
        <w:autoSpaceDE w:val="0"/>
        <w:autoSpaceDN w:val="0"/>
        <w:adjustRightInd w:val="0"/>
        <w:rPr>
          <w:rFonts w:ascii="Times New Roman" w:eastAsia="NotDefSpecial" w:hAnsi="Times New Roman"/>
          <w:sz w:val="24"/>
          <w:szCs w:val="24"/>
        </w:rPr>
      </w:pPr>
    </w:p>
    <w:p w14:paraId="46D3E388" w14:textId="6B32F9A3" w:rsidR="00056E7A" w:rsidRPr="00F9144C" w:rsidRDefault="00D579B6" w:rsidP="00056E7A">
      <w:pPr>
        <w:keepLines w:val="0"/>
        <w:numPr>
          <w:ilvl w:val="0"/>
          <w:numId w:val="33"/>
        </w:numPr>
        <w:autoSpaceDE w:val="0"/>
        <w:autoSpaceDN w:val="0"/>
        <w:adjustRightInd w:val="0"/>
        <w:spacing w:after="200" w:line="276" w:lineRule="auto"/>
        <w:rPr>
          <w:rFonts w:ascii="Times New Roman" w:eastAsia="NotDefSpecial" w:hAnsi="Times New Roman"/>
          <w:sz w:val="24"/>
          <w:szCs w:val="24"/>
        </w:rPr>
      </w:pPr>
      <w:r>
        <w:rPr>
          <w:rFonts w:ascii="Times New Roman" w:eastAsia="NotDefSpecial" w:hAnsi="Times New Roman"/>
          <w:sz w:val="24"/>
          <w:szCs w:val="24"/>
        </w:rPr>
        <w:t>T</w:t>
      </w:r>
      <w:r w:rsidR="00056E7A" w:rsidRPr="00F9144C">
        <w:rPr>
          <w:rFonts w:ascii="Times New Roman" w:eastAsia="NotDefSpecial" w:hAnsi="Times New Roman"/>
          <w:sz w:val="24"/>
          <w:szCs w:val="24"/>
        </w:rPr>
        <w:t>he benefits are additional to those provided to the general public and address a special need arising out of a member's injury or illness.</w:t>
      </w:r>
    </w:p>
    <w:p w14:paraId="49CCAB0D" w14:textId="77777777" w:rsidR="00056E7A" w:rsidRPr="00F9144C" w:rsidRDefault="00056E7A" w:rsidP="00056E7A">
      <w:pPr>
        <w:spacing w:after="200"/>
        <w:rPr>
          <w:rFonts w:ascii="Times New Roman" w:hAnsi="Times New Roman"/>
          <w:b/>
          <w:sz w:val="24"/>
          <w:szCs w:val="24"/>
        </w:rPr>
      </w:pPr>
      <w:r w:rsidRPr="00F9144C">
        <w:rPr>
          <w:rFonts w:ascii="Times New Roman" w:hAnsi="Times New Roman"/>
          <w:b/>
          <w:sz w:val="24"/>
          <w:szCs w:val="24"/>
        </w:rPr>
        <w:t>Conclusion</w:t>
      </w:r>
    </w:p>
    <w:p w14:paraId="4BCAF8F9" w14:textId="77777777" w:rsidR="00056E7A" w:rsidRPr="00F9144C" w:rsidRDefault="00056E7A" w:rsidP="00056E7A">
      <w:pPr>
        <w:spacing w:after="200"/>
        <w:rPr>
          <w:rFonts w:ascii="Times New Roman" w:hAnsi="Times New Roman"/>
          <w:sz w:val="24"/>
          <w:szCs w:val="24"/>
        </w:rPr>
      </w:pPr>
      <w:r w:rsidRPr="00F9144C">
        <w:rPr>
          <w:rFonts w:ascii="Times New Roman" w:hAnsi="Times New Roman"/>
          <w:sz w:val="24"/>
          <w:szCs w:val="24"/>
        </w:rPr>
        <w:t>This Determination is compatible with human rights because to the extent that it may limit human rights, those limitations are reasonable, necessary and proportionate.</w:t>
      </w:r>
    </w:p>
    <w:p w14:paraId="44BE4DD6" w14:textId="06A42224" w:rsidR="00056E7A" w:rsidRPr="0072328E" w:rsidRDefault="00056E7A" w:rsidP="00056E7A">
      <w:pPr>
        <w:spacing w:after="200"/>
        <w:jc w:val="center"/>
        <w:rPr>
          <w:rFonts w:ascii="Times New Roman" w:hAnsi="Times New Roman"/>
          <w:sz w:val="24"/>
          <w:szCs w:val="24"/>
        </w:rPr>
      </w:pPr>
      <w:r w:rsidRPr="0072328E">
        <w:rPr>
          <w:rFonts w:ascii="Times New Roman" w:hAnsi="Times New Roman"/>
          <w:sz w:val="24"/>
          <w:szCs w:val="24"/>
        </w:rPr>
        <w:t xml:space="preserve">Darren Chester, Minister for </w:t>
      </w:r>
      <w:r w:rsidR="0072328E" w:rsidRPr="0072328E">
        <w:rPr>
          <w:rFonts w:ascii="Times New Roman" w:hAnsi="Times New Roman"/>
          <w:sz w:val="24"/>
          <w:szCs w:val="24"/>
        </w:rPr>
        <w:t>Veterans and</w:t>
      </w:r>
      <w:r w:rsidR="0072328E" w:rsidRPr="0072328E">
        <w:rPr>
          <w:sz w:val="24"/>
          <w:szCs w:val="24"/>
        </w:rPr>
        <w:t xml:space="preserve"> </w:t>
      </w:r>
      <w:r w:rsidRPr="0072328E">
        <w:rPr>
          <w:rFonts w:ascii="Times New Roman" w:hAnsi="Times New Roman"/>
          <w:sz w:val="24"/>
          <w:szCs w:val="24"/>
        </w:rPr>
        <w:t>Defence Personnel</w:t>
      </w:r>
    </w:p>
    <w:p w14:paraId="53BCDB5D" w14:textId="77777777" w:rsidR="00056E7A" w:rsidRDefault="00056E7A" w:rsidP="00056E7A">
      <w:pPr>
        <w:pStyle w:val="BlockText-Plain"/>
      </w:pPr>
    </w:p>
    <w:p w14:paraId="0F3869B6" w14:textId="77777777" w:rsidR="00210A30" w:rsidRPr="00982EFC" w:rsidRDefault="00210A30" w:rsidP="00210A30">
      <w:pPr>
        <w:pStyle w:val="BlockText-Plain"/>
        <w:rPr>
          <w:rFonts w:ascii="Times New Roman" w:hAnsi="Times New Roman"/>
        </w:rPr>
      </w:pPr>
    </w:p>
    <w:p w14:paraId="023C2651" w14:textId="77777777" w:rsidR="00210A30" w:rsidRDefault="00210A30" w:rsidP="00210A30">
      <w:pPr>
        <w:pStyle w:val="BlockText-Plain"/>
      </w:pPr>
    </w:p>
    <w:p w14:paraId="58969192" w14:textId="77777777" w:rsidR="00D861BC" w:rsidRDefault="00D861BC"/>
    <w:sectPr w:rsidR="00D861BC" w:rsidSect="003652AA">
      <w:headerReference w:type="default" r:id="rId8"/>
      <w:footerReference w:type="default" r:id="rId9"/>
      <w:headerReference w:type="first" r:id="rId10"/>
      <w:footerReference w:type="first" r:id="rId11"/>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28D8F" w14:textId="77777777" w:rsidR="007E01C5" w:rsidRDefault="007E01C5">
      <w:r>
        <w:separator/>
      </w:r>
    </w:p>
  </w:endnote>
  <w:endnote w:type="continuationSeparator" w:id="0">
    <w:p w14:paraId="4B8F876C" w14:textId="77777777" w:rsidR="007E01C5" w:rsidRDefault="007E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DBB9" w14:textId="77777777" w:rsidR="002B2830" w:rsidRDefault="007E01C5">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77D9" w14:textId="77777777" w:rsidR="002B2830" w:rsidRDefault="007E01C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6E97" w14:textId="77777777" w:rsidR="007E01C5" w:rsidRDefault="007E01C5">
      <w:r>
        <w:separator/>
      </w:r>
    </w:p>
  </w:footnote>
  <w:footnote w:type="continuationSeparator" w:id="0">
    <w:p w14:paraId="697BA290" w14:textId="77777777" w:rsidR="007E01C5" w:rsidRDefault="007E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D20A" w14:textId="77777777" w:rsidR="003652AA" w:rsidRDefault="007E01C5"/>
  <w:p w14:paraId="4D57C5CA" w14:textId="77777777" w:rsidR="003652AA" w:rsidRDefault="007E01C5">
    <w:pPr>
      <w:tabs>
        <w:tab w:val="right" w:pos="2410"/>
      </w:tabs>
      <w:ind w:left="2835" w:hanging="2835"/>
    </w:pPr>
  </w:p>
  <w:p w14:paraId="3B4BAF79" w14:textId="77777777" w:rsidR="003652AA" w:rsidRDefault="007E01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B28B" w14:textId="77777777" w:rsidR="003652AA" w:rsidRDefault="007E01C5"/>
  <w:p w14:paraId="439758B6" w14:textId="77777777" w:rsidR="003652AA" w:rsidRDefault="007E01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25pt;height:44.25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9E4C1E"/>
    <w:multiLevelType w:val="hybridMultilevel"/>
    <w:tmpl w:val="CE70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2"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3"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7"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947667"/>
    <w:multiLevelType w:val="hybridMultilevel"/>
    <w:tmpl w:val="275EC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3F8667D"/>
    <w:multiLevelType w:val="hybridMultilevel"/>
    <w:tmpl w:val="46B896A2"/>
    <w:lvl w:ilvl="0" w:tplc="5894824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24"/>
  </w:num>
  <w:num w:numId="14">
    <w:abstractNumId w:val="14"/>
  </w:num>
  <w:num w:numId="15">
    <w:abstractNumId w:val="29"/>
  </w:num>
  <w:num w:numId="16">
    <w:abstractNumId w:val="16"/>
  </w:num>
  <w:num w:numId="17">
    <w:abstractNumId w:val="20"/>
  </w:num>
  <w:num w:numId="18">
    <w:abstractNumId w:val="17"/>
  </w:num>
  <w:num w:numId="19">
    <w:abstractNumId w:val="30"/>
  </w:num>
  <w:num w:numId="20">
    <w:abstractNumId w:val="22"/>
  </w:num>
  <w:num w:numId="21">
    <w:abstractNumId w:val="26"/>
  </w:num>
  <w:num w:numId="22">
    <w:abstractNumId w:val="21"/>
  </w:num>
  <w:num w:numId="23">
    <w:abstractNumId w:val="28"/>
  </w:num>
  <w:num w:numId="24">
    <w:abstractNumId w:val="27"/>
  </w:num>
  <w:num w:numId="25">
    <w:abstractNumId w:val="15"/>
  </w:num>
  <w:num w:numId="26">
    <w:abstractNumId w:val="18"/>
  </w:num>
  <w:num w:numId="27">
    <w:abstractNumId w:val="12"/>
  </w:num>
  <w:num w:numId="28">
    <w:abstractNumId w:val="13"/>
  </w:num>
  <w:num w:numId="29">
    <w:abstractNumId w:val="25"/>
  </w:num>
  <w:num w:numId="30">
    <w:abstractNumId w:val="10"/>
  </w:num>
  <w:num w:numId="31">
    <w:abstractNumId w:val="19"/>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00CE0"/>
    <w:rsid w:val="0000250C"/>
    <w:rsid w:val="000076F8"/>
    <w:rsid w:val="00015858"/>
    <w:rsid w:val="00023154"/>
    <w:rsid w:val="000359B9"/>
    <w:rsid w:val="000425E5"/>
    <w:rsid w:val="00046C96"/>
    <w:rsid w:val="00052BBE"/>
    <w:rsid w:val="00053C86"/>
    <w:rsid w:val="00056E7A"/>
    <w:rsid w:val="000665BA"/>
    <w:rsid w:val="00070CD5"/>
    <w:rsid w:val="00074A36"/>
    <w:rsid w:val="000771EB"/>
    <w:rsid w:val="00096AFA"/>
    <w:rsid w:val="000A3C96"/>
    <w:rsid w:val="000B3013"/>
    <w:rsid w:val="000C4E9E"/>
    <w:rsid w:val="000F25DA"/>
    <w:rsid w:val="001016E6"/>
    <w:rsid w:val="00102EEE"/>
    <w:rsid w:val="0010489C"/>
    <w:rsid w:val="00107E69"/>
    <w:rsid w:val="00116C5A"/>
    <w:rsid w:val="00137067"/>
    <w:rsid w:val="00142A81"/>
    <w:rsid w:val="001626C8"/>
    <w:rsid w:val="00165989"/>
    <w:rsid w:val="001712F3"/>
    <w:rsid w:val="001808F9"/>
    <w:rsid w:val="001B105B"/>
    <w:rsid w:val="001D6EA5"/>
    <w:rsid w:val="0020241E"/>
    <w:rsid w:val="002025BB"/>
    <w:rsid w:val="00210A30"/>
    <w:rsid w:val="00213E2D"/>
    <w:rsid w:val="002300AD"/>
    <w:rsid w:val="002536E1"/>
    <w:rsid w:val="002624D4"/>
    <w:rsid w:val="00272E47"/>
    <w:rsid w:val="00273B59"/>
    <w:rsid w:val="00276804"/>
    <w:rsid w:val="00282A0C"/>
    <w:rsid w:val="00283833"/>
    <w:rsid w:val="00287A5F"/>
    <w:rsid w:val="002A5853"/>
    <w:rsid w:val="002B5CAD"/>
    <w:rsid w:val="002B6403"/>
    <w:rsid w:val="002C1296"/>
    <w:rsid w:val="002C3F1D"/>
    <w:rsid w:val="002C3F4D"/>
    <w:rsid w:val="002C7112"/>
    <w:rsid w:val="0030388A"/>
    <w:rsid w:val="00314A6E"/>
    <w:rsid w:val="00315D3B"/>
    <w:rsid w:val="00320753"/>
    <w:rsid w:val="00327390"/>
    <w:rsid w:val="00340370"/>
    <w:rsid w:val="003726E6"/>
    <w:rsid w:val="00372D52"/>
    <w:rsid w:val="003761E4"/>
    <w:rsid w:val="0038728C"/>
    <w:rsid w:val="00387403"/>
    <w:rsid w:val="003A0474"/>
    <w:rsid w:val="003B261A"/>
    <w:rsid w:val="003B4D02"/>
    <w:rsid w:val="003B6704"/>
    <w:rsid w:val="003D6E57"/>
    <w:rsid w:val="003D7335"/>
    <w:rsid w:val="003F387F"/>
    <w:rsid w:val="00432BE2"/>
    <w:rsid w:val="0046127E"/>
    <w:rsid w:val="0046294A"/>
    <w:rsid w:val="0046658F"/>
    <w:rsid w:val="0046743C"/>
    <w:rsid w:val="0046772E"/>
    <w:rsid w:val="0049698B"/>
    <w:rsid w:val="004A2688"/>
    <w:rsid w:val="004B16B4"/>
    <w:rsid w:val="004B36E2"/>
    <w:rsid w:val="004D0B79"/>
    <w:rsid w:val="004E587B"/>
    <w:rsid w:val="0050658F"/>
    <w:rsid w:val="005100A0"/>
    <w:rsid w:val="00522D93"/>
    <w:rsid w:val="00527589"/>
    <w:rsid w:val="00564A5E"/>
    <w:rsid w:val="00567084"/>
    <w:rsid w:val="00582582"/>
    <w:rsid w:val="00585C46"/>
    <w:rsid w:val="00587850"/>
    <w:rsid w:val="005A02C8"/>
    <w:rsid w:val="005A08AB"/>
    <w:rsid w:val="005B34BA"/>
    <w:rsid w:val="005B67CA"/>
    <w:rsid w:val="005C4B55"/>
    <w:rsid w:val="005C6A54"/>
    <w:rsid w:val="005E6B53"/>
    <w:rsid w:val="00600F3F"/>
    <w:rsid w:val="00611880"/>
    <w:rsid w:val="00617116"/>
    <w:rsid w:val="00623B17"/>
    <w:rsid w:val="00630079"/>
    <w:rsid w:val="00637336"/>
    <w:rsid w:val="00670294"/>
    <w:rsid w:val="006A29DB"/>
    <w:rsid w:val="006A3588"/>
    <w:rsid w:val="006A77C4"/>
    <w:rsid w:val="006B5BDB"/>
    <w:rsid w:val="006B6FBA"/>
    <w:rsid w:val="006D0638"/>
    <w:rsid w:val="006D4435"/>
    <w:rsid w:val="006F0719"/>
    <w:rsid w:val="006F5301"/>
    <w:rsid w:val="00710738"/>
    <w:rsid w:val="00710E50"/>
    <w:rsid w:val="007138BC"/>
    <w:rsid w:val="00713F48"/>
    <w:rsid w:val="0072328E"/>
    <w:rsid w:val="00726240"/>
    <w:rsid w:val="00735817"/>
    <w:rsid w:val="007473CD"/>
    <w:rsid w:val="00747B9F"/>
    <w:rsid w:val="007668C3"/>
    <w:rsid w:val="00780D8E"/>
    <w:rsid w:val="00783217"/>
    <w:rsid w:val="00792D4D"/>
    <w:rsid w:val="007974C0"/>
    <w:rsid w:val="007C4CFE"/>
    <w:rsid w:val="007D090F"/>
    <w:rsid w:val="007D5D64"/>
    <w:rsid w:val="007E01C5"/>
    <w:rsid w:val="007F591C"/>
    <w:rsid w:val="007F6143"/>
    <w:rsid w:val="008067FC"/>
    <w:rsid w:val="00811CD9"/>
    <w:rsid w:val="00814E4C"/>
    <w:rsid w:val="00837D7F"/>
    <w:rsid w:val="00837FBE"/>
    <w:rsid w:val="0085766C"/>
    <w:rsid w:val="00886764"/>
    <w:rsid w:val="00887B85"/>
    <w:rsid w:val="00893561"/>
    <w:rsid w:val="008A0F15"/>
    <w:rsid w:val="008A42D5"/>
    <w:rsid w:val="008B175A"/>
    <w:rsid w:val="008B4416"/>
    <w:rsid w:val="008B4CE7"/>
    <w:rsid w:val="008C2140"/>
    <w:rsid w:val="008D51C8"/>
    <w:rsid w:val="008E0FC3"/>
    <w:rsid w:val="008E4164"/>
    <w:rsid w:val="008E55F4"/>
    <w:rsid w:val="008F047D"/>
    <w:rsid w:val="008F5D81"/>
    <w:rsid w:val="00901FB0"/>
    <w:rsid w:val="00903506"/>
    <w:rsid w:val="009035DB"/>
    <w:rsid w:val="009108E5"/>
    <w:rsid w:val="00925A86"/>
    <w:rsid w:val="0094389A"/>
    <w:rsid w:val="00946619"/>
    <w:rsid w:val="00974C19"/>
    <w:rsid w:val="00982EFC"/>
    <w:rsid w:val="00983A5D"/>
    <w:rsid w:val="009858C2"/>
    <w:rsid w:val="009974CF"/>
    <w:rsid w:val="00997B86"/>
    <w:rsid w:val="009A0D14"/>
    <w:rsid w:val="009A2F79"/>
    <w:rsid w:val="009A31D4"/>
    <w:rsid w:val="009B358C"/>
    <w:rsid w:val="009C6A5E"/>
    <w:rsid w:val="009D393B"/>
    <w:rsid w:val="009D72F4"/>
    <w:rsid w:val="009E6917"/>
    <w:rsid w:val="00A10A56"/>
    <w:rsid w:val="00A13F82"/>
    <w:rsid w:val="00A23491"/>
    <w:rsid w:val="00A5032A"/>
    <w:rsid w:val="00A510D6"/>
    <w:rsid w:val="00A63819"/>
    <w:rsid w:val="00A76A16"/>
    <w:rsid w:val="00A876BF"/>
    <w:rsid w:val="00A91545"/>
    <w:rsid w:val="00A9224C"/>
    <w:rsid w:val="00A931C3"/>
    <w:rsid w:val="00AB48A5"/>
    <w:rsid w:val="00AC28AA"/>
    <w:rsid w:val="00AC3016"/>
    <w:rsid w:val="00AE1CD9"/>
    <w:rsid w:val="00AE273B"/>
    <w:rsid w:val="00AE5B53"/>
    <w:rsid w:val="00AF1D4C"/>
    <w:rsid w:val="00AF21B6"/>
    <w:rsid w:val="00AF7AC6"/>
    <w:rsid w:val="00B02BB9"/>
    <w:rsid w:val="00B05214"/>
    <w:rsid w:val="00B2669C"/>
    <w:rsid w:val="00B51D41"/>
    <w:rsid w:val="00B54903"/>
    <w:rsid w:val="00B5780B"/>
    <w:rsid w:val="00B6358A"/>
    <w:rsid w:val="00B679AB"/>
    <w:rsid w:val="00B72A9A"/>
    <w:rsid w:val="00B72D1C"/>
    <w:rsid w:val="00B924FB"/>
    <w:rsid w:val="00B966A7"/>
    <w:rsid w:val="00BA621A"/>
    <w:rsid w:val="00BB52E7"/>
    <w:rsid w:val="00BC44C8"/>
    <w:rsid w:val="00BE049C"/>
    <w:rsid w:val="00BE3354"/>
    <w:rsid w:val="00BF708B"/>
    <w:rsid w:val="00C20FDA"/>
    <w:rsid w:val="00C25BF6"/>
    <w:rsid w:val="00C26F13"/>
    <w:rsid w:val="00CA3457"/>
    <w:rsid w:val="00CB3E56"/>
    <w:rsid w:val="00CB57B8"/>
    <w:rsid w:val="00CC5A26"/>
    <w:rsid w:val="00CD6E61"/>
    <w:rsid w:val="00CE2AF8"/>
    <w:rsid w:val="00CE64D0"/>
    <w:rsid w:val="00D0277C"/>
    <w:rsid w:val="00D0638B"/>
    <w:rsid w:val="00D2025C"/>
    <w:rsid w:val="00D22B9C"/>
    <w:rsid w:val="00D31295"/>
    <w:rsid w:val="00D31BA9"/>
    <w:rsid w:val="00D33BE5"/>
    <w:rsid w:val="00D46E7C"/>
    <w:rsid w:val="00D579B6"/>
    <w:rsid w:val="00D65502"/>
    <w:rsid w:val="00D72E0B"/>
    <w:rsid w:val="00D8240D"/>
    <w:rsid w:val="00D861BC"/>
    <w:rsid w:val="00D87B52"/>
    <w:rsid w:val="00D974B8"/>
    <w:rsid w:val="00DC3F28"/>
    <w:rsid w:val="00DC560D"/>
    <w:rsid w:val="00DD1C62"/>
    <w:rsid w:val="00DD261F"/>
    <w:rsid w:val="00DF3C8E"/>
    <w:rsid w:val="00DF7C80"/>
    <w:rsid w:val="00E02BD4"/>
    <w:rsid w:val="00E040A0"/>
    <w:rsid w:val="00E0479D"/>
    <w:rsid w:val="00E04AAA"/>
    <w:rsid w:val="00E07015"/>
    <w:rsid w:val="00E07A31"/>
    <w:rsid w:val="00E1367B"/>
    <w:rsid w:val="00E2564F"/>
    <w:rsid w:val="00E26BDF"/>
    <w:rsid w:val="00E370FA"/>
    <w:rsid w:val="00E415FB"/>
    <w:rsid w:val="00E447F0"/>
    <w:rsid w:val="00E46392"/>
    <w:rsid w:val="00E46787"/>
    <w:rsid w:val="00E66941"/>
    <w:rsid w:val="00EB48EB"/>
    <w:rsid w:val="00EC73C6"/>
    <w:rsid w:val="00ED5E3D"/>
    <w:rsid w:val="00EE0EFC"/>
    <w:rsid w:val="00EF112C"/>
    <w:rsid w:val="00EF390C"/>
    <w:rsid w:val="00EF7BCC"/>
    <w:rsid w:val="00F00D5F"/>
    <w:rsid w:val="00F02853"/>
    <w:rsid w:val="00F26FD7"/>
    <w:rsid w:val="00F63861"/>
    <w:rsid w:val="00F64743"/>
    <w:rsid w:val="00F9144C"/>
    <w:rsid w:val="00F97C67"/>
    <w:rsid w:val="00FA2EA6"/>
    <w:rsid w:val="00FB63F1"/>
    <w:rsid w:val="00FB6AEB"/>
    <w:rsid w:val="00FC04BE"/>
    <w:rsid w:val="00FF67E3"/>
    <w:rsid w:val="00FF6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6496B"/>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nhideWhenUsed/>
    <w:rsid w:val="009035DB"/>
    <w:pPr>
      <w:tabs>
        <w:tab w:val="center" w:pos="4513"/>
        <w:tab w:val="right" w:pos="9026"/>
      </w:tabs>
    </w:pPr>
  </w:style>
  <w:style w:type="character" w:customStyle="1" w:styleId="HeaderChar">
    <w:name w:val="Header Char"/>
    <w:basedOn w:val="DefaultParagraphFont"/>
    <w:link w:val="Header"/>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aliases w:val="a"/>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semiHidden/>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semiHidden/>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FB63F1"/>
    <w:pPr>
      <w:keepLines w:val="0"/>
      <w:spacing w:before="60" w:line="240" w:lineRule="atLeast"/>
    </w:pPr>
    <w:rPr>
      <w:rFonts w:ascii="Times New Roman" w:hAnsi="Times New Roman"/>
      <w:sz w:val="20"/>
    </w:rPr>
  </w:style>
  <w:style w:type="paragraph" w:customStyle="1" w:styleId="TableHeading">
    <w:name w:val="TableHeading"/>
    <w:aliases w:val="th"/>
    <w:basedOn w:val="Normal"/>
    <w:next w:val="Tabletext1"/>
    <w:rsid w:val="00FB63F1"/>
    <w:pPr>
      <w:keepNext/>
      <w:keepLines w:val="0"/>
      <w:spacing w:before="60" w:line="240" w:lineRule="atLeast"/>
    </w:pPr>
    <w:rPr>
      <w:rFonts w:ascii="Times New Roman" w:hAnsi="Times New Roman"/>
      <w:b/>
      <w:sz w:val="20"/>
    </w:rPr>
  </w:style>
  <w:style w:type="paragraph" w:customStyle="1" w:styleId="Tablea">
    <w:name w:val="Table(a)"/>
    <w:aliases w:val="ta"/>
    <w:basedOn w:val="Normal"/>
    <w:rsid w:val="008E4164"/>
    <w:pPr>
      <w:keepLines w:val="0"/>
      <w:spacing w:before="60"/>
      <w:ind w:left="284" w:hanging="284"/>
    </w:pPr>
    <w:rPr>
      <w:rFonts w:ascii="Times New Roman" w:hAnsi="Times New Roman"/>
      <w:sz w:val="20"/>
    </w:rPr>
  </w:style>
  <w:style w:type="paragraph" w:customStyle="1" w:styleId="ActHead60">
    <w:name w:val="ActHead 6"/>
    <w:aliases w:val="as"/>
    <w:basedOn w:val="Normal"/>
    <w:next w:val="Normal"/>
    <w:qFormat/>
    <w:rsid w:val="007F6143"/>
    <w:pPr>
      <w:keepNext/>
      <w:ind w:left="1134" w:hanging="1134"/>
      <w:outlineLvl w:val="5"/>
    </w:pPr>
    <w:rPr>
      <w:b/>
      <w:kern w:val="28"/>
      <w:sz w:val="32"/>
    </w:rPr>
  </w:style>
  <w:style w:type="paragraph" w:customStyle="1" w:styleId="ActHead9">
    <w:name w:val="ActHead 9"/>
    <w:aliases w:val="aat"/>
    <w:basedOn w:val="Normal"/>
    <w:next w:val="ItemHead"/>
    <w:qFormat/>
    <w:rsid w:val="007F6143"/>
    <w:pPr>
      <w:keepNext/>
      <w:spacing w:before="280"/>
      <w:ind w:left="1134" w:hanging="1134"/>
      <w:outlineLvl w:val="8"/>
    </w:pPr>
    <w:rPr>
      <w:rFonts w:ascii="Times New Roman" w:hAnsi="Times New Roman"/>
      <w:b/>
      <w:i/>
      <w:kern w:val="28"/>
      <w:sz w:val="28"/>
    </w:rPr>
  </w:style>
  <w:style w:type="character" w:customStyle="1" w:styleId="CharAmPartNo">
    <w:name w:val="CharAmPartNo"/>
    <w:basedOn w:val="DefaultParagraphFont"/>
    <w:uiPriority w:val="1"/>
    <w:qFormat/>
    <w:rsid w:val="007F6143"/>
  </w:style>
  <w:style w:type="character" w:customStyle="1" w:styleId="CharAmPartText">
    <w:name w:val="CharAmPartText"/>
    <w:basedOn w:val="DefaultParagraphFont"/>
    <w:uiPriority w:val="1"/>
    <w:qFormat/>
    <w:rsid w:val="007F6143"/>
  </w:style>
  <w:style w:type="character" w:customStyle="1" w:styleId="CharAmSchNo0">
    <w:name w:val="CharAmSchNo"/>
    <w:basedOn w:val="DefaultParagraphFont"/>
    <w:uiPriority w:val="1"/>
    <w:qFormat/>
    <w:rsid w:val="007F6143"/>
  </w:style>
  <w:style w:type="character" w:customStyle="1" w:styleId="CharAmSchText0">
    <w:name w:val="CharAmSchText"/>
    <w:basedOn w:val="DefaultParagraphFont"/>
    <w:uiPriority w:val="1"/>
    <w:qFormat/>
    <w:rsid w:val="007F6143"/>
  </w:style>
  <w:style w:type="paragraph" w:customStyle="1" w:styleId="ItemHead">
    <w:name w:val="ItemHead"/>
    <w:aliases w:val="ih"/>
    <w:basedOn w:val="Normal"/>
    <w:next w:val="Normal"/>
    <w:rsid w:val="007F6143"/>
    <w:pPr>
      <w:keepNext/>
      <w:spacing w:before="220"/>
      <w:ind w:left="709" w:hanging="709"/>
    </w:pPr>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89361">
      <w:bodyDiv w:val="1"/>
      <w:marLeft w:val="0"/>
      <w:marRight w:val="0"/>
      <w:marTop w:val="0"/>
      <w:marBottom w:val="0"/>
      <w:divBdr>
        <w:top w:val="none" w:sz="0" w:space="0" w:color="auto"/>
        <w:left w:val="none" w:sz="0" w:space="0" w:color="auto"/>
        <w:bottom w:val="none" w:sz="0" w:space="0" w:color="auto"/>
        <w:right w:val="none" w:sz="0" w:space="0" w:color="auto"/>
      </w:divBdr>
      <w:divsChild>
        <w:div w:id="1698462020">
          <w:marLeft w:val="0"/>
          <w:marRight w:val="0"/>
          <w:marTop w:val="0"/>
          <w:marBottom w:val="0"/>
          <w:divBdr>
            <w:top w:val="none" w:sz="0" w:space="0" w:color="auto"/>
            <w:left w:val="none" w:sz="0" w:space="0" w:color="auto"/>
            <w:bottom w:val="none" w:sz="0" w:space="0" w:color="auto"/>
            <w:right w:val="none" w:sz="0" w:space="0" w:color="auto"/>
          </w:divBdr>
          <w:divsChild>
            <w:div w:id="2056158916">
              <w:marLeft w:val="0"/>
              <w:marRight w:val="0"/>
              <w:marTop w:val="0"/>
              <w:marBottom w:val="0"/>
              <w:divBdr>
                <w:top w:val="none" w:sz="0" w:space="0" w:color="auto"/>
                <w:left w:val="none" w:sz="0" w:space="0" w:color="auto"/>
                <w:bottom w:val="none" w:sz="0" w:space="0" w:color="auto"/>
                <w:right w:val="none" w:sz="0" w:space="0" w:color="auto"/>
              </w:divBdr>
              <w:divsChild>
                <w:div w:id="1321889623">
                  <w:marLeft w:val="0"/>
                  <w:marRight w:val="0"/>
                  <w:marTop w:val="0"/>
                  <w:marBottom w:val="0"/>
                  <w:divBdr>
                    <w:top w:val="none" w:sz="0" w:space="0" w:color="auto"/>
                    <w:left w:val="none" w:sz="0" w:space="0" w:color="auto"/>
                    <w:bottom w:val="none" w:sz="0" w:space="0" w:color="auto"/>
                    <w:right w:val="none" w:sz="0" w:space="0" w:color="auto"/>
                  </w:divBdr>
                  <w:divsChild>
                    <w:div w:id="884827502">
                      <w:marLeft w:val="0"/>
                      <w:marRight w:val="0"/>
                      <w:marTop w:val="0"/>
                      <w:marBottom w:val="0"/>
                      <w:divBdr>
                        <w:top w:val="none" w:sz="0" w:space="0" w:color="auto"/>
                        <w:left w:val="none" w:sz="0" w:space="0" w:color="auto"/>
                        <w:bottom w:val="none" w:sz="0" w:space="0" w:color="auto"/>
                        <w:right w:val="none" w:sz="0" w:space="0" w:color="auto"/>
                      </w:divBdr>
                      <w:divsChild>
                        <w:div w:id="706833497">
                          <w:marLeft w:val="0"/>
                          <w:marRight w:val="0"/>
                          <w:marTop w:val="0"/>
                          <w:marBottom w:val="0"/>
                          <w:divBdr>
                            <w:top w:val="none" w:sz="0" w:space="0" w:color="auto"/>
                            <w:left w:val="none" w:sz="0" w:space="0" w:color="auto"/>
                            <w:bottom w:val="none" w:sz="0" w:space="0" w:color="auto"/>
                            <w:right w:val="none" w:sz="0" w:space="0" w:color="auto"/>
                          </w:divBdr>
                          <w:divsChild>
                            <w:div w:id="698509093">
                              <w:marLeft w:val="0"/>
                              <w:marRight w:val="0"/>
                              <w:marTop w:val="0"/>
                              <w:marBottom w:val="0"/>
                              <w:divBdr>
                                <w:top w:val="none" w:sz="0" w:space="0" w:color="auto"/>
                                <w:left w:val="none" w:sz="0" w:space="0" w:color="auto"/>
                                <w:bottom w:val="none" w:sz="0" w:space="0" w:color="auto"/>
                                <w:right w:val="none" w:sz="0" w:space="0" w:color="auto"/>
                              </w:divBdr>
                              <w:divsChild>
                                <w:div w:id="796681578">
                                  <w:marLeft w:val="0"/>
                                  <w:marRight w:val="0"/>
                                  <w:marTop w:val="0"/>
                                  <w:marBottom w:val="0"/>
                                  <w:divBdr>
                                    <w:top w:val="none" w:sz="0" w:space="0" w:color="auto"/>
                                    <w:left w:val="none" w:sz="0" w:space="0" w:color="auto"/>
                                    <w:bottom w:val="none" w:sz="0" w:space="0" w:color="auto"/>
                                    <w:right w:val="none" w:sz="0" w:space="0" w:color="auto"/>
                                  </w:divBdr>
                                  <w:divsChild>
                                    <w:div w:id="2071152446">
                                      <w:marLeft w:val="0"/>
                                      <w:marRight w:val="0"/>
                                      <w:marTop w:val="0"/>
                                      <w:marBottom w:val="0"/>
                                      <w:divBdr>
                                        <w:top w:val="none" w:sz="0" w:space="0" w:color="auto"/>
                                        <w:left w:val="none" w:sz="0" w:space="0" w:color="auto"/>
                                        <w:bottom w:val="none" w:sz="0" w:space="0" w:color="auto"/>
                                        <w:right w:val="none" w:sz="0" w:space="0" w:color="auto"/>
                                      </w:divBdr>
                                      <w:divsChild>
                                        <w:div w:id="545408658">
                                          <w:marLeft w:val="0"/>
                                          <w:marRight w:val="0"/>
                                          <w:marTop w:val="0"/>
                                          <w:marBottom w:val="0"/>
                                          <w:divBdr>
                                            <w:top w:val="none" w:sz="0" w:space="0" w:color="auto"/>
                                            <w:left w:val="none" w:sz="0" w:space="0" w:color="auto"/>
                                            <w:bottom w:val="none" w:sz="0" w:space="0" w:color="auto"/>
                                            <w:right w:val="none" w:sz="0" w:space="0" w:color="auto"/>
                                          </w:divBdr>
                                          <w:divsChild>
                                            <w:div w:id="1566720319">
                                              <w:marLeft w:val="0"/>
                                              <w:marRight w:val="0"/>
                                              <w:marTop w:val="0"/>
                                              <w:marBottom w:val="0"/>
                                              <w:divBdr>
                                                <w:top w:val="none" w:sz="0" w:space="0" w:color="auto"/>
                                                <w:left w:val="none" w:sz="0" w:space="0" w:color="auto"/>
                                                <w:bottom w:val="none" w:sz="0" w:space="0" w:color="auto"/>
                                                <w:right w:val="none" w:sz="0" w:space="0" w:color="auto"/>
                                              </w:divBdr>
                                              <w:divsChild>
                                                <w:div w:id="1503399422">
                                                  <w:marLeft w:val="0"/>
                                                  <w:marRight w:val="0"/>
                                                  <w:marTop w:val="0"/>
                                                  <w:marBottom w:val="0"/>
                                                  <w:divBdr>
                                                    <w:top w:val="none" w:sz="0" w:space="0" w:color="auto"/>
                                                    <w:left w:val="none" w:sz="0" w:space="0" w:color="auto"/>
                                                    <w:bottom w:val="none" w:sz="0" w:space="0" w:color="auto"/>
                                                    <w:right w:val="none" w:sz="0" w:space="0" w:color="auto"/>
                                                  </w:divBdr>
                                                  <w:divsChild>
                                                    <w:div w:id="632057592">
                                                      <w:marLeft w:val="0"/>
                                                      <w:marRight w:val="0"/>
                                                      <w:marTop w:val="0"/>
                                                      <w:marBottom w:val="0"/>
                                                      <w:divBdr>
                                                        <w:top w:val="none" w:sz="0" w:space="0" w:color="auto"/>
                                                        <w:left w:val="none" w:sz="0" w:space="0" w:color="auto"/>
                                                        <w:bottom w:val="none" w:sz="0" w:space="0" w:color="auto"/>
                                                        <w:right w:val="none" w:sz="0" w:space="0" w:color="auto"/>
                                                      </w:divBdr>
                                                      <w:divsChild>
                                                        <w:div w:id="23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4307861">
      <w:bodyDiv w:val="1"/>
      <w:marLeft w:val="0"/>
      <w:marRight w:val="0"/>
      <w:marTop w:val="0"/>
      <w:marBottom w:val="0"/>
      <w:divBdr>
        <w:top w:val="none" w:sz="0" w:space="0" w:color="auto"/>
        <w:left w:val="none" w:sz="0" w:space="0" w:color="auto"/>
        <w:bottom w:val="none" w:sz="0" w:space="0" w:color="auto"/>
        <w:right w:val="none" w:sz="0" w:space="0" w:color="auto"/>
      </w:divBdr>
      <w:divsChild>
        <w:div w:id="1890919786">
          <w:marLeft w:val="0"/>
          <w:marRight w:val="0"/>
          <w:marTop w:val="0"/>
          <w:marBottom w:val="0"/>
          <w:divBdr>
            <w:top w:val="none" w:sz="0" w:space="0" w:color="auto"/>
            <w:left w:val="none" w:sz="0" w:space="0" w:color="auto"/>
            <w:bottom w:val="none" w:sz="0" w:space="0" w:color="auto"/>
            <w:right w:val="none" w:sz="0" w:space="0" w:color="auto"/>
          </w:divBdr>
          <w:divsChild>
            <w:div w:id="1790540548">
              <w:marLeft w:val="0"/>
              <w:marRight w:val="0"/>
              <w:marTop w:val="0"/>
              <w:marBottom w:val="0"/>
              <w:divBdr>
                <w:top w:val="none" w:sz="0" w:space="0" w:color="auto"/>
                <w:left w:val="none" w:sz="0" w:space="0" w:color="auto"/>
                <w:bottom w:val="none" w:sz="0" w:space="0" w:color="auto"/>
                <w:right w:val="none" w:sz="0" w:space="0" w:color="auto"/>
              </w:divBdr>
              <w:divsChild>
                <w:div w:id="1565677633">
                  <w:marLeft w:val="0"/>
                  <w:marRight w:val="0"/>
                  <w:marTop w:val="0"/>
                  <w:marBottom w:val="0"/>
                  <w:divBdr>
                    <w:top w:val="none" w:sz="0" w:space="0" w:color="auto"/>
                    <w:left w:val="none" w:sz="0" w:space="0" w:color="auto"/>
                    <w:bottom w:val="none" w:sz="0" w:space="0" w:color="auto"/>
                    <w:right w:val="none" w:sz="0" w:space="0" w:color="auto"/>
                  </w:divBdr>
                  <w:divsChild>
                    <w:div w:id="1023477246">
                      <w:marLeft w:val="0"/>
                      <w:marRight w:val="0"/>
                      <w:marTop w:val="0"/>
                      <w:marBottom w:val="0"/>
                      <w:divBdr>
                        <w:top w:val="none" w:sz="0" w:space="0" w:color="auto"/>
                        <w:left w:val="none" w:sz="0" w:space="0" w:color="auto"/>
                        <w:bottom w:val="none" w:sz="0" w:space="0" w:color="auto"/>
                        <w:right w:val="none" w:sz="0" w:space="0" w:color="auto"/>
                      </w:divBdr>
                      <w:divsChild>
                        <w:div w:id="1247037537">
                          <w:marLeft w:val="0"/>
                          <w:marRight w:val="0"/>
                          <w:marTop w:val="0"/>
                          <w:marBottom w:val="0"/>
                          <w:divBdr>
                            <w:top w:val="none" w:sz="0" w:space="0" w:color="auto"/>
                            <w:left w:val="none" w:sz="0" w:space="0" w:color="auto"/>
                            <w:bottom w:val="none" w:sz="0" w:space="0" w:color="auto"/>
                            <w:right w:val="none" w:sz="0" w:space="0" w:color="auto"/>
                          </w:divBdr>
                          <w:divsChild>
                            <w:div w:id="1713505169">
                              <w:marLeft w:val="0"/>
                              <w:marRight w:val="0"/>
                              <w:marTop w:val="0"/>
                              <w:marBottom w:val="0"/>
                              <w:divBdr>
                                <w:top w:val="none" w:sz="0" w:space="0" w:color="auto"/>
                                <w:left w:val="none" w:sz="0" w:space="0" w:color="auto"/>
                                <w:bottom w:val="none" w:sz="0" w:space="0" w:color="auto"/>
                                <w:right w:val="none" w:sz="0" w:space="0" w:color="auto"/>
                              </w:divBdr>
                              <w:divsChild>
                                <w:div w:id="1863783471">
                                  <w:marLeft w:val="0"/>
                                  <w:marRight w:val="0"/>
                                  <w:marTop w:val="0"/>
                                  <w:marBottom w:val="0"/>
                                  <w:divBdr>
                                    <w:top w:val="none" w:sz="0" w:space="0" w:color="auto"/>
                                    <w:left w:val="none" w:sz="0" w:space="0" w:color="auto"/>
                                    <w:bottom w:val="none" w:sz="0" w:space="0" w:color="auto"/>
                                    <w:right w:val="none" w:sz="0" w:space="0" w:color="auto"/>
                                  </w:divBdr>
                                  <w:divsChild>
                                    <w:div w:id="799112907">
                                      <w:marLeft w:val="0"/>
                                      <w:marRight w:val="0"/>
                                      <w:marTop w:val="0"/>
                                      <w:marBottom w:val="0"/>
                                      <w:divBdr>
                                        <w:top w:val="none" w:sz="0" w:space="0" w:color="auto"/>
                                        <w:left w:val="none" w:sz="0" w:space="0" w:color="auto"/>
                                        <w:bottom w:val="none" w:sz="0" w:space="0" w:color="auto"/>
                                        <w:right w:val="none" w:sz="0" w:space="0" w:color="auto"/>
                                      </w:divBdr>
                                      <w:divsChild>
                                        <w:div w:id="1204487887">
                                          <w:marLeft w:val="0"/>
                                          <w:marRight w:val="0"/>
                                          <w:marTop w:val="0"/>
                                          <w:marBottom w:val="0"/>
                                          <w:divBdr>
                                            <w:top w:val="none" w:sz="0" w:space="0" w:color="auto"/>
                                            <w:left w:val="none" w:sz="0" w:space="0" w:color="auto"/>
                                            <w:bottom w:val="none" w:sz="0" w:space="0" w:color="auto"/>
                                            <w:right w:val="none" w:sz="0" w:space="0" w:color="auto"/>
                                          </w:divBdr>
                                          <w:divsChild>
                                            <w:div w:id="484509695">
                                              <w:marLeft w:val="0"/>
                                              <w:marRight w:val="0"/>
                                              <w:marTop w:val="0"/>
                                              <w:marBottom w:val="0"/>
                                              <w:divBdr>
                                                <w:top w:val="none" w:sz="0" w:space="0" w:color="auto"/>
                                                <w:left w:val="none" w:sz="0" w:space="0" w:color="auto"/>
                                                <w:bottom w:val="none" w:sz="0" w:space="0" w:color="auto"/>
                                                <w:right w:val="none" w:sz="0" w:space="0" w:color="auto"/>
                                              </w:divBdr>
                                              <w:divsChild>
                                                <w:div w:id="1737580935">
                                                  <w:marLeft w:val="0"/>
                                                  <w:marRight w:val="0"/>
                                                  <w:marTop w:val="0"/>
                                                  <w:marBottom w:val="0"/>
                                                  <w:divBdr>
                                                    <w:top w:val="none" w:sz="0" w:space="0" w:color="auto"/>
                                                    <w:left w:val="none" w:sz="0" w:space="0" w:color="auto"/>
                                                    <w:bottom w:val="none" w:sz="0" w:space="0" w:color="auto"/>
                                                    <w:right w:val="none" w:sz="0" w:space="0" w:color="auto"/>
                                                  </w:divBdr>
                                                  <w:divsChild>
                                                    <w:div w:id="978070207">
                                                      <w:marLeft w:val="0"/>
                                                      <w:marRight w:val="0"/>
                                                      <w:marTop w:val="0"/>
                                                      <w:marBottom w:val="0"/>
                                                      <w:divBdr>
                                                        <w:top w:val="none" w:sz="0" w:space="0" w:color="auto"/>
                                                        <w:left w:val="none" w:sz="0" w:space="0" w:color="auto"/>
                                                        <w:bottom w:val="none" w:sz="0" w:space="0" w:color="auto"/>
                                                        <w:right w:val="none" w:sz="0" w:space="0" w:color="auto"/>
                                                      </w:divBdr>
                                                      <w:divsChild>
                                                        <w:div w:id="1653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094523">
      <w:bodyDiv w:val="1"/>
      <w:marLeft w:val="0"/>
      <w:marRight w:val="0"/>
      <w:marTop w:val="0"/>
      <w:marBottom w:val="0"/>
      <w:divBdr>
        <w:top w:val="none" w:sz="0" w:space="0" w:color="auto"/>
        <w:left w:val="none" w:sz="0" w:space="0" w:color="auto"/>
        <w:bottom w:val="none" w:sz="0" w:space="0" w:color="auto"/>
        <w:right w:val="none" w:sz="0" w:space="0" w:color="auto"/>
      </w:divBdr>
      <w:divsChild>
        <w:div w:id="107743348">
          <w:marLeft w:val="0"/>
          <w:marRight w:val="0"/>
          <w:marTop w:val="0"/>
          <w:marBottom w:val="0"/>
          <w:divBdr>
            <w:top w:val="none" w:sz="0" w:space="0" w:color="auto"/>
            <w:left w:val="none" w:sz="0" w:space="0" w:color="auto"/>
            <w:bottom w:val="none" w:sz="0" w:space="0" w:color="auto"/>
            <w:right w:val="none" w:sz="0" w:space="0" w:color="auto"/>
          </w:divBdr>
          <w:divsChild>
            <w:div w:id="810905558">
              <w:marLeft w:val="0"/>
              <w:marRight w:val="0"/>
              <w:marTop w:val="0"/>
              <w:marBottom w:val="0"/>
              <w:divBdr>
                <w:top w:val="none" w:sz="0" w:space="0" w:color="auto"/>
                <w:left w:val="none" w:sz="0" w:space="0" w:color="auto"/>
                <w:bottom w:val="none" w:sz="0" w:space="0" w:color="auto"/>
                <w:right w:val="none" w:sz="0" w:space="0" w:color="auto"/>
              </w:divBdr>
              <w:divsChild>
                <w:div w:id="1118525310">
                  <w:marLeft w:val="0"/>
                  <w:marRight w:val="0"/>
                  <w:marTop w:val="0"/>
                  <w:marBottom w:val="0"/>
                  <w:divBdr>
                    <w:top w:val="none" w:sz="0" w:space="0" w:color="auto"/>
                    <w:left w:val="none" w:sz="0" w:space="0" w:color="auto"/>
                    <w:bottom w:val="none" w:sz="0" w:space="0" w:color="auto"/>
                    <w:right w:val="none" w:sz="0" w:space="0" w:color="auto"/>
                  </w:divBdr>
                  <w:divsChild>
                    <w:div w:id="1071584626">
                      <w:marLeft w:val="0"/>
                      <w:marRight w:val="0"/>
                      <w:marTop w:val="0"/>
                      <w:marBottom w:val="0"/>
                      <w:divBdr>
                        <w:top w:val="none" w:sz="0" w:space="0" w:color="auto"/>
                        <w:left w:val="none" w:sz="0" w:space="0" w:color="auto"/>
                        <w:bottom w:val="none" w:sz="0" w:space="0" w:color="auto"/>
                        <w:right w:val="none" w:sz="0" w:space="0" w:color="auto"/>
                      </w:divBdr>
                      <w:divsChild>
                        <w:div w:id="1214342676">
                          <w:marLeft w:val="0"/>
                          <w:marRight w:val="0"/>
                          <w:marTop w:val="0"/>
                          <w:marBottom w:val="0"/>
                          <w:divBdr>
                            <w:top w:val="none" w:sz="0" w:space="0" w:color="auto"/>
                            <w:left w:val="none" w:sz="0" w:space="0" w:color="auto"/>
                            <w:bottom w:val="none" w:sz="0" w:space="0" w:color="auto"/>
                            <w:right w:val="none" w:sz="0" w:space="0" w:color="auto"/>
                          </w:divBdr>
                          <w:divsChild>
                            <w:div w:id="1206526353">
                              <w:marLeft w:val="0"/>
                              <w:marRight w:val="0"/>
                              <w:marTop w:val="0"/>
                              <w:marBottom w:val="0"/>
                              <w:divBdr>
                                <w:top w:val="none" w:sz="0" w:space="0" w:color="auto"/>
                                <w:left w:val="none" w:sz="0" w:space="0" w:color="auto"/>
                                <w:bottom w:val="none" w:sz="0" w:space="0" w:color="auto"/>
                                <w:right w:val="none" w:sz="0" w:space="0" w:color="auto"/>
                              </w:divBdr>
                              <w:divsChild>
                                <w:div w:id="368645186">
                                  <w:marLeft w:val="0"/>
                                  <w:marRight w:val="0"/>
                                  <w:marTop w:val="0"/>
                                  <w:marBottom w:val="0"/>
                                  <w:divBdr>
                                    <w:top w:val="none" w:sz="0" w:space="0" w:color="auto"/>
                                    <w:left w:val="none" w:sz="0" w:space="0" w:color="auto"/>
                                    <w:bottom w:val="none" w:sz="0" w:space="0" w:color="auto"/>
                                    <w:right w:val="none" w:sz="0" w:space="0" w:color="auto"/>
                                  </w:divBdr>
                                  <w:divsChild>
                                    <w:div w:id="1655374515">
                                      <w:marLeft w:val="0"/>
                                      <w:marRight w:val="0"/>
                                      <w:marTop w:val="0"/>
                                      <w:marBottom w:val="0"/>
                                      <w:divBdr>
                                        <w:top w:val="none" w:sz="0" w:space="0" w:color="auto"/>
                                        <w:left w:val="none" w:sz="0" w:space="0" w:color="auto"/>
                                        <w:bottom w:val="none" w:sz="0" w:space="0" w:color="auto"/>
                                        <w:right w:val="none" w:sz="0" w:space="0" w:color="auto"/>
                                      </w:divBdr>
                                      <w:divsChild>
                                        <w:div w:id="455223528">
                                          <w:marLeft w:val="0"/>
                                          <w:marRight w:val="0"/>
                                          <w:marTop w:val="0"/>
                                          <w:marBottom w:val="0"/>
                                          <w:divBdr>
                                            <w:top w:val="none" w:sz="0" w:space="0" w:color="auto"/>
                                            <w:left w:val="none" w:sz="0" w:space="0" w:color="auto"/>
                                            <w:bottom w:val="none" w:sz="0" w:space="0" w:color="auto"/>
                                            <w:right w:val="none" w:sz="0" w:space="0" w:color="auto"/>
                                          </w:divBdr>
                                          <w:divsChild>
                                            <w:div w:id="346324528">
                                              <w:marLeft w:val="0"/>
                                              <w:marRight w:val="0"/>
                                              <w:marTop w:val="0"/>
                                              <w:marBottom w:val="0"/>
                                              <w:divBdr>
                                                <w:top w:val="none" w:sz="0" w:space="0" w:color="auto"/>
                                                <w:left w:val="none" w:sz="0" w:space="0" w:color="auto"/>
                                                <w:bottom w:val="none" w:sz="0" w:space="0" w:color="auto"/>
                                                <w:right w:val="none" w:sz="0" w:space="0" w:color="auto"/>
                                              </w:divBdr>
                                              <w:divsChild>
                                                <w:div w:id="636759794">
                                                  <w:marLeft w:val="0"/>
                                                  <w:marRight w:val="0"/>
                                                  <w:marTop w:val="0"/>
                                                  <w:marBottom w:val="0"/>
                                                  <w:divBdr>
                                                    <w:top w:val="none" w:sz="0" w:space="0" w:color="auto"/>
                                                    <w:left w:val="none" w:sz="0" w:space="0" w:color="auto"/>
                                                    <w:bottom w:val="none" w:sz="0" w:space="0" w:color="auto"/>
                                                    <w:right w:val="none" w:sz="0" w:space="0" w:color="auto"/>
                                                  </w:divBdr>
                                                  <w:divsChild>
                                                    <w:div w:id="336462852">
                                                      <w:marLeft w:val="0"/>
                                                      <w:marRight w:val="0"/>
                                                      <w:marTop w:val="0"/>
                                                      <w:marBottom w:val="0"/>
                                                      <w:divBdr>
                                                        <w:top w:val="none" w:sz="0" w:space="0" w:color="auto"/>
                                                        <w:left w:val="none" w:sz="0" w:space="0" w:color="auto"/>
                                                        <w:bottom w:val="none" w:sz="0" w:space="0" w:color="auto"/>
                                                        <w:right w:val="none" w:sz="0" w:space="0" w:color="auto"/>
                                                      </w:divBdr>
                                                      <w:divsChild>
                                                        <w:div w:id="382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6F8F-F0FB-4AED-81B7-973A75AB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FF8206AC</Template>
  <TotalTime>1</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Coates, Deborah MRS</cp:lastModifiedBy>
  <cp:revision>3</cp:revision>
  <cp:lastPrinted>2019-03-07T03:49:00Z</cp:lastPrinted>
  <dcterms:created xsi:type="dcterms:W3CDTF">2019-09-13T00:20:00Z</dcterms:created>
  <dcterms:modified xsi:type="dcterms:W3CDTF">2019-09-13T00:20:00Z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BN3210398</vt:lpwstr>
  </property>
  <property fmtid="{D5CDD505-2E9C-101B-9397-08002B2CF9AE}" pid="4" name="Objective-Title">
    <vt:lpwstr>MRC (Warlike service) Determination 2019 No.1</vt:lpwstr>
  </property>
  <property fmtid="{D5CDD505-2E9C-101B-9397-08002B2CF9AE}" pid="5" name="Objective-Comment">
    <vt:lpwstr/>
  </property>
  <property fmtid="{D5CDD505-2E9C-101B-9397-08002B2CF9AE}" pid="6" name="Objective-CreationStamp">
    <vt:filetime>2019-02-14T01:10:12Z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2019-09-13T00:17:48Z</vt:filetime>
  </property>
  <property fmtid="{D5CDD505-2E9C-101B-9397-08002B2CF9AE}" pid="11" name="Objective-Owner">
    <vt:lpwstr>Coates, Deborah MRS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2. Determinations (drafts/final)</vt:lpwstr>
  </property>
  <property fmtid="{D5CDD505-2E9C-101B-9397-08002B2CF9AE}" pid="14" name="Objective-State">
    <vt:lpwstr>Being Edited</vt:lpwstr>
  </property>
  <property fmtid="{D5CDD505-2E9C-101B-9397-08002B2CF9AE}" pid="15" name="Objective-Version">
    <vt:lpwstr>24.1</vt:lpwstr>
  </property>
  <property fmtid="{D5CDD505-2E9C-101B-9397-08002B2CF9AE}" pid="16" name="Objective-VersionNumber">
    <vt:i4>25</vt:i4>
  </property>
  <property fmtid="{D5CDD505-2E9C-101B-9397-08002B2CF9AE}" pid="17" name="Objective-VersionComment">
    <vt:lpwstr/>
  </property>
  <property fmtid="{D5CDD505-2E9C-101B-9397-08002B2CF9AE}" pid="18" name="Objective-FileNumber">
    <vt:lpwstr>2019/1017704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