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0B6" w:rsidRPr="000720B6" w:rsidRDefault="000720B6" w:rsidP="000720B6">
      <w:pPr>
        <w:spacing w:after="0" w:line="240" w:lineRule="auto"/>
        <w:jc w:val="center"/>
        <w:rPr>
          <w:rFonts w:ascii="Calibri" w:eastAsia="Times New Roman" w:hAnsi="Calibri" w:cs="Calibri"/>
          <w:b/>
          <w:lang w:eastAsia="en-AU"/>
        </w:rPr>
      </w:pPr>
      <w:r w:rsidRPr="000720B6">
        <w:rPr>
          <w:rFonts w:ascii="Calibri" w:eastAsia="Times New Roman" w:hAnsi="Calibri" w:cs="Calibri"/>
          <w:b/>
          <w:lang w:eastAsia="en-AU"/>
        </w:rPr>
        <w:t>EXPLANATORY STATEMENT</w:t>
      </w:r>
    </w:p>
    <w:p w:rsidR="000720B6" w:rsidRPr="000720B6" w:rsidRDefault="000720B6" w:rsidP="000720B6">
      <w:pPr>
        <w:spacing w:after="0" w:line="240" w:lineRule="auto"/>
        <w:jc w:val="center"/>
        <w:rPr>
          <w:rFonts w:ascii="Calibri" w:eastAsia="Times New Roman" w:hAnsi="Calibri" w:cs="Calibri"/>
          <w:b/>
          <w:lang w:eastAsia="en-AU"/>
        </w:rPr>
      </w:pPr>
    </w:p>
    <w:p w:rsidR="000720B6" w:rsidRPr="000720B6" w:rsidRDefault="000720B6" w:rsidP="000720B6">
      <w:pPr>
        <w:spacing w:after="0" w:line="240" w:lineRule="auto"/>
        <w:jc w:val="center"/>
        <w:rPr>
          <w:rFonts w:ascii="Calibri" w:eastAsia="Times New Roman" w:hAnsi="Calibri" w:cs="Calibri"/>
          <w:i/>
          <w:lang w:eastAsia="en-AU"/>
        </w:rPr>
      </w:pPr>
      <w:r w:rsidRPr="000720B6">
        <w:rPr>
          <w:rFonts w:ascii="Calibri" w:eastAsia="Times New Roman" w:hAnsi="Calibri" w:cs="Calibri"/>
          <w:i/>
          <w:lang w:eastAsia="en-AU"/>
        </w:rPr>
        <w:t>Work Health and Safety Regulations 2011</w:t>
      </w:r>
    </w:p>
    <w:p w:rsidR="000720B6" w:rsidRPr="000720B6" w:rsidRDefault="000720B6" w:rsidP="000720B6">
      <w:pPr>
        <w:spacing w:after="0" w:line="240" w:lineRule="auto"/>
        <w:jc w:val="center"/>
        <w:rPr>
          <w:rFonts w:ascii="Calibri" w:eastAsia="Times New Roman" w:hAnsi="Calibri" w:cs="Calibri"/>
          <w:i/>
          <w:lang w:eastAsia="en-AU"/>
        </w:rPr>
      </w:pPr>
    </w:p>
    <w:p w:rsidR="000720B6" w:rsidRPr="000720B6" w:rsidRDefault="000720B6" w:rsidP="000720B6">
      <w:pPr>
        <w:spacing w:after="0" w:line="240" w:lineRule="auto"/>
        <w:jc w:val="center"/>
        <w:rPr>
          <w:rFonts w:ascii="Calibri" w:eastAsia="Times New Roman" w:hAnsi="Calibri" w:cs="Calibri"/>
          <w:b/>
          <w:lang w:eastAsia="en-AU"/>
        </w:rPr>
      </w:pPr>
      <w:r w:rsidRPr="000720B6">
        <w:rPr>
          <w:rFonts w:ascii="Calibri" w:eastAsia="Times New Roman" w:hAnsi="Calibri" w:cs="Calibri"/>
          <w:b/>
          <w:lang w:eastAsia="en-AU"/>
        </w:rPr>
        <w:t>Notice of a Disallowable Instrument</w:t>
      </w:r>
    </w:p>
    <w:p w:rsidR="000720B6" w:rsidRPr="000720B6" w:rsidRDefault="000720B6" w:rsidP="000720B6">
      <w:pPr>
        <w:spacing w:after="0" w:line="240" w:lineRule="auto"/>
        <w:jc w:val="center"/>
        <w:rPr>
          <w:rFonts w:ascii="Calibri" w:eastAsia="Times New Roman" w:hAnsi="Calibri" w:cs="Calibri"/>
          <w:b/>
          <w:lang w:eastAsia="en-AU"/>
        </w:rPr>
      </w:pPr>
    </w:p>
    <w:p w:rsidR="000720B6" w:rsidRPr="000720B6" w:rsidRDefault="000720B6" w:rsidP="000720B6">
      <w:pPr>
        <w:spacing w:after="0" w:line="240" w:lineRule="auto"/>
        <w:jc w:val="center"/>
        <w:rPr>
          <w:rFonts w:ascii="Calibri" w:eastAsia="Times New Roman" w:hAnsi="Calibri" w:cs="Calibri"/>
          <w:b/>
          <w:lang w:eastAsia="en-AU"/>
        </w:rPr>
      </w:pPr>
      <w:r w:rsidRPr="000720B6">
        <w:rPr>
          <w:rFonts w:ascii="Calibri" w:eastAsia="Times New Roman" w:hAnsi="Calibri" w:cs="Calibri"/>
          <w:b/>
          <w:lang w:eastAsia="en-AU"/>
        </w:rPr>
        <w:t>Work Health and Safety Exemption</w:t>
      </w:r>
    </w:p>
    <w:p w:rsidR="000720B6" w:rsidRPr="000720B6" w:rsidRDefault="000720B6" w:rsidP="000720B6">
      <w:pPr>
        <w:spacing w:after="0" w:line="240" w:lineRule="auto"/>
        <w:jc w:val="center"/>
        <w:rPr>
          <w:rFonts w:ascii="Calibri" w:eastAsia="Times New Roman" w:hAnsi="Calibri" w:cs="Calibri"/>
          <w:b/>
          <w:lang w:eastAsia="en-AU"/>
        </w:rPr>
      </w:pPr>
      <w:r w:rsidRPr="000720B6">
        <w:rPr>
          <w:rFonts w:ascii="Calibri" w:eastAsia="Times New Roman" w:hAnsi="Calibri" w:cs="Calibri"/>
          <w:b/>
          <w:lang w:eastAsia="en-AU"/>
        </w:rPr>
        <w:t>(Construction Induction Training Card — Workers)</w:t>
      </w:r>
    </w:p>
    <w:p w:rsidR="000720B6" w:rsidRPr="000720B6" w:rsidRDefault="000720B6" w:rsidP="000720B6">
      <w:pPr>
        <w:spacing w:after="0" w:line="240" w:lineRule="auto"/>
        <w:jc w:val="center"/>
        <w:rPr>
          <w:rFonts w:ascii="Calibri" w:eastAsia="Times New Roman" w:hAnsi="Calibri" w:cs="Calibri"/>
          <w:b/>
          <w:lang w:eastAsia="en-AU"/>
        </w:rPr>
      </w:pPr>
      <w:r w:rsidRPr="000720B6">
        <w:rPr>
          <w:rFonts w:ascii="Calibri" w:eastAsia="Times New Roman" w:hAnsi="Calibri" w:cs="Calibri"/>
          <w:b/>
          <w:lang w:eastAsia="en-AU"/>
        </w:rPr>
        <w:t>2019</w:t>
      </w:r>
    </w:p>
    <w:p w:rsidR="000720B6" w:rsidRPr="000720B6" w:rsidRDefault="000720B6" w:rsidP="000720B6">
      <w:pPr>
        <w:spacing w:after="0" w:line="240" w:lineRule="auto"/>
        <w:jc w:val="both"/>
        <w:rPr>
          <w:rFonts w:ascii="Calibri" w:eastAsia="Times New Roman" w:hAnsi="Calibri" w:cs="Calibri"/>
          <w:b/>
          <w:lang w:eastAsia="en-AU"/>
        </w:rPr>
      </w:pPr>
    </w:p>
    <w:p w:rsidR="000720B6" w:rsidRPr="000720B6" w:rsidRDefault="000720B6" w:rsidP="000720B6">
      <w:pPr>
        <w:spacing w:after="0" w:line="240" w:lineRule="auto"/>
        <w:rPr>
          <w:rFonts w:ascii="Calibri" w:eastAsia="Times New Roman" w:hAnsi="Calibri" w:cs="Calibri"/>
          <w:b/>
          <w:lang w:eastAsia="en-AU"/>
        </w:rPr>
      </w:pPr>
      <w:r w:rsidRPr="000720B6">
        <w:rPr>
          <w:rFonts w:ascii="Calibri" w:eastAsia="Times New Roman" w:hAnsi="Calibri" w:cs="Calibri"/>
          <w:b/>
          <w:lang w:eastAsia="en-AU"/>
        </w:rPr>
        <w:t>Introduction</w:t>
      </w:r>
    </w:p>
    <w:p w:rsidR="000720B6" w:rsidRPr="000720B6" w:rsidRDefault="000720B6" w:rsidP="000720B6">
      <w:pPr>
        <w:spacing w:before="120" w:after="240" w:line="240" w:lineRule="auto"/>
        <w:rPr>
          <w:rFonts w:ascii="Calibri" w:eastAsia="Times New Roman" w:hAnsi="Calibri" w:cs="Calibri"/>
          <w:lang w:eastAsia="en-AU"/>
        </w:rPr>
      </w:pPr>
      <w:r w:rsidRPr="000720B6">
        <w:rPr>
          <w:rFonts w:ascii="Calibri" w:eastAsia="Times New Roman" w:hAnsi="Calibri" w:cs="Calibri"/>
          <w:lang w:eastAsia="en-AU"/>
        </w:rPr>
        <w:t xml:space="preserve">The </w:t>
      </w:r>
      <w:r w:rsidRPr="000720B6">
        <w:rPr>
          <w:rFonts w:ascii="Calibri" w:eastAsia="Times New Roman" w:hAnsi="Calibri" w:cs="Calibri"/>
          <w:i/>
          <w:iCs/>
          <w:lang w:eastAsia="en-AU"/>
        </w:rPr>
        <w:t>Work Health and Safety Act 2011</w:t>
      </w:r>
      <w:r w:rsidRPr="000720B6">
        <w:rPr>
          <w:rFonts w:ascii="Calibri" w:eastAsia="Times New Roman" w:hAnsi="Calibri" w:cs="Calibri"/>
          <w:lang w:eastAsia="en-AU"/>
        </w:rPr>
        <w:t xml:space="preserve"> (the WHS Act) and accompanying </w:t>
      </w:r>
      <w:r w:rsidRPr="000720B6">
        <w:rPr>
          <w:rFonts w:ascii="Calibri" w:eastAsia="Times New Roman" w:hAnsi="Calibri" w:cs="Calibri"/>
          <w:i/>
          <w:iCs/>
          <w:lang w:eastAsia="en-AU"/>
        </w:rPr>
        <w:t>Work Health and Safety Regulations 2011</w:t>
      </w:r>
      <w:r w:rsidRPr="000720B6">
        <w:rPr>
          <w:rFonts w:ascii="Calibri" w:eastAsia="Times New Roman" w:hAnsi="Calibri" w:cs="Calibri"/>
          <w:lang w:eastAsia="en-AU"/>
        </w:rPr>
        <w:t xml:space="preserve"> (the WHS Regulations) provide the primary WHS legislation for the Commonwealth jurisdiction. They are based on model laws developed by Safe Work Australia under the </w:t>
      </w:r>
      <w:r w:rsidRPr="000720B6">
        <w:rPr>
          <w:rFonts w:ascii="Calibri" w:eastAsia="Times New Roman" w:hAnsi="Calibri" w:cs="Calibri"/>
          <w:i/>
          <w:iCs/>
          <w:lang w:eastAsia="en-AU"/>
        </w:rPr>
        <w:t>Intergovernmental Agreement for Regulatory and Operational Reform in Occupational Health and Safety</w:t>
      </w:r>
      <w:r w:rsidRPr="000720B6">
        <w:rPr>
          <w:rFonts w:ascii="Calibri" w:eastAsia="Times New Roman" w:hAnsi="Calibri" w:cs="Calibri"/>
          <w:lang w:eastAsia="en-AU"/>
        </w:rPr>
        <w:t>.</w:t>
      </w:r>
    </w:p>
    <w:p w:rsidR="000720B6" w:rsidRPr="000720B6" w:rsidRDefault="000720B6" w:rsidP="000720B6">
      <w:pPr>
        <w:spacing w:before="120" w:after="240" w:line="240" w:lineRule="auto"/>
        <w:rPr>
          <w:rFonts w:ascii="Calibri" w:eastAsia="Times New Roman" w:hAnsi="Calibri" w:cs="Calibri"/>
          <w:lang w:eastAsia="en-AU"/>
        </w:rPr>
      </w:pPr>
      <w:r w:rsidRPr="000720B6">
        <w:rPr>
          <w:rFonts w:ascii="Calibri" w:eastAsia="Times New Roman" w:hAnsi="Calibri" w:cs="Calibri"/>
          <w:lang w:eastAsia="en-AU"/>
        </w:rPr>
        <w:t xml:space="preserve">Regulation 684 provides that the regulator may exempt a person or class of persons from compliance with any of the WHS Regulations, and under </w:t>
      </w:r>
      <w:bookmarkStart w:id="0" w:name="_Hlk10714008"/>
      <w:r w:rsidRPr="000720B6">
        <w:rPr>
          <w:rFonts w:ascii="Calibri" w:eastAsia="Times New Roman" w:hAnsi="Calibri" w:cs="Calibri"/>
          <w:lang w:eastAsia="en-AU"/>
        </w:rPr>
        <w:t>Regulation 691 the regulator may impose any conditions it considers appropriate on an exemption.</w:t>
      </w:r>
      <w:bookmarkEnd w:id="0"/>
      <w:r w:rsidRPr="000720B6">
        <w:rPr>
          <w:rFonts w:ascii="Calibri" w:eastAsia="Times New Roman" w:hAnsi="Calibri" w:cs="Calibri"/>
          <w:lang w:eastAsia="en-AU"/>
        </w:rPr>
        <w:t xml:space="preserve"> </w:t>
      </w:r>
    </w:p>
    <w:p w:rsidR="000720B6" w:rsidRPr="000720B6" w:rsidRDefault="000720B6" w:rsidP="000720B6">
      <w:pPr>
        <w:spacing w:before="120" w:after="240" w:line="240" w:lineRule="auto"/>
        <w:rPr>
          <w:rFonts w:ascii="Calibri" w:eastAsia="Times New Roman" w:hAnsi="Calibri" w:cs="Calibri"/>
          <w:lang w:eastAsia="en-AU"/>
        </w:rPr>
      </w:pPr>
      <w:r w:rsidRPr="000720B6">
        <w:rPr>
          <w:rFonts w:ascii="Calibri" w:eastAsia="Times New Roman" w:hAnsi="Calibri" w:cs="Calibri"/>
          <w:lang w:eastAsia="en-AU"/>
        </w:rPr>
        <w:t xml:space="preserve">In accordance with sub regulation 692(2) of the WHS Regulations, an exemption document that exempts a class of persons is a legislative instrument within the meaning of the </w:t>
      </w:r>
      <w:r w:rsidRPr="000720B6">
        <w:rPr>
          <w:rFonts w:ascii="Calibri" w:eastAsia="Times New Roman" w:hAnsi="Calibri" w:cs="Calibri"/>
          <w:i/>
          <w:iCs/>
          <w:lang w:eastAsia="en-AU"/>
        </w:rPr>
        <w:t>Legislative Instruments Act 2003</w:t>
      </w:r>
      <w:r w:rsidRPr="000720B6">
        <w:rPr>
          <w:rFonts w:ascii="Calibri" w:eastAsia="Times New Roman" w:hAnsi="Calibri" w:cs="Calibri"/>
          <w:lang w:eastAsia="en-AU"/>
        </w:rPr>
        <w:t xml:space="preserve"> (LIA).</w:t>
      </w:r>
    </w:p>
    <w:p w:rsidR="000720B6" w:rsidRPr="000720B6" w:rsidRDefault="000720B6" w:rsidP="000720B6">
      <w:pPr>
        <w:spacing w:before="120" w:after="240" w:line="240" w:lineRule="auto"/>
        <w:rPr>
          <w:rFonts w:ascii="Calibri" w:eastAsia="Times New Roman" w:hAnsi="Calibri" w:cs="Calibri"/>
          <w:lang w:eastAsia="en-AU"/>
        </w:rPr>
      </w:pPr>
      <w:r w:rsidRPr="000720B6">
        <w:rPr>
          <w:rFonts w:ascii="Calibri" w:eastAsia="Times New Roman" w:hAnsi="Calibri" w:cs="Calibri"/>
          <w:lang w:eastAsia="en-AU"/>
        </w:rPr>
        <w:t>All terms used in the Instrument and Explanatory Statement have the same meaning as in the WHS Act and Regulations.</w:t>
      </w:r>
    </w:p>
    <w:p w:rsidR="000720B6" w:rsidRPr="000720B6" w:rsidRDefault="000720B6" w:rsidP="000720B6">
      <w:pPr>
        <w:spacing w:after="0" w:line="240" w:lineRule="auto"/>
        <w:rPr>
          <w:rFonts w:ascii="Calibri" w:eastAsia="Times New Roman" w:hAnsi="Calibri" w:cs="Calibri"/>
          <w:lang w:eastAsia="en-AU"/>
        </w:rPr>
      </w:pPr>
      <w:r w:rsidRPr="000720B6">
        <w:rPr>
          <w:rFonts w:ascii="Calibri" w:eastAsia="Times New Roman" w:hAnsi="Calibri" w:cs="Calibri"/>
          <w:b/>
          <w:lang w:eastAsia="en-AU"/>
        </w:rPr>
        <w:t>Work Health and Safety Exemption (Construction Induction Training Card — Workers) 2019</w:t>
      </w:r>
    </w:p>
    <w:p w:rsidR="000720B6" w:rsidRPr="000720B6" w:rsidRDefault="000720B6" w:rsidP="000720B6">
      <w:pPr>
        <w:spacing w:after="0" w:line="240" w:lineRule="auto"/>
        <w:rPr>
          <w:rFonts w:ascii="Calibri" w:eastAsia="Times New Roman" w:hAnsi="Calibri" w:cs="Calibri"/>
          <w:lang w:eastAsia="en-AU"/>
        </w:rPr>
      </w:pPr>
    </w:p>
    <w:p w:rsidR="000720B6" w:rsidRPr="000720B6" w:rsidRDefault="000720B6" w:rsidP="000720B6">
      <w:pPr>
        <w:spacing w:after="0" w:line="240" w:lineRule="auto"/>
        <w:rPr>
          <w:rFonts w:ascii="Calibri" w:eastAsia="Times New Roman" w:hAnsi="Calibri" w:cs="Calibri"/>
          <w:lang w:eastAsia="en-AU"/>
        </w:rPr>
      </w:pPr>
      <w:r w:rsidRPr="000720B6">
        <w:rPr>
          <w:rFonts w:ascii="Calibri" w:eastAsia="Times New Roman" w:hAnsi="Calibri" w:cs="Calibri"/>
          <w:lang w:eastAsia="en-AU"/>
        </w:rPr>
        <w:t xml:space="preserve">The purpose of the instrument to which this Explanatory Statement relates is to extend the </w:t>
      </w:r>
      <w:r w:rsidRPr="000720B6">
        <w:rPr>
          <w:rFonts w:ascii="Calibri" w:eastAsia="Times New Roman" w:hAnsi="Calibri" w:cs="Calibri"/>
          <w:i/>
          <w:lang w:eastAsia="en-AU"/>
        </w:rPr>
        <w:t>Work Health and Safety Exemption (Construction Induction Training Card — Workers) (August 2014)</w:t>
      </w:r>
      <w:r w:rsidRPr="000720B6">
        <w:rPr>
          <w:rFonts w:ascii="Calibri" w:eastAsia="Times New Roman" w:hAnsi="Calibri" w:cs="Calibri"/>
          <w:lang w:eastAsia="en-AU"/>
        </w:rPr>
        <w:t>. This will exempt a class of persons from compliance with sub</w:t>
      </w:r>
      <w:r w:rsidRPr="000720B6">
        <w:rPr>
          <w:rFonts w:ascii="Calibri" w:eastAsia="Times New Roman" w:hAnsi="Calibri" w:cs="Calibri"/>
          <w:lang w:eastAsia="en-AU"/>
        </w:rPr>
        <w:noBreakHyphen/>
        <w:t>regulation 326(1) of the WHS Regulations. This class of persons are any workers who carry out construction work on sites located overseas and, in respect of whom, the Commonwealth, represented by the Department of Foreign Affairs and Trade (DFAT), has jurisdiction (‘relevant workers’).</w:t>
      </w:r>
    </w:p>
    <w:p w:rsidR="000720B6" w:rsidRPr="000720B6" w:rsidRDefault="000720B6" w:rsidP="000720B6">
      <w:pPr>
        <w:spacing w:after="0" w:line="240" w:lineRule="auto"/>
        <w:rPr>
          <w:rFonts w:ascii="Calibri" w:eastAsia="Times New Roman" w:hAnsi="Calibri" w:cs="Calibri"/>
          <w:lang w:eastAsia="en-AU"/>
        </w:rPr>
      </w:pPr>
    </w:p>
    <w:p w:rsidR="000720B6" w:rsidRPr="000720B6" w:rsidRDefault="000720B6" w:rsidP="000720B6">
      <w:pPr>
        <w:tabs>
          <w:tab w:val="left" w:pos="567"/>
        </w:tabs>
        <w:spacing w:after="120" w:line="240" w:lineRule="auto"/>
        <w:ind w:right="26"/>
        <w:rPr>
          <w:rFonts w:ascii="Calibri" w:eastAsia="Times New Roman" w:hAnsi="Calibri" w:cs="Calibri"/>
          <w:lang w:eastAsia="en-AU"/>
        </w:rPr>
      </w:pPr>
      <w:r w:rsidRPr="000720B6">
        <w:rPr>
          <w:rFonts w:ascii="Calibri" w:eastAsia="Times New Roman" w:hAnsi="Calibri" w:cs="Calibri"/>
          <w:lang w:eastAsia="en-AU"/>
        </w:rPr>
        <w:t xml:space="preserve">The instrument exempts relevant workers from the requirements to keep available for inspection under the WHS Act, their general construction induction training card (CITC) or, in certain circumstances, a certificate indicating they have successfully completed general construction induction training (CIT) and are waiting for the issue of a CITC. </w:t>
      </w:r>
    </w:p>
    <w:p w:rsidR="000720B6" w:rsidRPr="000720B6" w:rsidRDefault="000720B6" w:rsidP="000720B6">
      <w:pPr>
        <w:tabs>
          <w:tab w:val="left" w:pos="567"/>
        </w:tabs>
        <w:spacing w:after="120" w:line="240" w:lineRule="auto"/>
        <w:ind w:right="26"/>
        <w:rPr>
          <w:rFonts w:ascii="Calibri" w:eastAsia="Times New Roman" w:hAnsi="Calibri" w:cs="Calibri"/>
          <w:lang w:eastAsia="en-AU"/>
        </w:rPr>
      </w:pPr>
      <w:r w:rsidRPr="000720B6">
        <w:rPr>
          <w:rFonts w:ascii="Calibri" w:eastAsia="Times New Roman" w:hAnsi="Calibri" w:cs="Calibri"/>
          <w:lang w:eastAsia="en-AU"/>
        </w:rPr>
        <w:t>Sub</w:t>
      </w:r>
      <w:r w:rsidRPr="000720B6">
        <w:rPr>
          <w:rFonts w:ascii="Calibri" w:eastAsia="Times New Roman" w:hAnsi="Calibri" w:cs="Calibri"/>
          <w:lang w:eastAsia="en-AU"/>
        </w:rPr>
        <w:noBreakHyphen/>
        <w:t>regulation 326(1) of the WHS Regulations provides that a worker carrying out construction work must keep available for inspection under the Act:</w:t>
      </w:r>
    </w:p>
    <w:p w:rsidR="000720B6" w:rsidRPr="000720B6" w:rsidRDefault="000720B6" w:rsidP="000720B6">
      <w:pPr>
        <w:spacing w:after="0" w:line="240" w:lineRule="auto"/>
        <w:ind w:right="28"/>
        <w:contextualSpacing/>
        <w:rPr>
          <w:rFonts w:ascii="Calibri" w:eastAsia="Times New Roman" w:hAnsi="Calibri" w:cs="Calibri"/>
          <w:lang w:eastAsia="en-AU"/>
        </w:rPr>
      </w:pPr>
    </w:p>
    <w:p w:rsidR="000720B6" w:rsidRPr="000720B6" w:rsidRDefault="000720B6" w:rsidP="000720B6">
      <w:pPr>
        <w:numPr>
          <w:ilvl w:val="0"/>
          <w:numId w:val="1"/>
        </w:numPr>
        <w:tabs>
          <w:tab w:val="left" w:pos="567"/>
        </w:tabs>
        <w:spacing w:after="0" w:line="240" w:lineRule="auto"/>
        <w:ind w:left="567" w:right="26" w:hanging="425"/>
        <w:rPr>
          <w:rFonts w:ascii="Calibri" w:eastAsia="Times New Roman" w:hAnsi="Calibri" w:cs="Calibri"/>
          <w:lang w:eastAsia="en-AU"/>
        </w:rPr>
      </w:pPr>
      <w:r w:rsidRPr="000720B6">
        <w:rPr>
          <w:rFonts w:ascii="Calibri" w:eastAsia="Times New Roman" w:hAnsi="Calibri" w:cs="Calibri"/>
          <w:lang w:eastAsia="en-AU"/>
        </w:rPr>
        <w:t>their general CITC (sub</w:t>
      </w:r>
      <w:r w:rsidRPr="000720B6">
        <w:rPr>
          <w:rFonts w:ascii="Calibri" w:eastAsia="Times New Roman" w:hAnsi="Calibri" w:cs="Calibri"/>
          <w:lang w:eastAsia="en-AU"/>
        </w:rPr>
        <w:noBreakHyphen/>
        <w:t>regulation 326(1)(a)); or</w:t>
      </w:r>
    </w:p>
    <w:p w:rsidR="000720B6" w:rsidRPr="000720B6" w:rsidRDefault="000720B6" w:rsidP="000720B6">
      <w:pPr>
        <w:tabs>
          <w:tab w:val="left" w:pos="567"/>
        </w:tabs>
        <w:spacing w:after="0" w:line="240" w:lineRule="auto"/>
        <w:ind w:left="567" w:right="26"/>
        <w:rPr>
          <w:rFonts w:ascii="Calibri" w:eastAsia="Times New Roman" w:hAnsi="Calibri" w:cs="Calibri"/>
          <w:lang w:eastAsia="en-AU"/>
        </w:rPr>
      </w:pPr>
    </w:p>
    <w:p w:rsidR="000720B6" w:rsidRPr="000720B6" w:rsidRDefault="000720B6" w:rsidP="000720B6">
      <w:pPr>
        <w:numPr>
          <w:ilvl w:val="0"/>
          <w:numId w:val="1"/>
        </w:numPr>
        <w:tabs>
          <w:tab w:val="left" w:pos="567"/>
        </w:tabs>
        <w:spacing w:after="0" w:line="240" w:lineRule="auto"/>
        <w:ind w:left="567" w:right="26" w:hanging="425"/>
        <w:rPr>
          <w:rFonts w:ascii="Calibri" w:eastAsia="Times New Roman" w:hAnsi="Calibri" w:cs="Calibri"/>
          <w:lang w:eastAsia="en-AU"/>
        </w:rPr>
      </w:pPr>
      <w:r w:rsidRPr="000720B6">
        <w:rPr>
          <w:rFonts w:ascii="Calibri" w:eastAsia="Times New Roman" w:hAnsi="Calibri" w:cs="Calibri"/>
          <w:lang w:eastAsia="en-AU"/>
        </w:rPr>
        <w:t>where a worker has applied for but has not been issued with a CITC, a GIT certification (sub</w:t>
      </w:r>
      <w:r w:rsidRPr="000720B6">
        <w:rPr>
          <w:rFonts w:ascii="Calibri" w:eastAsia="Times New Roman" w:hAnsi="Calibri" w:cs="Calibri"/>
          <w:lang w:eastAsia="en-AU"/>
        </w:rPr>
        <w:noBreakHyphen/>
        <w:t>regulation 326(1)(b)).</w:t>
      </w:r>
    </w:p>
    <w:p w:rsidR="000720B6" w:rsidRPr="000720B6" w:rsidRDefault="000720B6" w:rsidP="000720B6">
      <w:pPr>
        <w:spacing w:after="0" w:line="240" w:lineRule="auto"/>
        <w:ind w:right="28"/>
        <w:contextualSpacing/>
        <w:rPr>
          <w:rFonts w:ascii="Calibri" w:eastAsia="Times New Roman" w:hAnsi="Calibri" w:cs="Calibri"/>
          <w:lang w:eastAsia="en-AU"/>
        </w:rPr>
      </w:pPr>
    </w:p>
    <w:p w:rsidR="000720B6" w:rsidRPr="000720B6" w:rsidRDefault="000720B6" w:rsidP="000720B6">
      <w:pPr>
        <w:spacing w:after="0" w:line="240" w:lineRule="auto"/>
        <w:ind w:right="28"/>
        <w:contextualSpacing/>
        <w:rPr>
          <w:rFonts w:ascii="Calibri" w:eastAsia="Times New Roman" w:hAnsi="Calibri" w:cs="Calibri"/>
          <w:lang w:eastAsia="en-AU"/>
        </w:rPr>
      </w:pPr>
      <w:r w:rsidRPr="000720B6">
        <w:rPr>
          <w:rFonts w:ascii="Calibri" w:eastAsia="Times New Roman" w:hAnsi="Calibri" w:cs="Calibri"/>
          <w:lang w:eastAsia="en-AU"/>
        </w:rPr>
        <w:lastRenderedPageBreak/>
        <w:t>The exemption means that the relevant workers will not be required to keep a CITC or a GIT certification as evidence that they have successfully completed general construction induction training. The effect of the exemption will be to relieve the relevant workers of the requirement to successfully undertake CIT and to obtain a CITC.</w:t>
      </w:r>
    </w:p>
    <w:p w:rsidR="000720B6" w:rsidRPr="000720B6" w:rsidRDefault="000720B6" w:rsidP="000720B6">
      <w:pPr>
        <w:spacing w:after="0" w:line="240" w:lineRule="auto"/>
        <w:ind w:right="26"/>
        <w:rPr>
          <w:rFonts w:ascii="Calibri" w:eastAsia="Times New Roman" w:hAnsi="Calibri" w:cs="Calibri"/>
          <w:lang w:eastAsia="en-AU"/>
        </w:rPr>
      </w:pPr>
    </w:p>
    <w:p w:rsidR="000720B6" w:rsidRPr="000720B6" w:rsidRDefault="000720B6" w:rsidP="000720B6">
      <w:pPr>
        <w:spacing w:after="0" w:line="240" w:lineRule="auto"/>
        <w:ind w:right="26"/>
        <w:rPr>
          <w:rFonts w:ascii="Calibri" w:eastAsia="Times New Roman" w:hAnsi="Calibri" w:cs="Calibri"/>
          <w:b/>
          <w:lang w:eastAsia="en-AU"/>
        </w:rPr>
      </w:pPr>
      <w:r w:rsidRPr="000720B6">
        <w:rPr>
          <w:rFonts w:ascii="Calibri" w:eastAsia="Times New Roman" w:hAnsi="Calibri" w:cs="Calibri"/>
          <w:b/>
          <w:lang w:eastAsia="en-AU"/>
        </w:rPr>
        <w:t>Related Exemption</w:t>
      </w:r>
    </w:p>
    <w:p w:rsidR="000720B6" w:rsidRPr="000720B6" w:rsidRDefault="000720B6" w:rsidP="000720B6">
      <w:pPr>
        <w:spacing w:after="0" w:line="240" w:lineRule="auto"/>
        <w:ind w:right="26"/>
        <w:rPr>
          <w:rFonts w:ascii="Calibri" w:eastAsia="Times New Roman" w:hAnsi="Calibri" w:cs="Calibri"/>
          <w:lang w:eastAsia="en-AU"/>
        </w:rPr>
      </w:pPr>
    </w:p>
    <w:p w:rsidR="000720B6" w:rsidRPr="000720B6" w:rsidRDefault="000720B6" w:rsidP="000720B6">
      <w:pPr>
        <w:tabs>
          <w:tab w:val="left" w:pos="567"/>
        </w:tabs>
        <w:spacing w:after="0" w:line="240" w:lineRule="auto"/>
        <w:ind w:right="26"/>
        <w:rPr>
          <w:rFonts w:ascii="Calibri" w:eastAsia="Times New Roman" w:hAnsi="Calibri" w:cs="Calibri"/>
          <w:lang w:eastAsia="en-AU"/>
        </w:rPr>
      </w:pPr>
      <w:r w:rsidRPr="000720B6">
        <w:rPr>
          <w:rFonts w:ascii="Calibri" w:eastAsia="Times New Roman" w:hAnsi="Calibri" w:cs="Calibri"/>
          <w:lang w:eastAsia="en-AU"/>
        </w:rPr>
        <w:t>The WHS Regulations do not place a direct obligation on workers to undertake general CIT and to obtain a CITC. Instead, regulations 316 and 317 require DFAT, as the relevant person carrying out a business or undertaking (PCBU):</w:t>
      </w:r>
    </w:p>
    <w:p w:rsidR="000720B6" w:rsidRPr="000720B6" w:rsidRDefault="000720B6" w:rsidP="000720B6">
      <w:pPr>
        <w:tabs>
          <w:tab w:val="left" w:pos="567"/>
        </w:tabs>
        <w:spacing w:after="0" w:line="240" w:lineRule="auto"/>
        <w:ind w:right="26"/>
        <w:rPr>
          <w:rFonts w:ascii="Calibri" w:eastAsia="Times New Roman" w:hAnsi="Calibri" w:cs="Calibri"/>
          <w:lang w:eastAsia="en-AU"/>
        </w:rPr>
      </w:pPr>
    </w:p>
    <w:p w:rsidR="000720B6" w:rsidRPr="000720B6" w:rsidRDefault="000720B6" w:rsidP="000720B6">
      <w:pPr>
        <w:numPr>
          <w:ilvl w:val="0"/>
          <w:numId w:val="1"/>
        </w:numPr>
        <w:tabs>
          <w:tab w:val="left" w:pos="567"/>
        </w:tabs>
        <w:spacing w:after="120" w:line="240" w:lineRule="auto"/>
        <w:ind w:left="567" w:right="28" w:hanging="425"/>
        <w:rPr>
          <w:rFonts w:ascii="Calibri" w:eastAsia="Times New Roman" w:hAnsi="Calibri" w:cs="Calibri"/>
          <w:lang w:eastAsia="en-AU"/>
        </w:rPr>
      </w:pPr>
      <w:r w:rsidRPr="000720B6">
        <w:rPr>
          <w:rFonts w:ascii="Calibri" w:eastAsia="Times New Roman" w:hAnsi="Calibri" w:cs="Calibri"/>
          <w:lang w:eastAsia="en-AU"/>
        </w:rPr>
        <w:t>to ensure that CIT is provided to the relevant workers; and</w:t>
      </w:r>
    </w:p>
    <w:p w:rsidR="000720B6" w:rsidRPr="000720B6" w:rsidRDefault="000720B6" w:rsidP="000720B6">
      <w:pPr>
        <w:numPr>
          <w:ilvl w:val="0"/>
          <w:numId w:val="1"/>
        </w:numPr>
        <w:tabs>
          <w:tab w:val="left" w:pos="567"/>
        </w:tabs>
        <w:spacing w:after="120" w:line="240" w:lineRule="auto"/>
        <w:ind w:left="567" w:right="28" w:hanging="425"/>
        <w:rPr>
          <w:rFonts w:ascii="Calibri" w:eastAsia="Times New Roman" w:hAnsi="Calibri" w:cs="Calibri"/>
          <w:lang w:eastAsia="en-AU"/>
        </w:rPr>
      </w:pPr>
      <w:r w:rsidRPr="000720B6">
        <w:rPr>
          <w:rFonts w:ascii="Calibri" w:eastAsia="Times New Roman" w:hAnsi="Calibri" w:cs="Calibri"/>
          <w:lang w:eastAsia="en-AU"/>
        </w:rPr>
        <w:t>to not direct or allow a relevant worker to carry out construction work without first sighting evidence that the worker has successfully completed CIT.</w:t>
      </w:r>
    </w:p>
    <w:p w:rsidR="000720B6" w:rsidRPr="000720B6" w:rsidRDefault="000720B6" w:rsidP="000720B6">
      <w:pPr>
        <w:spacing w:after="0" w:line="240" w:lineRule="auto"/>
        <w:ind w:right="26"/>
        <w:rPr>
          <w:rFonts w:ascii="Calibri" w:eastAsia="Times New Roman" w:hAnsi="Calibri" w:cs="Calibri"/>
          <w:lang w:eastAsia="en-AU"/>
        </w:rPr>
      </w:pPr>
      <w:r w:rsidRPr="000720B6">
        <w:rPr>
          <w:rFonts w:ascii="Calibri" w:eastAsia="Times New Roman" w:hAnsi="Calibri" w:cs="Calibri"/>
          <w:lang w:eastAsia="en-AU"/>
        </w:rPr>
        <w:t>Comcare is extending an exemption previously granted to DFAT from the requirement to comply with regulations 316 and 317 of the WHS Regulations insofar as they apply to relevant workers on DFAT’s construction sites overseas (</w:t>
      </w:r>
      <w:r w:rsidRPr="000720B6">
        <w:rPr>
          <w:rFonts w:ascii="Calibri" w:eastAsia="Times New Roman" w:hAnsi="Calibri" w:cs="Calibri"/>
          <w:i/>
          <w:lang w:eastAsia="en-AU"/>
        </w:rPr>
        <w:t>Work Health and Safety Exemption (Construction Induction Training) 2019</w:t>
      </w:r>
      <w:r w:rsidRPr="000720B6">
        <w:rPr>
          <w:rFonts w:ascii="Calibri" w:eastAsia="Times New Roman" w:hAnsi="Calibri" w:cs="Calibri"/>
          <w:lang w:eastAsia="en-AU"/>
        </w:rPr>
        <w:t xml:space="preserve">. This exemption is not a class exemption and is consequently not included in the exemption instrument to which this explanatory statement relates. </w:t>
      </w:r>
    </w:p>
    <w:p w:rsidR="000720B6" w:rsidRPr="000720B6" w:rsidRDefault="000720B6" w:rsidP="000720B6">
      <w:pPr>
        <w:spacing w:after="0" w:line="240" w:lineRule="auto"/>
        <w:ind w:right="26"/>
        <w:rPr>
          <w:rFonts w:ascii="Calibri" w:eastAsia="Times New Roman" w:hAnsi="Calibri" w:cs="Calibri"/>
          <w:lang w:eastAsia="en-AU"/>
        </w:rPr>
      </w:pPr>
    </w:p>
    <w:p w:rsidR="000720B6" w:rsidRPr="000720B6" w:rsidRDefault="000720B6" w:rsidP="000720B6">
      <w:pPr>
        <w:spacing w:after="0" w:line="240" w:lineRule="auto"/>
        <w:rPr>
          <w:rFonts w:ascii="Calibri" w:eastAsia="Times New Roman" w:hAnsi="Calibri" w:cs="Calibri"/>
          <w:lang w:eastAsia="en-AU"/>
        </w:rPr>
      </w:pPr>
      <w:r w:rsidRPr="000720B6">
        <w:rPr>
          <w:rFonts w:ascii="Calibri" w:eastAsia="Times New Roman" w:hAnsi="Calibri" w:cs="Calibri"/>
          <w:lang w:eastAsia="en-AU"/>
        </w:rPr>
        <w:t>Comcare granted the exemption from regulations 316 and 317 on the grounds that exceptional circumstances justified the grant. Similarly, Comcare has granted an exemption to the class of workers who would otherwise be required to comply with sub</w:t>
      </w:r>
      <w:r w:rsidRPr="000720B6">
        <w:rPr>
          <w:rFonts w:ascii="Calibri" w:eastAsia="Times New Roman" w:hAnsi="Calibri" w:cs="Calibri"/>
          <w:lang w:eastAsia="en-AU"/>
        </w:rPr>
        <w:noBreakHyphen/>
        <w:t>regulation 316(1) because of the following exceptional circumstances which Comcare considers justifies the grant of the exemption:</w:t>
      </w:r>
    </w:p>
    <w:p w:rsidR="000720B6" w:rsidRPr="000720B6" w:rsidRDefault="000720B6" w:rsidP="000720B6">
      <w:pPr>
        <w:spacing w:after="0" w:line="240" w:lineRule="auto"/>
        <w:rPr>
          <w:rFonts w:ascii="Calibri" w:eastAsia="Times New Roman" w:hAnsi="Calibri" w:cs="Calibri"/>
          <w:lang w:eastAsia="en-AU"/>
        </w:rPr>
      </w:pPr>
    </w:p>
    <w:p w:rsidR="000720B6" w:rsidRPr="000720B6" w:rsidRDefault="000720B6" w:rsidP="000720B6">
      <w:pPr>
        <w:numPr>
          <w:ilvl w:val="0"/>
          <w:numId w:val="1"/>
        </w:numPr>
        <w:tabs>
          <w:tab w:val="left" w:pos="567"/>
        </w:tabs>
        <w:spacing w:after="120" w:line="240" w:lineRule="auto"/>
        <w:ind w:left="567" w:right="26" w:hanging="425"/>
        <w:rPr>
          <w:rFonts w:ascii="Calibri" w:eastAsia="Times New Roman" w:hAnsi="Calibri" w:cs="Calibri"/>
          <w:lang w:eastAsia="en-AU"/>
        </w:rPr>
      </w:pPr>
      <w:r w:rsidRPr="000720B6">
        <w:rPr>
          <w:rFonts w:ascii="Calibri" w:eastAsia="Times New Roman" w:hAnsi="Calibri" w:cs="Calibri"/>
          <w:lang w:eastAsia="en-AU"/>
        </w:rPr>
        <w:t xml:space="preserve">General CIT is training delivered in Australia by a Registered Training Organisation for the specified VET course, </w:t>
      </w:r>
      <w:r w:rsidRPr="000720B6">
        <w:rPr>
          <w:rFonts w:ascii="Calibri" w:eastAsia="Times New Roman" w:hAnsi="Calibri" w:cs="Calibri"/>
          <w:i/>
          <w:lang w:eastAsia="en-AU"/>
        </w:rPr>
        <w:t>Work Safely in the Construction Industry</w:t>
      </w:r>
      <w:r w:rsidRPr="000720B6">
        <w:rPr>
          <w:rFonts w:ascii="Calibri" w:eastAsia="Times New Roman" w:hAnsi="Calibri" w:cs="Calibri"/>
          <w:lang w:eastAsia="en-AU"/>
        </w:rPr>
        <w:t xml:space="preserve"> to familiarise workers with basic work health and safety principles including requirements mandated by Australian law.</w:t>
      </w:r>
    </w:p>
    <w:p w:rsidR="000720B6" w:rsidRPr="000720B6" w:rsidRDefault="000720B6" w:rsidP="000720B6">
      <w:pPr>
        <w:numPr>
          <w:ilvl w:val="0"/>
          <w:numId w:val="1"/>
        </w:numPr>
        <w:tabs>
          <w:tab w:val="left" w:pos="567"/>
        </w:tabs>
        <w:spacing w:after="120" w:line="240" w:lineRule="auto"/>
        <w:ind w:left="567" w:right="26" w:hanging="425"/>
        <w:rPr>
          <w:rFonts w:ascii="Calibri" w:eastAsia="Times New Roman" w:hAnsi="Calibri" w:cs="Calibri"/>
          <w:lang w:eastAsia="en-AU"/>
        </w:rPr>
      </w:pPr>
      <w:r w:rsidRPr="000720B6">
        <w:rPr>
          <w:rFonts w:ascii="Calibri" w:eastAsia="Times New Roman" w:hAnsi="Calibri" w:cs="Calibri"/>
          <w:lang w:eastAsia="en-AU"/>
        </w:rPr>
        <w:t>General CIT is not available to persons geographically outside of Australia.</w:t>
      </w:r>
    </w:p>
    <w:p w:rsidR="000720B6" w:rsidRPr="000720B6" w:rsidRDefault="000720B6" w:rsidP="000720B6">
      <w:pPr>
        <w:numPr>
          <w:ilvl w:val="0"/>
          <w:numId w:val="1"/>
        </w:numPr>
        <w:tabs>
          <w:tab w:val="left" w:pos="567"/>
        </w:tabs>
        <w:spacing w:after="120" w:line="240" w:lineRule="auto"/>
        <w:ind w:left="567" w:right="26" w:hanging="425"/>
        <w:rPr>
          <w:rFonts w:ascii="Calibri" w:eastAsia="Times New Roman" w:hAnsi="Calibri" w:cs="Calibri"/>
          <w:lang w:eastAsia="en-AU"/>
        </w:rPr>
      </w:pPr>
      <w:r w:rsidRPr="000720B6">
        <w:rPr>
          <w:rFonts w:ascii="Calibri" w:eastAsia="Times New Roman" w:hAnsi="Calibri" w:cs="Calibri"/>
          <w:lang w:eastAsia="en-AU"/>
        </w:rPr>
        <w:t>DFAT generally has no or limited control over the selection of workers on its overseas construction sites.</w:t>
      </w:r>
    </w:p>
    <w:p w:rsidR="000720B6" w:rsidRPr="000720B6" w:rsidRDefault="000720B6" w:rsidP="000720B6">
      <w:pPr>
        <w:numPr>
          <w:ilvl w:val="0"/>
          <w:numId w:val="1"/>
        </w:numPr>
        <w:tabs>
          <w:tab w:val="left" w:pos="567"/>
        </w:tabs>
        <w:spacing w:after="120" w:line="240" w:lineRule="auto"/>
        <w:ind w:left="567" w:right="26" w:hanging="425"/>
        <w:rPr>
          <w:rFonts w:ascii="Calibri" w:eastAsia="Times New Roman" w:hAnsi="Calibri" w:cs="Calibri"/>
          <w:lang w:eastAsia="en-AU"/>
        </w:rPr>
      </w:pPr>
      <w:r w:rsidRPr="000720B6">
        <w:rPr>
          <w:rFonts w:ascii="Calibri" w:eastAsia="Times New Roman" w:hAnsi="Calibri" w:cs="Calibri"/>
          <w:lang w:eastAsia="en-AU"/>
        </w:rPr>
        <w:t>DFAT’s construction sites are located in a myriad of locations (low, medium and high</w:t>
      </w:r>
      <w:r w:rsidRPr="000720B6">
        <w:rPr>
          <w:rFonts w:ascii="Calibri" w:eastAsia="Times New Roman" w:hAnsi="Calibri" w:cs="Calibri"/>
          <w:lang w:eastAsia="en-AU"/>
        </w:rPr>
        <w:noBreakHyphen/>
        <w:t>risk) around the world.</w:t>
      </w:r>
    </w:p>
    <w:p w:rsidR="000720B6" w:rsidRPr="000720B6" w:rsidRDefault="000720B6" w:rsidP="000720B6">
      <w:pPr>
        <w:numPr>
          <w:ilvl w:val="0"/>
          <w:numId w:val="1"/>
        </w:numPr>
        <w:tabs>
          <w:tab w:val="left" w:pos="567"/>
        </w:tabs>
        <w:spacing w:after="120" w:line="240" w:lineRule="auto"/>
        <w:ind w:left="567" w:right="26" w:hanging="425"/>
        <w:rPr>
          <w:rFonts w:ascii="Calibri" w:eastAsia="Times New Roman" w:hAnsi="Calibri" w:cs="Calibri"/>
          <w:lang w:eastAsia="en-AU"/>
        </w:rPr>
      </w:pPr>
      <w:r w:rsidRPr="000720B6">
        <w:rPr>
          <w:rFonts w:ascii="Calibri" w:eastAsia="Times New Roman" w:hAnsi="Calibri" w:cs="Calibri"/>
          <w:lang w:eastAsia="en-AU"/>
        </w:rPr>
        <w:t>Not all workers on DFAT’s overseas construction sites are relevant workers — some are foreign nationals who are not bound by Australian WHS legislation and are therefore not required to undertake CIT.</w:t>
      </w:r>
    </w:p>
    <w:p w:rsidR="000720B6" w:rsidRPr="000720B6" w:rsidRDefault="000720B6" w:rsidP="000720B6">
      <w:pPr>
        <w:numPr>
          <w:ilvl w:val="0"/>
          <w:numId w:val="1"/>
        </w:numPr>
        <w:tabs>
          <w:tab w:val="left" w:pos="567"/>
        </w:tabs>
        <w:spacing w:after="0" w:line="240" w:lineRule="auto"/>
        <w:ind w:left="567" w:right="26" w:hanging="425"/>
        <w:rPr>
          <w:rFonts w:ascii="Calibri" w:eastAsia="Times New Roman" w:hAnsi="Calibri" w:cs="Calibri"/>
          <w:b/>
          <w:lang w:eastAsia="en-AU"/>
        </w:rPr>
      </w:pPr>
      <w:r w:rsidRPr="000720B6">
        <w:rPr>
          <w:rFonts w:ascii="Calibri" w:eastAsia="Times New Roman" w:hAnsi="Calibri" w:cs="Calibri"/>
          <w:lang w:eastAsia="en-AU"/>
        </w:rPr>
        <w:t>It would not be practicable to require DFAT to send all workers to Australia for CIT for the following reasons:</w:t>
      </w:r>
      <w:r w:rsidRPr="000720B6">
        <w:rPr>
          <w:rFonts w:ascii="Calibri" w:eastAsia="Times New Roman" w:hAnsi="Calibri" w:cs="Calibri"/>
          <w:lang w:eastAsia="en-AU"/>
        </w:rPr>
        <w:br/>
      </w:r>
    </w:p>
    <w:p w:rsidR="000720B6" w:rsidRPr="000720B6" w:rsidRDefault="000720B6" w:rsidP="000720B6">
      <w:pPr>
        <w:numPr>
          <w:ilvl w:val="1"/>
          <w:numId w:val="1"/>
        </w:numPr>
        <w:tabs>
          <w:tab w:val="left" w:pos="567"/>
          <w:tab w:val="left" w:pos="993"/>
        </w:tabs>
        <w:spacing w:after="120" w:line="240" w:lineRule="auto"/>
        <w:ind w:left="992" w:right="28" w:hanging="425"/>
        <w:rPr>
          <w:rFonts w:ascii="Calibri" w:eastAsia="Times New Roman" w:hAnsi="Calibri" w:cs="Calibri"/>
          <w:lang w:eastAsia="en-AU"/>
        </w:rPr>
      </w:pPr>
      <w:r w:rsidRPr="000720B6">
        <w:rPr>
          <w:rFonts w:ascii="Calibri" w:eastAsia="Times New Roman" w:hAnsi="Calibri" w:cs="Calibri"/>
          <w:lang w:eastAsia="en-AU"/>
        </w:rPr>
        <w:t>This could result in the intermittent suspension of work (with the associated extra costs) and, in some cases, would adversely affect the flow of work on construction sites.</w:t>
      </w:r>
    </w:p>
    <w:p w:rsidR="000720B6" w:rsidRPr="000720B6" w:rsidRDefault="000720B6" w:rsidP="000720B6">
      <w:pPr>
        <w:numPr>
          <w:ilvl w:val="1"/>
          <w:numId w:val="1"/>
        </w:numPr>
        <w:tabs>
          <w:tab w:val="left" w:pos="567"/>
          <w:tab w:val="left" w:pos="993"/>
        </w:tabs>
        <w:spacing w:after="120" w:line="240" w:lineRule="auto"/>
        <w:ind w:left="992" w:right="28" w:hanging="425"/>
        <w:rPr>
          <w:rFonts w:ascii="Calibri" w:eastAsia="Times New Roman" w:hAnsi="Calibri" w:cs="Calibri"/>
          <w:lang w:eastAsia="en-AU"/>
        </w:rPr>
      </w:pPr>
      <w:r w:rsidRPr="000720B6">
        <w:rPr>
          <w:rFonts w:ascii="Calibri" w:eastAsia="Times New Roman" w:hAnsi="Calibri" w:cs="Calibri"/>
          <w:lang w:eastAsia="en-AU"/>
        </w:rPr>
        <w:t>The extra costs and work disturbances involved could result in the retraction of certain aid projects involving construction work.</w:t>
      </w:r>
    </w:p>
    <w:p w:rsidR="000720B6" w:rsidRPr="000720B6" w:rsidRDefault="000720B6" w:rsidP="000720B6">
      <w:pPr>
        <w:numPr>
          <w:ilvl w:val="1"/>
          <w:numId w:val="1"/>
        </w:numPr>
        <w:tabs>
          <w:tab w:val="left" w:pos="567"/>
          <w:tab w:val="left" w:pos="993"/>
        </w:tabs>
        <w:spacing w:after="0" w:line="240" w:lineRule="auto"/>
        <w:ind w:left="993" w:right="26" w:hanging="426"/>
        <w:rPr>
          <w:rFonts w:ascii="Calibri" w:eastAsia="Times New Roman" w:hAnsi="Calibri" w:cs="Calibri"/>
          <w:lang w:eastAsia="en-AU"/>
        </w:rPr>
      </w:pPr>
      <w:r w:rsidRPr="000720B6">
        <w:rPr>
          <w:rFonts w:ascii="Calibri" w:eastAsia="Times New Roman" w:hAnsi="Calibri" w:cs="Calibri"/>
          <w:lang w:eastAsia="en-AU"/>
        </w:rPr>
        <w:t>This would not change the fact that a proportion of the workforce carrying out construction work would not have any obligation to undertake CITC.</w:t>
      </w:r>
    </w:p>
    <w:p w:rsidR="000720B6" w:rsidRPr="000720B6" w:rsidRDefault="000720B6" w:rsidP="000720B6">
      <w:pPr>
        <w:tabs>
          <w:tab w:val="left" w:pos="567"/>
        </w:tabs>
        <w:spacing w:after="0" w:line="240" w:lineRule="auto"/>
        <w:ind w:right="26"/>
        <w:rPr>
          <w:rFonts w:ascii="Calibri" w:eastAsia="Times New Roman" w:hAnsi="Calibri" w:cs="Calibri"/>
          <w:b/>
          <w:lang w:eastAsia="en-AU"/>
        </w:rPr>
      </w:pPr>
    </w:p>
    <w:p w:rsidR="000720B6" w:rsidRDefault="000720B6" w:rsidP="000720B6">
      <w:pPr>
        <w:tabs>
          <w:tab w:val="left" w:pos="567"/>
        </w:tabs>
        <w:spacing w:after="0" w:line="240" w:lineRule="auto"/>
        <w:ind w:right="26"/>
        <w:rPr>
          <w:rFonts w:ascii="Calibri" w:eastAsia="Times New Roman" w:hAnsi="Calibri" w:cs="Calibri"/>
          <w:b/>
          <w:lang w:eastAsia="en-AU"/>
        </w:rPr>
      </w:pPr>
    </w:p>
    <w:p w:rsidR="000720B6" w:rsidRPr="000720B6" w:rsidRDefault="000720B6" w:rsidP="000720B6">
      <w:pPr>
        <w:tabs>
          <w:tab w:val="left" w:pos="567"/>
        </w:tabs>
        <w:spacing w:after="0" w:line="240" w:lineRule="auto"/>
        <w:ind w:right="26"/>
        <w:rPr>
          <w:rFonts w:ascii="Calibri" w:eastAsia="Times New Roman" w:hAnsi="Calibri" w:cs="Calibri"/>
          <w:b/>
          <w:lang w:eastAsia="en-AU"/>
        </w:rPr>
      </w:pPr>
      <w:bookmarkStart w:id="1" w:name="_GoBack"/>
      <w:bookmarkEnd w:id="1"/>
      <w:r w:rsidRPr="000720B6">
        <w:rPr>
          <w:rFonts w:ascii="Calibri" w:eastAsia="Times New Roman" w:hAnsi="Calibri" w:cs="Calibri"/>
          <w:b/>
          <w:lang w:eastAsia="en-AU"/>
        </w:rPr>
        <w:lastRenderedPageBreak/>
        <w:t xml:space="preserve">Compliance with consultation requirements of the </w:t>
      </w:r>
      <w:r w:rsidRPr="000720B6">
        <w:rPr>
          <w:rFonts w:ascii="Calibri" w:eastAsia="Times New Roman" w:hAnsi="Calibri" w:cs="Calibri"/>
          <w:b/>
          <w:i/>
          <w:lang w:eastAsia="en-AU"/>
        </w:rPr>
        <w:t>Legislative Instruments Act 2003</w:t>
      </w:r>
    </w:p>
    <w:p w:rsidR="000720B6" w:rsidRPr="000720B6" w:rsidRDefault="000720B6" w:rsidP="000720B6">
      <w:pPr>
        <w:spacing w:after="0" w:line="240" w:lineRule="auto"/>
        <w:rPr>
          <w:rFonts w:ascii="Calibri" w:eastAsia="Times New Roman" w:hAnsi="Calibri" w:cs="Calibri"/>
          <w:lang w:eastAsia="en-AU"/>
        </w:rPr>
      </w:pPr>
    </w:p>
    <w:p w:rsidR="000720B6" w:rsidRPr="000720B6" w:rsidRDefault="000720B6" w:rsidP="000720B6">
      <w:pPr>
        <w:spacing w:after="0" w:line="240" w:lineRule="auto"/>
        <w:rPr>
          <w:rFonts w:ascii="Calibri" w:eastAsia="Times New Roman" w:hAnsi="Calibri" w:cs="Calibri"/>
          <w:lang w:eastAsia="en-AU"/>
        </w:rPr>
      </w:pPr>
      <w:r w:rsidRPr="000720B6">
        <w:rPr>
          <w:rFonts w:ascii="Calibri" w:eastAsia="Times New Roman" w:hAnsi="Calibri" w:cs="Calibri"/>
          <w:lang w:eastAsia="en-AU"/>
        </w:rPr>
        <w:t>As previously indicated, this exemption applies in relation to construction projects carried out overseas for which DFAT has direct or indirect responsibility.</w:t>
      </w:r>
    </w:p>
    <w:p w:rsidR="000720B6" w:rsidRPr="000720B6" w:rsidRDefault="000720B6" w:rsidP="000720B6">
      <w:pPr>
        <w:spacing w:after="0" w:line="240" w:lineRule="auto"/>
        <w:rPr>
          <w:rFonts w:ascii="Calibri" w:eastAsia="Times New Roman" w:hAnsi="Calibri" w:cs="Calibri"/>
          <w:lang w:eastAsia="en-AU"/>
        </w:rPr>
      </w:pPr>
    </w:p>
    <w:p w:rsidR="000720B6" w:rsidRPr="000720B6" w:rsidRDefault="000720B6" w:rsidP="000720B6">
      <w:pPr>
        <w:spacing w:after="0" w:line="240" w:lineRule="auto"/>
        <w:rPr>
          <w:rFonts w:ascii="Calibri" w:eastAsia="Times New Roman" w:hAnsi="Calibri" w:cs="Calibri"/>
          <w:lang w:eastAsia="en-AU"/>
        </w:rPr>
      </w:pPr>
      <w:r w:rsidRPr="000720B6">
        <w:rPr>
          <w:rFonts w:ascii="Calibri" w:eastAsia="Times New Roman" w:hAnsi="Calibri" w:cs="Calibri"/>
          <w:lang w:eastAsia="en-AU"/>
        </w:rPr>
        <w:t>Persons affected by these exemptions are workers subject to the obligations in sub</w:t>
      </w:r>
      <w:r w:rsidRPr="000720B6">
        <w:rPr>
          <w:rFonts w:ascii="Calibri" w:eastAsia="Times New Roman" w:hAnsi="Calibri" w:cs="Calibri"/>
          <w:lang w:eastAsia="en-AU"/>
        </w:rPr>
        <w:noBreakHyphen/>
        <w:t xml:space="preserve">regulation 326(1) of the WHS Regulations who carry out construction work. </w:t>
      </w:r>
    </w:p>
    <w:p w:rsidR="000720B6" w:rsidRPr="000720B6" w:rsidRDefault="000720B6" w:rsidP="000720B6">
      <w:pPr>
        <w:spacing w:after="0" w:line="240" w:lineRule="auto"/>
        <w:rPr>
          <w:rFonts w:ascii="Calibri" w:eastAsia="Times New Roman" w:hAnsi="Calibri" w:cs="Calibri"/>
          <w:lang w:eastAsia="en-AU"/>
        </w:rPr>
      </w:pPr>
    </w:p>
    <w:p w:rsidR="000720B6" w:rsidRPr="000720B6" w:rsidRDefault="000720B6" w:rsidP="000720B6">
      <w:pPr>
        <w:spacing w:after="0" w:line="240" w:lineRule="auto"/>
        <w:rPr>
          <w:rFonts w:ascii="Calibri" w:eastAsia="Times New Roman" w:hAnsi="Calibri" w:cs="Calibri"/>
          <w:lang w:eastAsia="en-AU"/>
        </w:rPr>
      </w:pPr>
      <w:r w:rsidRPr="000720B6">
        <w:rPr>
          <w:rFonts w:ascii="Calibri" w:eastAsia="Times New Roman" w:hAnsi="Calibri" w:cs="Calibri"/>
          <w:lang w:eastAsia="en-AU"/>
        </w:rPr>
        <w:t>In accordance with section 18 of the LIA, Comcare is able to be satisfied that the nature of the exemption instrument is such that consultation would be unnecessary or inappropriate. In reaching this level of satisfaction, Comcare took into account the abovementioned exceptional circumstances and concluded that:</w:t>
      </w:r>
    </w:p>
    <w:p w:rsidR="000720B6" w:rsidRPr="000720B6" w:rsidRDefault="000720B6" w:rsidP="000720B6">
      <w:pPr>
        <w:spacing w:after="0" w:line="240" w:lineRule="auto"/>
        <w:ind w:left="397"/>
        <w:rPr>
          <w:rFonts w:ascii="Calibri" w:eastAsia="Times New Roman" w:hAnsi="Calibri" w:cs="Calibri"/>
          <w:lang w:eastAsia="en-AU"/>
        </w:rPr>
      </w:pPr>
    </w:p>
    <w:p w:rsidR="000720B6" w:rsidRPr="000720B6" w:rsidRDefault="000720B6" w:rsidP="000720B6">
      <w:pPr>
        <w:numPr>
          <w:ilvl w:val="0"/>
          <w:numId w:val="1"/>
        </w:numPr>
        <w:tabs>
          <w:tab w:val="left" w:pos="567"/>
        </w:tabs>
        <w:spacing w:after="120" w:line="240" w:lineRule="auto"/>
        <w:ind w:left="567" w:right="26" w:hanging="425"/>
        <w:rPr>
          <w:rFonts w:ascii="Calibri" w:eastAsia="Times New Roman" w:hAnsi="Calibri" w:cs="Calibri"/>
          <w:lang w:eastAsia="en-AU"/>
        </w:rPr>
      </w:pPr>
      <w:r w:rsidRPr="000720B6">
        <w:rPr>
          <w:rFonts w:ascii="Calibri" w:eastAsia="Times New Roman" w:hAnsi="Calibri" w:cs="Calibri"/>
          <w:lang w:eastAsia="en-AU"/>
        </w:rPr>
        <w:t>consultation would not be reasonably practicable given the ever</w:t>
      </w:r>
      <w:r w:rsidRPr="000720B6">
        <w:rPr>
          <w:rFonts w:ascii="Calibri" w:eastAsia="Times New Roman" w:hAnsi="Calibri" w:cs="Calibri"/>
          <w:lang w:eastAsia="en-AU"/>
        </w:rPr>
        <w:noBreakHyphen/>
        <w:t>changing contingent of affected workers and contractors overseas (the administrative complexities alone in arranging for consultation on the scale required would have been untenable);</w:t>
      </w:r>
    </w:p>
    <w:p w:rsidR="000720B6" w:rsidRPr="000720B6" w:rsidRDefault="000720B6" w:rsidP="000720B6">
      <w:pPr>
        <w:numPr>
          <w:ilvl w:val="0"/>
          <w:numId w:val="1"/>
        </w:numPr>
        <w:tabs>
          <w:tab w:val="left" w:pos="567"/>
        </w:tabs>
        <w:spacing w:after="120" w:line="240" w:lineRule="auto"/>
        <w:ind w:left="567" w:right="26" w:hanging="425"/>
        <w:rPr>
          <w:rFonts w:ascii="Calibri" w:eastAsia="Times New Roman" w:hAnsi="Calibri" w:cs="Calibri"/>
          <w:lang w:eastAsia="en-AU"/>
        </w:rPr>
      </w:pPr>
      <w:r w:rsidRPr="000720B6">
        <w:rPr>
          <w:rFonts w:ascii="Calibri" w:eastAsia="Times New Roman" w:hAnsi="Calibri" w:cs="Calibri"/>
          <w:lang w:eastAsia="en-AU"/>
        </w:rPr>
        <w:t>consultation about the proposed exemption would not likely achieve any useful work health and safety outcome; and</w:t>
      </w:r>
    </w:p>
    <w:p w:rsidR="000720B6" w:rsidRPr="000720B6" w:rsidRDefault="000720B6" w:rsidP="000720B6">
      <w:pPr>
        <w:numPr>
          <w:ilvl w:val="0"/>
          <w:numId w:val="1"/>
        </w:numPr>
        <w:tabs>
          <w:tab w:val="left" w:pos="567"/>
        </w:tabs>
        <w:spacing w:after="120" w:line="240" w:lineRule="auto"/>
        <w:ind w:left="567" w:right="26" w:hanging="425"/>
        <w:rPr>
          <w:rFonts w:ascii="Calibri" w:eastAsia="Times New Roman" w:hAnsi="Calibri" w:cs="Calibri"/>
          <w:b/>
          <w:lang w:eastAsia="en-AU"/>
        </w:rPr>
      </w:pPr>
      <w:r w:rsidRPr="000720B6">
        <w:rPr>
          <w:rFonts w:ascii="Calibri" w:eastAsia="Times New Roman" w:hAnsi="Calibri" w:cs="Calibri"/>
          <w:lang w:eastAsia="en-AU"/>
        </w:rPr>
        <w:t>the proposed exemption was unlikely to have a direct or substantial indirect effect on business or competition.</w:t>
      </w:r>
    </w:p>
    <w:p w:rsidR="000720B6" w:rsidRPr="000720B6" w:rsidRDefault="000720B6" w:rsidP="000720B6">
      <w:pPr>
        <w:spacing w:after="0" w:line="240" w:lineRule="auto"/>
        <w:ind w:right="28"/>
        <w:contextualSpacing/>
        <w:rPr>
          <w:rFonts w:ascii="Calibri" w:eastAsia="Times New Roman" w:hAnsi="Calibri" w:cs="Calibri"/>
          <w:b/>
          <w:bCs/>
          <w:lang w:eastAsia="en-AU"/>
        </w:rPr>
      </w:pPr>
      <w:r w:rsidRPr="000720B6">
        <w:rPr>
          <w:rFonts w:ascii="Calibri" w:eastAsia="Times New Roman" w:hAnsi="Calibri" w:cs="Calibri"/>
          <w:b/>
          <w:bCs/>
          <w:lang w:eastAsia="en-AU"/>
        </w:rPr>
        <w:t xml:space="preserve">Commencement of exemption </w:t>
      </w:r>
    </w:p>
    <w:p w:rsidR="000720B6" w:rsidRPr="000720B6" w:rsidRDefault="000720B6" w:rsidP="000720B6">
      <w:pPr>
        <w:autoSpaceDE w:val="0"/>
        <w:autoSpaceDN w:val="0"/>
        <w:adjustRightInd w:val="0"/>
        <w:spacing w:after="0" w:line="240" w:lineRule="auto"/>
        <w:rPr>
          <w:rFonts w:ascii="Calibri" w:eastAsia="Calibri" w:hAnsi="Calibri" w:cs="Calibri"/>
        </w:rPr>
      </w:pPr>
    </w:p>
    <w:p w:rsidR="000720B6" w:rsidRPr="000720B6" w:rsidRDefault="000720B6" w:rsidP="000720B6">
      <w:pPr>
        <w:autoSpaceDE w:val="0"/>
        <w:autoSpaceDN w:val="0"/>
        <w:adjustRightInd w:val="0"/>
        <w:spacing w:after="0" w:line="240" w:lineRule="auto"/>
        <w:rPr>
          <w:rFonts w:ascii="Calibri" w:eastAsia="Calibri" w:hAnsi="Calibri" w:cs="Calibri"/>
        </w:rPr>
      </w:pPr>
      <w:r w:rsidRPr="000720B6">
        <w:rPr>
          <w:rFonts w:ascii="Calibri" w:eastAsia="Calibri" w:hAnsi="Calibri" w:cs="Calibri"/>
        </w:rPr>
        <w:t>The exemption is taken to have commenced on the day after it is registered on the Federal Register of Legislation.</w:t>
      </w:r>
    </w:p>
    <w:p w:rsidR="000720B6" w:rsidRPr="000720B6" w:rsidRDefault="000720B6" w:rsidP="000720B6">
      <w:pPr>
        <w:autoSpaceDE w:val="0"/>
        <w:autoSpaceDN w:val="0"/>
        <w:adjustRightInd w:val="0"/>
        <w:spacing w:after="0" w:line="240" w:lineRule="auto"/>
        <w:rPr>
          <w:rFonts w:ascii="Calibri" w:eastAsia="Calibri" w:hAnsi="Calibri" w:cs="Calibri"/>
        </w:rPr>
      </w:pPr>
    </w:p>
    <w:p w:rsidR="000720B6" w:rsidRPr="000720B6" w:rsidRDefault="000720B6" w:rsidP="000720B6">
      <w:pPr>
        <w:autoSpaceDE w:val="0"/>
        <w:autoSpaceDN w:val="0"/>
        <w:adjustRightInd w:val="0"/>
        <w:spacing w:after="0" w:line="240" w:lineRule="auto"/>
        <w:rPr>
          <w:rFonts w:ascii="Calibri" w:eastAsia="Calibri" w:hAnsi="Calibri" w:cs="Calibri"/>
        </w:rPr>
      </w:pPr>
      <w:r w:rsidRPr="000720B6">
        <w:rPr>
          <w:rFonts w:ascii="Calibri" w:eastAsia="Calibri" w:hAnsi="Calibri" w:cs="Calibri"/>
        </w:rPr>
        <w:t>The exemption will apply for five years unless the expiration date is amended, or the exemption is cancelled under regulation 697 of the WHS Regulations.</w:t>
      </w:r>
    </w:p>
    <w:p w:rsidR="000720B6" w:rsidRPr="000720B6" w:rsidRDefault="000720B6" w:rsidP="000720B6">
      <w:pPr>
        <w:spacing w:after="0" w:line="240" w:lineRule="auto"/>
        <w:rPr>
          <w:rFonts w:ascii="Calibri" w:eastAsia="Times New Roman" w:hAnsi="Calibri" w:cs="Calibri"/>
          <w:b/>
          <w:lang w:eastAsia="en-AU"/>
        </w:rPr>
      </w:pPr>
      <w:r w:rsidRPr="000720B6">
        <w:rPr>
          <w:rFonts w:ascii="Calibri" w:eastAsia="Times New Roman" w:hAnsi="Calibri" w:cs="Calibri"/>
          <w:b/>
          <w:lang w:eastAsia="en-AU"/>
        </w:rPr>
        <w:br w:type="page"/>
      </w:r>
    </w:p>
    <w:p w:rsidR="000720B6" w:rsidRPr="000720B6" w:rsidRDefault="000720B6" w:rsidP="000720B6">
      <w:pPr>
        <w:spacing w:before="100" w:beforeAutospacing="1" w:after="100" w:afterAutospacing="1" w:line="240" w:lineRule="auto"/>
        <w:contextualSpacing/>
        <w:rPr>
          <w:rFonts w:ascii="Calibri" w:eastAsia="Times New Roman" w:hAnsi="Calibri" w:cs="Calibri"/>
          <w:b/>
          <w:lang w:eastAsia="en-AU"/>
        </w:rPr>
      </w:pPr>
    </w:p>
    <w:p w:rsidR="000720B6" w:rsidRPr="000720B6" w:rsidRDefault="000720B6" w:rsidP="000720B6">
      <w:pPr>
        <w:spacing w:before="100" w:beforeAutospacing="1" w:after="100" w:afterAutospacing="1" w:line="240" w:lineRule="auto"/>
        <w:contextualSpacing/>
        <w:jc w:val="center"/>
        <w:rPr>
          <w:rFonts w:ascii="Calibri" w:eastAsia="Times New Roman" w:hAnsi="Calibri" w:cs="Calibri"/>
          <w:b/>
          <w:lang w:eastAsia="en-AU"/>
        </w:rPr>
      </w:pPr>
      <w:r w:rsidRPr="000720B6">
        <w:rPr>
          <w:rFonts w:ascii="Calibri" w:eastAsia="Times New Roman" w:hAnsi="Calibri" w:cs="Calibri"/>
          <w:b/>
          <w:lang w:eastAsia="en-AU"/>
        </w:rPr>
        <w:t>Statement of Compatibility with Human Rights</w:t>
      </w:r>
    </w:p>
    <w:p w:rsidR="000720B6" w:rsidRPr="000720B6" w:rsidRDefault="000720B6" w:rsidP="000720B6">
      <w:pPr>
        <w:spacing w:before="120" w:after="120" w:line="240" w:lineRule="auto"/>
        <w:contextualSpacing/>
        <w:jc w:val="center"/>
        <w:rPr>
          <w:rFonts w:ascii="Calibri" w:eastAsia="Times New Roman" w:hAnsi="Calibri" w:cs="Calibri"/>
          <w:i/>
          <w:lang w:eastAsia="en-AU"/>
        </w:rPr>
      </w:pPr>
      <w:r w:rsidRPr="000720B6">
        <w:rPr>
          <w:rFonts w:ascii="Calibri" w:eastAsia="Times New Roman" w:hAnsi="Calibri" w:cs="Calibri"/>
          <w:i/>
          <w:lang w:eastAsia="en-AU"/>
        </w:rPr>
        <w:t>Prepared in accordance with Part 3 of the</w:t>
      </w:r>
    </w:p>
    <w:p w:rsidR="000720B6" w:rsidRPr="000720B6" w:rsidRDefault="000720B6" w:rsidP="000720B6">
      <w:pPr>
        <w:spacing w:before="120" w:after="120" w:line="240" w:lineRule="auto"/>
        <w:contextualSpacing/>
        <w:jc w:val="center"/>
        <w:rPr>
          <w:rFonts w:ascii="Calibri" w:eastAsia="Times New Roman" w:hAnsi="Calibri" w:cs="Calibri"/>
          <w:i/>
          <w:lang w:eastAsia="en-AU"/>
        </w:rPr>
      </w:pPr>
      <w:r w:rsidRPr="000720B6">
        <w:rPr>
          <w:rFonts w:ascii="Calibri" w:eastAsia="Times New Roman" w:hAnsi="Calibri" w:cs="Calibri"/>
          <w:i/>
          <w:lang w:eastAsia="en-AU"/>
        </w:rPr>
        <w:t>Human Rights (Parliamentary Scrutiny) Act 2011</w:t>
      </w:r>
    </w:p>
    <w:p w:rsidR="000720B6" w:rsidRPr="000720B6" w:rsidRDefault="000720B6" w:rsidP="000720B6">
      <w:pPr>
        <w:spacing w:after="0" w:line="240" w:lineRule="auto"/>
        <w:ind w:right="28"/>
        <w:contextualSpacing/>
        <w:jc w:val="center"/>
        <w:rPr>
          <w:rFonts w:ascii="Calibri" w:eastAsia="Times New Roman" w:hAnsi="Calibri" w:cs="Calibri"/>
          <w:lang w:eastAsia="en-AU"/>
        </w:rPr>
      </w:pPr>
    </w:p>
    <w:p w:rsidR="000720B6" w:rsidRPr="000720B6" w:rsidRDefault="000720B6" w:rsidP="000720B6">
      <w:pPr>
        <w:spacing w:after="0" w:line="240" w:lineRule="auto"/>
        <w:jc w:val="center"/>
        <w:rPr>
          <w:rFonts w:ascii="Calibri" w:eastAsia="Times New Roman" w:hAnsi="Calibri" w:cs="Calibri"/>
          <w:b/>
          <w:lang w:eastAsia="en-AU"/>
        </w:rPr>
      </w:pPr>
      <w:r w:rsidRPr="000720B6">
        <w:rPr>
          <w:rFonts w:ascii="Calibri" w:eastAsia="Times New Roman" w:hAnsi="Calibri" w:cs="Calibri"/>
          <w:b/>
          <w:lang w:eastAsia="en-AU"/>
        </w:rPr>
        <w:t>Work Health and Safety Exemption</w:t>
      </w:r>
    </w:p>
    <w:p w:rsidR="000720B6" w:rsidRPr="000720B6" w:rsidRDefault="000720B6" w:rsidP="000720B6">
      <w:pPr>
        <w:spacing w:after="0" w:line="240" w:lineRule="auto"/>
        <w:jc w:val="center"/>
        <w:rPr>
          <w:rFonts w:ascii="Calibri" w:eastAsia="Times New Roman" w:hAnsi="Calibri" w:cs="Calibri"/>
          <w:b/>
          <w:lang w:eastAsia="en-AU"/>
        </w:rPr>
      </w:pPr>
      <w:r w:rsidRPr="000720B6">
        <w:rPr>
          <w:rFonts w:ascii="Calibri" w:eastAsia="Times New Roman" w:hAnsi="Calibri" w:cs="Calibri"/>
          <w:b/>
          <w:lang w:eastAsia="en-AU"/>
        </w:rPr>
        <w:t>(Construction Induction Training Card — Workers)</w:t>
      </w:r>
    </w:p>
    <w:p w:rsidR="000720B6" w:rsidRPr="000720B6" w:rsidRDefault="000720B6" w:rsidP="000720B6">
      <w:pPr>
        <w:spacing w:after="0" w:line="240" w:lineRule="auto"/>
        <w:jc w:val="center"/>
        <w:rPr>
          <w:rFonts w:ascii="Calibri" w:eastAsia="Times New Roman" w:hAnsi="Calibri" w:cs="Calibri"/>
          <w:b/>
          <w:lang w:eastAsia="en-AU"/>
        </w:rPr>
      </w:pPr>
      <w:r w:rsidRPr="000720B6">
        <w:rPr>
          <w:rFonts w:ascii="Calibri" w:eastAsia="Times New Roman" w:hAnsi="Calibri" w:cs="Calibri"/>
          <w:b/>
          <w:lang w:eastAsia="en-AU"/>
        </w:rPr>
        <w:t>2019</w:t>
      </w:r>
    </w:p>
    <w:p w:rsidR="000720B6" w:rsidRPr="000720B6" w:rsidRDefault="000720B6" w:rsidP="000720B6">
      <w:pPr>
        <w:spacing w:after="0" w:line="240" w:lineRule="auto"/>
        <w:ind w:right="28"/>
        <w:contextualSpacing/>
        <w:jc w:val="both"/>
        <w:rPr>
          <w:rFonts w:ascii="Calibri" w:eastAsia="Times New Roman" w:hAnsi="Calibri" w:cs="Calibri"/>
          <w:lang w:eastAsia="en-AU"/>
        </w:rPr>
      </w:pPr>
    </w:p>
    <w:p w:rsidR="000720B6" w:rsidRPr="000720B6" w:rsidRDefault="000720B6" w:rsidP="000720B6">
      <w:pPr>
        <w:spacing w:before="120" w:after="120" w:line="240" w:lineRule="auto"/>
        <w:contextualSpacing/>
        <w:rPr>
          <w:rFonts w:ascii="Calibri" w:eastAsia="Times New Roman" w:hAnsi="Calibri" w:cs="Calibri"/>
          <w:lang w:eastAsia="en-AU"/>
        </w:rPr>
      </w:pPr>
      <w:r w:rsidRPr="000720B6">
        <w:rPr>
          <w:rFonts w:ascii="Calibri" w:eastAsia="Times New Roman" w:hAnsi="Calibri" w:cs="Calibri"/>
          <w:lang w:eastAsia="en-AU"/>
        </w:rPr>
        <w:t xml:space="preserve">The Legislative Instrument is compatible with the human rights and freedoms recognised or declared in the international instruments listed in section 3 of the </w:t>
      </w:r>
      <w:r w:rsidRPr="000720B6">
        <w:rPr>
          <w:rFonts w:ascii="Calibri" w:eastAsia="Times New Roman" w:hAnsi="Calibri" w:cs="Calibri"/>
          <w:i/>
          <w:lang w:eastAsia="en-AU"/>
        </w:rPr>
        <w:t>Human Rights (Parliamentary Scrutiny) Act 2011</w:t>
      </w:r>
      <w:r w:rsidRPr="000720B6">
        <w:rPr>
          <w:rFonts w:ascii="Calibri" w:eastAsia="Times New Roman" w:hAnsi="Calibri" w:cs="Calibri"/>
          <w:lang w:eastAsia="en-AU"/>
        </w:rPr>
        <w:t>.</w:t>
      </w:r>
    </w:p>
    <w:p w:rsidR="000720B6" w:rsidRPr="000720B6" w:rsidRDefault="000720B6" w:rsidP="000720B6">
      <w:pPr>
        <w:spacing w:before="120" w:after="120" w:line="240" w:lineRule="auto"/>
        <w:contextualSpacing/>
        <w:rPr>
          <w:rFonts w:ascii="Calibri" w:eastAsia="Times New Roman" w:hAnsi="Calibri" w:cs="Calibri"/>
          <w:lang w:eastAsia="en-AU"/>
        </w:rPr>
      </w:pPr>
    </w:p>
    <w:p w:rsidR="000720B6" w:rsidRPr="000720B6" w:rsidRDefault="000720B6" w:rsidP="000720B6">
      <w:pPr>
        <w:spacing w:before="120" w:after="120" w:line="240" w:lineRule="auto"/>
        <w:contextualSpacing/>
        <w:rPr>
          <w:rFonts w:ascii="Calibri" w:eastAsia="Times New Roman" w:hAnsi="Calibri" w:cs="Calibri"/>
          <w:b/>
          <w:lang w:eastAsia="en-AU"/>
        </w:rPr>
      </w:pPr>
      <w:r w:rsidRPr="000720B6">
        <w:rPr>
          <w:rFonts w:ascii="Calibri" w:eastAsia="Times New Roman" w:hAnsi="Calibri" w:cs="Calibri"/>
          <w:b/>
          <w:lang w:eastAsia="en-AU"/>
        </w:rPr>
        <w:t>Human rights implications</w:t>
      </w:r>
    </w:p>
    <w:p w:rsidR="000720B6" w:rsidRPr="000720B6" w:rsidRDefault="000720B6" w:rsidP="000720B6">
      <w:pPr>
        <w:spacing w:before="120" w:after="120" w:line="240" w:lineRule="auto"/>
        <w:contextualSpacing/>
        <w:rPr>
          <w:rFonts w:ascii="Calibri" w:eastAsia="Times New Roman" w:hAnsi="Calibri" w:cs="Calibri"/>
          <w:lang w:eastAsia="en-AU"/>
        </w:rPr>
      </w:pPr>
    </w:p>
    <w:p w:rsidR="000720B6" w:rsidRPr="000720B6" w:rsidRDefault="000720B6" w:rsidP="000720B6">
      <w:pPr>
        <w:spacing w:before="120" w:after="120" w:line="240" w:lineRule="auto"/>
        <w:contextualSpacing/>
        <w:rPr>
          <w:rFonts w:ascii="Calibri" w:eastAsia="Times New Roman" w:hAnsi="Calibri" w:cs="Calibri"/>
          <w:lang w:eastAsia="en-AU"/>
        </w:rPr>
      </w:pPr>
      <w:r w:rsidRPr="000720B6">
        <w:rPr>
          <w:rFonts w:ascii="Calibri" w:eastAsia="Times New Roman" w:hAnsi="Calibri" w:cs="Calibri"/>
          <w:lang w:eastAsia="en-AU"/>
        </w:rPr>
        <w:t>A human right engaged by this Instrument, included in the section 3 definition of human rights in the</w:t>
      </w:r>
      <w:r w:rsidRPr="000720B6">
        <w:rPr>
          <w:rFonts w:ascii="Calibri" w:eastAsia="Calibri" w:hAnsi="Calibri" w:cs="Calibri"/>
          <w:i/>
        </w:rPr>
        <w:t xml:space="preserve"> Human Rights (Parliamentary Scrutiny) Act 2011,</w:t>
      </w:r>
      <w:r w:rsidRPr="000720B6">
        <w:rPr>
          <w:rFonts w:ascii="Calibri" w:eastAsia="Times New Roman" w:hAnsi="Calibri" w:cs="Calibri"/>
          <w:lang w:eastAsia="en-AU"/>
        </w:rPr>
        <w:t xml:space="preserve"> is the right to just and favourable conditions of work contained in article 7 of the </w:t>
      </w:r>
      <w:r w:rsidRPr="000720B6">
        <w:rPr>
          <w:rFonts w:ascii="Calibri" w:eastAsia="Times New Roman" w:hAnsi="Calibri" w:cs="Calibri"/>
          <w:i/>
          <w:lang w:eastAsia="en-AU"/>
        </w:rPr>
        <w:t>International Covenant on Economic, Social and Cultural Rights</w:t>
      </w:r>
      <w:r w:rsidRPr="000720B6">
        <w:rPr>
          <w:rFonts w:ascii="Calibri" w:eastAsia="Times New Roman" w:hAnsi="Calibri" w:cs="Calibri"/>
          <w:lang w:eastAsia="en-AU"/>
        </w:rPr>
        <w:t xml:space="preserve">. The right to enjoy just and favourable working conditions has various components that require states to establish a minimum standard of working conditions for all workers and develop appropriate enforcement measures. </w:t>
      </w:r>
    </w:p>
    <w:p w:rsidR="000720B6" w:rsidRPr="000720B6" w:rsidRDefault="000720B6" w:rsidP="000720B6">
      <w:pPr>
        <w:spacing w:before="120" w:after="120" w:line="240" w:lineRule="auto"/>
        <w:contextualSpacing/>
        <w:rPr>
          <w:rFonts w:ascii="Calibri" w:eastAsia="Times New Roman" w:hAnsi="Calibri" w:cs="Calibri"/>
          <w:lang w:eastAsia="en-AU"/>
        </w:rPr>
      </w:pPr>
    </w:p>
    <w:p w:rsidR="000720B6" w:rsidRPr="000720B6" w:rsidRDefault="000720B6" w:rsidP="000720B6">
      <w:pPr>
        <w:spacing w:before="120" w:after="120" w:line="240" w:lineRule="auto"/>
        <w:contextualSpacing/>
        <w:rPr>
          <w:rFonts w:ascii="Calibri" w:eastAsia="Times New Roman" w:hAnsi="Calibri" w:cs="Calibri"/>
          <w:lang w:eastAsia="en-AU"/>
        </w:rPr>
      </w:pPr>
      <w:r w:rsidRPr="000720B6">
        <w:rPr>
          <w:rFonts w:ascii="Calibri" w:eastAsia="Times New Roman" w:hAnsi="Calibri" w:cs="Calibri"/>
          <w:lang w:eastAsia="en-AU"/>
        </w:rPr>
        <w:t>One of the components of article 7 is the right to safe and healthy working conditions. In relation to this right, the Committee on Economic, Social and Cultural Rights has stated that ‘people must be afforded minimum conditions of occupational health and safety, and States parties are responsible for adopting policies and laws to that end’.</w:t>
      </w:r>
      <w:r w:rsidRPr="000720B6">
        <w:rPr>
          <w:rFonts w:ascii="Calibri" w:eastAsia="Times New Roman" w:hAnsi="Calibri" w:cs="Calibri"/>
          <w:vertAlign w:val="superscript"/>
          <w:lang w:eastAsia="en-AU"/>
        </w:rPr>
        <w:footnoteReference w:id="1"/>
      </w:r>
      <w:r w:rsidRPr="000720B6">
        <w:rPr>
          <w:rFonts w:ascii="Calibri" w:eastAsia="Times New Roman" w:hAnsi="Calibri" w:cs="Calibri"/>
          <w:lang w:eastAsia="en-AU"/>
        </w:rPr>
        <w:t xml:space="preserve">    </w:t>
      </w:r>
    </w:p>
    <w:p w:rsidR="000720B6" w:rsidRPr="000720B6" w:rsidRDefault="000720B6" w:rsidP="000720B6">
      <w:pPr>
        <w:spacing w:before="120" w:after="120" w:line="240" w:lineRule="auto"/>
        <w:contextualSpacing/>
        <w:rPr>
          <w:rFonts w:ascii="Calibri" w:eastAsia="Times New Roman" w:hAnsi="Calibri" w:cs="Calibri"/>
          <w:lang w:eastAsia="en-AU"/>
        </w:rPr>
      </w:pPr>
    </w:p>
    <w:p w:rsidR="000720B6" w:rsidRPr="000720B6" w:rsidRDefault="000720B6" w:rsidP="000720B6">
      <w:pPr>
        <w:spacing w:before="120" w:after="120" w:line="240" w:lineRule="auto"/>
        <w:contextualSpacing/>
        <w:rPr>
          <w:rFonts w:ascii="Calibri" w:eastAsia="Times New Roman" w:hAnsi="Calibri" w:cs="Calibri"/>
          <w:lang w:eastAsia="en-AU"/>
        </w:rPr>
      </w:pPr>
      <w:r w:rsidRPr="000720B6">
        <w:rPr>
          <w:rFonts w:ascii="Calibri" w:eastAsia="Times New Roman" w:hAnsi="Calibri" w:cs="Calibri"/>
          <w:lang w:eastAsia="en-AU"/>
        </w:rPr>
        <w:t>In Australia, the right to safe and healthy working conditions underpins the formulation of work health and safety (WHS) legislation at the Commonwealth, state and territory levels.</w:t>
      </w:r>
      <w:r w:rsidRPr="000720B6">
        <w:rPr>
          <w:rFonts w:ascii="Calibri" w:eastAsia="Times New Roman" w:hAnsi="Calibri" w:cs="Calibri"/>
          <w:lang w:eastAsia="en-AU"/>
        </w:rPr>
        <w:br/>
      </w:r>
    </w:p>
    <w:p w:rsidR="000720B6" w:rsidRPr="000720B6" w:rsidRDefault="000720B6" w:rsidP="000720B6">
      <w:pPr>
        <w:spacing w:before="120" w:after="120" w:line="240" w:lineRule="auto"/>
        <w:contextualSpacing/>
        <w:rPr>
          <w:rFonts w:ascii="Calibri" w:eastAsia="Times New Roman" w:hAnsi="Calibri" w:cs="Calibri"/>
          <w:lang w:eastAsia="en-AU"/>
        </w:rPr>
      </w:pPr>
      <w:r w:rsidRPr="000720B6">
        <w:rPr>
          <w:rFonts w:ascii="Calibri" w:eastAsia="Times New Roman" w:hAnsi="Calibri" w:cs="Calibri"/>
          <w:lang w:eastAsia="en-AU"/>
        </w:rPr>
        <w:t xml:space="preserve">At the Commonwealth level, this includes the </w:t>
      </w:r>
      <w:r w:rsidRPr="000720B6">
        <w:rPr>
          <w:rFonts w:ascii="Calibri" w:eastAsia="Times New Roman" w:hAnsi="Calibri" w:cs="Calibri"/>
          <w:i/>
          <w:lang w:eastAsia="en-AU"/>
        </w:rPr>
        <w:t>Work Health and Safety Act 2011</w:t>
      </w:r>
      <w:r w:rsidRPr="000720B6">
        <w:rPr>
          <w:rFonts w:ascii="Calibri" w:eastAsia="Times New Roman" w:hAnsi="Calibri" w:cs="Calibri"/>
          <w:lang w:eastAsia="en-AU"/>
        </w:rPr>
        <w:t xml:space="preserve"> (WHS Act) and the </w:t>
      </w:r>
      <w:r w:rsidRPr="000720B6">
        <w:rPr>
          <w:rFonts w:ascii="Calibri" w:eastAsia="Times New Roman" w:hAnsi="Calibri" w:cs="Calibri"/>
          <w:i/>
          <w:lang w:eastAsia="en-AU"/>
        </w:rPr>
        <w:t xml:space="preserve">Work Health and Safety Regulations </w:t>
      </w:r>
      <w:r w:rsidRPr="000720B6">
        <w:rPr>
          <w:rFonts w:ascii="Calibri" w:eastAsia="Times New Roman" w:hAnsi="Calibri" w:cs="Calibri"/>
          <w:lang w:eastAsia="en-AU"/>
        </w:rPr>
        <w:t>2011 (WHS Regulations). The WHS Act places high</w:t>
      </w:r>
      <w:r w:rsidRPr="000720B6">
        <w:rPr>
          <w:rFonts w:ascii="Calibri" w:eastAsia="Times New Roman" w:hAnsi="Calibri" w:cs="Calibri"/>
          <w:lang w:eastAsia="en-AU"/>
        </w:rPr>
        <w:noBreakHyphen/>
        <w:t>level duties on a range of entities that are designed to ensure safe and healthy working conditions. It is supported by the WHS Regulations which provide more specific obligations, including those applying to general construction induction training (CIT).</w:t>
      </w:r>
    </w:p>
    <w:p w:rsidR="000720B6" w:rsidRPr="000720B6" w:rsidRDefault="000720B6" w:rsidP="000720B6">
      <w:pPr>
        <w:spacing w:before="120" w:after="120" w:line="240" w:lineRule="auto"/>
        <w:contextualSpacing/>
        <w:rPr>
          <w:rFonts w:ascii="Calibri" w:eastAsia="Times New Roman" w:hAnsi="Calibri" w:cs="Calibri"/>
          <w:lang w:eastAsia="en-AU"/>
        </w:rPr>
      </w:pPr>
    </w:p>
    <w:p w:rsidR="000720B6" w:rsidRPr="000720B6" w:rsidRDefault="000720B6" w:rsidP="000720B6">
      <w:pPr>
        <w:spacing w:before="120" w:after="120" w:line="240" w:lineRule="auto"/>
        <w:contextualSpacing/>
        <w:rPr>
          <w:rFonts w:ascii="Calibri" w:eastAsia="Times New Roman" w:hAnsi="Calibri" w:cs="Calibri"/>
          <w:lang w:eastAsia="en-AU"/>
        </w:rPr>
      </w:pPr>
      <w:r w:rsidRPr="000720B6">
        <w:rPr>
          <w:rFonts w:ascii="Calibri" w:eastAsia="Times New Roman" w:hAnsi="Calibri" w:cs="Calibri"/>
          <w:lang w:eastAsia="en-AU"/>
        </w:rPr>
        <w:t>The Legislative Instrument grants an exemption from compliance with sub</w:t>
      </w:r>
      <w:r w:rsidRPr="000720B6">
        <w:rPr>
          <w:rFonts w:ascii="Calibri" w:eastAsia="Times New Roman" w:hAnsi="Calibri" w:cs="Calibri"/>
          <w:lang w:eastAsia="en-AU"/>
        </w:rPr>
        <w:noBreakHyphen/>
        <w:t>regulation 326(1) under which the relevant workers would have to keep evidence of having successfully completed construction induction training.</w:t>
      </w:r>
    </w:p>
    <w:p w:rsidR="000720B6" w:rsidRPr="000720B6" w:rsidRDefault="000720B6" w:rsidP="000720B6">
      <w:pPr>
        <w:spacing w:before="120" w:after="120" w:line="240" w:lineRule="auto"/>
        <w:contextualSpacing/>
        <w:rPr>
          <w:rFonts w:ascii="Calibri" w:eastAsia="Times New Roman" w:hAnsi="Calibri" w:cs="Calibri"/>
          <w:lang w:eastAsia="en-AU"/>
        </w:rPr>
      </w:pPr>
    </w:p>
    <w:p w:rsidR="000720B6" w:rsidRPr="000720B6" w:rsidRDefault="000720B6" w:rsidP="000720B6">
      <w:pPr>
        <w:spacing w:before="120" w:after="120" w:line="240" w:lineRule="auto"/>
        <w:contextualSpacing/>
        <w:rPr>
          <w:rFonts w:ascii="Calibri" w:eastAsia="Times New Roman" w:hAnsi="Calibri" w:cs="Calibri"/>
          <w:lang w:eastAsia="en-AU"/>
        </w:rPr>
      </w:pPr>
      <w:r w:rsidRPr="000720B6">
        <w:rPr>
          <w:rFonts w:ascii="Calibri" w:eastAsia="Times New Roman" w:hAnsi="Calibri" w:cs="Calibri"/>
          <w:lang w:eastAsia="en-AU"/>
        </w:rPr>
        <w:t>While it is acknowledged that CIT is intended to contribute to WHS, Comcare considers that the practical challenges, resultant costs, work interruptions and possible withdrawal of some construction projects are such as to qualify as exceptional circumstances that justify the exemptions granted.</w:t>
      </w:r>
    </w:p>
    <w:p w:rsidR="000720B6" w:rsidRPr="000720B6" w:rsidRDefault="000720B6" w:rsidP="000720B6">
      <w:pPr>
        <w:spacing w:before="120" w:after="120" w:line="240" w:lineRule="auto"/>
        <w:contextualSpacing/>
        <w:rPr>
          <w:rFonts w:ascii="Calibri" w:eastAsia="Times New Roman" w:hAnsi="Calibri" w:cs="Calibri"/>
          <w:lang w:eastAsia="en-AU"/>
        </w:rPr>
      </w:pPr>
    </w:p>
    <w:p w:rsidR="000720B6" w:rsidRPr="000720B6" w:rsidRDefault="000720B6" w:rsidP="000720B6">
      <w:pPr>
        <w:spacing w:before="120" w:after="120" w:line="240" w:lineRule="auto"/>
        <w:contextualSpacing/>
        <w:rPr>
          <w:rFonts w:ascii="Calibri" w:eastAsia="Times New Roman" w:hAnsi="Calibri" w:cs="Calibri"/>
          <w:lang w:eastAsia="en-AU"/>
        </w:rPr>
      </w:pPr>
      <w:r w:rsidRPr="000720B6">
        <w:rPr>
          <w:rFonts w:ascii="Calibri" w:eastAsia="Times New Roman" w:hAnsi="Calibri" w:cs="Calibri"/>
          <w:lang w:eastAsia="en-AU"/>
        </w:rPr>
        <w:t xml:space="preserve">However, Comcare expects that the Department of Foreign Affairs and Trade (DFAT) must comply with all other requirements in the WHS Regulations (including those relating specifically to risk </w:t>
      </w:r>
      <w:r w:rsidRPr="000720B6">
        <w:rPr>
          <w:rFonts w:ascii="Calibri" w:eastAsia="Times New Roman" w:hAnsi="Calibri" w:cs="Calibri"/>
          <w:lang w:eastAsia="en-AU"/>
        </w:rPr>
        <w:lastRenderedPageBreak/>
        <w:t xml:space="preserve">management, hazardous work, hazardous manual tasks, work at heights, high risk work, electrical safety, and the maintenance and management of plant). </w:t>
      </w:r>
    </w:p>
    <w:p w:rsidR="000720B6" w:rsidRPr="000720B6" w:rsidRDefault="000720B6" w:rsidP="000720B6">
      <w:pPr>
        <w:spacing w:before="120" w:after="120" w:line="240" w:lineRule="auto"/>
        <w:contextualSpacing/>
        <w:rPr>
          <w:rFonts w:ascii="Calibri" w:eastAsia="Times New Roman" w:hAnsi="Calibri" w:cs="Calibri"/>
          <w:lang w:eastAsia="en-AU"/>
        </w:rPr>
      </w:pPr>
    </w:p>
    <w:p w:rsidR="000720B6" w:rsidRPr="000720B6" w:rsidRDefault="000720B6" w:rsidP="000720B6">
      <w:pPr>
        <w:spacing w:before="120" w:after="120" w:line="240" w:lineRule="auto"/>
        <w:contextualSpacing/>
        <w:rPr>
          <w:rFonts w:ascii="Calibri" w:eastAsia="Times New Roman" w:hAnsi="Calibri" w:cs="Calibri"/>
          <w:b/>
          <w:lang w:eastAsia="en-AU"/>
        </w:rPr>
      </w:pPr>
      <w:r w:rsidRPr="000720B6">
        <w:rPr>
          <w:rFonts w:ascii="Calibri" w:eastAsia="Times New Roman" w:hAnsi="Calibri" w:cs="Calibri"/>
          <w:b/>
          <w:lang w:eastAsia="en-AU"/>
        </w:rPr>
        <w:t>Conclusion</w:t>
      </w:r>
    </w:p>
    <w:p w:rsidR="000720B6" w:rsidRPr="000720B6" w:rsidRDefault="000720B6" w:rsidP="000720B6">
      <w:pPr>
        <w:spacing w:before="120" w:after="120" w:line="240" w:lineRule="auto"/>
        <w:contextualSpacing/>
        <w:rPr>
          <w:rFonts w:ascii="Calibri" w:eastAsia="Times New Roman" w:hAnsi="Calibri" w:cs="Calibri"/>
          <w:lang w:eastAsia="en-AU"/>
        </w:rPr>
      </w:pPr>
    </w:p>
    <w:p w:rsidR="000720B6" w:rsidRPr="000720B6" w:rsidRDefault="000720B6" w:rsidP="000720B6">
      <w:pPr>
        <w:spacing w:before="120" w:after="120" w:line="240" w:lineRule="auto"/>
        <w:contextualSpacing/>
        <w:rPr>
          <w:rFonts w:ascii="Calibri" w:eastAsia="Times New Roman" w:hAnsi="Calibri" w:cs="Calibri"/>
          <w:lang w:eastAsia="en-AU"/>
        </w:rPr>
      </w:pPr>
      <w:r w:rsidRPr="000720B6">
        <w:rPr>
          <w:rFonts w:ascii="Calibri" w:eastAsia="Times New Roman" w:hAnsi="Calibri" w:cs="Calibri"/>
          <w:lang w:eastAsia="en-AU"/>
        </w:rPr>
        <w:t>The disallowable Legislative Instrument is compatible with human rights because it seeks to balance the need for DFAT (representing the Commonwealth) to progress construction projects overseas with optimal WHS against some limited but very challenging practical barriers to the achievement of compliance in all instances. To the extent that it may limit rights, the exemption is reasonable, necessary and proportionate to the achievement of that legitimate objective.</w:t>
      </w:r>
    </w:p>
    <w:p w:rsidR="004C72E2" w:rsidRDefault="004C72E2"/>
    <w:sectPr w:rsidR="004C7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0B6" w:rsidRDefault="000720B6" w:rsidP="000720B6">
      <w:pPr>
        <w:spacing w:after="0" w:line="240" w:lineRule="auto"/>
      </w:pPr>
      <w:r>
        <w:separator/>
      </w:r>
    </w:p>
  </w:endnote>
  <w:endnote w:type="continuationSeparator" w:id="0">
    <w:p w:rsidR="000720B6" w:rsidRDefault="000720B6" w:rsidP="00072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0B6" w:rsidRDefault="000720B6" w:rsidP="000720B6">
      <w:pPr>
        <w:spacing w:after="0" w:line="240" w:lineRule="auto"/>
      </w:pPr>
      <w:r>
        <w:separator/>
      </w:r>
    </w:p>
  </w:footnote>
  <w:footnote w:type="continuationSeparator" w:id="0">
    <w:p w:rsidR="000720B6" w:rsidRDefault="000720B6" w:rsidP="000720B6">
      <w:pPr>
        <w:spacing w:after="0" w:line="240" w:lineRule="auto"/>
      </w:pPr>
      <w:r>
        <w:continuationSeparator/>
      </w:r>
    </w:p>
  </w:footnote>
  <w:footnote w:id="1">
    <w:p w:rsidR="000720B6" w:rsidRPr="00D7736C" w:rsidRDefault="000720B6" w:rsidP="000720B6">
      <w:pPr>
        <w:pStyle w:val="FootnoteText"/>
      </w:pPr>
      <w:r>
        <w:rPr>
          <w:rStyle w:val="FootnoteReference"/>
        </w:rPr>
        <w:footnoteRef/>
      </w:r>
      <w:r>
        <w:t xml:space="preserve"> UN Office of the High Commissioner for Human Rights (OHCHR), </w:t>
      </w:r>
      <w:r>
        <w:rPr>
          <w:i/>
          <w:iCs/>
        </w:rPr>
        <w:t>Fact Sheet No. 16 (Rev.1), The Committee on Economic, Social and Cultural Rights</w:t>
      </w:r>
      <w:r>
        <w:t>, May 1996, No. 16 (Rev.1), available at: http://www.refworld.org/docid/4794773cd.html [accessed 19 June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008EC"/>
    <w:multiLevelType w:val="hybridMultilevel"/>
    <w:tmpl w:val="DAD81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0B6"/>
    <w:rsid w:val="00053A57"/>
    <w:rsid w:val="000720B6"/>
    <w:rsid w:val="000D4857"/>
    <w:rsid w:val="004C72E2"/>
    <w:rsid w:val="004D436C"/>
    <w:rsid w:val="008151E4"/>
    <w:rsid w:val="00AE0F26"/>
    <w:rsid w:val="00C240DB"/>
    <w:rsid w:val="00CB1429"/>
    <w:rsid w:val="00DC25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0A7B"/>
  <w15:chartTrackingRefBased/>
  <w15:docId w15:val="{DB63D918-8C48-4BEC-80E9-7E426246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720B6"/>
    <w:pPr>
      <w:spacing w:after="0" w:line="240" w:lineRule="auto"/>
    </w:pPr>
    <w:rPr>
      <w:rFonts w:ascii="Times New Roman" w:eastAsia="Calibri" w:hAnsi="Times New Roman" w:cs="Times New Roman"/>
      <w:sz w:val="20"/>
      <w:szCs w:val="20"/>
      <w:lang w:eastAsia="en-AU"/>
    </w:rPr>
  </w:style>
  <w:style w:type="character" w:customStyle="1" w:styleId="FootnoteTextChar">
    <w:name w:val="Footnote Text Char"/>
    <w:basedOn w:val="DefaultParagraphFont"/>
    <w:link w:val="FootnoteText"/>
    <w:rsid w:val="000720B6"/>
    <w:rPr>
      <w:rFonts w:ascii="Times New Roman" w:eastAsia="Calibri" w:hAnsi="Times New Roman" w:cs="Times New Roman"/>
      <w:sz w:val="20"/>
      <w:szCs w:val="20"/>
      <w:lang w:eastAsia="en-AU"/>
    </w:rPr>
  </w:style>
  <w:style w:type="character" w:styleId="FootnoteReference">
    <w:name w:val="footnote reference"/>
    <w:unhideWhenUsed/>
    <w:rsid w:val="000720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Vrins</dc:creator>
  <cp:keywords/>
  <dc:description/>
  <cp:lastModifiedBy>Ben Vrins</cp:lastModifiedBy>
  <cp:revision>1</cp:revision>
  <dcterms:created xsi:type="dcterms:W3CDTF">2019-08-28T04:55:00Z</dcterms:created>
  <dcterms:modified xsi:type="dcterms:W3CDTF">2019-08-28T04:56:00Z</dcterms:modified>
</cp:coreProperties>
</file>