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8D32" w14:textId="77777777" w:rsidR="001F4616" w:rsidRPr="001F4616" w:rsidRDefault="001F4616" w:rsidP="001F4616">
      <w:pPr>
        <w:jc w:val="center"/>
        <w:rPr>
          <w:b/>
          <w:u w:val="single"/>
        </w:rPr>
      </w:pPr>
      <w:bookmarkStart w:id="0" w:name="_GoBack"/>
      <w:bookmarkEnd w:id="0"/>
      <w:r w:rsidRPr="001F4616">
        <w:rPr>
          <w:b/>
          <w:u w:val="single"/>
        </w:rPr>
        <w:t>EXPLANATORY STATEMENT</w:t>
      </w:r>
    </w:p>
    <w:p w14:paraId="313DA9E1" w14:textId="0EFBD067" w:rsidR="001F4616" w:rsidRDefault="00EE578E" w:rsidP="001F4616">
      <w:pPr>
        <w:jc w:val="center"/>
      </w:pPr>
      <w:r>
        <w:t>Issued by the Authority of</w:t>
      </w:r>
      <w:r w:rsidR="00CB77F2">
        <w:t xml:space="preserve"> the Assistant Minister to the Prime Minister</w:t>
      </w:r>
      <w:r w:rsidR="007745BD">
        <w:t xml:space="preserve"> and Cabinet</w:t>
      </w:r>
    </w:p>
    <w:p w14:paraId="25AAFA1A" w14:textId="77777777" w:rsidR="001F4616" w:rsidRDefault="001F4616" w:rsidP="001F4616">
      <w:pPr>
        <w:jc w:val="center"/>
        <w:rPr>
          <w:i/>
        </w:rPr>
      </w:pPr>
      <w:r>
        <w:rPr>
          <w:i/>
        </w:rPr>
        <w:t>Royal Commissions Act 1902</w:t>
      </w:r>
    </w:p>
    <w:p w14:paraId="7BB30C11" w14:textId="5A28276D" w:rsidR="00C36F73" w:rsidRDefault="00C36F73" w:rsidP="004E2B4A">
      <w:pPr>
        <w:jc w:val="center"/>
        <w:rPr>
          <w:i/>
        </w:rPr>
      </w:pPr>
      <w:r w:rsidRPr="00C36F73">
        <w:rPr>
          <w:i/>
        </w:rPr>
        <w:t>Royal Commissions (Consequential Amendments) Regulations 2019</w:t>
      </w:r>
    </w:p>
    <w:p w14:paraId="3C74DBF0" w14:textId="1520A9B9" w:rsidR="00E20165" w:rsidRDefault="001F4616" w:rsidP="001F4616">
      <w:pPr>
        <w:rPr>
          <w:b/>
        </w:rPr>
      </w:pPr>
      <w:r>
        <w:rPr>
          <w:b/>
        </w:rPr>
        <w:t>Outline</w:t>
      </w:r>
    </w:p>
    <w:p w14:paraId="6A266605" w14:textId="3900CC77" w:rsidR="001F4616" w:rsidRDefault="000E2344" w:rsidP="001F4616">
      <w:r>
        <w:t xml:space="preserve">The </w:t>
      </w:r>
      <w:r>
        <w:rPr>
          <w:i/>
        </w:rPr>
        <w:t>Royal Commissions Act 1902</w:t>
      </w:r>
      <w:r>
        <w:t xml:space="preserve"> (the Act) provides for the establishment</w:t>
      </w:r>
      <w:r w:rsidR="00D14DCF">
        <w:t>, powers</w:t>
      </w:r>
      <w:r w:rsidR="00242368">
        <w:t xml:space="preserve"> </w:t>
      </w:r>
      <w:r>
        <w:t>and operation of Royal Commissions</w:t>
      </w:r>
      <w:r w:rsidR="00D14DCF">
        <w:t xml:space="preserve"> and</w:t>
      </w:r>
      <w:r w:rsidR="00242368">
        <w:t xml:space="preserve"> for</w:t>
      </w:r>
      <w:r w:rsidR="00D14DCF">
        <w:t xml:space="preserve"> the management of Royal Commission records</w:t>
      </w:r>
      <w:r>
        <w:t xml:space="preserve">. </w:t>
      </w:r>
    </w:p>
    <w:p w14:paraId="2B27225E" w14:textId="6127B478" w:rsidR="00797410" w:rsidRDefault="00797410" w:rsidP="001F4616">
      <w:r>
        <w:t xml:space="preserve">Section 17 of the Act provides that the Governor-General may make regulations, not inconsistent with the Act, prescribing all matters that the Act requires or permits to be prescribed, or necessary </w:t>
      </w:r>
      <w:r w:rsidR="00B27DA6">
        <w:t>or</w:t>
      </w:r>
      <w:r>
        <w:t xml:space="preserve"> convenient for carrying out or giving effect to the Act.</w:t>
      </w:r>
    </w:p>
    <w:p w14:paraId="0CAF4AB8" w14:textId="15614283" w:rsidR="00AE23C1" w:rsidRDefault="00D14DCF" w:rsidP="00AE23C1">
      <w:r>
        <w:t xml:space="preserve">In accordance with section 50 of the </w:t>
      </w:r>
      <w:r w:rsidRPr="00151B0A">
        <w:rPr>
          <w:i/>
        </w:rPr>
        <w:t>Legislation Act 2003</w:t>
      </w:r>
      <w:r>
        <w:t xml:space="preserve">, the </w:t>
      </w:r>
      <w:r w:rsidRPr="00D14DCF">
        <w:rPr>
          <w:i/>
          <w:iCs/>
        </w:rPr>
        <w:t>Royal Commissions Regulations 2001</w:t>
      </w:r>
      <w:r>
        <w:t xml:space="preserve"> </w:t>
      </w:r>
      <w:r w:rsidR="009B1534">
        <w:t xml:space="preserve">(the former Regulations) </w:t>
      </w:r>
      <w:r>
        <w:t xml:space="preserve">were due to sunset on 1 October 2019. The </w:t>
      </w:r>
      <w:r w:rsidRPr="00D14DCF">
        <w:rPr>
          <w:i/>
          <w:iCs/>
        </w:rPr>
        <w:t>Royal Commissions Regulations 2019</w:t>
      </w:r>
      <w:r w:rsidR="00AE23C1">
        <w:t xml:space="preserve"> </w:t>
      </w:r>
      <w:r>
        <w:t>remake</w:t>
      </w:r>
      <w:r w:rsidR="00AE23C1">
        <w:t xml:space="preserve"> the former Regulations.</w:t>
      </w:r>
    </w:p>
    <w:p w14:paraId="10B89E71" w14:textId="53C17949" w:rsidR="00C36F73" w:rsidRDefault="00C36F73" w:rsidP="002D31EE">
      <w:r>
        <w:t xml:space="preserve">The </w:t>
      </w:r>
      <w:r w:rsidRPr="00763B2A">
        <w:rPr>
          <w:i/>
        </w:rPr>
        <w:t>Royal Commissions (Consequential Amendments) Regulations 2019</w:t>
      </w:r>
      <w:r>
        <w:rPr>
          <w:i/>
        </w:rPr>
        <w:t xml:space="preserve"> </w:t>
      </w:r>
      <w:r w:rsidR="00AE23C1">
        <w:rPr>
          <w:iCs/>
        </w:rPr>
        <w:t>(the consequential amendments</w:t>
      </w:r>
      <w:r w:rsidR="004A7C8F">
        <w:rPr>
          <w:iCs/>
        </w:rPr>
        <w:t xml:space="preserve"> Regulations</w:t>
      </w:r>
      <w:r w:rsidR="00AE23C1">
        <w:rPr>
          <w:iCs/>
        </w:rPr>
        <w:t xml:space="preserve">) </w:t>
      </w:r>
      <w:r>
        <w:rPr>
          <w:iCs/>
        </w:rPr>
        <w:t xml:space="preserve">repeal the former Regulations and </w:t>
      </w:r>
      <w:r>
        <w:t>make minor consequential amendments to other regulations.</w:t>
      </w:r>
    </w:p>
    <w:p w14:paraId="092B4FF1" w14:textId="12D77651" w:rsidR="002D31EE" w:rsidRDefault="002D31EE" w:rsidP="002D31EE">
      <w:r>
        <w:t>Consultation was undert</w:t>
      </w:r>
      <w:r w:rsidR="00AE23C1">
        <w:t>aken with relevant Commonwealth agencies</w:t>
      </w:r>
      <w:r>
        <w:t xml:space="preserve">. </w:t>
      </w:r>
    </w:p>
    <w:p w14:paraId="5DA68EBD" w14:textId="61BCEE90" w:rsidR="002D31EE" w:rsidRDefault="002D31EE" w:rsidP="002D31EE">
      <w:r>
        <w:t xml:space="preserve">Details of the </w:t>
      </w:r>
      <w:r w:rsidR="009B1534">
        <w:rPr>
          <w:iCs/>
        </w:rPr>
        <w:t>consequential amendments</w:t>
      </w:r>
      <w:r w:rsidR="009B1534" w:rsidRPr="004A7C8F">
        <w:rPr>
          <w:iCs/>
        </w:rPr>
        <w:t xml:space="preserve"> </w:t>
      </w:r>
      <w:r>
        <w:t xml:space="preserve">Regulations are set out in the Attachment. </w:t>
      </w:r>
    </w:p>
    <w:p w14:paraId="59BEDFB8" w14:textId="60DAA7CE" w:rsidR="002D31EE" w:rsidRDefault="002D31EE" w:rsidP="002D31EE">
      <w:r>
        <w:t xml:space="preserve">The Act specifies no conditions that need to be satisfied before the power to make </w:t>
      </w:r>
      <w:r w:rsidR="00AE23C1">
        <w:rPr>
          <w:iCs/>
        </w:rPr>
        <w:t>the consequential amendments</w:t>
      </w:r>
      <w:r w:rsidR="004A7C8F" w:rsidRPr="004A7C8F">
        <w:rPr>
          <w:iCs/>
        </w:rPr>
        <w:t xml:space="preserve"> </w:t>
      </w:r>
      <w:r w:rsidR="004A7C8F">
        <w:rPr>
          <w:iCs/>
        </w:rPr>
        <w:t>Regulations</w:t>
      </w:r>
      <w:r>
        <w:t xml:space="preserve"> may be exercised.</w:t>
      </w:r>
    </w:p>
    <w:p w14:paraId="0A9987BD" w14:textId="18C29A1C" w:rsidR="002D31EE" w:rsidRDefault="002D31EE" w:rsidP="002D31EE">
      <w:r>
        <w:t xml:space="preserve">The </w:t>
      </w:r>
      <w:r w:rsidR="00AE23C1">
        <w:rPr>
          <w:iCs/>
        </w:rPr>
        <w:t>consequential amendments</w:t>
      </w:r>
      <w:r w:rsidR="00AE23C1">
        <w:t xml:space="preserve"> </w:t>
      </w:r>
      <w:r w:rsidR="004A7C8F">
        <w:rPr>
          <w:iCs/>
        </w:rPr>
        <w:t>Regulations</w:t>
      </w:r>
      <w:r w:rsidR="004A7C8F">
        <w:t xml:space="preserve"> </w:t>
      </w:r>
      <w:r>
        <w:t xml:space="preserve">are a legislative instrument for the purposes of the </w:t>
      </w:r>
      <w:r w:rsidRPr="00B7400E">
        <w:rPr>
          <w:i/>
        </w:rPr>
        <w:t>Legislation Act 2003</w:t>
      </w:r>
      <w:r>
        <w:t xml:space="preserve">. </w:t>
      </w:r>
    </w:p>
    <w:p w14:paraId="3EF914BC" w14:textId="18077394" w:rsidR="002D31EE" w:rsidRDefault="002D31EE" w:rsidP="002D31EE">
      <w:r>
        <w:t xml:space="preserve">The </w:t>
      </w:r>
      <w:r w:rsidR="00AE23C1">
        <w:rPr>
          <w:iCs/>
        </w:rPr>
        <w:t>consequential amendments</w:t>
      </w:r>
      <w:r w:rsidR="004A7C8F" w:rsidRPr="004A7C8F">
        <w:rPr>
          <w:iCs/>
        </w:rPr>
        <w:t xml:space="preserve"> </w:t>
      </w:r>
      <w:r w:rsidR="004A7C8F">
        <w:rPr>
          <w:iCs/>
        </w:rPr>
        <w:t>Regulations</w:t>
      </w:r>
      <w:r w:rsidR="00AE23C1">
        <w:t xml:space="preserve"> </w:t>
      </w:r>
      <w:r>
        <w:t>commence the day after registration.</w:t>
      </w:r>
    </w:p>
    <w:p w14:paraId="49646073" w14:textId="77777777" w:rsidR="007F6B47" w:rsidRDefault="007F6B47" w:rsidP="002D31EE"/>
    <w:p w14:paraId="65D208FD" w14:textId="1E028877" w:rsidR="00216A9F" w:rsidRDefault="00216A9F" w:rsidP="008250FE">
      <w:pPr>
        <w:tabs>
          <w:tab w:val="left" w:pos="2835"/>
        </w:tabs>
        <w:spacing w:before="0"/>
        <w:ind w:right="91"/>
        <w:contextualSpacing/>
        <w:jc w:val="right"/>
      </w:pPr>
      <w:r w:rsidRPr="00216A9F">
        <w:rPr>
          <w:u w:val="single"/>
        </w:rPr>
        <w:t>Authority</w:t>
      </w:r>
      <w:r w:rsidRPr="00216A9F">
        <w:t xml:space="preserve">:  Section </w:t>
      </w:r>
      <w:r>
        <w:t>17</w:t>
      </w:r>
      <w:r w:rsidRPr="00216A9F">
        <w:t xml:space="preserve"> of the </w:t>
      </w:r>
      <w:r>
        <w:rPr>
          <w:i/>
        </w:rPr>
        <w:t>Royal Commissions Act 1902</w:t>
      </w:r>
    </w:p>
    <w:p w14:paraId="64EE8178" w14:textId="6C46A65C" w:rsidR="002A6A47" w:rsidRPr="008250FE" w:rsidRDefault="00CE70EF" w:rsidP="008250FE">
      <w:pPr>
        <w:spacing w:before="0" w:after="160" w:line="259" w:lineRule="auto"/>
        <w:jc w:val="center"/>
        <w:rPr>
          <w:b/>
        </w:rPr>
      </w:pPr>
      <w:r>
        <w:rPr>
          <w:b/>
        </w:rPr>
        <w:br w:type="page"/>
      </w:r>
      <w:r w:rsidR="001F4616">
        <w:rPr>
          <w:b/>
        </w:rPr>
        <w:lastRenderedPageBreak/>
        <w:t>Statement of Compatibility with Human Rights</w:t>
      </w:r>
    </w:p>
    <w:p w14:paraId="2E3E371B" w14:textId="65A96193" w:rsidR="00FF143D" w:rsidRDefault="00FF143D" w:rsidP="00FF143D">
      <w:pPr>
        <w:jc w:val="center"/>
        <w:rPr>
          <w:iCs/>
        </w:rPr>
      </w:pPr>
      <w:r>
        <w:rPr>
          <w:i/>
          <w:iCs/>
        </w:rPr>
        <w:t>Prepared in accordance with Part 3 of the Human Rights (P</w:t>
      </w:r>
      <w:r w:rsidR="00071CEE">
        <w:rPr>
          <w:i/>
          <w:iCs/>
        </w:rPr>
        <w:t>arliamentary Scrutiny) Act 2011</w:t>
      </w:r>
    </w:p>
    <w:p w14:paraId="244DB428" w14:textId="4D8ED95B" w:rsidR="00C36F73" w:rsidRDefault="00C36F73" w:rsidP="004E2B4A">
      <w:pPr>
        <w:spacing w:before="120" w:after="120"/>
        <w:jc w:val="center"/>
        <w:rPr>
          <w:b/>
          <w:i/>
        </w:rPr>
      </w:pPr>
      <w:r w:rsidRPr="00C36F73">
        <w:rPr>
          <w:b/>
          <w:i/>
        </w:rPr>
        <w:t>Royal Commissions (Consequential Amendments) Regulations 2019</w:t>
      </w:r>
    </w:p>
    <w:p w14:paraId="08F94FD2" w14:textId="028922EB" w:rsidR="00FF143D" w:rsidRDefault="00FF143D" w:rsidP="00FF143D">
      <w:pPr>
        <w:spacing w:before="120" w:after="120"/>
        <w:rPr>
          <w:szCs w:val="24"/>
        </w:rPr>
      </w:pPr>
      <w:r>
        <w:rPr>
          <w:szCs w:val="24"/>
        </w:rPr>
        <w:t xml:space="preserve">This </w:t>
      </w:r>
      <w:r w:rsidR="00A25F1D">
        <w:rPr>
          <w:szCs w:val="24"/>
        </w:rPr>
        <w:t>l</w:t>
      </w:r>
      <w:r>
        <w:rPr>
          <w:szCs w:val="24"/>
        </w:rPr>
        <w:t xml:space="preserve">egislative </w:t>
      </w:r>
      <w:r w:rsidR="00A25F1D">
        <w:rPr>
          <w:szCs w:val="24"/>
        </w:rPr>
        <w:t>i</w:t>
      </w:r>
      <w:r>
        <w:rPr>
          <w:szCs w:val="24"/>
        </w:rPr>
        <w:t xml:space="preserve">nstrument is compatible with the human rights and freedoms recognised or declared in the international instruments listed in section 3 of the </w:t>
      </w:r>
      <w:r>
        <w:rPr>
          <w:i/>
          <w:szCs w:val="24"/>
        </w:rPr>
        <w:t>Human Rights (Parliamentary Scrutiny) Act 2011</w:t>
      </w:r>
      <w:r>
        <w:rPr>
          <w:szCs w:val="24"/>
        </w:rPr>
        <w:t>.</w:t>
      </w:r>
    </w:p>
    <w:p w14:paraId="39299071" w14:textId="77777777" w:rsidR="000764DC" w:rsidRPr="00FF143D" w:rsidRDefault="000764DC" w:rsidP="00FF143D">
      <w:pPr>
        <w:spacing w:before="120" w:after="120"/>
        <w:rPr>
          <w:szCs w:val="24"/>
        </w:rPr>
      </w:pPr>
    </w:p>
    <w:p w14:paraId="7DF601B5" w14:textId="7794226B" w:rsidR="00FF143D" w:rsidRDefault="00FF143D" w:rsidP="002A6A47">
      <w:pPr>
        <w:rPr>
          <w:b/>
        </w:rPr>
      </w:pPr>
      <w:r>
        <w:rPr>
          <w:b/>
        </w:rPr>
        <w:t>Overview</w:t>
      </w:r>
    </w:p>
    <w:p w14:paraId="25751035" w14:textId="6EB0BBB5" w:rsidR="009C1A2B" w:rsidRDefault="009C1A2B" w:rsidP="009C1A2B">
      <w:r>
        <w:t xml:space="preserve">The </w:t>
      </w:r>
      <w:r>
        <w:rPr>
          <w:i/>
        </w:rPr>
        <w:t>Royal Commissions Act 1902</w:t>
      </w:r>
      <w:r>
        <w:t xml:space="preserve"> (the Act) provides for the establishment, powers and operation of Royal Commissions and </w:t>
      </w:r>
      <w:r w:rsidR="00242368">
        <w:t xml:space="preserve">for </w:t>
      </w:r>
      <w:r>
        <w:t xml:space="preserve">the management of Royal Commission records. </w:t>
      </w:r>
    </w:p>
    <w:p w14:paraId="16FB801F" w14:textId="23142080" w:rsidR="009C1A2B" w:rsidRDefault="009C1A2B" w:rsidP="009C1A2B">
      <w:r>
        <w:t xml:space="preserve">Section 17 of the Act provides that the Governor-General may make regulations, not inconsistent with the Act, prescribing all matters that the Act requires or permits to be prescribed, or necessary </w:t>
      </w:r>
      <w:r w:rsidR="00151B0A">
        <w:t>or</w:t>
      </w:r>
      <w:r>
        <w:t xml:space="preserve"> convenient for carrying out or giving effect to the Act.</w:t>
      </w:r>
    </w:p>
    <w:p w14:paraId="7BF65BBC" w14:textId="0A35D3AE" w:rsidR="004B2C36" w:rsidRDefault="004B2C36" w:rsidP="009C1A2B">
      <w:r>
        <w:t>In particular, the Act provides that the following matters may be prescribed by regulation:</w:t>
      </w:r>
    </w:p>
    <w:p w14:paraId="4E06704F" w14:textId="3291464F" w:rsidR="004B2C36" w:rsidRDefault="004B2C36" w:rsidP="004B2C36">
      <w:pPr>
        <w:pStyle w:val="ListParagraph"/>
        <w:numPr>
          <w:ilvl w:val="0"/>
          <w:numId w:val="12"/>
        </w:numPr>
      </w:pPr>
      <w:r>
        <w:t>methods in which a Royal Commission may serve a process on a named person</w:t>
      </w:r>
      <w:r w:rsidR="00DC3D9C">
        <w:t xml:space="preserve"> (</w:t>
      </w:r>
      <w:proofErr w:type="spellStart"/>
      <w:r w:rsidR="00DC3D9C">
        <w:t>ss</w:t>
      </w:r>
      <w:proofErr w:type="spellEnd"/>
      <w:r w:rsidR="00DC3D9C">
        <w:t> 2(3A), 2(3C), 3(1), 6AA(3))</w:t>
      </w:r>
      <w:r w:rsidR="00BD22C3">
        <w:t>;</w:t>
      </w:r>
    </w:p>
    <w:p w14:paraId="16A43328" w14:textId="3EE82E13" w:rsidR="004B2C36" w:rsidRDefault="004B2C36" w:rsidP="004B2C36">
      <w:pPr>
        <w:pStyle w:val="ListParagraph"/>
        <w:numPr>
          <w:ilvl w:val="0"/>
          <w:numId w:val="12"/>
        </w:numPr>
      </w:pPr>
      <w:r>
        <w:t>expenses to be paid to witnesses appearing before a Royal Commission</w:t>
      </w:r>
      <w:r w:rsidR="00DC3D9C">
        <w:t xml:space="preserve"> (s 6G)</w:t>
      </w:r>
      <w:r w:rsidR="00BD22C3">
        <w:t>; and</w:t>
      </w:r>
    </w:p>
    <w:p w14:paraId="64C75FE6" w14:textId="00AD6301" w:rsidR="004B2C36" w:rsidRDefault="004B2C36" w:rsidP="004B2C36">
      <w:pPr>
        <w:pStyle w:val="ListParagraph"/>
        <w:numPr>
          <w:ilvl w:val="0"/>
          <w:numId w:val="12"/>
        </w:numPr>
      </w:pPr>
      <w:proofErr w:type="gramStart"/>
      <w:r>
        <w:t>allowances</w:t>
      </w:r>
      <w:proofErr w:type="gramEnd"/>
      <w:r>
        <w:t xml:space="preserve"> to be paid to witnesses summoned by a Royal Commission for their travelling expenses and maintenance</w:t>
      </w:r>
      <w:r w:rsidR="00DC3D9C">
        <w:t xml:space="preserve"> (s 8)</w:t>
      </w:r>
      <w:r w:rsidR="00BD22C3">
        <w:t>.</w:t>
      </w:r>
    </w:p>
    <w:p w14:paraId="496EE7F3" w14:textId="7891D444" w:rsidR="009C1A2B" w:rsidRDefault="009C1A2B" w:rsidP="009C1A2B">
      <w:r>
        <w:t xml:space="preserve">In accordance with section 50 of the </w:t>
      </w:r>
      <w:r w:rsidRPr="00242368">
        <w:rPr>
          <w:i/>
          <w:iCs/>
        </w:rPr>
        <w:t>Legislation Act 2003</w:t>
      </w:r>
      <w:r>
        <w:t xml:space="preserve">, the </w:t>
      </w:r>
      <w:r w:rsidRPr="00D14DCF">
        <w:rPr>
          <w:i/>
          <w:iCs/>
        </w:rPr>
        <w:t>Royal Commissions Regulations 2001</w:t>
      </w:r>
      <w:r>
        <w:t xml:space="preserve"> (the former Regulations) were due to sunset on 1 October 2019. </w:t>
      </w:r>
    </w:p>
    <w:p w14:paraId="7E6320F2" w14:textId="0DB14456" w:rsidR="00C34B89" w:rsidRDefault="00AE23C1" w:rsidP="00C34B89">
      <w:r>
        <w:t xml:space="preserve">The </w:t>
      </w:r>
      <w:r w:rsidRPr="00D14DCF">
        <w:rPr>
          <w:i/>
          <w:iCs/>
        </w:rPr>
        <w:t>Royal Commissions Regulations 2019</w:t>
      </w:r>
      <w:r>
        <w:t xml:space="preserve"> remake the former Regulations. </w:t>
      </w:r>
      <w:r w:rsidR="00C34B89">
        <w:t xml:space="preserve">The </w:t>
      </w:r>
      <w:r w:rsidR="00C36F73" w:rsidRPr="00C36F73">
        <w:rPr>
          <w:i/>
          <w:iCs/>
        </w:rPr>
        <w:t>Royal Commissions (Consequential Amendments) Regulations 2019</w:t>
      </w:r>
      <w:r w:rsidR="00C36F73" w:rsidRPr="00C36F73">
        <w:t xml:space="preserve"> </w:t>
      </w:r>
      <w:r w:rsidR="00C36F73">
        <w:t>repeal the former Regulations</w:t>
      </w:r>
      <w:r>
        <w:t xml:space="preserve"> and make consequential amendments to other regulations</w:t>
      </w:r>
      <w:r w:rsidR="00C36F73">
        <w:t xml:space="preserve">. </w:t>
      </w:r>
    </w:p>
    <w:p w14:paraId="6CA438A3" w14:textId="77777777" w:rsidR="00AE23C1" w:rsidRDefault="00AE23C1" w:rsidP="001F4B59">
      <w:pPr>
        <w:rPr>
          <w:b/>
        </w:rPr>
      </w:pPr>
    </w:p>
    <w:p w14:paraId="3E98150C" w14:textId="17748879" w:rsidR="001F4B59" w:rsidRDefault="001F4B59" w:rsidP="001F4B59">
      <w:r>
        <w:rPr>
          <w:b/>
        </w:rPr>
        <w:t>Human Rights Implications</w:t>
      </w:r>
    </w:p>
    <w:p w14:paraId="54AE66D3" w14:textId="715F8642" w:rsidR="00826181" w:rsidRDefault="00EE5B56" w:rsidP="00AE23C1">
      <w:r>
        <w:t xml:space="preserve">This Legislative Instrument </w:t>
      </w:r>
      <w:r w:rsidR="00AE23C1">
        <w:t xml:space="preserve">does not engage any of the applicable rights or freedoms. </w:t>
      </w:r>
    </w:p>
    <w:p w14:paraId="78AE8537" w14:textId="77777777" w:rsidR="00AE23C1" w:rsidRPr="00AE23C1" w:rsidRDefault="00AE23C1" w:rsidP="00AE23C1"/>
    <w:p w14:paraId="163997CA" w14:textId="62C257C7" w:rsidR="001674D6" w:rsidRPr="001674D6" w:rsidRDefault="001674D6" w:rsidP="001674D6">
      <w:pPr>
        <w:shd w:val="clear" w:color="auto" w:fill="FFFFFF"/>
        <w:spacing w:before="100" w:beforeAutospacing="1"/>
        <w:rPr>
          <w:rFonts w:ascii="Helvetica Neue" w:hAnsi="Helvetica Neue"/>
          <w:sz w:val="19"/>
          <w:szCs w:val="19"/>
          <w:lang w:val="en-US"/>
        </w:rPr>
      </w:pPr>
      <w:r w:rsidRPr="001674D6">
        <w:rPr>
          <w:b/>
          <w:bCs/>
          <w:szCs w:val="24"/>
        </w:rPr>
        <w:t>Conclusion</w:t>
      </w:r>
    </w:p>
    <w:p w14:paraId="2818C538" w14:textId="2EC34B24" w:rsidR="00AE23C1" w:rsidRPr="00AE23C1" w:rsidRDefault="00AE23C1" w:rsidP="00AE23C1">
      <w:pPr>
        <w:shd w:val="clear" w:color="auto" w:fill="FFFFFF"/>
        <w:spacing w:before="100" w:beforeAutospacing="1"/>
        <w:rPr>
          <w:szCs w:val="24"/>
        </w:rPr>
      </w:pPr>
      <w:r>
        <w:t xml:space="preserve">This Legislative Instrument is </w:t>
      </w:r>
      <w:r w:rsidR="001674D6" w:rsidRPr="001674D6">
        <w:rPr>
          <w:szCs w:val="24"/>
        </w:rPr>
        <w:t xml:space="preserve">compatible with human rights </w:t>
      </w:r>
      <w:r w:rsidR="00955C85">
        <w:rPr>
          <w:szCs w:val="24"/>
        </w:rPr>
        <w:t>because</w:t>
      </w:r>
      <w:r w:rsidR="00955C85" w:rsidRPr="001674D6">
        <w:rPr>
          <w:szCs w:val="24"/>
        </w:rPr>
        <w:t xml:space="preserve"> </w:t>
      </w:r>
      <w:r>
        <w:rPr>
          <w:szCs w:val="24"/>
        </w:rPr>
        <w:t>it does not engage any of the applicable rights or freedoms</w:t>
      </w:r>
      <w:r w:rsidR="00955C85" w:rsidRPr="001674D6">
        <w:rPr>
          <w:szCs w:val="24"/>
        </w:rPr>
        <w:t>.</w:t>
      </w:r>
      <w:r w:rsidR="00955C85">
        <w:rPr>
          <w:szCs w:val="24"/>
        </w:rPr>
        <w:t xml:space="preserve"> </w:t>
      </w:r>
    </w:p>
    <w:p w14:paraId="7DF7204C" w14:textId="77777777" w:rsidR="00BD0FD0" w:rsidRDefault="00BD0FD0">
      <w:pPr>
        <w:spacing w:before="0"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590A3F5" w14:textId="6467D22E" w:rsidR="001F4616" w:rsidRPr="00997051" w:rsidRDefault="001F4616" w:rsidP="00997051">
      <w:pPr>
        <w:jc w:val="right"/>
        <w:rPr>
          <w:b/>
          <w:u w:val="single"/>
        </w:rPr>
      </w:pPr>
      <w:r w:rsidRPr="00997051">
        <w:rPr>
          <w:b/>
          <w:u w:val="single"/>
        </w:rPr>
        <w:lastRenderedPageBreak/>
        <w:t>Attachment</w:t>
      </w:r>
    </w:p>
    <w:p w14:paraId="09FB9409" w14:textId="68777882" w:rsidR="00C36F73" w:rsidRPr="00C36F73" w:rsidRDefault="00C36F73" w:rsidP="00C36F73">
      <w:pPr>
        <w:jc w:val="center"/>
        <w:rPr>
          <w:b/>
          <w:bCs/>
          <w:i/>
          <w:iCs/>
        </w:rPr>
      </w:pPr>
      <w:r w:rsidRPr="00C36F73">
        <w:rPr>
          <w:b/>
          <w:bCs/>
        </w:rPr>
        <w:t xml:space="preserve">Detail of the </w:t>
      </w:r>
      <w:r w:rsidRPr="00C36F73">
        <w:rPr>
          <w:b/>
          <w:bCs/>
          <w:i/>
          <w:iCs/>
        </w:rPr>
        <w:t>Royal Commissions (Consequential Amendments) Regulations 2019</w:t>
      </w:r>
    </w:p>
    <w:p w14:paraId="4E8271F8" w14:textId="77777777" w:rsidR="00C36F73" w:rsidRDefault="00C36F73" w:rsidP="00C36F73">
      <w:r>
        <w:rPr>
          <w:u w:val="single"/>
        </w:rPr>
        <w:t>Section 1 – Name</w:t>
      </w:r>
    </w:p>
    <w:p w14:paraId="7D5B19FF" w14:textId="581BD3D2" w:rsidR="00C36F73" w:rsidRDefault="00C36F73" w:rsidP="00C36F73">
      <w:r>
        <w:t xml:space="preserve">This section provides that the title of the Regulations is </w:t>
      </w:r>
      <w:r w:rsidRPr="00C7587D">
        <w:t xml:space="preserve">the </w:t>
      </w:r>
      <w:r w:rsidRPr="004E2B4A">
        <w:rPr>
          <w:i/>
        </w:rPr>
        <w:t xml:space="preserve">Royal Commissions Regulations </w:t>
      </w:r>
      <w:r w:rsidRPr="00C36F73">
        <w:rPr>
          <w:i/>
          <w:iCs/>
        </w:rPr>
        <w:t xml:space="preserve">(Consequential Amendments) </w:t>
      </w:r>
      <w:r w:rsidRPr="004E2B4A">
        <w:rPr>
          <w:i/>
        </w:rPr>
        <w:t>201</w:t>
      </w:r>
      <w:r>
        <w:rPr>
          <w:i/>
        </w:rPr>
        <w:t>9</w:t>
      </w:r>
      <w:r>
        <w:t>.</w:t>
      </w:r>
    </w:p>
    <w:p w14:paraId="2B0142D9" w14:textId="77777777" w:rsidR="00C36F73" w:rsidRDefault="00C36F73" w:rsidP="00C36F73">
      <w:r>
        <w:rPr>
          <w:u w:val="single"/>
        </w:rPr>
        <w:t>Section 2 – Commencement</w:t>
      </w:r>
    </w:p>
    <w:p w14:paraId="6A6E585E" w14:textId="7FC9D240" w:rsidR="00C36F73" w:rsidRDefault="00C36F73" w:rsidP="00C36F73">
      <w:r>
        <w:t>This section provides that</w:t>
      </w:r>
      <w:r w:rsidR="004A7C8F" w:rsidRPr="004A7C8F">
        <w:rPr>
          <w:iCs/>
        </w:rPr>
        <w:t xml:space="preserve"> </w:t>
      </w:r>
      <w:r w:rsidR="004A7C8F">
        <w:rPr>
          <w:iCs/>
        </w:rPr>
        <w:t>the consequential amendments Regulations</w:t>
      </w:r>
      <w:r>
        <w:t xml:space="preserve"> commence the day after they are registered.</w:t>
      </w:r>
    </w:p>
    <w:p w14:paraId="264110AD" w14:textId="77777777" w:rsidR="00C36F73" w:rsidRDefault="00C36F73" w:rsidP="00C36F73">
      <w:r>
        <w:rPr>
          <w:u w:val="single"/>
        </w:rPr>
        <w:t>Section 3 – Authority</w:t>
      </w:r>
    </w:p>
    <w:p w14:paraId="2929805C" w14:textId="15A0BC75" w:rsidR="00C36F73" w:rsidRDefault="00C36F73" w:rsidP="00C36F73">
      <w:r>
        <w:t xml:space="preserve">This section provides that </w:t>
      </w:r>
      <w:r w:rsidR="004A7C8F">
        <w:rPr>
          <w:iCs/>
        </w:rPr>
        <w:t>the consequential amendments Regulations</w:t>
      </w:r>
      <w:r>
        <w:t xml:space="preserve"> are made under </w:t>
      </w:r>
      <w:r>
        <w:rPr>
          <w:iCs/>
        </w:rPr>
        <w:t xml:space="preserve">the </w:t>
      </w:r>
      <w:r w:rsidRPr="00C36F73">
        <w:rPr>
          <w:i/>
        </w:rPr>
        <w:t>Australian Crime Commission Act 2002</w:t>
      </w:r>
      <w:r w:rsidR="00041C78">
        <w:rPr>
          <w:i/>
        </w:rPr>
        <w:t xml:space="preserve"> </w:t>
      </w:r>
      <w:r w:rsidR="00041C78">
        <w:rPr>
          <w:iCs/>
        </w:rPr>
        <w:t xml:space="preserve">and the </w:t>
      </w:r>
      <w:r w:rsidR="00041C78" w:rsidRPr="00041C78">
        <w:rPr>
          <w:i/>
        </w:rPr>
        <w:t>Royal Commissions Act 1902</w:t>
      </w:r>
      <w:r>
        <w:t xml:space="preserve">. </w:t>
      </w:r>
    </w:p>
    <w:p w14:paraId="382E1626" w14:textId="77777777" w:rsidR="00C36F73" w:rsidRDefault="00C36F73" w:rsidP="00C36F73">
      <w:r>
        <w:rPr>
          <w:u w:val="single"/>
        </w:rPr>
        <w:t>Section 4 – Schedules</w:t>
      </w:r>
    </w:p>
    <w:p w14:paraId="5B1489A4" w14:textId="6EAF3CEE" w:rsidR="00C36F73" w:rsidRDefault="00C36F73" w:rsidP="00C36F73">
      <w:r>
        <w:t xml:space="preserve">This section provides that each instrument specified in a Schedule to </w:t>
      </w:r>
      <w:r w:rsidR="004A7C8F">
        <w:rPr>
          <w:iCs/>
        </w:rPr>
        <w:t>the consequential amendments Regulations</w:t>
      </w:r>
      <w:r>
        <w:t xml:space="preserve"> is amended or repealed as set out in the Schedule. This allows for repeal of the former Regulations and the making of minor amendments to the </w:t>
      </w:r>
      <w:r w:rsidRPr="00C36F73">
        <w:rPr>
          <w:i/>
          <w:iCs/>
        </w:rPr>
        <w:t>Australian Crime Commission Regulations 2018</w:t>
      </w:r>
      <w:r>
        <w:t>.</w:t>
      </w:r>
    </w:p>
    <w:p w14:paraId="440C0404" w14:textId="3DE1A97C" w:rsidR="00463F5D" w:rsidRPr="009273C3" w:rsidRDefault="00463F5D" w:rsidP="00463F5D">
      <w:pPr>
        <w:rPr>
          <w:b/>
          <w:bCs/>
          <w:u w:val="single"/>
        </w:rPr>
      </w:pPr>
      <w:r>
        <w:rPr>
          <w:b/>
          <w:bCs/>
          <w:u w:val="single"/>
        </w:rPr>
        <w:t>Schedule 1 – Amendments and repeals</w:t>
      </w:r>
    </w:p>
    <w:p w14:paraId="27E033C1" w14:textId="7A08154C" w:rsidR="00463F5D" w:rsidRDefault="00463F5D" w:rsidP="00463F5D">
      <w:pPr>
        <w:rPr>
          <w:u w:val="single"/>
        </w:rPr>
      </w:pPr>
      <w:r>
        <w:rPr>
          <w:u w:val="single"/>
        </w:rPr>
        <w:t xml:space="preserve">Sections 1-2 – </w:t>
      </w:r>
      <w:r w:rsidRPr="00463F5D">
        <w:rPr>
          <w:u w:val="single"/>
        </w:rPr>
        <w:t>Australian Crime Commission Regulations 2018.</w:t>
      </w:r>
    </w:p>
    <w:p w14:paraId="23261081" w14:textId="26C7AF77" w:rsidR="00463F5D" w:rsidRPr="00463F5D" w:rsidRDefault="00463F5D" w:rsidP="00463F5D">
      <w:r>
        <w:t xml:space="preserve">These sections replace references in the </w:t>
      </w:r>
      <w:r w:rsidRPr="00463F5D">
        <w:rPr>
          <w:i/>
          <w:iCs/>
        </w:rPr>
        <w:t>Australian Crime Commission Regulations 2018</w:t>
      </w:r>
      <w:r>
        <w:t xml:space="preserve"> to the </w:t>
      </w:r>
      <w:r w:rsidR="00A13ADE">
        <w:t xml:space="preserve">former Regulations </w:t>
      </w:r>
      <w:r>
        <w:t>with references to the equivalent provisions in the</w:t>
      </w:r>
      <w:r w:rsidR="00A13ADE">
        <w:t xml:space="preserve"> Regulations</w:t>
      </w:r>
      <w:r w:rsidRPr="00463F5D">
        <w:rPr>
          <w:iCs/>
        </w:rPr>
        <w:t>.</w:t>
      </w:r>
    </w:p>
    <w:p w14:paraId="5B9689F1" w14:textId="4240BC01" w:rsidR="00A13ADE" w:rsidRDefault="00A13ADE" w:rsidP="00A13ADE">
      <w:pPr>
        <w:rPr>
          <w:u w:val="single"/>
        </w:rPr>
      </w:pPr>
      <w:r>
        <w:rPr>
          <w:u w:val="single"/>
        </w:rPr>
        <w:t xml:space="preserve">Section </w:t>
      </w:r>
      <w:r w:rsidR="001A6A18">
        <w:rPr>
          <w:u w:val="single"/>
        </w:rPr>
        <w:t>3</w:t>
      </w:r>
      <w:r>
        <w:rPr>
          <w:u w:val="single"/>
        </w:rPr>
        <w:t xml:space="preserve"> – Repeals</w:t>
      </w:r>
    </w:p>
    <w:p w14:paraId="3C0E5556" w14:textId="20892210" w:rsidR="00A13ADE" w:rsidRDefault="00A13ADE" w:rsidP="00463F5D">
      <w:r>
        <w:t>This section repeals the former Regulations.</w:t>
      </w:r>
    </w:p>
    <w:p w14:paraId="08438A71" w14:textId="77777777" w:rsidR="00C36F73" w:rsidRPr="002A215F" w:rsidRDefault="00C36F73" w:rsidP="00D80B44"/>
    <w:sectPr w:rsidR="00C36F73" w:rsidRPr="002A215F" w:rsidSect="001F461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C34"/>
    <w:multiLevelType w:val="hybridMultilevel"/>
    <w:tmpl w:val="4EEC2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5E7"/>
    <w:multiLevelType w:val="hybridMultilevel"/>
    <w:tmpl w:val="6EF8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BD0"/>
    <w:multiLevelType w:val="hybridMultilevel"/>
    <w:tmpl w:val="73061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7922"/>
    <w:multiLevelType w:val="hybridMultilevel"/>
    <w:tmpl w:val="D81894B0"/>
    <w:lvl w:ilvl="0" w:tplc="E5E05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45D9"/>
    <w:multiLevelType w:val="hybridMultilevel"/>
    <w:tmpl w:val="A4443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1ECC"/>
    <w:multiLevelType w:val="hybridMultilevel"/>
    <w:tmpl w:val="710E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1DB"/>
    <w:multiLevelType w:val="hybridMultilevel"/>
    <w:tmpl w:val="1B40B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616B"/>
    <w:multiLevelType w:val="hybridMultilevel"/>
    <w:tmpl w:val="2918C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162F"/>
    <w:multiLevelType w:val="hybridMultilevel"/>
    <w:tmpl w:val="7146F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308E"/>
    <w:multiLevelType w:val="hybridMultilevel"/>
    <w:tmpl w:val="00F4F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56C33"/>
    <w:multiLevelType w:val="hybridMultilevel"/>
    <w:tmpl w:val="7F08C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42D"/>
    <w:multiLevelType w:val="hybridMultilevel"/>
    <w:tmpl w:val="7E7CF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10E8D"/>
    <w:multiLevelType w:val="hybridMultilevel"/>
    <w:tmpl w:val="E7D8F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D3D"/>
    <w:multiLevelType w:val="hybridMultilevel"/>
    <w:tmpl w:val="AFC81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36F4"/>
    <w:multiLevelType w:val="hybridMultilevel"/>
    <w:tmpl w:val="F9E6A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14471"/>
    <w:multiLevelType w:val="hybridMultilevel"/>
    <w:tmpl w:val="4906D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AB"/>
    <w:rsid w:val="0000543D"/>
    <w:rsid w:val="0001268E"/>
    <w:rsid w:val="0003290B"/>
    <w:rsid w:val="00041C78"/>
    <w:rsid w:val="000468DC"/>
    <w:rsid w:val="00054127"/>
    <w:rsid w:val="00062C96"/>
    <w:rsid w:val="00065870"/>
    <w:rsid w:val="00067332"/>
    <w:rsid w:val="00071CEE"/>
    <w:rsid w:val="0007258C"/>
    <w:rsid w:val="00074692"/>
    <w:rsid w:val="000762BA"/>
    <w:rsid w:val="000764DC"/>
    <w:rsid w:val="0009525C"/>
    <w:rsid w:val="000A6CD4"/>
    <w:rsid w:val="000A7FBE"/>
    <w:rsid w:val="000D2E0D"/>
    <w:rsid w:val="000D6060"/>
    <w:rsid w:val="000E2344"/>
    <w:rsid w:val="000F0CB4"/>
    <w:rsid w:val="0011231E"/>
    <w:rsid w:val="00115F8B"/>
    <w:rsid w:val="00117958"/>
    <w:rsid w:val="00121A3C"/>
    <w:rsid w:val="00135BE4"/>
    <w:rsid w:val="00142219"/>
    <w:rsid w:val="0014793F"/>
    <w:rsid w:val="00151B0A"/>
    <w:rsid w:val="00161E48"/>
    <w:rsid w:val="00162671"/>
    <w:rsid w:val="001647A9"/>
    <w:rsid w:val="00166D64"/>
    <w:rsid w:val="001674D6"/>
    <w:rsid w:val="00181758"/>
    <w:rsid w:val="00182384"/>
    <w:rsid w:val="00187784"/>
    <w:rsid w:val="00195792"/>
    <w:rsid w:val="001A3357"/>
    <w:rsid w:val="001A3508"/>
    <w:rsid w:val="001A6A18"/>
    <w:rsid w:val="001B3860"/>
    <w:rsid w:val="001B56F1"/>
    <w:rsid w:val="001C7BD6"/>
    <w:rsid w:val="001D7897"/>
    <w:rsid w:val="001E0A18"/>
    <w:rsid w:val="001E5133"/>
    <w:rsid w:val="001E5E70"/>
    <w:rsid w:val="001F4616"/>
    <w:rsid w:val="001F4B59"/>
    <w:rsid w:val="00201DFB"/>
    <w:rsid w:val="00205573"/>
    <w:rsid w:val="00212FA0"/>
    <w:rsid w:val="002158A8"/>
    <w:rsid w:val="00216A9F"/>
    <w:rsid w:val="00227D46"/>
    <w:rsid w:val="002309E0"/>
    <w:rsid w:val="00230BA3"/>
    <w:rsid w:val="00231C94"/>
    <w:rsid w:val="00242368"/>
    <w:rsid w:val="00274465"/>
    <w:rsid w:val="00277C9B"/>
    <w:rsid w:val="00290450"/>
    <w:rsid w:val="0029161A"/>
    <w:rsid w:val="002A215F"/>
    <w:rsid w:val="002A6A47"/>
    <w:rsid w:val="002B2785"/>
    <w:rsid w:val="002C0DB5"/>
    <w:rsid w:val="002D31EE"/>
    <w:rsid w:val="002D3EE0"/>
    <w:rsid w:val="002F2794"/>
    <w:rsid w:val="003025CB"/>
    <w:rsid w:val="003130C9"/>
    <w:rsid w:val="003166A0"/>
    <w:rsid w:val="00330283"/>
    <w:rsid w:val="00332D84"/>
    <w:rsid w:val="00346E85"/>
    <w:rsid w:val="0035701C"/>
    <w:rsid w:val="00372163"/>
    <w:rsid w:val="003A09B1"/>
    <w:rsid w:val="003B1552"/>
    <w:rsid w:val="003B1986"/>
    <w:rsid w:val="003C5011"/>
    <w:rsid w:val="003D08E1"/>
    <w:rsid w:val="003F392F"/>
    <w:rsid w:val="00400191"/>
    <w:rsid w:val="00405D4A"/>
    <w:rsid w:val="004065C1"/>
    <w:rsid w:val="00415ECE"/>
    <w:rsid w:val="00420608"/>
    <w:rsid w:val="00431D42"/>
    <w:rsid w:val="0044093E"/>
    <w:rsid w:val="00441213"/>
    <w:rsid w:val="0045056F"/>
    <w:rsid w:val="00453F0B"/>
    <w:rsid w:val="00463F5D"/>
    <w:rsid w:val="0046760D"/>
    <w:rsid w:val="00474A31"/>
    <w:rsid w:val="0048638F"/>
    <w:rsid w:val="0049583C"/>
    <w:rsid w:val="004A1AFA"/>
    <w:rsid w:val="004A4B37"/>
    <w:rsid w:val="004A7C8F"/>
    <w:rsid w:val="004A7CC7"/>
    <w:rsid w:val="004B2C36"/>
    <w:rsid w:val="004B6291"/>
    <w:rsid w:val="004E2B4A"/>
    <w:rsid w:val="004F0D04"/>
    <w:rsid w:val="004F603A"/>
    <w:rsid w:val="00505BB4"/>
    <w:rsid w:val="00521263"/>
    <w:rsid w:val="00546A7E"/>
    <w:rsid w:val="00561891"/>
    <w:rsid w:val="0058733A"/>
    <w:rsid w:val="0058762D"/>
    <w:rsid w:val="00592C74"/>
    <w:rsid w:val="00593568"/>
    <w:rsid w:val="0059796A"/>
    <w:rsid w:val="005A3539"/>
    <w:rsid w:val="005A526B"/>
    <w:rsid w:val="005B2A29"/>
    <w:rsid w:val="005D0A24"/>
    <w:rsid w:val="005D0CDC"/>
    <w:rsid w:val="005F3AA0"/>
    <w:rsid w:val="00625769"/>
    <w:rsid w:val="00632D39"/>
    <w:rsid w:val="00636C1E"/>
    <w:rsid w:val="00662F09"/>
    <w:rsid w:val="00682BBD"/>
    <w:rsid w:val="006A1427"/>
    <w:rsid w:val="006A61A3"/>
    <w:rsid w:val="006B0EFD"/>
    <w:rsid w:val="006B16E2"/>
    <w:rsid w:val="006C2ADF"/>
    <w:rsid w:val="006C567B"/>
    <w:rsid w:val="006D35D9"/>
    <w:rsid w:val="006D4F54"/>
    <w:rsid w:val="006E4655"/>
    <w:rsid w:val="006F0965"/>
    <w:rsid w:val="006F7869"/>
    <w:rsid w:val="007044A7"/>
    <w:rsid w:val="007136AD"/>
    <w:rsid w:val="007411AD"/>
    <w:rsid w:val="00744218"/>
    <w:rsid w:val="007461AB"/>
    <w:rsid w:val="00746DEA"/>
    <w:rsid w:val="00752716"/>
    <w:rsid w:val="00762A64"/>
    <w:rsid w:val="00766E45"/>
    <w:rsid w:val="007745BD"/>
    <w:rsid w:val="00776AC9"/>
    <w:rsid w:val="007803DE"/>
    <w:rsid w:val="00790C36"/>
    <w:rsid w:val="00792DCA"/>
    <w:rsid w:val="00793B08"/>
    <w:rsid w:val="00797410"/>
    <w:rsid w:val="007A176E"/>
    <w:rsid w:val="007A5BE0"/>
    <w:rsid w:val="007B09C1"/>
    <w:rsid w:val="007B4695"/>
    <w:rsid w:val="007C2F3F"/>
    <w:rsid w:val="007D34F7"/>
    <w:rsid w:val="007E5514"/>
    <w:rsid w:val="007F29AB"/>
    <w:rsid w:val="007F6ACC"/>
    <w:rsid w:val="007F6B47"/>
    <w:rsid w:val="00817447"/>
    <w:rsid w:val="00820C6D"/>
    <w:rsid w:val="008250FE"/>
    <w:rsid w:val="00826181"/>
    <w:rsid w:val="0082754B"/>
    <w:rsid w:val="008340EB"/>
    <w:rsid w:val="008525F7"/>
    <w:rsid w:val="008652F0"/>
    <w:rsid w:val="00882311"/>
    <w:rsid w:val="008901DD"/>
    <w:rsid w:val="008C06D2"/>
    <w:rsid w:val="008C5666"/>
    <w:rsid w:val="008C63F3"/>
    <w:rsid w:val="008F3277"/>
    <w:rsid w:val="00910051"/>
    <w:rsid w:val="00917D81"/>
    <w:rsid w:val="0092240B"/>
    <w:rsid w:val="00925D05"/>
    <w:rsid w:val="00925FBD"/>
    <w:rsid w:val="009273C3"/>
    <w:rsid w:val="00937D3F"/>
    <w:rsid w:val="00943BF6"/>
    <w:rsid w:val="00955C85"/>
    <w:rsid w:val="00963DB5"/>
    <w:rsid w:val="00982488"/>
    <w:rsid w:val="009863C6"/>
    <w:rsid w:val="00993DD9"/>
    <w:rsid w:val="00994296"/>
    <w:rsid w:val="00997051"/>
    <w:rsid w:val="009B1534"/>
    <w:rsid w:val="009B5119"/>
    <w:rsid w:val="009C1A2B"/>
    <w:rsid w:val="009C4CD4"/>
    <w:rsid w:val="009D409E"/>
    <w:rsid w:val="009D7F63"/>
    <w:rsid w:val="009E3AD2"/>
    <w:rsid w:val="009E5675"/>
    <w:rsid w:val="00A13ADE"/>
    <w:rsid w:val="00A25F1D"/>
    <w:rsid w:val="00A53CDB"/>
    <w:rsid w:val="00A53EA3"/>
    <w:rsid w:val="00A629F3"/>
    <w:rsid w:val="00A82451"/>
    <w:rsid w:val="00AA0314"/>
    <w:rsid w:val="00AA1F8F"/>
    <w:rsid w:val="00AB0C91"/>
    <w:rsid w:val="00AB27BA"/>
    <w:rsid w:val="00AC0583"/>
    <w:rsid w:val="00AC5422"/>
    <w:rsid w:val="00AD7714"/>
    <w:rsid w:val="00AE050F"/>
    <w:rsid w:val="00AE23C1"/>
    <w:rsid w:val="00AF2777"/>
    <w:rsid w:val="00AF6338"/>
    <w:rsid w:val="00B0639E"/>
    <w:rsid w:val="00B1376A"/>
    <w:rsid w:val="00B20253"/>
    <w:rsid w:val="00B2096E"/>
    <w:rsid w:val="00B27DA6"/>
    <w:rsid w:val="00B304A9"/>
    <w:rsid w:val="00B3274F"/>
    <w:rsid w:val="00B64F20"/>
    <w:rsid w:val="00B7400E"/>
    <w:rsid w:val="00BB26E0"/>
    <w:rsid w:val="00BC521A"/>
    <w:rsid w:val="00BD0FD0"/>
    <w:rsid w:val="00BD22C3"/>
    <w:rsid w:val="00BE5F47"/>
    <w:rsid w:val="00BF6348"/>
    <w:rsid w:val="00C04F3F"/>
    <w:rsid w:val="00C17BD3"/>
    <w:rsid w:val="00C261B6"/>
    <w:rsid w:val="00C33807"/>
    <w:rsid w:val="00C34B89"/>
    <w:rsid w:val="00C367EE"/>
    <w:rsid w:val="00C36F73"/>
    <w:rsid w:val="00C42D35"/>
    <w:rsid w:val="00C430D6"/>
    <w:rsid w:val="00C503F3"/>
    <w:rsid w:val="00C50625"/>
    <w:rsid w:val="00C56B02"/>
    <w:rsid w:val="00C63C47"/>
    <w:rsid w:val="00C67BF6"/>
    <w:rsid w:val="00C7313E"/>
    <w:rsid w:val="00C765B7"/>
    <w:rsid w:val="00C90A8C"/>
    <w:rsid w:val="00CA1A6B"/>
    <w:rsid w:val="00CA3F51"/>
    <w:rsid w:val="00CB11EA"/>
    <w:rsid w:val="00CB7324"/>
    <w:rsid w:val="00CB77F2"/>
    <w:rsid w:val="00CC083D"/>
    <w:rsid w:val="00CE2231"/>
    <w:rsid w:val="00CE70EF"/>
    <w:rsid w:val="00CF63C5"/>
    <w:rsid w:val="00CF7B70"/>
    <w:rsid w:val="00D04C1D"/>
    <w:rsid w:val="00D1257C"/>
    <w:rsid w:val="00D14B95"/>
    <w:rsid w:val="00D14DCF"/>
    <w:rsid w:val="00D17AC8"/>
    <w:rsid w:val="00D47152"/>
    <w:rsid w:val="00D55001"/>
    <w:rsid w:val="00D65BC5"/>
    <w:rsid w:val="00D778A8"/>
    <w:rsid w:val="00D80B44"/>
    <w:rsid w:val="00D95209"/>
    <w:rsid w:val="00DA11AE"/>
    <w:rsid w:val="00DA35A9"/>
    <w:rsid w:val="00DA5238"/>
    <w:rsid w:val="00DB1B39"/>
    <w:rsid w:val="00DC3D9C"/>
    <w:rsid w:val="00DD647E"/>
    <w:rsid w:val="00DF30A0"/>
    <w:rsid w:val="00E06633"/>
    <w:rsid w:val="00E11A28"/>
    <w:rsid w:val="00E20165"/>
    <w:rsid w:val="00E21687"/>
    <w:rsid w:val="00E22E8C"/>
    <w:rsid w:val="00E319EA"/>
    <w:rsid w:val="00E344A2"/>
    <w:rsid w:val="00E4116E"/>
    <w:rsid w:val="00E510BC"/>
    <w:rsid w:val="00E52808"/>
    <w:rsid w:val="00E53FE4"/>
    <w:rsid w:val="00E66A40"/>
    <w:rsid w:val="00E85460"/>
    <w:rsid w:val="00E924C1"/>
    <w:rsid w:val="00EB583B"/>
    <w:rsid w:val="00EB72E6"/>
    <w:rsid w:val="00EE3B96"/>
    <w:rsid w:val="00EE578E"/>
    <w:rsid w:val="00EE5B56"/>
    <w:rsid w:val="00EE5D21"/>
    <w:rsid w:val="00EF18DA"/>
    <w:rsid w:val="00F01922"/>
    <w:rsid w:val="00F0657F"/>
    <w:rsid w:val="00F13719"/>
    <w:rsid w:val="00F277AE"/>
    <w:rsid w:val="00F336D0"/>
    <w:rsid w:val="00F34F38"/>
    <w:rsid w:val="00F450D3"/>
    <w:rsid w:val="00F54C3B"/>
    <w:rsid w:val="00F76990"/>
    <w:rsid w:val="00F87844"/>
    <w:rsid w:val="00FB424F"/>
    <w:rsid w:val="00FE12C9"/>
    <w:rsid w:val="00FF143D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EB6B"/>
  <w15:chartTrackingRefBased/>
  <w15:docId w15:val="{4D40623C-0EEA-46FC-B7DF-DB7123A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1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44"/>
    <w:pPr>
      <w:ind w:left="720"/>
      <w:contextualSpacing/>
    </w:pPr>
  </w:style>
  <w:style w:type="table" w:styleId="TableGrid">
    <w:name w:val="Table Grid"/>
    <w:basedOn w:val="TableNormal"/>
    <w:uiPriority w:val="39"/>
    <w:rsid w:val="0079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B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70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36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F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F7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F7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9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8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7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C7D832122400A4A9B595B6947B2DD1E" ma:contentTypeVersion="12" ma:contentTypeDescription="ShareHub Document" ma:contentTypeScope="" ma:versionID="048a845ecf0ba5f34c79fbfdf682b1a4">
  <xsd:schema xmlns:xsd="http://www.w3.org/2001/XMLSchema" xmlns:xs="http://www.w3.org/2001/XMLSchema" xmlns:p="http://schemas.microsoft.com/office/2006/metadata/properties" xmlns:ns1="7b177a8e-f54e-48e4-9001-d701f1df7289" xmlns:ns3="685f9fda-bd71-4433-b331-92feb9553089" targetNamespace="http://schemas.microsoft.com/office/2006/metadata/properties" ma:root="true" ma:fieldsID="a40b452d101bcf40363d90b01caf9037" ns1:_="" ns3:_="">
    <xsd:import namespace="7b177a8e-f54e-48e4-9001-d701f1df728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a7f0d5894973417fb6bbff31bedb66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7a8e-f54e-48e4-9001-d701f1df728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411638-f581-49b2-8608-76bad1c81f9c}" ma:internalName="TaxCatchAll" ma:showField="CatchAllData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411638-f581-49b2-8608-76bad1c81f9c}" ma:internalName="TaxCatchAllLabel" ma:readOnly="true" ma:showField="CatchAllDataLabel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7f0d5894973417fb6bbff31bedb6606" ma:index="18" nillable="true" ma:taxonomy="true" ma:internalName="a7f0d5894973417fb6bbff31bedb6606" ma:taxonomyFieldName="ESearchTags" ma:displayName="Tags" ma:fieldId="{a7f0d589-4973-417f-b6bb-ff31bedb6606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7b177a8e-f54e-48e4-9001-d701f1df7289">
      <Terms xmlns="http://schemas.microsoft.com/office/infopath/2007/PartnerControls"/>
    </jd1c641577414dfdab1686c9d5d0dbd0>
    <PMCNotes xmlns="7b177a8e-f54e-48e4-9001-d701f1df7289" xsi:nil="true"/>
    <TaxCatchAll xmlns="7b177a8e-f54e-48e4-9001-d701f1df7289">
      <Value>11</Value>
      <Value>37</Value>
    </TaxCatchAll>
    <ShareHubID xmlns="7b177a8e-f54e-48e4-9001-d701f1df7289">DOC19-345066</ShareHubID>
    <NonRecordJustification xmlns="685f9fda-bd71-4433-b331-92feb9553089">None</NonRecordJustification>
    <mc5611b894cf49d8aeeb8ebf39dc09bc xmlns="7b177a8e-f54e-48e4-9001-d701f1df7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a7f0d5894973417fb6bbff31bedb6606 xmlns="7b177a8e-f54e-48e4-9001-d701f1df7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Royal Commission</TermName>
          <TermId xmlns="http://schemas.microsoft.com/office/infopath/2007/PartnerControls">1b5ec731-3e16-44b1-86f4-0c46c4cdd7b2</TermId>
        </TermInfo>
      </Terms>
    </a7f0d5894973417fb6bbff31bedb660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998F-E683-405E-B1AF-E02234433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691A-6A80-4D99-9267-6E3B665F96EB}"/>
</file>

<file path=customXml/itemProps3.xml><?xml version="1.0" encoding="utf-8"?>
<ds:datastoreItem xmlns:ds="http://schemas.openxmlformats.org/officeDocument/2006/customXml" ds:itemID="{D5B13DF2-D03F-49FF-BEAE-29530BB58061}">
  <ds:schemaRefs>
    <ds:schemaRef ds:uri="http://schemas.microsoft.com/office/2006/documentManagement/types"/>
    <ds:schemaRef ds:uri="ED70DB85-4284-4B5E-BC36-A6FAE1C127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AA54C5-F3F4-4D1F-91CC-91A57459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7E556726.dotm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Tjandra, Jonathan</dc:creator>
  <cp:keywords/>
  <dc:description/>
  <cp:lastModifiedBy>Fomiatti, Luke</cp:lastModifiedBy>
  <cp:revision>2</cp:revision>
  <dcterms:created xsi:type="dcterms:W3CDTF">2019-09-06T01:08:00Z</dcterms:created>
  <dcterms:modified xsi:type="dcterms:W3CDTF">2019-09-06T01:08:00Z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0x0101002825A64A6E1845A99A9D8EE8A5686ECB00AC7D832122400A4A9B595B6947B2DD1E</vt:lpwstr>
  </property>
  <property fmtid="{D5CDD505-2E9C-101B-9397-08002B2CF9AE}" pid="3" name="HPRMSecurityLevel">
    <vt:lpwstr>37;#OFFICIAL|11463c70-78df-4e3b-b0ff-f66cd3cb26ec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>11;#Royal Commission|1b5ec731-3e16-44b1-86f4-0c46c4cdd7b2</vt:lpwstr>
  </property>
  <property fmtid="{D5CDD505-2E9C-101B-9397-08002B2CF9AE}" pid="6" name="PMC.ESearch.TagGeneratedTime">
    <vt:lpwstr>2019-09-09T15:22:10</vt:lpwstr>
  </property>
</Properties>
</file>