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F9390" w14:textId="77777777" w:rsidR="00B02395" w:rsidRPr="00F36CE5" w:rsidRDefault="00B02395" w:rsidP="00B02395">
      <w:pPr>
        <w:spacing w:after="220" w:line="240" w:lineRule="auto"/>
        <w:jc w:val="center"/>
        <w:rPr>
          <w:rFonts w:ascii="Times New Roman" w:hAnsi="Times New Roman" w:cs="Times New Roman"/>
          <w:b/>
          <w:sz w:val="24"/>
          <w:szCs w:val="24"/>
          <w:u w:val="single"/>
        </w:rPr>
      </w:pPr>
      <w:r w:rsidRPr="00F36CE5">
        <w:rPr>
          <w:rFonts w:ascii="Times New Roman" w:hAnsi="Times New Roman" w:cs="Times New Roman"/>
          <w:b/>
          <w:sz w:val="24"/>
          <w:szCs w:val="24"/>
          <w:u w:val="single"/>
        </w:rPr>
        <w:t>SEAFARERS REHABILITATION AND COMPENSATION (SPECIFIED RATE PER KILOMETRE) INSTRUMENT 2019</w:t>
      </w:r>
    </w:p>
    <w:p w14:paraId="1F9CF3F3" w14:textId="77777777" w:rsidR="00A71999" w:rsidRPr="00F36CE5" w:rsidRDefault="00A71999" w:rsidP="00B02395">
      <w:pPr>
        <w:spacing w:after="220" w:line="240" w:lineRule="auto"/>
        <w:jc w:val="center"/>
        <w:rPr>
          <w:rFonts w:ascii="Times New Roman" w:hAnsi="Times New Roman" w:cs="Times New Roman"/>
          <w:b/>
          <w:sz w:val="24"/>
          <w:szCs w:val="24"/>
        </w:rPr>
      </w:pPr>
    </w:p>
    <w:p w14:paraId="634775D6" w14:textId="7E0B84C2" w:rsidR="002F5E5A" w:rsidRPr="00F36CE5" w:rsidRDefault="002F5E5A" w:rsidP="001C56C1">
      <w:pPr>
        <w:spacing w:after="220" w:line="240" w:lineRule="auto"/>
        <w:jc w:val="center"/>
        <w:rPr>
          <w:rFonts w:ascii="Times New Roman" w:hAnsi="Times New Roman" w:cs="Times New Roman"/>
          <w:b/>
          <w:sz w:val="24"/>
          <w:szCs w:val="24"/>
          <w:u w:val="single"/>
        </w:rPr>
      </w:pPr>
      <w:r w:rsidRPr="00F36CE5">
        <w:rPr>
          <w:rFonts w:ascii="Times New Roman" w:hAnsi="Times New Roman" w:cs="Times New Roman"/>
          <w:b/>
          <w:sz w:val="24"/>
          <w:szCs w:val="24"/>
          <w:u w:val="single"/>
        </w:rPr>
        <w:t>EXPLANATORY STATEMENT</w:t>
      </w:r>
    </w:p>
    <w:p w14:paraId="1AF10329" w14:textId="77777777" w:rsidR="009D2A47" w:rsidRPr="009D2A47" w:rsidRDefault="009D2A47" w:rsidP="001C56C1">
      <w:pPr>
        <w:spacing w:after="220" w:line="240" w:lineRule="auto"/>
        <w:jc w:val="center"/>
        <w:rPr>
          <w:rFonts w:ascii="Times New Roman" w:hAnsi="Times New Roman" w:cs="Times New Roman"/>
          <w:b/>
          <w:u w:val="single"/>
        </w:rPr>
      </w:pPr>
    </w:p>
    <w:p w14:paraId="4780744C" w14:textId="63441C80" w:rsidR="000E0166" w:rsidRPr="00C04ACC" w:rsidRDefault="002F5E5A" w:rsidP="000E0166">
      <w:pPr>
        <w:spacing w:after="220" w:line="240" w:lineRule="auto"/>
        <w:jc w:val="center"/>
        <w:rPr>
          <w:rFonts w:ascii="Times New Roman" w:hAnsi="Times New Roman" w:cs="Times New Roman"/>
        </w:rPr>
      </w:pPr>
      <w:r w:rsidRPr="00C04ACC">
        <w:rPr>
          <w:rFonts w:ascii="Times New Roman" w:hAnsi="Times New Roman" w:cs="Times New Roman"/>
        </w:rPr>
        <w:t xml:space="preserve">Issued by </w:t>
      </w:r>
      <w:r w:rsidR="00B075E6">
        <w:rPr>
          <w:rFonts w:ascii="Times New Roman" w:hAnsi="Times New Roman" w:cs="Times New Roman"/>
        </w:rPr>
        <w:t xml:space="preserve">authority of </w:t>
      </w:r>
      <w:r w:rsidRPr="00C04ACC">
        <w:rPr>
          <w:rFonts w:ascii="Times New Roman" w:hAnsi="Times New Roman" w:cs="Times New Roman"/>
        </w:rPr>
        <w:t xml:space="preserve">the </w:t>
      </w:r>
      <w:r w:rsidR="00B02395">
        <w:rPr>
          <w:rFonts w:ascii="Times New Roman" w:hAnsi="Times New Roman" w:cs="Times New Roman"/>
        </w:rPr>
        <w:t>Attorney</w:t>
      </w:r>
      <w:r w:rsidR="00A71999">
        <w:rPr>
          <w:rFonts w:ascii="Times New Roman" w:hAnsi="Times New Roman" w:cs="Times New Roman"/>
        </w:rPr>
        <w:t>-G</w:t>
      </w:r>
      <w:r w:rsidR="00B02395">
        <w:rPr>
          <w:rFonts w:ascii="Times New Roman" w:hAnsi="Times New Roman" w:cs="Times New Roman"/>
        </w:rPr>
        <w:t xml:space="preserve">eneral and </w:t>
      </w:r>
      <w:r w:rsidR="002448AC" w:rsidRPr="00C04ACC">
        <w:rPr>
          <w:rFonts w:ascii="Times New Roman" w:hAnsi="Times New Roman" w:cs="Times New Roman"/>
          <w:lang w:val="en"/>
        </w:rPr>
        <w:t xml:space="preserve">Minister for </w:t>
      </w:r>
      <w:r w:rsidR="004E3F4F">
        <w:rPr>
          <w:rFonts w:ascii="Times New Roman" w:hAnsi="Times New Roman" w:cs="Times New Roman"/>
          <w:lang w:val="en"/>
        </w:rPr>
        <w:t>Industrial Relations</w:t>
      </w:r>
      <w:r w:rsidR="00B02395">
        <w:rPr>
          <w:rFonts w:ascii="Times New Roman" w:hAnsi="Times New Roman" w:cs="Times New Roman"/>
          <w:lang w:val="en"/>
        </w:rPr>
        <w:t xml:space="preserve"> </w:t>
      </w:r>
    </w:p>
    <w:p w14:paraId="25FA747B" w14:textId="77777777" w:rsidR="00B02395" w:rsidRPr="00C04ACC" w:rsidRDefault="00B02395" w:rsidP="00B02395">
      <w:pPr>
        <w:spacing w:after="220" w:line="240" w:lineRule="auto"/>
        <w:jc w:val="center"/>
        <w:rPr>
          <w:rFonts w:ascii="Times New Roman" w:hAnsi="Times New Roman" w:cs="Times New Roman"/>
          <w:i/>
        </w:rPr>
      </w:pPr>
      <w:r>
        <w:rPr>
          <w:rFonts w:ascii="Times New Roman" w:hAnsi="Times New Roman" w:cs="Times New Roman"/>
          <w:lang w:val="en"/>
        </w:rPr>
        <w:t xml:space="preserve">under </w:t>
      </w:r>
      <w:r>
        <w:rPr>
          <w:rFonts w:ascii="Times New Roman" w:hAnsi="Times New Roman" w:cs="Times New Roman"/>
        </w:rPr>
        <w:t>subsections 28(6A)</w:t>
      </w:r>
      <w:r w:rsidR="00A71999">
        <w:rPr>
          <w:rFonts w:ascii="Times New Roman" w:hAnsi="Times New Roman" w:cs="Times New Roman"/>
        </w:rPr>
        <w:t xml:space="preserve">, </w:t>
      </w:r>
      <w:r>
        <w:rPr>
          <w:rFonts w:ascii="Times New Roman" w:hAnsi="Times New Roman" w:cs="Times New Roman"/>
        </w:rPr>
        <w:t>49(6B)</w:t>
      </w:r>
      <w:r w:rsidR="00A71999">
        <w:rPr>
          <w:rFonts w:ascii="Times New Roman" w:hAnsi="Times New Roman" w:cs="Times New Roman"/>
        </w:rPr>
        <w:t>, 50(2B), 66(4B) and 83A(5)</w:t>
      </w:r>
      <w:r>
        <w:rPr>
          <w:rFonts w:ascii="Times New Roman" w:hAnsi="Times New Roman" w:cs="Times New Roman"/>
        </w:rPr>
        <w:t xml:space="preserve"> of the </w:t>
      </w:r>
      <w:r>
        <w:rPr>
          <w:rFonts w:ascii="Times New Roman" w:hAnsi="Times New Roman" w:cs="Times New Roman"/>
          <w:i/>
        </w:rPr>
        <w:t xml:space="preserve">Seafarers </w:t>
      </w:r>
      <w:r w:rsidRPr="00C04ACC">
        <w:rPr>
          <w:rFonts w:ascii="Times New Roman" w:hAnsi="Times New Roman" w:cs="Times New Roman"/>
          <w:i/>
        </w:rPr>
        <w:t>Rehabili</w:t>
      </w:r>
      <w:r>
        <w:rPr>
          <w:rFonts w:ascii="Times New Roman" w:hAnsi="Times New Roman" w:cs="Times New Roman"/>
          <w:i/>
        </w:rPr>
        <w:t>tation and Compensation Act 1992</w:t>
      </w:r>
    </w:p>
    <w:p w14:paraId="1453699A" w14:textId="0DD7A1C9" w:rsidR="00CB6AA4" w:rsidRPr="005F108B" w:rsidRDefault="00CB6AA4" w:rsidP="00CB6AA4">
      <w:pPr>
        <w:spacing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caps/>
          <w:sz w:val="24"/>
          <w:szCs w:val="24"/>
        </w:rPr>
        <w:t>Purpose and operation of the Instrument</w:t>
      </w:r>
    </w:p>
    <w:p w14:paraId="5F070765" w14:textId="77777777" w:rsidR="00407C81" w:rsidRPr="00BD60CB" w:rsidRDefault="00407C81" w:rsidP="00407C81">
      <w:pPr>
        <w:spacing w:line="240" w:lineRule="auto"/>
        <w:rPr>
          <w:rFonts w:ascii="Times New Roman" w:hAnsi="Times New Roman" w:cs="Times New Roman"/>
        </w:rPr>
      </w:pPr>
      <w:r w:rsidRPr="00BD60CB">
        <w:rPr>
          <w:rFonts w:ascii="Times New Roman" w:hAnsi="Times New Roman" w:cs="Times New Roman"/>
        </w:rPr>
        <w:t xml:space="preserve">The </w:t>
      </w:r>
      <w:r w:rsidRPr="00BD60CB">
        <w:rPr>
          <w:rFonts w:ascii="Times New Roman" w:hAnsi="Times New Roman" w:cs="Times New Roman"/>
          <w:i/>
        </w:rPr>
        <w:t xml:space="preserve">Seafarers Rehabilitation and Compensation Act 1992 </w:t>
      </w:r>
      <w:r w:rsidRPr="00BD60CB">
        <w:rPr>
          <w:rFonts w:ascii="Times New Roman" w:hAnsi="Times New Roman" w:cs="Times New Roman"/>
        </w:rPr>
        <w:t>(</w:t>
      </w:r>
      <w:r w:rsidR="00344C19">
        <w:rPr>
          <w:rFonts w:ascii="Times New Roman" w:hAnsi="Times New Roman" w:cs="Times New Roman"/>
        </w:rPr>
        <w:t>the</w:t>
      </w:r>
      <w:r w:rsidR="00344C19" w:rsidRPr="00BD60CB">
        <w:rPr>
          <w:rFonts w:ascii="Times New Roman" w:hAnsi="Times New Roman" w:cs="Times New Roman"/>
        </w:rPr>
        <w:t xml:space="preserve"> </w:t>
      </w:r>
      <w:r w:rsidRPr="00BD60CB">
        <w:rPr>
          <w:rFonts w:ascii="Times New Roman" w:hAnsi="Times New Roman" w:cs="Times New Roman"/>
        </w:rPr>
        <w:t xml:space="preserve">Act) provides workers’ compensation and rehabilitation arrangements for </w:t>
      </w:r>
      <w:r w:rsidR="00B73B42">
        <w:rPr>
          <w:rFonts w:ascii="Times New Roman" w:hAnsi="Times New Roman" w:cs="Times New Roman"/>
        </w:rPr>
        <w:t xml:space="preserve">approximately 5000 </w:t>
      </w:r>
      <w:r w:rsidRPr="00BD60CB">
        <w:rPr>
          <w:rFonts w:ascii="Times New Roman" w:hAnsi="Times New Roman" w:cs="Times New Roman"/>
        </w:rPr>
        <w:t xml:space="preserve">seafarers </w:t>
      </w:r>
      <w:r w:rsidR="00B73B42">
        <w:rPr>
          <w:rFonts w:ascii="Times New Roman" w:hAnsi="Times New Roman" w:cs="Times New Roman"/>
        </w:rPr>
        <w:t xml:space="preserve">in </w:t>
      </w:r>
      <w:r w:rsidRPr="00BD60CB">
        <w:rPr>
          <w:rFonts w:ascii="Times New Roman" w:hAnsi="Times New Roman" w:cs="Times New Roman"/>
        </w:rPr>
        <w:t xml:space="preserve">the Australian maritime industry. Pursuant to the Act, the employers of such seafarers are responsible for determining liability and paying compensation entitlements in accordance with </w:t>
      </w:r>
      <w:r w:rsidR="00344C19">
        <w:rPr>
          <w:rFonts w:ascii="Times New Roman" w:hAnsi="Times New Roman" w:cs="Times New Roman"/>
        </w:rPr>
        <w:t>the</w:t>
      </w:r>
      <w:r w:rsidR="00344C19" w:rsidRPr="00BD60CB">
        <w:rPr>
          <w:rFonts w:ascii="Times New Roman" w:hAnsi="Times New Roman" w:cs="Times New Roman"/>
        </w:rPr>
        <w:t xml:space="preserve"> </w:t>
      </w:r>
      <w:r w:rsidRPr="00BD60CB">
        <w:rPr>
          <w:rFonts w:ascii="Times New Roman" w:hAnsi="Times New Roman" w:cs="Times New Roman"/>
        </w:rPr>
        <w:t>Act.</w:t>
      </w:r>
    </w:p>
    <w:p w14:paraId="2BB38E5A" w14:textId="749A8B35" w:rsidR="009F36B3" w:rsidRPr="00C40C71" w:rsidRDefault="005D558D" w:rsidP="009F36B3">
      <w:pPr>
        <w:spacing w:line="240" w:lineRule="auto"/>
        <w:rPr>
          <w:rFonts w:ascii="Times New Roman" w:hAnsi="Times New Roman" w:cs="Times New Roman"/>
          <w:lang w:val="en"/>
        </w:rPr>
      </w:pPr>
      <w:r>
        <w:rPr>
          <w:rFonts w:ascii="Times New Roman" w:hAnsi="Times New Roman" w:cs="Times New Roman"/>
        </w:rPr>
        <w:t>A</w:t>
      </w:r>
      <w:r w:rsidR="009F36B3" w:rsidRPr="00C40C71">
        <w:rPr>
          <w:rFonts w:ascii="Times New Roman" w:hAnsi="Times New Roman" w:cs="Times New Roman"/>
        </w:rPr>
        <w:t xml:space="preserve">n employer is liable </w:t>
      </w:r>
      <w:r w:rsidR="009F36B3" w:rsidRPr="00C40C71">
        <w:rPr>
          <w:rFonts w:ascii="Times New Roman" w:hAnsi="Times New Roman" w:cs="Times New Roman"/>
          <w:lang w:val="en"/>
        </w:rPr>
        <w:t xml:space="preserve">to pay an amount </w:t>
      </w:r>
      <w:r>
        <w:rPr>
          <w:rFonts w:ascii="Times New Roman" w:hAnsi="Times New Roman" w:cs="Times New Roman"/>
          <w:lang w:val="en"/>
        </w:rPr>
        <w:t xml:space="preserve">of compensation </w:t>
      </w:r>
      <w:r w:rsidR="009F36B3" w:rsidRPr="00C40C71">
        <w:rPr>
          <w:rFonts w:ascii="Times New Roman" w:hAnsi="Times New Roman" w:cs="Times New Roman"/>
          <w:lang w:val="en"/>
        </w:rPr>
        <w:t xml:space="preserve">to an employee in respect of expenditure reasonably incurred by the employee </w:t>
      </w:r>
      <w:r w:rsidR="00064E41">
        <w:rPr>
          <w:rFonts w:ascii="Times New Roman" w:hAnsi="Times New Roman" w:cs="Times New Roman"/>
          <w:lang w:val="en"/>
        </w:rPr>
        <w:t>when</w:t>
      </w:r>
      <w:r w:rsidR="00064E41" w:rsidRPr="00C40C71">
        <w:rPr>
          <w:rFonts w:ascii="Times New Roman" w:hAnsi="Times New Roman" w:cs="Times New Roman"/>
          <w:lang w:val="en"/>
        </w:rPr>
        <w:t xml:space="preserve"> </w:t>
      </w:r>
      <w:r w:rsidR="009F36B3" w:rsidRPr="00C40C71">
        <w:rPr>
          <w:rFonts w:ascii="Times New Roman" w:hAnsi="Times New Roman" w:cs="Times New Roman"/>
          <w:lang w:val="en"/>
        </w:rPr>
        <w:t xml:space="preserve">undertaking </w:t>
      </w:r>
      <w:r w:rsidR="00FE6FEB">
        <w:rPr>
          <w:rFonts w:ascii="Times New Roman" w:hAnsi="Times New Roman" w:cs="Times New Roman"/>
          <w:lang w:val="en"/>
        </w:rPr>
        <w:t xml:space="preserve">certain </w:t>
      </w:r>
      <w:r w:rsidR="009F36B3" w:rsidRPr="00C40C71">
        <w:rPr>
          <w:rFonts w:ascii="Times New Roman" w:hAnsi="Times New Roman" w:cs="Times New Roman"/>
          <w:lang w:val="en"/>
        </w:rPr>
        <w:t>journey</w:t>
      </w:r>
      <w:r w:rsidR="00FE6FEB">
        <w:rPr>
          <w:rFonts w:ascii="Times New Roman" w:hAnsi="Times New Roman" w:cs="Times New Roman"/>
          <w:lang w:val="en"/>
        </w:rPr>
        <w:t>s</w:t>
      </w:r>
      <w:r w:rsidR="00064E41">
        <w:rPr>
          <w:rFonts w:ascii="Times New Roman" w:hAnsi="Times New Roman" w:cs="Times New Roman"/>
          <w:lang w:val="en"/>
        </w:rPr>
        <w:t>, from the place in Australia where the employee is residing,</w:t>
      </w:r>
      <w:r>
        <w:rPr>
          <w:rFonts w:ascii="Times New Roman" w:hAnsi="Times New Roman" w:cs="Times New Roman"/>
          <w:lang w:val="en"/>
        </w:rPr>
        <w:t xml:space="preserve"> in accordance with the following provisions of the Act</w:t>
      </w:r>
      <w:r w:rsidR="009F36B3" w:rsidRPr="00C40C71">
        <w:rPr>
          <w:rFonts w:ascii="Times New Roman" w:hAnsi="Times New Roman" w:cs="Times New Roman"/>
          <w:lang w:val="en"/>
        </w:rPr>
        <w:t>:</w:t>
      </w:r>
    </w:p>
    <w:p w14:paraId="2268D250" w14:textId="23C61FF4" w:rsidR="009F36B3" w:rsidRPr="00C40C71" w:rsidRDefault="009F36B3" w:rsidP="009925DD">
      <w:pPr>
        <w:pStyle w:val="ListParagraph"/>
        <w:numPr>
          <w:ilvl w:val="0"/>
          <w:numId w:val="13"/>
        </w:numPr>
        <w:spacing w:line="240" w:lineRule="auto"/>
        <w:ind w:left="360"/>
        <w:rPr>
          <w:rFonts w:ascii="Times New Roman" w:hAnsi="Times New Roman" w:cs="Times New Roman"/>
          <w:lang w:val="en"/>
        </w:rPr>
      </w:pPr>
      <w:r w:rsidRPr="00C40C71">
        <w:rPr>
          <w:rFonts w:ascii="Times New Roman" w:hAnsi="Times New Roman" w:cs="Times New Roman"/>
          <w:lang w:val="en"/>
        </w:rPr>
        <w:t xml:space="preserve">subsection 28(6) </w:t>
      </w:r>
      <w:r w:rsidR="00B516E3">
        <w:rPr>
          <w:rFonts w:ascii="Times New Roman" w:hAnsi="Times New Roman" w:cs="Times New Roman"/>
          <w:lang w:val="en"/>
        </w:rPr>
        <w:t xml:space="preserve">(which </w:t>
      </w:r>
      <w:r w:rsidRPr="00C40C71">
        <w:rPr>
          <w:rFonts w:ascii="Times New Roman" w:hAnsi="Times New Roman" w:cs="Times New Roman"/>
          <w:lang w:val="en"/>
        </w:rPr>
        <w:t>provides that, subject to subsection 28(7), if compensation is payable in respect of the cost of medical treatment under subsection 28(1), the employer is liable to pay to the employee an amount of compensation for expenditure reasonably incurred by the employee in making a journey</w:t>
      </w:r>
      <w:r w:rsidR="00E32242">
        <w:rPr>
          <w:rFonts w:ascii="Times New Roman" w:hAnsi="Times New Roman" w:cs="Times New Roman"/>
          <w:lang w:val="en"/>
        </w:rPr>
        <w:t xml:space="preserve"> </w:t>
      </w:r>
      <w:r w:rsidRPr="00C40C71">
        <w:rPr>
          <w:rFonts w:ascii="Times New Roman" w:hAnsi="Times New Roman" w:cs="Times New Roman"/>
          <w:lang w:val="en"/>
        </w:rPr>
        <w:t>for the purpose of obtaining such treatment</w:t>
      </w:r>
      <w:r w:rsidR="00B516E3">
        <w:rPr>
          <w:rFonts w:ascii="Times New Roman" w:hAnsi="Times New Roman" w:cs="Times New Roman"/>
          <w:lang w:val="en"/>
        </w:rPr>
        <w:t>);</w:t>
      </w:r>
    </w:p>
    <w:p w14:paraId="2A5902B5" w14:textId="77777777" w:rsidR="009F36B3" w:rsidRPr="00C40C71" w:rsidRDefault="009F36B3" w:rsidP="009925DD">
      <w:pPr>
        <w:pStyle w:val="ListParagraph"/>
        <w:spacing w:line="240" w:lineRule="auto"/>
        <w:ind w:left="360"/>
        <w:rPr>
          <w:rFonts w:ascii="Times New Roman" w:hAnsi="Times New Roman" w:cs="Times New Roman"/>
          <w:lang w:val="en"/>
        </w:rPr>
      </w:pPr>
    </w:p>
    <w:p w14:paraId="33C9A3B6" w14:textId="77777777" w:rsidR="009F36B3" w:rsidRPr="00C40C71" w:rsidRDefault="00B516E3" w:rsidP="009925DD">
      <w:pPr>
        <w:pStyle w:val="ListParagraph"/>
        <w:numPr>
          <w:ilvl w:val="0"/>
          <w:numId w:val="13"/>
        </w:numPr>
        <w:spacing w:line="240" w:lineRule="auto"/>
        <w:ind w:left="360"/>
        <w:rPr>
          <w:rFonts w:ascii="Times New Roman" w:hAnsi="Times New Roman" w:cs="Times New Roman"/>
          <w:lang w:val="en"/>
        </w:rPr>
      </w:pPr>
      <w:r>
        <w:rPr>
          <w:rFonts w:ascii="Times New Roman" w:hAnsi="Times New Roman" w:cs="Times New Roman"/>
          <w:lang w:val="en"/>
        </w:rPr>
        <w:t>s</w:t>
      </w:r>
      <w:r w:rsidRPr="00C40C71">
        <w:rPr>
          <w:rFonts w:ascii="Times New Roman" w:hAnsi="Times New Roman" w:cs="Times New Roman"/>
          <w:lang w:val="en"/>
        </w:rPr>
        <w:t xml:space="preserve">ubsection </w:t>
      </w:r>
      <w:r w:rsidR="009F36B3" w:rsidRPr="00C40C71">
        <w:rPr>
          <w:rFonts w:ascii="Times New Roman" w:hAnsi="Times New Roman" w:cs="Times New Roman"/>
          <w:lang w:val="en"/>
        </w:rPr>
        <w:t xml:space="preserve">49(6A) </w:t>
      </w:r>
      <w:r>
        <w:rPr>
          <w:rFonts w:ascii="Times New Roman" w:hAnsi="Times New Roman" w:cs="Times New Roman"/>
          <w:lang w:val="en"/>
        </w:rPr>
        <w:t xml:space="preserve">(which </w:t>
      </w:r>
      <w:r w:rsidR="009F36B3" w:rsidRPr="00C40C71">
        <w:rPr>
          <w:rFonts w:ascii="Times New Roman" w:hAnsi="Times New Roman" w:cs="Times New Roman"/>
          <w:lang w:val="en"/>
        </w:rPr>
        <w:t>provides that, subject to subsection 49(6D), an employer is liable to pay to the employee an amount of compensation for expenditure reasonably incurred by the employee in making a journey for the purpose of undergoing an examination required under subsection</w:t>
      </w:r>
      <w:r>
        <w:rPr>
          <w:rFonts w:ascii="Times New Roman" w:hAnsi="Times New Roman" w:cs="Times New Roman"/>
          <w:lang w:val="en"/>
        </w:rPr>
        <w:t> </w:t>
      </w:r>
      <w:r w:rsidR="009F36B3" w:rsidRPr="00C40C71">
        <w:rPr>
          <w:rFonts w:ascii="Times New Roman" w:hAnsi="Times New Roman" w:cs="Times New Roman"/>
          <w:lang w:val="en"/>
        </w:rPr>
        <w:t>49(3)</w:t>
      </w:r>
      <w:r>
        <w:rPr>
          <w:rFonts w:ascii="Times New Roman" w:hAnsi="Times New Roman" w:cs="Times New Roman"/>
          <w:lang w:val="en"/>
        </w:rPr>
        <w:t>);</w:t>
      </w:r>
    </w:p>
    <w:p w14:paraId="599A3B4E" w14:textId="77777777" w:rsidR="009F36B3" w:rsidRPr="00C40C71" w:rsidRDefault="009F36B3" w:rsidP="009925DD">
      <w:pPr>
        <w:pStyle w:val="ListParagraph"/>
        <w:ind w:left="360"/>
        <w:rPr>
          <w:rFonts w:ascii="Times New Roman" w:hAnsi="Times New Roman" w:cs="Times New Roman"/>
          <w:lang w:val="en"/>
        </w:rPr>
      </w:pPr>
    </w:p>
    <w:p w14:paraId="0CE21667" w14:textId="77777777" w:rsidR="009F36B3" w:rsidRPr="00C40C71" w:rsidRDefault="00B516E3" w:rsidP="009925DD">
      <w:pPr>
        <w:pStyle w:val="ListParagraph"/>
        <w:numPr>
          <w:ilvl w:val="0"/>
          <w:numId w:val="13"/>
        </w:numPr>
        <w:spacing w:line="240" w:lineRule="auto"/>
        <w:ind w:left="360"/>
        <w:rPr>
          <w:rFonts w:ascii="Times New Roman" w:hAnsi="Times New Roman" w:cs="Times New Roman"/>
          <w:lang w:val="en"/>
        </w:rPr>
      </w:pPr>
      <w:r>
        <w:rPr>
          <w:rFonts w:ascii="Times New Roman" w:hAnsi="Times New Roman" w:cs="Times New Roman"/>
          <w:lang w:val="en"/>
        </w:rPr>
        <w:t>s</w:t>
      </w:r>
      <w:r w:rsidRPr="00C40C71">
        <w:rPr>
          <w:rFonts w:ascii="Times New Roman" w:hAnsi="Times New Roman" w:cs="Times New Roman"/>
          <w:lang w:val="en"/>
        </w:rPr>
        <w:t xml:space="preserve">ubsection </w:t>
      </w:r>
      <w:r w:rsidR="009F36B3" w:rsidRPr="00C40C71">
        <w:rPr>
          <w:rFonts w:ascii="Times New Roman" w:hAnsi="Times New Roman" w:cs="Times New Roman"/>
          <w:lang w:val="en"/>
        </w:rPr>
        <w:t xml:space="preserve">50(2A) </w:t>
      </w:r>
      <w:r>
        <w:rPr>
          <w:rFonts w:ascii="Times New Roman" w:hAnsi="Times New Roman" w:cs="Times New Roman"/>
          <w:lang w:val="en"/>
        </w:rPr>
        <w:t xml:space="preserve">(which </w:t>
      </w:r>
      <w:r w:rsidR="009F36B3" w:rsidRPr="00C40C71">
        <w:rPr>
          <w:rFonts w:ascii="Times New Roman" w:hAnsi="Times New Roman" w:cs="Times New Roman"/>
          <w:lang w:val="en"/>
        </w:rPr>
        <w:t>provides that, subject to subsection 50(2D), an employer is liable to pay to the employee an amount of compensation for expenditure reasonably incurred by the employee in making a journey for the purpose of undertaking a rehabilitation program provided pursuant to subsection 50(1)</w:t>
      </w:r>
      <w:r>
        <w:rPr>
          <w:rFonts w:ascii="Times New Roman" w:hAnsi="Times New Roman" w:cs="Times New Roman"/>
          <w:lang w:val="en"/>
        </w:rPr>
        <w:t>);</w:t>
      </w:r>
    </w:p>
    <w:p w14:paraId="58821295" w14:textId="77777777" w:rsidR="009F36B3" w:rsidRPr="00C40C71" w:rsidRDefault="009F36B3" w:rsidP="009925DD">
      <w:pPr>
        <w:pStyle w:val="ListParagraph"/>
        <w:ind w:left="360"/>
        <w:rPr>
          <w:rFonts w:ascii="Times New Roman" w:hAnsi="Times New Roman" w:cs="Times New Roman"/>
          <w:lang w:val="en"/>
        </w:rPr>
      </w:pPr>
    </w:p>
    <w:p w14:paraId="110FBB91" w14:textId="45EF051B" w:rsidR="009F36B3" w:rsidRPr="00C40C71" w:rsidRDefault="00B516E3" w:rsidP="009925DD">
      <w:pPr>
        <w:pStyle w:val="ListParagraph"/>
        <w:numPr>
          <w:ilvl w:val="0"/>
          <w:numId w:val="13"/>
        </w:numPr>
        <w:spacing w:line="240" w:lineRule="auto"/>
        <w:ind w:left="360"/>
        <w:rPr>
          <w:rFonts w:ascii="Times New Roman" w:hAnsi="Times New Roman" w:cs="Times New Roman"/>
          <w:color w:val="000000" w:themeColor="text1"/>
          <w:lang w:val="en"/>
        </w:rPr>
      </w:pPr>
      <w:r>
        <w:rPr>
          <w:rFonts w:ascii="Times New Roman" w:hAnsi="Times New Roman" w:cs="Times New Roman"/>
          <w:color w:val="000000" w:themeColor="text1"/>
          <w:lang w:val="en"/>
        </w:rPr>
        <w:t>s</w:t>
      </w:r>
      <w:r w:rsidRPr="00C40C71">
        <w:rPr>
          <w:rFonts w:ascii="Times New Roman" w:hAnsi="Times New Roman" w:cs="Times New Roman"/>
          <w:color w:val="000000" w:themeColor="text1"/>
          <w:lang w:val="en"/>
        </w:rPr>
        <w:t xml:space="preserve">ubsection </w:t>
      </w:r>
      <w:r w:rsidR="009F36B3" w:rsidRPr="00C40C71">
        <w:rPr>
          <w:rFonts w:ascii="Times New Roman" w:hAnsi="Times New Roman" w:cs="Times New Roman"/>
          <w:color w:val="000000" w:themeColor="text1"/>
          <w:lang w:val="en"/>
        </w:rPr>
        <w:t xml:space="preserve">66(4) </w:t>
      </w:r>
      <w:r>
        <w:rPr>
          <w:rFonts w:ascii="Times New Roman" w:hAnsi="Times New Roman" w:cs="Times New Roman"/>
          <w:color w:val="000000" w:themeColor="text1"/>
          <w:lang w:val="en"/>
        </w:rPr>
        <w:t xml:space="preserve">(which </w:t>
      </w:r>
      <w:r w:rsidR="009F36B3" w:rsidRPr="00C40C71">
        <w:rPr>
          <w:rFonts w:ascii="Times New Roman" w:hAnsi="Times New Roman" w:cs="Times New Roman"/>
          <w:color w:val="000000" w:themeColor="text1"/>
          <w:lang w:val="en"/>
        </w:rPr>
        <w:t>provides that, subject to subsection 66(</w:t>
      </w:r>
      <w:r w:rsidR="00EF4A98">
        <w:rPr>
          <w:rFonts w:ascii="Times New Roman" w:hAnsi="Times New Roman" w:cs="Times New Roman"/>
          <w:color w:val="000000" w:themeColor="text1"/>
          <w:lang w:val="en"/>
        </w:rPr>
        <w:t>4D</w:t>
      </w:r>
      <w:r w:rsidR="009F36B3" w:rsidRPr="00C40C71">
        <w:rPr>
          <w:rFonts w:ascii="Times New Roman" w:hAnsi="Times New Roman" w:cs="Times New Roman"/>
          <w:color w:val="000000" w:themeColor="text1"/>
          <w:lang w:val="en"/>
        </w:rPr>
        <w:t xml:space="preserve">), </w:t>
      </w:r>
      <w:r w:rsidR="009F36B3" w:rsidRPr="00C40C71">
        <w:rPr>
          <w:rFonts w:ascii="Times New Roman" w:eastAsia="Times New Roman" w:hAnsi="Times New Roman" w:cs="Times New Roman"/>
          <w:color w:val="000000" w:themeColor="text1"/>
          <w:lang w:val="en" w:eastAsia="en-AU"/>
        </w:rPr>
        <w:t xml:space="preserve">an employer who requires an employee to undergo an examination under </w:t>
      </w:r>
      <w:r w:rsidR="00EF4A98">
        <w:rPr>
          <w:rFonts w:ascii="Times New Roman" w:eastAsia="Times New Roman" w:hAnsi="Times New Roman" w:cs="Times New Roman"/>
          <w:color w:val="000000" w:themeColor="text1"/>
          <w:lang w:val="en" w:eastAsia="en-AU"/>
        </w:rPr>
        <w:t>sub</w:t>
      </w:r>
      <w:r w:rsidR="009F36B3" w:rsidRPr="00C40C71">
        <w:rPr>
          <w:rFonts w:ascii="Times New Roman" w:eastAsia="Times New Roman" w:hAnsi="Times New Roman" w:cs="Times New Roman"/>
          <w:color w:val="000000" w:themeColor="text1"/>
          <w:lang w:val="en" w:eastAsia="en-AU"/>
        </w:rPr>
        <w:t>section 66</w:t>
      </w:r>
      <w:r w:rsidR="00EF4A98">
        <w:rPr>
          <w:rFonts w:ascii="Times New Roman" w:eastAsia="Times New Roman" w:hAnsi="Times New Roman" w:cs="Times New Roman"/>
          <w:color w:val="000000" w:themeColor="text1"/>
          <w:lang w:val="en" w:eastAsia="en-AU"/>
        </w:rPr>
        <w:t>(1)</w:t>
      </w:r>
      <w:r w:rsidR="009F36B3" w:rsidRPr="00C40C71">
        <w:rPr>
          <w:rFonts w:ascii="Times New Roman" w:eastAsia="Times New Roman" w:hAnsi="Times New Roman" w:cs="Times New Roman"/>
          <w:color w:val="000000" w:themeColor="text1"/>
          <w:lang w:val="en" w:eastAsia="en-AU"/>
        </w:rPr>
        <w:t xml:space="preserve"> is liable to pay to the employee an amount equal to the expenditure reasonably incurred by the employee in making the journey to attend the examination</w:t>
      </w:r>
      <w:r>
        <w:rPr>
          <w:rFonts w:ascii="Times New Roman" w:eastAsia="Times New Roman" w:hAnsi="Times New Roman" w:cs="Times New Roman"/>
          <w:color w:val="000000" w:themeColor="text1"/>
          <w:lang w:val="en" w:eastAsia="en-AU"/>
        </w:rPr>
        <w:t>); and</w:t>
      </w:r>
    </w:p>
    <w:p w14:paraId="239B708F" w14:textId="77777777" w:rsidR="009F36B3" w:rsidRPr="00C40C71" w:rsidRDefault="009F36B3" w:rsidP="009925DD">
      <w:pPr>
        <w:pStyle w:val="ListParagraph"/>
        <w:ind w:left="360"/>
        <w:rPr>
          <w:rFonts w:ascii="Times New Roman" w:hAnsi="Times New Roman" w:cs="Times New Roman"/>
          <w:color w:val="000000" w:themeColor="text1"/>
          <w:lang w:val="en"/>
        </w:rPr>
      </w:pPr>
    </w:p>
    <w:p w14:paraId="1D39F159" w14:textId="77777777" w:rsidR="009F36B3" w:rsidRPr="00C40C71" w:rsidRDefault="00B516E3" w:rsidP="009925DD">
      <w:pPr>
        <w:pStyle w:val="ListParagraph"/>
        <w:numPr>
          <w:ilvl w:val="0"/>
          <w:numId w:val="13"/>
        </w:numPr>
        <w:spacing w:line="240" w:lineRule="auto"/>
        <w:ind w:left="360"/>
        <w:rPr>
          <w:rFonts w:ascii="Times New Roman" w:hAnsi="Times New Roman" w:cs="Times New Roman"/>
          <w:color w:val="000000" w:themeColor="text1"/>
          <w:lang w:val="en"/>
        </w:rPr>
      </w:pPr>
      <w:r>
        <w:rPr>
          <w:rFonts w:ascii="Times New Roman" w:hAnsi="Times New Roman" w:cs="Times New Roman"/>
          <w:color w:val="000000" w:themeColor="text1"/>
          <w:lang w:val="en"/>
        </w:rPr>
        <w:t>s</w:t>
      </w:r>
      <w:r w:rsidRPr="00C40C71">
        <w:rPr>
          <w:rFonts w:ascii="Times New Roman" w:hAnsi="Times New Roman" w:cs="Times New Roman"/>
          <w:color w:val="000000" w:themeColor="text1"/>
          <w:lang w:val="en"/>
        </w:rPr>
        <w:t xml:space="preserve">ubsection </w:t>
      </w:r>
      <w:r w:rsidR="009F36B3" w:rsidRPr="00C40C71">
        <w:rPr>
          <w:rFonts w:ascii="Times New Roman" w:hAnsi="Times New Roman" w:cs="Times New Roman"/>
          <w:color w:val="000000" w:themeColor="text1"/>
          <w:lang w:val="en"/>
        </w:rPr>
        <w:t xml:space="preserve">83A(3) </w:t>
      </w:r>
      <w:r>
        <w:rPr>
          <w:rFonts w:ascii="Times New Roman" w:hAnsi="Times New Roman" w:cs="Times New Roman"/>
          <w:color w:val="000000" w:themeColor="text1"/>
          <w:lang w:val="en"/>
        </w:rPr>
        <w:t xml:space="preserve">(which </w:t>
      </w:r>
      <w:r w:rsidR="009F36B3" w:rsidRPr="00C40C71">
        <w:rPr>
          <w:rFonts w:ascii="Times New Roman" w:hAnsi="Times New Roman" w:cs="Times New Roman"/>
          <w:color w:val="000000" w:themeColor="text1"/>
          <w:lang w:val="en"/>
        </w:rPr>
        <w:t xml:space="preserve">provides that, subject to subsection 83A(7), </w:t>
      </w:r>
      <w:r w:rsidR="009F36B3" w:rsidRPr="00C40C71">
        <w:rPr>
          <w:rFonts w:ascii="Times New Roman" w:eastAsia="Times New Roman" w:hAnsi="Times New Roman" w:cs="Times New Roman"/>
          <w:color w:val="000000" w:themeColor="text1"/>
          <w:lang w:val="en" w:eastAsia="en-AU"/>
        </w:rPr>
        <w:t xml:space="preserve">an employer who requires an employee to undergo an examination under </w:t>
      </w:r>
      <w:r w:rsidR="00EF4A98">
        <w:rPr>
          <w:rFonts w:ascii="Times New Roman" w:eastAsia="Times New Roman" w:hAnsi="Times New Roman" w:cs="Times New Roman"/>
          <w:color w:val="000000" w:themeColor="text1"/>
          <w:lang w:val="en" w:eastAsia="en-AU"/>
        </w:rPr>
        <w:t>sub</w:t>
      </w:r>
      <w:r w:rsidR="009F36B3" w:rsidRPr="00C40C71">
        <w:rPr>
          <w:rFonts w:ascii="Times New Roman" w:eastAsia="Times New Roman" w:hAnsi="Times New Roman" w:cs="Times New Roman"/>
          <w:color w:val="000000" w:themeColor="text1"/>
          <w:lang w:val="en" w:eastAsia="en-AU"/>
        </w:rPr>
        <w:t>section 83A</w:t>
      </w:r>
      <w:r w:rsidR="00EF4A98">
        <w:rPr>
          <w:rFonts w:ascii="Times New Roman" w:eastAsia="Times New Roman" w:hAnsi="Times New Roman" w:cs="Times New Roman"/>
          <w:color w:val="000000" w:themeColor="text1"/>
          <w:lang w:val="en" w:eastAsia="en-AU"/>
        </w:rPr>
        <w:t>(1)</w:t>
      </w:r>
      <w:r w:rsidR="009F36B3" w:rsidRPr="00C40C71">
        <w:rPr>
          <w:rFonts w:ascii="Times New Roman" w:eastAsia="Times New Roman" w:hAnsi="Times New Roman" w:cs="Times New Roman"/>
          <w:color w:val="000000" w:themeColor="text1"/>
          <w:lang w:val="en" w:eastAsia="en-AU"/>
        </w:rPr>
        <w:t xml:space="preserve"> is liable to pay to the employee an amount equal to the expenditure reasonably incurred by the employee in making the journey to attend the examination</w:t>
      </w:r>
      <w:r>
        <w:rPr>
          <w:rFonts w:ascii="Times New Roman" w:eastAsia="Times New Roman" w:hAnsi="Times New Roman" w:cs="Times New Roman"/>
          <w:color w:val="000000" w:themeColor="text1"/>
          <w:lang w:val="en" w:eastAsia="en-AU"/>
        </w:rPr>
        <w:t>)</w:t>
      </w:r>
      <w:r w:rsidR="009F36B3" w:rsidRPr="00C40C71">
        <w:rPr>
          <w:rFonts w:ascii="Times New Roman" w:eastAsia="Times New Roman" w:hAnsi="Times New Roman" w:cs="Times New Roman"/>
          <w:color w:val="000000" w:themeColor="text1"/>
          <w:lang w:val="en" w:eastAsia="en-AU"/>
        </w:rPr>
        <w:t>.</w:t>
      </w:r>
    </w:p>
    <w:p w14:paraId="52EC9D2D" w14:textId="77777777" w:rsidR="009F36B3" w:rsidRPr="00C40C71" w:rsidRDefault="007C33BB" w:rsidP="009F36B3">
      <w:pPr>
        <w:spacing w:line="240" w:lineRule="auto"/>
        <w:rPr>
          <w:rFonts w:ascii="Times New Roman" w:hAnsi="Times New Roman" w:cs="Times New Roman"/>
          <w:color w:val="000000" w:themeColor="text1"/>
          <w:lang w:val="en"/>
        </w:rPr>
      </w:pPr>
      <w:r>
        <w:rPr>
          <w:rFonts w:ascii="Times New Roman" w:hAnsi="Times New Roman" w:cs="Times New Roman"/>
          <w:color w:val="000000" w:themeColor="text1"/>
          <w:lang w:val="en"/>
        </w:rPr>
        <w:lastRenderedPageBreak/>
        <w:t>Where</w:t>
      </w:r>
      <w:r w:rsidR="009F36B3" w:rsidRPr="00C40C71">
        <w:rPr>
          <w:rFonts w:ascii="Times New Roman" w:hAnsi="Times New Roman" w:cs="Times New Roman"/>
          <w:color w:val="000000" w:themeColor="text1"/>
          <w:lang w:val="en"/>
        </w:rPr>
        <w:t xml:space="preserve"> </w:t>
      </w:r>
      <w:r w:rsidR="005D558D">
        <w:rPr>
          <w:rFonts w:ascii="Times New Roman" w:hAnsi="Times New Roman" w:cs="Times New Roman"/>
          <w:color w:val="000000" w:themeColor="text1"/>
          <w:lang w:val="en"/>
        </w:rPr>
        <w:t>a</w:t>
      </w:r>
      <w:r w:rsidR="009F36B3" w:rsidRPr="00C40C71">
        <w:rPr>
          <w:rFonts w:ascii="Times New Roman" w:hAnsi="Times New Roman" w:cs="Times New Roman"/>
          <w:color w:val="000000" w:themeColor="text1"/>
          <w:lang w:val="en"/>
        </w:rPr>
        <w:t xml:space="preserve"> journey </w:t>
      </w:r>
      <w:r w:rsidR="005D558D">
        <w:rPr>
          <w:rFonts w:ascii="Times New Roman" w:hAnsi="Times New Roman" w:cs="Times New Roman"/>
          <w:color w:val="000000" w:themeColor="text1"/>
          <w:lang w:val="en"/>
        </w:rPr>
        <w:t xml:space="preserve">referred to </w:t>
      </w:r>
      <w:r w:rsidR="00B516E3">
        <w:rPr>
          <w:rFonts w:ascii="Times New Roman" w:hAnsi="Times New Roman" w:cs="Times New Roman"/>
          <w:color w:val="000000" w:themeColor="text1"/>
          <w:lang w:val="en"/>
        </w:rPr>
        <w:t xml:space="preserve">in one of the provisions </w:t>
      </w:r>
      <w:r w:rsidR="005D558D">
        <w:rPr>
          <w:rFonts w:ascii="Times New Roman" w:hAnsi="Times New Roman" w:cs="Times New Roman"/>
          <w:color w:val="000000" w:themeColor="text1"/>
          <w:lang w:val="en"/>
        </w:rPr>
        <w:t xml:space="preserve">above is </w:t>
      </w:r>
      <w:r w:rsidR="009F36B3" w:rsidRPr="00C40C71">
        <w:rPr>
          <w:rFonts w:ascii="Times New Roman" w:hAnsi="Times New Roman" w:cs="Times New Roman"/>
          <w:color w:val="000000" w:themeColor="text1"/>
          <w:lang w:val="en"/>
        </w:rPr>
        <w:t xml:space="preserve">made by means of private motor vehicle, </w:t>
      </w:r>
      <w:r>
        <w:rPr>
          <w:rFonts w:ascii="Times New Roman" w:hAnsi="Times New Roman" w:cs="Times New Roman"/>
          <w:color w:val="000000" w:themeColor="text1"/>
          <w:lang w:val="en"/>
        </w:rPr>
        <w:t xml:space="preserve">the amount that </w:t>
      </w:r>
      <w:r w:rsidR="00D52117">
        <w:rPr>
          <w:rFonts w:ascii="Times New Roman" w:hAnsi="Times New Roman" w:cs="Times New Roman"/>
          <w:color w:val="000000" w:themeColor="text1"/>
          <w:lang w:val="en"/>
        </w:rPr>
        <w:t>an employer is liable to pay in respect of the journey is determined using the formula</w:t>
      </w:r>
      <w:r w:rsidR="009409DC">
        <w:rPr>
          <w:rFonts w:ascii="Times New Roman" w:hAnsi="Times New Roman" w:cs="Times New Roman"/>
          <w:color w:val="000000" w:themeColor="text1"/>
          <w:lang w:val="en"/>
        </w:rPr>
        <w:t>:</w:t>
      </w:r>
      <w:r w:rsidR="00D52117">
        <w:rPr>
          <w:rFonts w:ascii="Times New Roman" w:hAnsi="Times New Roman" w:cs="Times New Roman"/>
          <w:color w:val="000000" w:themeColor="text1"/>
          <w:lang w:val="en"/>
        </w:rPr>
        <w:t xml:space="preserve"> </w:t>
      </w:r>
      <w:r w:rsidR="005D558D">
        <w:rPr>
          <w:rFonts w:ascii="Times New Roman" w:hAnsi="Times New Roman" w:cs="Times New Roman"/>
          <w:color w:val="000000" w:themeColor="text1"/>
          <w:lang w:val="en"/>
        </w:rPr>
        <w:t xml:space="preserve">‘Specified </w:t>
      </w:r>
      <w:r w:rsidR="00D52117">
        <w:rPr>
          <w:rFonts w:ascii="Times New Roman" w:hAnsi="Times New Roman" w:cs="Times New Roman"/>
          <w:color w:val="000000" w:themeColor="text1"/>
          <w:lang w:val="en"/>
        </w:rPr>
        <w:t xml:space="preserve">rate per kilometre x </w:t>
      </w:r>
      <w:r w:rsidR="005D558D">
        <w:rPr>
          <w:rFonts w:ascii="Times New Roman" w:hAnsi="Times New Roman" w:cs="Times New Roman"/>
          <w:color w:val="000000" w:themeColor="text1"/>
          <w:lang w:val="en"/>
        </w:rPr>
        <w:t xml:space="preserve">Number </w:t>
      </w:r>
      <w:r w:rsidR="00D52117">
        <w:rPr>
          <w:rFonts w:ascii="Times New Roman" w:hAnsi="Times New Roman" w:cs="Times New Roman"/>
          <w:color w:val="000000" w:themeColor="text1"/>
          <w:lang w:val="en"/>
        </w:rPr>
        <w:t>of kilometres travelled</w:t>
      </w:r>
      <w:r w:rsidR="005D558D">
        <w:rPr>
          <w:rFonts w:ascii="Times New Roman" w:hAnsi="Times New Roman" w:cs="Times New Roman"/>
          <w:color w:val="000000" w:themeColor="text1"/>
          <w:lang w:val="en"/>
        </w:rPr>
        <w:t>’</w:t>
      </w:r>
      <w:r w:rsidR="00D52117">
        <w:rPr>
          <w:rFonts w:ascii="Times New Roman" w:hAnsi="Times New Roman" w:cs="Times New Roman"/>
          <w:color w:val="000000" w:themeColor="text1"/>
          <w:lang w:val="en"/>
        </w:rPr>
        <w:t>.</w:t>
      </w:r>
      <w:r>
        <w:rPr>
          <w:rFonts w:ascii="Times New Roman" w:hAnsi="Times New Roman" w:cs="Times New Roman"/>
          <w:color w:val="000000" w:themeColor="text1"/>
          <w:lang w:val="en"/>
        </w:rPr>
        <w:t xml:space="preserve"> </w:t>
      </w:r>
    </w:p>
    <w:p w14:paraId="5A56A9E1" w14:textId="77777777" w:rsidR="00F955D3" w:rsidRPr="009409DC" w:rsidRDefault="007C33BB" w:rsidP="009454DF">
      <w:pPr>
        <w:spacing w:line="240" w:lineRule="auto"/>
        <w:rPr>
          <w:rFonts w:ascii="Times New Roman" w:hAnsi="Times New Roman" w:cs="Times New Roman"/>
        </w:rPr>
      </w:pPr>
      <w:r w:rsidRPr="009409DC">
        <w:rPr>
          <w:rFonts w:ascii="Times New Roman" w:hAnsi="Times New Roman" w:cs="Times New Roman"/>
        </w:rPr>
        <w:t xml:space="preserve">For the purposes of </w:t>
      </w:r>
      <w:r w:rsidR="0032683B">
        <w:rPr>
          <w:rFonts w:ascii="Times New Roman" w:hAnsi="Times New Roman" w:cs="Times New Roman"/>
        </w:rPr>
        <w:t>this formula</w:t>
      </w:r>
      <w:r w:rsidRPr="009409DC">
        <w:rPr>
          <w:rFonts w:ascii="Times New Roman" w:hAnsi="Times New Roman" w:cs="Times New Roman"/>
        </w:rPr>
        <w:t xml:space="preserve">, the </w:t>
      </w:r>
      <w:r w:rsidRPr="009925DD">
        <w:rPr>
          <w:rFonts w:ascii="Times New Roman" w:hAnsi="Times New Roman" w:cs="Times New Roman"/>
          <w:b/>
          <w:i/>
        </w:rPr>
        <w:t>specified rate per kilometre</w:t>
      </w:r>
      <w:r w:rsidR="009409DC" w:rsidRPr="009409DC">
        <w:rPr>
          <w:rFonts w:ascii="Times New Roman" w:hAnsi="Times New Roman" w:cs="Times New Roman"/>
          <w:i/>
        </w:rPr>
        <w:t xml:space="preserve"> </w:t>
      </w:r>
      <w:r w:rsidRPr="009409DC">
        <w:rPr>
          <w:rFonts w:ascii="Times New Roman" w:hAnsi="Times New Roman" w:cs="Times New Roman"/>
        </w:rPr>
        <w:t>means the rate per kilometre as the Minister specifies</w:t>
      </w:r>
      <w:r w:rsidR="005D558D">
        <w:rPr>
          <w:rFonts w:ascii="Times New Roman" w:hAnsi="Times New Roman" w:cs="Times New Roman"/>
        </w:rPr>
        <w:t>,</w:t>
      </w:r>
      <w:r w:rsidRPr="009409DC">
        <w:rPr>
          <w:rFonts w:ascii="Times New Roman" w:hAnsi="Times New Roman" w:cs="Times New Roman"/>
        </w:rPr>
        <w:t xml:space="preserve"> by legislative instrument</w:t>
      </w:r>
      <w:r w:rsidR="005D558D">
        <w:rPr>
          <w:rFonts w:ascii="Times New Roman" w:hAnsi="Times New Roman" w:cs="Times New Roman"/>
        </w:rPr>
        <w:t>,</w:t>
      </w:r>
      <w:r w:rsidR="00344C19">
        <w:rPr>
          <w:rFonts w:ascii="Times New Roman" w:hAnsi="Times New Roman" w:cs="Times New Roman"/>
        </w:rPr>
        <w:t xml:space="preserve"> under </w:t>
      </w:r>
      <w:r w:rsidR="00344C19" w:rsidRPr="00344C19">
        <w:rPr>
          <w:rFonts w:ascii="Times New Roman" w:hAnsi="Times New Roman" w:cs="Times New Roman"/>
        </w:rPr>
        <w:t>paragraphs 28(6A)(b), 49(6B)(b) and 50(2B)(b), and subsections 66(4B) and 83A(5), of the Act</w:t>
      </w:r>
      <w:r w:rsidRPr="009409DC">
        <w:rPr>
          <w:rFonts w:ascii="Times New Roman" w:hAnsi="Times New Roman" w:cs="Times New Roman"/>
        </w:rPr>
        <w:t xml:space="preserve">. </w:t>
      </w:r>
    </w:p>
    <w:p w14:paraId="49BFF11B" w14:textId="77777777" w:rsidR="00C67170" w:rsidRDefault="008E73D5" w:rsidP="00C67170">
      <w:pPr>
        <w:spacing w:line="240" w:lineRule="auto"/>
        <w:rPr>
          <w:rFonts w:ascii="Times New Roman" w:hAnsi="Times New Roman" w:cs="Times New Roman"/>
        </w:rPr>
      </w:pPr>
      <w:r w:rsidRPr="009409DC">
        <w:rPr>
          <w:rFonts w:ascii="Times New Roman" w:hAnsi="Times New Roman" w:cs="Times New Roman"/>
        </w:rPr>
        <w:t>In this instrument, the Minister specifies that</w:t>
      </w:r>
      <w:r w:rsidR="009409DC" w:rsidRPr="009409DC">
        <w:rPr>
          <w:rFonts w:ascii="Times New Roman" w:hAnsi="Times New Roman" w:cs="Times New Roman"/>
        </w:rPr>
        <w:t>, for</w:t>
      </w:r>
      <w:r w:rsidRPr="009409DC">
        <w:rPr>
          <w:rFonts w:ascii="Times New Roman" w:hAnsi="Times New Roman" w:cs="Times New Roman"/>
        </w:rPr>
        <w:t xml:space="preserve"> the purposes of</w:t>
      </w:r>
      <w:r w:rsidR="00344C19" w:rsidRPr="00344C19">
        <w:rPr>
          <w:rFonts w:ascii="Times New Roman" w:hAnsi="Times New Roman" w:cs="Times New Roman"/>
        </w:rPr>
        <w:t xml:space="preserve"> paragraphs 28(6A)(b), 49(6B)(b) and 50(2B)(b), and subsections 66(4B) and 83A(5), of the Act</w:t>
      </w:r>
      <w:r w:rsidRPr="00154352">
        <w:rPr>
          <w:rFonts w:ascii="Times New Roman" w:hAnsi="Times New Roman" w:cs="Times New Roman"/>
        </w:rPr>
        <w:t xml:space="preserve">, the </w:t>
      </w:r>
      <w:r w:rsidRPr="009925DD">
        <w:rPr>
          <w:rFonts w:ascii="Times New Roman" w:hAnsi="Times New Roman" w:cs="Times New Roman"/>
          <w:b/>
          <w:i/>
        </w:rPr>
        <w:t>specified rate per kilometre</w:t>
      </w:r>
      <w:r w:rsidR="009409DC" w:rsidRPr="00154352">
        <w:rPr>
          <w:rFonts w:ascii="Times New Roman" w:hAnsi="Times New Roman" w:cs="Times New Roman"/>
        </w:rPr>
        <w:t xml:space="preserve"> is </w:t>
      </w:r>
      <w:r w:rsidR="00154352" w:rsidRPr="00AC28CC">
        <w:rPr>
          <w:rFonts w:ascii="Times New Roman" w:hAnsi="Times New Roman" w:cs="Times New Roman"/>
        </w:rPr>
        <w:t>$0.68</w:t>
      </w:r>
      <w:r w:rsidR="009409DC" w:rsidRPr="00AC28CC">
        <w:rPr>
          <w:rFonts w:ascii="Times New Roman" w:hAnsi="Times New Roman" w:cs="Times New Roman"/>
        </w:rPr>
        <w:t>.</w:t>
      </w:r>
      <w:r w:rsidR="00344C19">
        <w:rPr>
          <w:rFonts w:ascii="Times New Roman" w:hAnsi="Times New Roman" w:cs="Times New Roman"/>
        </w:rPr>
        <w:t xml:space="preserve"> </w:t>
      </w:r>
      <w:r w:rsidR="00C67170" w:rsidRPr="00AC28CC">
        <w:rPr>
          <w:rFonts w:ascii="Times New Roman" w:hAnsi="Times New Roman" w:cs="Times New Roman"/>
        </w:rPr>
        <w:t>This rate is derived from the tax deduction rate for work-related car expenses</w:t>
      </w:r>
      <w:r w:rsidR="00C67170" w:rsidRPr="00AC28CC" w:rsidDel="00F115B6">
        <w:rPr>
          <w:rFonts w:ascii="Times New Roman" w:hAnsi="Times New Roman" w:cs="Times New Roman"/>
        </w:rPr>
        <w:t xml:space="preserve"> </w:t>
      </w:r>
      <w:r w:rsidR="00C67170" w:rsidRPr="00AC28CC">
        <w:rPr>
          <w:rFonts w:ascii="Times New Roman" w:hAnsi="Times New Roman" w:cs="Times New Roman"/>
        </w:rPr>
        <w:t xml:space="preserve">under the </w:t>
      </w:r>
      <w:r w:rsidR="00C67170" w:rsidRPr="00AC28CC">
        <w:rPr>
          <w:rFonts w:ascii="Times New Roman" w:hAnsi="Times New Roman" w:cs="Times New Roman"/>
          <w:i/>
        </w:rPr>
        <w:t>Income Tax Assessment Act 1997</w:t>
      </w:r>
      <w:r w:rsidR="00C67170" w:rsidRPr="00AC28CC">
        <w:rPr>
          <w:rFonts w:ascii="Times New Roman" w:hAnsi="Times New Roman" w:cs="Times New Roman"/>
        </w:rPr>
        <w:t>. The rate takes into account the Consumer Price Index for private motoring costs and reflects data from peak motoring bodies about the running cost of vehicles.</w:t>
      </w:r>
    </w:p>
    <w:p w14:paraId="639186E0" w14:textId="77777777" w:rsidR="002249B4" w:rsidRDefault="0010447E" w:rsidP="00AC28CC">
      <w:pPr>
        <w:spacing w:line="240" w:lineRule="auto"/>
        <w:rPr>
          <w:rFonts w:ascii="Times New Roman" w:hAnsi="Times New Roman" w:cs="Times New Roman"/>
        </w:rPr>
      </w:pPr>
      <w:r>
        <w:rPr>
          <w:rFonts w:ascii="Times New Roman" w:hAnsi="Times New Roman" w:cs="Times New Roman"/>
        </w:rPr>
        <w:t xml:space="preserve">This instrument also repeals the </w:t>
      </w:r>
      <w:r w:rsidRPr="0010447E">
        <w:rPr>
          <w:rFonts w:ascii="Times New Roman" w:hAnsi="Times New Roman" w:cs="Times New Roman"/>
          <w:i/>
        </w:rPr>
        <w:t>Seafarers Rehabilitation and Compensation (Specified Rate</w:t>
      </w:r>
      <w:r w:rsidR="002A6E38">
        <w:rPr>
          <w:rFonts w:ascii="Times New Roman" w:hAnsi="Times New Roman" w:cs="Times New Roman"/>
          <w:i/>
        </w:rPr>
        <w:t xml:space="preserve"> per Kilometre) Notice 2008 (1) </w:t>
      </w:r>
      <w:r w:rsidRPr="0010447E">
        <w:rPr>
          <w:rFonts w:ascii="Times New Roman" w:hAnsi="Times New Roman" w:cs="Times New Roman"/>
          <w:i/>
        </w:rPr>
        <w:t>(F2008L02333)</w:t>
      </w:r>
      <w:r>
        <w:rPr>
          <w:rFonts w:ascii="Times New Roman" w:hAnsi="Times New Roman" w:cs="Times New Roman"/>
        </w:rPr>
        <w:t xml:space="preserve">, which will sunset on 1 October 2019 by operation of the </w:t>
      </w:r>
      <w:r>
        <w:rPr>
          <w:rFonts w:ascii="Times New Roman" w:hAnsi="Times New Roman" w:cs="Times New Roman"/>
          <w:i/>
        </w:rPr>
        <w:t>Legislation Act 2003</w:t>
      </w:r>
      <w:r>
        <w:rPr>
          <w:rFonts w:ascii="Times New Roman" w:hAnsi="Times New Roman" w:cs="Times New Roman"/>
        </w:rPr>
        <w:t>, to avoid the possibility of concurrent operation of the two instruments.</w:t>
      </w:r>
    </w:p>
    <w:p w14:paraId="1F603E50" w14:textId="5F7F9F7F" w:rsidR="00BB254A" w:rsidRPr="0086026F" w:rsidRDefault="000D222A" w:rsidP="0025133B">
      <w:pPr>
        <w:spacing w:line="240" w:lineRule="auto"/>
        <w:rPr>
          <w:rFonts w:ascii="Times New Roman" w:hAnsi="Times New Roman" w:cs="Times New Roman"/>
        </w:rPr>
      </w:pPr>
      <w:r w:rsidRPr="00013A66">
        <w:rPr>
          <w:rFonts w:ascii="Times New Roman" w:hAnsi="Times New Roman" w:cs="Times New Roman"/>
        </w:rPr>
        <w:t>To maintain a central record of the rates specified in previous years</w:t>
      </w:r>
      <w:r>
        <w:rPr>
          <w:rFonts w:ascii="Times New Roman" w:hAnsi="Times New Roman" w:cs="Times New Roman"/>
        </w:rPr>
        <w:t xml:space="preserve">, </w:t>
      </w:r>
      <w:r w:rsidR="002A6E38">
        <w:rPr>
          <w:rFonts w:ascii="Times New Roman" w:hAnsi="Times New Roman" w:cs="Times New Roman"/>
        </w:rPr>
        <w:t xml:space="preserve">Attachment </w:t>
      </w:r>
      <w:r w:rsidR="00BB254A">
        <w:rPr>
          <w:rFonts w:ascii="Times New Roman" w:hAnsi="Times New Roman" w:cs="Times New Roman"/>
        </w:rPr>
        <w:t>B</w:t>
      </w:r>
      <w:r w:rsidR="00AC28CC">
        <w:rPr>
          <w:rFonts w:ascii="Times New Roman" w:hAnsi="Times New Roman" w:cs="Times New Roman"/>
        </w:rPr>
        <w:t xml:space="preserve"> to this explanatory statement </w:t>
      </w:r>
      <w:r w:rsidR="00344C19">
        <w:rPr>
          <w:rFonts w:ascii="Times New Roman" w:hAnsi="Times New Roman" w:cs="Times New Roman"/>
        </w:rPr>
        <w:t xml:space="preserve">records </w:t>
      </w:r>
      <w:r w:rsidR="00AC28CC">
        <w:rPr>
          <w:rFonts w:ascii="Times New Roman" w:hAnsi="Times New Roman" w:cs="Times New Roman"/>
        </w:rPr>
        <w:t xml:space="preserve">the rate per kilometre specified by the Minister for </w:t>
      </w:r>
      <w:r w:rsidR="00AC28CC" w:rsidRPr="00985E88">
        <w:rPr>
          <w:rFonts w:ascii="Times New Roman" w:hAnsi="Times New Roman" w:cs="Times New Roman"/>
        </w:rPr>
        <w:t xml:space="preserve">the purposes of </w:t>
      </w:r>
      <w:r w:rsidR="00AC28CC">
        <w:rPr>
          <w:rFonts w:ascii="Times New Roman" w:hAnsi="Times New Roman" w:cs="Times New Roman"/>
        </w:rPr>
        <w:t xml:space="preserve">the </w:t>
      </w:r>
      <w:r w:rsidR="00AC28CC" w:rsidRPr="00BD60CB">
        <w:rPr>
          <w:rFonts w:ascii="Times New Roman" w:hAnsi="Times New Roman" w:cs="Times New Roman"/>
        </w:rPr>
        <w:t>Act</w:t>
      </w:r>
      <w:r w:rsidR="00AC28CC">
        <w:rPr>
          <w:rFonts w:ascii="Times New Roman" w:hAnsi="Times New Roman" w:cs="Times New Roman"/>
        </w:rPr>
        <w:t xml:space="preserve"> in the periods prior to the commencement of this instrument.</w:t>
      </w:r>
      <w:r>
        <w:rPr>
          <w:rFonts w:ascii="Times New Roman" w:hAnsi="Times New Roman" w:cs="Times New Roman"/>
        </w:rPr>
        <w:t xml:space="preserve"> </w:t>
      </w:r>
      <w:r w:rsidR="002A6E38">
        <w:rPr>
          <w:rFonts w:ascii="Times New Roman" w:hAnsi="Times New Roman" w:cs="Times New Roman"/>
        </w:rPr>
        <w:t xml:space="preserve">Attachment </w:t>
      </w:r>
      <w:r w:rsidR="006029D9">
        <w:rPr>
          <w:rFonts w:ascii="Times New Roman" w:hAnsi="Times New Roman" w:cs="Times New Roman"/>
        </w:rPr>
        <w:t>B</w:t>
      </w:r>
      <w:r w:rsidRPr="00013A66">
        <w:rPr>
          <w:rFonts w:ascii="Times New Roman" w:hAnsi="Times New Roman" w:cs="Times New Roman"/>
        </w:rPr>
        <w:t xml:space="preserve"> does not form part of</w:t>
      </w:r>
      <w:r>
        <w:rPr>
          <w:rFonts w:ascii="Times New Roman" w:hAnsi="Times New Roman" w:cs="Times New Roman"/>
        </w:rPr>
        <w:t xml:space="preserve"> the specifications made by the </w:t>
      </w:r>
      <w:r w:rsidRPr="00013A66">
        <w:rPr>
          <w:rFonts w:ascii="Times New Roman" w:hAnsi="Times New Roman" w:cs="Times New Roman"/>
        </w:rPr>
        <w:t>instrument.</w:t>
      </w:r>
    </w:p>
    <w:p w14:paraId="7AC9CDB0" w14:textId="607FBC1B" w:rsidR="00477352" w:rsidRPr="005B5B3A" w:rsidRDefault="00CB6AA4" w:rsidP="0025133B">
      <w:pPr>
        <w:spacing w:line="240" w:lineRule="auto"/>
        <w:rPr>
          <w:rFonts w:ascii="Times New Roman" w:hAnsi="Times New Roman" w:cs="Times New Roman"/>
          <w:sz w:val="24"/>
          <w:szCs w:val="24"/>
        </w:rPr>
      </w:pPr>
      <w:r w:rsidRPr="00CB6AA4">
        <w:rPr>
          <w:rFonts w:ascii="Times New Roman" w:hAnsi="Times New Roman" w:cs="Times New Roman"/>
          <w:b/>
          <w:sz w:val="24"/>
          <w:szCs w:val="24"/>
        </w:rPr>
        <w:t>CONSULTATION</w:t>
      </w:r>
    </w:p>
    <w:p w14:paraId="49CDF76F" w14:textId="7FA3EF7A" w:rsidR="00BB254A" w:rsidRPr="0086026F" w:rsidRDefault="00BE44AE" w:rsidP="0086026F">
      <w:pPr>
        <w:spacing w:line="240" w:lineRule="auto"/>
        <w:rPr>
          <w:rFonts w:ascii="Times New Roman" w:hAnsi="Times New Roman" w:cs="Times New Roman"/>
        </w:rPr>
      </w:pPr>
      <w:r w:rsidRPr="00AC28CC">
        <w:rPr>
          <w:rFonts w:ascii="Times New Roman" w:hAnsi="Times New Roman" w:cs="Times New Roman"/>
        </w:rPr>
        <w:t xml:space="preserve">The </w:t>
      </w:r>
      <w:r w:rsidR="000D222A">
        <w:rPr>
          <w:rFonts w:ascii="Times New Roman" w:hAnsi="Times New Roman" w:cs="Times New Roman"/>
        </w:rPr>
        <w:t xml:space="preserve">Attorney-General’s Department </w:t>
      </w:r>
      <w:r w:rsidR="00C30CA8" w:rsidRPr="00AC28CC">
        <w:rPr>
          <w:rFonts w:ascii="Times New Roman" w:hAnsi="Times New Roman" w:cs="Times New Roman"/>
        </w:rPr>
        <w:t>consulted the Maritime Union of Australia</w:t>
      </w:r>
      <w:r w:rsidR="00C30CA8">
        <w:rPr>
          <w:rFonts w:ascii="Times New Roman" w:hAnsi="Times New Roman" w:cs="Times New Roman"/>
        </w:rPr>
        <w:t xml:space="preserve"> (MUA)</w:t>
      </w:r>
      <w:r w:rsidR="00C30CA8" w:rsidRPr="00AC28CC">
        <w:rPr>
          <w:rFonts w:ascii="Times New Roman" w:hAnsi="Times New Roman" w:cs="Times New Roman"/>
        </w:rPr>
        <w:t>, Maritime Industry Australia Limited</w:t>
      </w:r>
      <w:r w:rsidR="00C30CA8">
        <w:rPr>
          <w:rFonts w:ascii="Times New Roman" w:hAnsi="Times New Roman" w:cs="Times New Roman"/>
        </w:rPr>
        <w:t xml:space="preserve"> (MIAL)</w:t>
      </w:r>
      <w:r w:rsidR="00C30CA8" w:rsidRPr="00AC28CC">
        <w:rPr>
          <w:rFonts w:ascii="Times New Roman" w:hAnsi="Times New Roman" w:cs="Times New Roman"/>
        </w:rPr>
        <w:t>, the Australian Maritime Officer</w:t>
      </w:r>
      <w:r w:rsidR="00C30CA8">
        <w:rPr>
          <w:rFonts w:ascii="Times New Roman" w:hAnsi="Times New Roman" w:cs="Times New Roman"/>
        </w:rPr>
        <w:t>s</w:t>
      </w:r>
      <w:r w:rsidR="00C30CA8" w:rsidRPr="00AC28CC">
        <w:rPr>
          <w:rFonts w:ascii="Times New Roman" w:hAnsi="Times New Roman" w:cs="Times New Roman"/>
        </w:rPr>
        <w:t xml:space="preserve"> Union</w:t>
      </w:r>
      <w:r w:rsidR="00C30CA8">
        <w:rPr>
          <w:rFonts w:ascii="Times New Roman" w:hAnsi="Times New Roman" w:cs="Times New Roman"/>
        </w:rPr>
        <w:t xml:space="preserve"> (AMOU)</w:t>
      </w:r>
      <w:r w:rsidR="00C30CA8" w:rsidRPr="00AC28CC">
        <w:rPr>
          <w:rFonts w:ascii="Times New Roman" w:hAnsi="Times New Roman" w:cs="Times New Roman"/>
        </w:rPr>
        <w:t xml:space="preserve">, the Australian Institute of Marine </w:t>
      </w:r>
      <w:r w:rsidR="00C30CA8">
        <w:rPr>
          <w:rFonts w:ascii="Times New Roman" w:hAnsi="Times New Roman" w:cs="Times New Roman"/>
        </w:rPr>
        <w:t xml:space="preserve">and </w:t>
      </w:r>
      <w:r w:rsidR="00C30CA8" w:rsidRPr="00AC28CC">
        <w:rPr>
          <w:rFonts w:ascii="Times New Roman" w:hAnsi="Times New Roman" w:cs="Times New Roman"/>
        </w:rPr>
        <w:t>P</w:t>
      </w:r>
      <w:r w:rsidR="00C30CA8">
        <w:rPr>
          <w:rFonts w:ascii="Times New Roman" w:hAnsi="Times New Roman" w:cs="Times New Roman"/>
        </w:rPr>
        <w:t xml:space="preserve">ower </w:t>
      </w:r>
      <w:r w:rsidR="00C30CA8" w:rsidRPr="00AC28CC">
        <w:rPr>
          <w:rFonts w:ascii="Times New Roman" w:hAnsi="Times New Roman" w:cs="Times New Roman"/>
        </w:rPr>
        <w:t>Engineers</w:t>
      </w:r>
      <w:r w:rsidR="00C30CA8">
        <w:rPr>
          <w:rFonts w:ascii="Times New Roman" w:hAnsi="Times New Roman" w:cs="Times New Roman"/>
        </w:rPr>
        <w:t xml:space="preserve"> (AIMPE)</w:t>
      </w:r>
      <w:r w:rsidR="00C30CA8" w:rsidRPr="00AC28CC">
        <w:rPr>
          <w:rFonts w:ascii="Times New Roman" w:hAnsi="Times New Roman" w:cs="Times New Roman"/>
        </w:rPr>
        <w:t xml:space="preserve">, the Australian Mines and </w:t>
      </w:r>
      <w:r w:rsidR="00C30CA8" w:rsidRPr="009925DD">
        <w:rPr>
          <w:rFonts w:ascii="Times New Roman" w:hAnsi="Times New Roman" w:cs="Times New Roman"/>
        </w:rPr>
        <w:t>Metals</w:t>
      </w:r>
      <w:r w:rsidR="00C30CA8" w:rsidRPr="00AC28CC">
        <w:rPr>
          <w:rFonts w:ascii="Times New Roman" w:hAnsi="Times New Roman" w:cs="Times New Roman"/>
        </w:rPr>
        <w:t xml:space="preserve"> Association</w:t>
      </w:r>
      <w:r w:rsidR="00C30CA8">
        <w:rPr>
          <w:rFonts w:ascii="Times New Roman" w:hAnsi="Times New Roman" w:cs="Times New Roman"/>
        </w:rPr>
        <w:t xml:space="preserve"> (AMMA)</w:t>
      </w:r>
      <w:r w:rsidR="00C30CA8" w:rsidRPr="00AC28CC">
        <w:rPr>
          <w:rFonts w:ascii="Times New Roman" w:hAnsi="Times New Roman" w:cs="Times New Roman"/>
        </w:rPr>
        <w:t>, the Australian Council of Trade Unions</w:t>
      </w:r>
      <w:r w:rsidR="00C30CA8">
        <w:rPr>
          <w:rFonts w:ascii="Times New Roman" w:hAnsi="Times New Roman" w:cs="Times New Roman"/>
        </w:rPr>
        <w:t xml:space="preserve"> (ACTU)</w:t>
      </w:r>
      <w:r w:rsidR="00C30CA8" w:rsidRPr="00AC28CC">
        <w:rPr>
          <w:rFonts w:ascii="Times New Roman" w:hAnsi="Times New Roman" w:cs="Times New Roman"/>
        </w:rPr>
        <w:t xml:space="preserve"> and the </w:t>
      </w:r>
      <w:r w:rsidR="00C30CA8">
        <w:rPr>
          <w:rFonts w:ascii="Times New Roman" w:hAnsi="Times New Roman" w:cs="Times New Roman"/>
        </w:rPr>
        <w:t>Seafarers, Safety Rehabilitation and Compensation Authority (Seacare Authority)</w:t>
      </w:r>
      <w:r w:rsidR="00C30CA8" w:rsidRPr="00AC28CC">
        <w:rPr>
          <w:rFonts w:ascii="Times New Roman" w:hAnsi="Times New Roman" w:cs="Times New Roman"/>
        </w:rPr>
        <w:t xml:space="preserve"> </w:t>
      </w:r>
      <w:r w:rsidR="00C30CA8">
        <w:rPr>
          <w:rFonts w:ascii="Times New Roman" w:hAnsi="Times New Roman" w:cs="Times New Roman"/>
        </w:rPr>
        <w:t>in</w:t>
      </w:r>
      <w:r w:rsidR="00C30CA8" w:rsidRPr="00AC28CC">
        <w:rPr>
          <w:rFonts w:ascii="Times New Roman" w:hAnsi="Times New Roman" w:cs="Times New Roman"/>
        </w:rPr>
        <w:t xml:space="preserve"> the development of this instrument. </w:t>
      </w:r>
      <w:r w:rsidR="00C30CA8" w:rsidRPr="00A23506">
        <w:rPr>
          <w:rFonts w:ascii="Times New Roman" w:hAnsi="Times New Roman" w:cs="Times New Roman"/>
        </w:rPr>
        <w:t xml:space="preserve">These stakeholders were invited to provide written feedback or comments on the specified rate. </w:t>
      </w:r>
      <w:r w:rsidR="00C30CA8" w:rsidRPr="007E2303">
        <w:rPr>
          <w:rFonts w:ascii="Times New Roman" w:hAnsi="Times New Roman" w:cs="Times New Roman"/>
        </w:rPr>
        <w:t>AIMPE and the members of the Seacare Authority who responded did not raise any objections to this instrument. MIAL supports aligning the entitlements for seafarers with those received by the rest of the Australian community</w:t>
      </w:r>
      <w:r w:rsidR="00C30CA8">
        <w:rPr>
          <w:rFonts w:ascii="Times New Roman" w:hAnsi="Times New Roman" w:cs="Times New Roman"/>
        </w:rPr>
        <w:t>, however opposes an increase which is independent of holistic Seacare scheme reform.</w:t>
      </w:r>
    </w:p>
    <w:p w14:paraId="2496D800" w14:textId="65BE1F91" w:rsidR="00300378" w:rsidRPr="00BB254A" w:rsidRDefault="00CB6AA4" w:rsidP="009A1F57">
      <w:pPr>
        <w:spacing w:after="220" w:line="240" w:lineRule="auto"/>
        <w:rPr>
          <w:rFonts w:ascii="Times New Roman" w:eastAsia="Calibri" w:hAnsi="Times New Roman" w:cs="Times New Roman"/>
          <w:b/>
          <w:sz w:val="24"/>
          <w:szCs w:val="24"/>
        </w:rPr>
      </w:pPr>
      <w:r w:rsidRPr="00CB6AA4">
        <w:rPr>
          <w:rFonts w:ascii="Times New Roman" w:eastAsia="Calibri" w:hAnsi="Times New Roman" w:cs="Times New Roman"/>
          <w:b/>
          <w:sz w:val="24"/>
          <w:szCs w:val="24"/>
        </w:rPr>
        <w:t>REGULATION IMPACT STATEMENT</w:t>
      </w:r>
    </w:p>
    <w:p w14:paraId="49E9512A" w14:textId="77777777" w:rsidR="000023B3" w:rsidRPr="001C7725" w:rsidRDefault="000023B3" w:rsidP="0013445B">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The Office of Best Practice Regulation </w:t>
      </w:r>
      <w:r w:rsidR="0013445B" w:rsidRPr="001C7725">
        <w:rPr>
          <w:rFonts w:ascii="Times New Roman" w:hAnsi="Times New Roman" w:cs="Times New Roman"/>
          <w:lang w:eastAsia="en-AU"/>
        </w:rPr>
        <w:t xml:space="preserve">was consulted regarding this </w:t>
      </w:r>
      <w:r w:rsidR="00344C19">
        <w:rPr>
          <w:rFonts w:ascii="Times New Roman" w:hAnsi="Times New Roman" w:cs="Times New Roman"/>
          <w:lang w:eastAsia="en-AU"/>
        </w:rPr>
        <w:t>instrument</w:t>
      </w:r>
      <w:r w:rsidR="00344C19" w:rsidRPr="001C7725">
        <w:rPr>
          <w:rFonts w:ascii="Times New Roman" w:hAnsi="Times New Roman" w:cs="Times New Roman"/>
          <w:lang w:eastAsia="en-AU"/>
        </w:rPr>
        <w:t xml:space="preserve"> </w:t>
      </w:r>
      <w:r w:rsidR="0013445B" w:rsidRPr="001C7725">
        <w:rPr>
          <w:rFonts w:ascii="Times New Roman" w:hAnsi="Times New Roman" w:cs="Times New Roman"/>
          <w:lang w:eastAsia="en-AU"/>
        </w:rPr>
        <w:t xml:space="preserve">and indicated that a </w:t>
      </w:r>
      <w:r w:rsidR="00344C19">
        <w:rPr>
          <w:rFonts w:ascii="Times New Roman" w:hAnsi="Times New Roman" w:cs="Times New Roman"/>
          <w:lang w:eastAsia="en-AU"/>
        </w:rPr>
        <w:t>Regulation</w:t>
      </w:r>
      <w:r w:rsidR="00344C19" w:rsidRPr="001C7725">
        <w:rPr>
          <w:rFonts w:ascii="Times New Roman" w:hAnsi="Times New Roman" w:cs="Times New Roman"/>
          <w:lang w:eastAsia="en-AU"/>
        </w:rPr>
        <w:t xml:space="preserve"> </w:t>
      </w:r>
      <w:r w:rsidR="0013445B" w:rsidRPr="001C7725">
        <w:rPr>
          <w:rFonts w:ascii="Times New Roman" w:hAnsi="Times New Roman" w:cs="Times New Roman"/>
          <w:lang w:eastAsia="en-AU"/>
        </w:rPr>
        <w:t xml:space="preserve">Impact Statement was not </w:t>
      </w:r>
      <w:r w:rsidR="0013445B" w:rsidRPr="001C7725">
        <w:rPr>
          <w:rFonts w:ascii="Times New Roman" w:hAnsi="Times New Roman" w:cs="Times New Roman"/>
          <w:color w:val="000000" w:themeColor="text1"/>
          <w:lang w:eastAsia="en-AU"/>
        </w:rPr>
        <w:t>required (</w:t>
      </w:r>
      <w:r w:rsidR="0013445B" w:rsidRPr="00AC28CC">
        <w:rPr>
          <w:rFonts w:ascii="Times New Roman" w:hAnsi="Times New Roman" w:cs="Times New Roman"/>
          <w:color w:val="000000" w:themeColor="text1"/>
          <w:lang w:eastAsia="en-AU"/>
        </w:rPr>
        <w:t xml:space="preserve">OBPR ID: </w:t>
      </w:r>
      <w:r w:rsidR="00154352" w:rsidRPr="00AC28CC">
        <w:rPr>
          <w:rFonts w:ascii="Times New Roman" w:hAnsi="Times New Roman" w:cs="Times New Roman"/>
          <w:sz w:val="24"/>
          <w:szCs w:val="24"/>
        </w:rPr>
        <w:t>23963</w:t>
      </w:r>
      <w:r w:rsidR="0013445B" w:rsidRPr="001C7725">
        <w:rPr>
          <w:rFonts w:ascii="Times New Roman" w:hAnsi="Times New Roman" w:cs="Times New Roman"/>
          <w:color w:val="000000" w:themeColor="text1"/>
        </w:rPr>
        <w:t>)</w:t>
      </w:r>
      <w:r w:rsidR="0013445B" w:rsidRPr="001C7725">
        <w:rPr>
          <w:rFonts w:ascii="Times New Roman" w:hAnsi="Times New Roman" w:cs="Times New Roman"/>
          <w:color w:val="000000" w:themeColor="text1"/>
          <w:lang w:eastAsia="en-AU"/>
        </w:rPr>
        <w:t>.</w:t>
      </w:r>
    </w:p>
    <w:p w14:paraId="16DB97F2" w14:textId="77777777" w:rsidR="0013445B" w:rsidRPr="001C7725" w:rsidRDefault="000023B3" w:rsidP="0013445B">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This instrument is a legislative instrument for the purposes of the </w:t>
      </w:r>
      <w:r w:rsidRPr="001C7725">
        <w:rPr>
          <w:rFonts w:ascii="Times New Roman" w:eastAsia="Calibri" w:hAnsi="Times New Roman" w:cs="Times New Roman"/>
          <w:i/>
        </w:rPr>
        <w:t>Legislation Act 2003</w:t>
      </w:r>
      <w:r w:rsidRPr="001C7725">
        <w:rPr>
          <w:rFonts w:ascii="Times New Roman" w:eastAsia="Calibri" w:hAnsi="Times New Roman" w:cs="Times New Roman"/>
        </w:rPr>
        <w:t>.</w:t>
      </w:r>
    </w:p>
    <w:p w14:paraId="126950B6" w14:textId="03BD5D5C" w:rsidR="00BB254A" w:rsidRPr="0086026F" w:rsidRDefault="0013445B" w:rsidP="00BB254A">
      <w:pPr>
        <w:rPr>
          <w:rFonts w:ascii="Times New Roman" w:hAnsi="Times New Roman" w:cs="Times New Roman"/>
        </w:rPr>
      </w:pPr>
      <w:r w:rsidRPr="001C7725">
        <w:rPr>
          <w:rFonts w:ascii="Times New Roman" w:hAnsi="Times New Roman" w:cs="Times New Roman"/>
        </w:rPr>
        <w:t>Thi</w:t>
      </w:r>
      <w:r w:rsidR="00A05798" w:rsidRPr="001C7725">
        <w:rPr>
          <w:rFonts w:ascii="Times New Roman" w:hAnsi="Times New Roman" w:cs="Times New Roman"/>
        </w:rPr>
        <w:t xml:space="preserve">s instrument takes effect from </w:t>
      </w:r>
      <w:r w:rsidR="00681C69" w:rsidRPr="001C7725">
        <w:rPr>
          <w:rFonts w:ascii="Times New Roman" w:hAnsi="Times New Roman" w:cs="Times New Roman"/>
        </w:rPr>
        <w:t xml:space="preserve">the </w:t>
      </w:r>
      <w:r w:rsidR="001C7725" w:rsidRPr="001C7725">
        <w:rPr>
          <w:rFonts w:ascii="Times New Roman" w:hAnsi="Times New Roman" w:cs="Times New Roman"/>
        </w:rPr>
        <w:t>day after it is registered on the Federal Register of Legislation</w:t>
      </w:r>
      <w:r w:rsidR="00A05798" w:rsidRPr="001C7725">
        <w:rPr>
          <w:rFonts w:ascii="Times New Roman" w:hAnsi="Times New Roman" w:cs="Times New Roman"/>
        </w:rPr>
        <w:t>.</w:t>
      </w:r>
    </w:p>
    <w:p w14:paraId="4ACE6CBA" w14:textId="14EE3B65" w:rsidR="00BB254A" w:rsidRPr="00BB254A" w:rsidRDefault="00BB254A" w:rsidP="00BB254A">
      <w:pPr>
        <w:rPr>
          <w:rFonts w:ascii="Times New Roman" w:eastAsia="Times New Roman" w:hAnsi="Times New Roman" w:cs="Times New Roman"/>
          <w:sz w:val="24"/>
          <w:szCs w:val="24"/>
          <w:lang w:eastAsia="en-AU"/>
        </w:rPr>
      </w:pPr>
      <w:r w:rsidRPr="00CB6AA4">
        <w:rPr>
          <w:rFonts w:ascii="Times New Roman" w:hAnsi="Times New Roman" w:cs="Times New Roman"/>
          <w:sz w:val="24"/>
          <w:szCs w:val="24"/>
        </w:rPr>
        <w:t>S</w:t>
      </w:r>
      <w:r w:rsidRPr="00CB6AA4">
        <w:rPr>
          <w:rFonts w:ascii="Times New Roman" w:eastAsia="Times New Roman" w:hAnsi="Times New Roman" w:cs="Times New Roman"/>
          <w:b/>
          <w:bCs/>
          <w:sz w:val="24"/>
          <w:szCs w:val="24"/>
          <w:lang w:eastAsia="en-AU"/>
        </w:rPr>
        <w:t>TATEMENT OF COMPATIBILITY WITH HUMAN RIGHTS</w:t>
      </w:r>
    </w:p>
    <w:p w14:paraId="6C2E006C" w14:textId="77777777" w:rsidR="00BB254A" w:rsidRPr="00BB254A" w:rsidRDefault="00BB254A" w:rsidP="00BB254A">
      <w:pPr>
        <w:spacing w:after="220" w:line="240" w:lineRule="auto"/>
        <w:rPr>
          <w:rFonts w:ascii="Times New Roman" w:eastAsia="Times New Roman" w:hAnsi="Times New Roman" w:cs="Times New Roman"/>
          <w:i/>
          <w:lang w:eastAsia="en-AU"/>
        </w:rPr>
      </w:pPr>
      <w:r w:rsidRPr="00BB254A">
        <w:rPr>
          <w:rFonts w:ascii="Times New Roman" w:eastAsia="Times New Roman" w:hAnsi="Times New Roman" w:cs="Times New Roman"/>
          <w:i/>
          <w:iCs/>
          <w:lang w:eastAsia="en-AU"/>
        </w:rPr>
        <w:lastRenderedPageBreak/>
        <w:t>Prepared in accordance with Part 3 of the Human Rights (Parliamentary Scrutiny) Act 2011</w:t>
      </w:r>
    </w:p>
    <w:p w14:paraId="3BD31BCE" w14:textId="77777777" w:rsidR="00BB254A" w:rsidRPr="00C04ACC" w:rsidRDefault="00BB254A" w:rsidP="00BB254A">
      <w:pPr>
        <w:rPr>
          <w:rFonts w:ascii="Times New Roman" w:hAnsi="Times New Roman" w:cs="Times New Roman"/>
          <w:b/>
          <w:lang w:eastAsia="en-AU"/>
        </w:rPr>
      </w:pPr>
      <w:r>
        <w:rPr>
          <w:rFonts w:ascii="Times New Roman" w:hAnsi="Times New Roman" w:cs="Times New Roman"/>
          <w:b/>
        </w:rPr>
        <w:t xml:space="preserve">Seafarers </w:t>
      </w:r>
      <w:r w:rsidRPr="00C04ACC">
        <w:rPr>
          <w:rFonts w:ascii="Times New Roman" w:hAnsi="Times New Roman" w:cs="Times New Roman"/>
          <w:b/>
        </w:rPr>
        <w:t>Rehabilitation and Compensation (</w:t>
      </w:r>
      <w:r>
        <w:rPr>
          <w:rFonts w:ascii="Times New Roman" w:hAnsi="Times New Roman" w:cs="Times New Roman"/>
          <w:b/>
        </w:rPr>
        <w:t>Specified Rate per Kilometre</w:t>
      </w:r>
      <w:r w:rsidRPr="00C04ACC">
        <w:rPr>
          <w:rFonts w:ascii="Times New Roman" w:hAnsi="Times New Roman" w:cs="Times New Roman"/>
          <w:b/>
        </w:rPr>
        <w:t>)</w:t>
      </w:r>
      <w:r>
        <w:rPr>
          <w:rFonts w:ascii="Times New Roman" w:hAnsi="Times New Roman" w:cs="Times New Roman"/>
          <w:b/>
        </w:rPr>
        <w:t xml:space="preserve"> </w:t>
      </w:r>
      <w:r w:rsidRPr="00C04ACC">
        <w:rPr>
          <w:rFonts w:ascii="Times New Roman" w:hAnsi="Times New Roman" w:cs="Times New Roman"/>
          <w:b/>
        </w:rPr>
        <w:t>Instrument 201</w:t>
      </w:r>
      <w:r>
        <w:rPr>
          <w:rFonts w:ascii="Times New Roman" w:hAnsi="Times New Roman" w:cs="Times New Roman"/>
          <w:b/>
        </w:rPr>
        <w:t>9</w:t>
      </w:r>
    </w:p>
    <w:p w14:paraId="2CDE8F52" w14:textId="77777777" w:rsidR="00BB254A" w:rsidRPr="00135E16" w:rsidRDefault="00BB254A" w:rsidP="00BB254A">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 xml:space="preserve">This legislative instrument is compatible with the human rights and freedoms recognised or declared by the international instruments listed in section 3 of the </w:t>
      </w:r>
      <w:r w:rsidRPr="00C04ACC">
        <w:rPr>
          <w:rFonts w:ascii="Times New Roman" w:eastAsia="Times New Roman" w:hAnsi="Times New Roman" w:cs="Times New Roman"/>
          <w:i/>
          <w:iCs/>
          <w:lang w:eastAsia="en-AU"/>
        </w:rPr>
        <w:t>Human Rights (Parliamentary Scrutiny) Act 2011</w:t>
      </w:r>
      <w:r w:rsidRPr="00C04ACC">
        <w:rPr>
          <w:rFonts w:ascii="Times New Roman" w:eastAsia="Times New Roman" w:hAnsi="Times New Roman" w:cs="Times New Roman"/>
          <w:lang w:eastAsia="en-AU"/>
        </w:rPr>
        <w:t>.</w:t>
      </w:r>
    </w:p>
    <w:p w14:paraId="712CFC53" w14:textId="77777777" w:rsidR="00BB254A" w:rsidRPr="00C04ACC" w:rsidRDefault="00BB254A" w:rsidP="00BB254A">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Overview of the legislative instrument</w:t>
      </w:r>
    </w:p>
    <w:p w14:paraId="65D8FD8D" w14:textId="1ADA0F82" w:rsidR="00BB254A" w:rsidRPr="001B0635" w:rsidRDefault="00BB254A" w:rsidP="00BB254A">
      <w:pPr>
        <w:spacing w:line="240" w:lineRule="auto"/>
        <w:rPr>
          <w:rFonts w:ascii="Times New Roman" w:hAnsi="Times New Roman" w:cs="Times New Roman"/>
        </w:rPr>
      </w:pPr>
      <w:r w:rsidRPr="001B0635">
        <w:rPr>
          <w:rFonts w:ascii="Times New Roman" w:hAnsi="Times New Roman" w:cs="Times New Roman"/>
        </w:rPr>
        <w:t xml:space="preserve">The </w:t>
      </w:r>
      <w:r w:rsidRPr="001B0635">
        <w:rPr>
          <w:rFonts w:ascii="Times New Roman" w:hAnsi="Times New Roman" w:cs="Times New Roman"/>
          <w:i/>
        </w:rPr>
        <w:t xml:space="preserve">Seafarers Rehabilitation and Compensation Act 1992 </w:t>
      </w:r>
      <w:r w:rsidRPr="001B0635">
        <w:rPr>
          <w:rFonts w:ascii="Times New Roman" w:hAnsi="Times New Roman" w:cs="Times New Roman"/>
        </w:rPr>
        <w:t>(</w:t>
      </w:r>
      <w:r>
        <w:rPr>
          <w:rFonts w:ascii="Times New Roman" w:hAnsi="Times New Roman" w:cs="Times New Roman"/>
        </w:rPr>
        <w:t>the</w:t>
      </w:r>
      <w:r w:rsidRPr="001B0635">
        <w:rPr>
          <w:rFonts w:ascii="Times New Roman" w:hAnsi="Times New Roman" w:cs="Times New Roman"/>
        </w:rPr>
        <w:t xml:space="preserve"> Act) provides workers’ compensation and rehabilitation arrangements for </w:t>
      </w:r>
      <w:r>
        <w:rPr>
          <w:rFonts w:ascii="Times New Roman" w:hAnsi="Times New Roman" w:cs="Times New Roman"/>
        </w:rPr>
        <w:t xml:space="preserve">approximately 5000 </w:t>
      </w:r>
      <w:r w:rsidRPr="001B0635">
        <w:rPr>
          <w:rFonts w:ascii="Times New Roman" w:hAnsi="Times New Roman" w:cs="Times New Roman"/>
        </w:rPr>
        <w:t xml:space="preserve">seafarers </w:t>
      </w:r>
      <w:r>
        <w:rPr>
          <w:rFonts w:ascii="Times New Roman" w:hAnsi="Times New Roman" w:cs="Times New Roman"/>
        </w:rPr>
        <w:t xml:space="preserve">in </w:t>
      </w:r>
      <w:r w:rsidRPr="001B0635">
        <w:rPr>
          <w:rFonts w:ascii="Times New Roman" w:hAnsi="Times New Roman" w:cs="Times New Roman"/>
        </w:rPr>
        <w:t xml:space="preserve">the Australian maritime industry. Pursuant to the Act, the employers of such seafarers are responsible for determining liability and paying compensation entitlements in accordance with </w:t>
      </w:r>
      <w:r>
        <w:rPr>
          <w:rFonts w:ascii="Times New Roman" w:hAnsi="Times New Roman" w:cs="Times New Roman"/>
        </w:rPr>
        <w:t>the</w:t>
      </w:r>
      <w:r w:rsidRPr="001B0635">
        <w:rPr>
          <w:rFonts w:ascii="Times New Roman" w:hAnsi="Times New Roman" w:cs="Times New Roman"/>
        </w:rPr>
        <w:t xml:space="preserve"> Act.</w:t>
      </w:r>
    </w:p>
    <w:p w14:paraId="5083FEBC" w14:textId="77777777" w:rsidR="00BB254A" w:rsidRPr="001B0635" w:rsidRDefault="00BB254A" w:rsidP="00BB254A">
      <w:pPr>
        <w:spacing w:line="240" w:lineRule="auto"/>
        <w:rPr>
          <w:rFonts w:ascii="Times New Roman" w:hAnsi="Times New Roman" w:cs="Times New Roman"/>
        </w:rPr>
      </w:pPr>
      <w:r w:rsidRPr="001B0635">
        <w:rPr>
          <w:rFonts w:ascii="Times New Roman" w:hAnsi="Times New Roman" w:cs="Times New Roman"/>
        </w:rPr>
        <w:t xml:space="preserve">Pursuant to sections 28, 49, 50, 66 and 83A of the Act, an employer is liable </w:t>
      </w:r>
      <w:r w:rsidRPr="001B0635">
        <w:rPr>
          <w:rFonts w:ascii="Times New Roman" w:hAnsi="Times New Roman" w:cs="Times New Roman"/>
          <w:lang w:val="en"/>
        </w:rPr>
        <w:t xml:space="preserve">to pay an amount to an employee in respect of expenditure reasonably incurred by the employee in undertaking </w:t>
      </w:r>
      <w:r>
        <w:rPr>
          <w:rFonts w:ascii="Times New Roman" w:hAnsi="Times New Roman" w:cs="Times New Roman"/>
          <w:lang w:val="en"/>
        </w:rPr>
        <w:t xml:space="preserve">certain </w:t>
      </w:r>
      <w:r w:rsidRPr="001B0635">
        <w:rPr>
          <w:rFonts w:ascii="Times New Roman" w:hAnsi="Times New Roman" w:cs="Times New Roman"/>
          <w:lang w:val="en"/>
        </w:rPr>
        <w:t>journeys in accordance with those provisions.</w:t>
      </w:r>
    </w:p>
    <w:p w14:paraId="72D05D71" w14:textId="77777777" w:rsidR="00BB254A" w:rsidRPr="00C40C71" w:rsidRDefault="00BB254A" w:rsidP="00BB254A">
      <w:pPr>
        <w:spacing w:line="240" w:lineRule="auto"/>
        <w:rPr>
          <w:rFonts w:ascii="Times New Roman" w:hAnsi="Times New Roman" w:cs="Times New Roman"/>
          <w:color w:val="000000" w:themeColor="text1"/>
          <w:lang w:val="en"/>
        </w:rPr>
      </w:pPr>
      <w:r>
        <w:rPr>
          <w:rFonts w:ascii="Times New Roman" w:hAnsi="Times New Roman" w:cs="Times New Roman"/>
          <w:color w:val="000000" w:themeColor="text1"/>
          <w:lang w:val="en"/>
        </w:rPr>
        <w:t>Where</w:t>
      </w:r>
      <w:r w:rsidRPr="00C40C71">
        <w:rPr>
          <w:rFonts w:ascii="Times New Roman" w:hAnsi="Times New Roman" w:cs="Times New Roman"/>
          <w:color w:val="000000" w:themeColor="text1"/>
          <w:lang w:val="en"/>
        </w:rPr>
        <w:t xml:space="preserve"> </w:t>
      </w:r>
      <w:r>
        <w:rPr>
          <w:rFonts w:ascii="Times New Roman" w:hAnsi="Times New Roman" w:cs="Times New Roman"/>
          <w:color w:val="000000" w:themeColor="text1"/>
          <w:lang w:val="en"/>
        </w:rPr>
        <w:t>a</w:t>
      </w:r>
      <w:r w:rsidRPr="00C40C71">
        <w:rPr>
          <w:rFonts w:ascii="Times New Roman" w:hAnsi="Times New Roman" w:cs="Times New Roman"/>
          <w:color w:val="000000" w:themeColor="text1"/>
          <w:lang w:val="en"/>
        </w:rPr>
        <w:t xml:space="preserve"> journey </w:t>
      </w:r>
      <w:r>
        <w:rPr>
          <w:rFonts w:ascii="Times New Roman" w:hAnsi="Times New Roman" w:cs="Times New Roman"/>
          <w:color w:val="000000" w:themeColor="text1"/>
          <w:lang w:val="en"/>
        </w:rPr>
        <w:t xml:space="preserve">referred to in one of these sections is </w:t>
      </w:r>
      <w:r w:rsidRPr="00C40C71">
        <w:rPr>
          <w:rFonts w:ascii="Times New Roman" w:hAnsi="Times New Roman" w:cs="Times New Roman"/>
          <w:color w:val="000000" w:themeColor="text1"/>
          <w:lang w:val="en"/>
        </w:rPr>
        <w:t xml:space="preserve">made by means of private motor vehicle, </w:t>
      </w:r>
      <w:r>
        <w:rPr>
          <w:rFonts w:ascii="Times New Roman" w:hAnsi="Times New Roman" w:cs="Times New Roman"/>
          <w:color w:val="000000" w:themeColor="text1"/>
          <w:lang w:val="en"/>
        </w:rPr>
        <w:t xml:space="preserve">the amount that an employer is liable to pay in respect of the journey is determined using the formula: ‘Specified rate per kilometre x Number of kilometres travelled’. </w:t>
      </w:r>
    </w:p>
    <w:p w14:paraId="3E9DAE83" w14:textId="77777777" w:rsidR="00BB254A" w:rsidRPr="009409DC" w:rsidRDefault="00BB254A" w:rsidP="00BB254A">
      <w:pPr>
        <w:spacing w:line="240" w:lineRule="auto"/>
        <w:rPr>
          <w:rFonts w:ascii="Times New Roman" w:hAnsi="Times New Roman" w:cs="Times New Roman"/>
        </w:rPr>
      </w:pPr>
      <w:r w:rsidRPr="009409DC">
        <w:rPr>
          <w:rFonts w:ascii="Times New Roman" w:hAnsi="Times New Roman" w:cs="Times New Roman"/>
        </w:rPr>
        <w:t xml:space="preserve">For the purposes of </w:t>
      </w:r>
      <w:r>
        <w:rPr>
          <w:rFonts w:ascii="Times New Roman" w:hAnsi="Times New Roman" w:cs="Times New Roman"/>
        </w:rPr>
        <w:t>this formula</w:t>
      </w:r>
      <w:r w:rsidRPr="009409DC">
        <w:rPr>
          <w:rFonts w:ascii="Times New Roman" w:hAnsi="Times New Roman" w:cs="Times New Roman"/>
        </w:rPr>
        <w:t xml:space="preserve">, the </w:t>
      </w:r>
      <w:r w:rsidRPr="006D0834">
        <w:rPr>
          <w:rFonts w:ascii="Times New Roman" w:hAnsi="Times New Roman" w:cs="Times New Roman"/>
          <w:b/>
          <w:i/>
        </w:rPr>
        <w:t>specified rate per kilometre</w:t>
      </w:r>
      <w:r w:rsidRPr="009409DC">
        <w:rPr>
          <w:rFonts w:ascii="Times New Roman" w:hAnsi="Times New Roman" w:cs="Times New Roman"/>
          <w:i/>
        </w:rPr>
        <w:t xml:space="preserve"> </w:t>
      </w:r>
      <w:r w:rsidRPr="009409DC">
        <w:rPr>
          <w:rFonts w:ascii="Times New Roman" w:hAnsi="Times New Roman" w:cs="Times New Roman"/>
        </w:rPr>
        <w:t xml:space="preserve">means the rate per kilometre as the Minister specifies by legislative instrument. </w:t>
      </w:r>
    </w:p>
    <w:p w14:paraId="423CB82C" w14:textId="77777777" w:rsidR="00BB254A" w:rsidRPr="00AE344E" w:rsidRDefault="00BB254A" w:rsidP="00BB254A">
      <w:pPr>
        <w:spacing w:line="240" w:lineRule="auto"/>
        <w:rPr>
          <w:rFonts w:ascii="Times New Roman" w:hAnsi="Times New Roman" w:cs="Times New Roman"/>
        </w:rPr>
      </w:pPr>
      <w:r w:rsidRPr="009409DC">
        <w:rPr>
          <w:rFonts w:ascii="Times New Roman" w:hAnsi="Times New Roman" w:cs="Times New Roman"/>
        </w:rPr>
        <w:t>In this instrument, the Minister specifies that, for the purposes of</w:t>
      </w:r>
      <w:r w:rsidRPr="00344C19">
        <w:rPr>
          <w:rFonts w:ascii="Times New Roman" w:hAnsi="Times New Roman" w:cs="Times New Roman"/>
        </w:rPr>
        <w:t xml:space="preserve"> paragraphs 28(6A)(b), 49(6B)(b) and 50(2B)(b), and subsections 66(4B) and 83A(5), of the Act</w:t>
      </w:r>
      <w:r w:rsidRPr="00154352">
        <w:rPr>
          <w:rFonts w:ascii="Times New Roman" w:hAnsi="Times New Roman" w:cs="Times New Roman"/>
        </w:rPr>
        <w:t xml:space="preserve">, the </w:t>
      </w:r>
      <w:r w:rsidRPr="006D0834">
        <w:rPr>
          <w:rFonts w:ascii="Times New Roman" w:hAnsi="Times New Roman" w:cs="Times New Roman"/>
          <w:b/>
          <w:i/>
        </w:rPr>
        <w:t>specified rate per kilometre</w:t>
      </w:r>
      <w:r w:rsidRPr="00154352">
        <w:rPr>
          <w:rFonts w:ascii="Times New Roman" w:hAnsi="Times New Roman" w:cs="Times New Roman"/>
        </w:rPr>
        <w:t xml:space="preserve"> is </w:t>
      </w:r>
      <w:r w:rsidRPr="00AC28CC">
        <w:rPr>
          <w:rFonts w:ascii="Times New Roman" w:hAnsi="Times New Roman" w:cs="Times New Roman"/>
        </w:rPr>
        <w:t>$0.68.</w:t>
      </w:r>
    </w:p>
    <w:p w14:paraId="2E724EFF" w14:textId="77777777" w:rsidR="00BB254A" w:rsidRDefault="00BB254A" w:rsidP="00BB254A">
      <w:pPr>
        <w:spacing w:after="220" w:line="240" w:lineRule="auto"/>
        <w:rPr>
          <w:rFonts w:ascii="Times New Roman" w:hAnsi="Times New Roman" w:cs="Times New Roman"/>
        </w:rPr>
      </w:pPr>
      <w:r>
        <w:rPr>
          <w:rFonts w:ascii="Times New Roman" w:hAnsi="Times New Roman" w:cs="Times New Roman"/>
        </w:rPr>
        <w:t xml:space="preserve">This instrument also repeals the </w:t>
      </w:r>
      <w:r w:rsidRPr="0010447E">
        <w:rPr>
          <w:rFonts w:ascii="Times New Roman" w:hAnsi="Times New Roman" w:cs="Times New Roman"/>
          <w:i/>
        </w:rPr>
        <w:t xml:space="preserve">Seafarers Rehabilitation and Compensation (Specified Rate per Kilometre) Notice 2008 (1) </w:t>
      </w:r>
      <w:r>
        <w:rPr>
          <w:rFonts w:ascii="Times New Roman" w:hAnsi="Times New Roman" w:cs="Times New Roman"/>
          <w:i/>
        </w:rPr>
        <w:t xml:space="preserve"> </w:t>
      </w:r>
      <w:r w:rsidRPr="0010447E">
        <w:rPr>
          <w:rFonts w:ascii="Times New Roman" w:hAnsi="Times New Roman" w:cs="Times New Roman"/>
          <w:i/>
        </w:rPr>
        <w:t>(F2008L02333)</w:t>
      </w:r>
      <w:r>
        <w:rPr>
          <w:rFonts w:ascii="Times New Roman" w:hAnsi="Times New Roman" w:cs="Times New Roman"/>
        </w:rPr>
        <w:t xml:space="preserve">, which will sunset on 1 October 2019 by operation of the </w:t>
      </w:r>
      <w:r>
        <w:rPr>
          <w:rFonts w:ascii="Times New Roman" w:hAnsi="Times New Roman" w:cs="Times New Roman"/>
          <w:i/>
        </w:rPr>
        <w:t>Legislation Act 2003</w:t>
      </w:r>
      <w:r>
        <w:rPr>
          <w:rFonts w:ascii="Times New Roman" w:hAnsi="Times New Roman" w:cs="Times New Roman"/>
        </w:rPr>
        <w:t>, to avoid the possibility of concurrent operation of the two instruments.</w:t>
      </w:r>
    </w:p>
    <w:p w14:paraId="724D4C66" w14:textId="77777777" w:rsidR="00BB254A" w:rsidRPr="00C04ACC" w:rsidRDefault="00BB254A" w:rsidP="00BB254A">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1A78D500" w14:textId="77777777" w:rsidR="00BB254A" w:rsidRPr="009925DD" w:rsidRDefault="00BB254A" w:rsidP="00BB254A">
      <w:pPr>
        <w:spacing w:after="220" w:line="240" w:lineRule="auto"/>
        <w:outlineLvl w:val="2"/>
        <w:rPr>
          <w:rFonts w:ascii="Times New Roman" w:eastAsia="Times New Roman" w:hAnsi="Times New Roman" w:cs="Times New Roman"/>
          <w:bCs/>
          <w:highlight w:val="yellow"/>
          <w:lang w:eastAsia="en-AU"/>
        </w:rPr>
      </w:pPr>
      <w:r w:rsidRPr="00C04ACC">
        <w:rPr>
          <w:rFonts w:ascii="Times New Roman" w:eastAsia="Times New Roman" w:hAnsi="Times New Roman" w:cs="Times New Roman"/>
          <w:bCs/>
          <w:lang w:eastAsia="en-AU"/>
        </w:rPr>
        <w:t xml:space="preserve">Article 9 of the </w:t>
      </w:r>
      <w:r w:rsidRPr="00C04ACC">
        <w:rPr>
          <w:rFonts w:ascii="Times New Roman" w:eastAsia="Times New Roman" w:hAnsi="Times New Roman" w:cs="Times New Roman"/>
          <w:bCs/>
          <w:i/>
          <w:lang w:eastAsia="en-AU"/>
        </w:rPr>
        <w:t>International Covenant on Economic, Social and Cultural Rights</w:t>
      </w:r>
      <w:r w:rsidRPr="00C04ACC">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C04ACC">
        <w:rPr>
          <w:rFonts w:ascii="Times New Roman" w:eastAsia="Times New Roman" w:hAnsi="Times New Roman" w:cs="Times New Roman"/>
          <w:bCs/>
          <w:vertAlign w:val="superscript"/>
          <w:lang w:eastAsia="en-AU"/>
        </w:rPr>
        <w:footnoteReference w:customMarkFollows="1" w:id="1"/>
        <w:t>1</w:t>
      </w:r>
      <w:r w:rsidRPr="00C04ACC">
        <w:rPr>
          <w:rFonts w:ascii="Times New Roman" w:eastAsia="Times New Roman" w:hAnsi="Times New Roman" w:cs="Times New Roman"/>
          <w:bCs/>
          <w:lang w:eastAsia="en-AU"/>
        </w:rPr>
        <w:t xml:space="preserve"> Workers’ compensation is analogous to social insurance in that it provides payment of wages and medical costs to employees for injuries occurring as a result of their employment.</w:t>
      </w:r>
    </w:p>
    <w:p w14:paraId="3C96452A" w14:textId="1F98A5DF" w:rsidR="00BB254A" w:rsidRPr="00AE344E" w:rsidRDefault="00BB254A" w:rsidP="00BB254A">
      <w:pPr>
        <w:spacing w:after="220" w:line="240" w:lineRule="auto"/>
        <w:rPr>
          <w:rFonts w:ascii="Times New Roman" w:hAnsi="Times New Roman" w:cs="Times New Roman"/>
        </w:rPr>
      </w:pPr>
      <w:r w:rsidRPr="00B41BB4">
        <w:rPr>
          <w:rFonts w:ascii="Times New Roman" w:hAnsi="Times New Roman" w:cs="Times New Roman"/>
        </w:rPr>
        <w:t xml:space="preserve">The Act </w:t>
      </w:r>
      <w:r>
        <w:rPr>
          <w:rFonts w:ascii="Times New Roman" w:hAnsi="Times New Roman" w:cs="Times New Roman"/>
        </w:rPr>
        <w:t xml:space="preserve">relevantly </w:t>
      </w:r>
      <w:r w:rsidRPr="00B41BB4">
        <w:rPr>
          <w:rFonts w:ascii="Times New Roman" w:hAnsi="Times New Roman" w:cs="Times New Roman"/>
        </w:rPr>
        <w:t xml:space="preserve">provides </w:t>
      </w:r>
      <w:r w:rsidR="00A3567F">
        <w:rPr>
          <w:rFonts w:ascii="Times New Roman" w:hAnsi="Times New Roman" w:cs="Times New Roman"/>
        </w:rPr>
        <w:t xml:space="preserve">that </w:t>
      </w:r>
      <w:r>
        <w:rPr>
          <w:rFonts w:ascii="Times New Roman" w:hAnsi="Times New Roman" w:cs="Times New Roman"/>
        </w:rPr>
        <w:t xml:space="preserve">compensation in </w:t>
      </w:r>
      <w:r w:rsidRPr="00985E88">
        <w:rPr>
          <w:rFonts w:ascii="Times New Roman" w:hAnsi="Times New Roman" w:cs="Times New Roman"/>
          <w:lang w:val="en"/>
        </w:rPr>
        <w:t xml:space="preserve">respect </w:t>
      </w:r>
      <w:r>
        <w:rPr>
          <w:rFonts w:ascii="Times New Roman" w:hAnsi="Times New Roman" w:cs="Times New Roman"/>
          <w:bCs/>
        </w:rPr>
        <w:t xml:space="preserve">of journeys undertaken for the purpose of obtaining medical treatment, undertaking a rehabilitation program or </w:t>
      </w:r>
      <w:r w:rsidR="00A3567F">
        <w:rPr>
          <w:rFonts w:ascii="Times New Roman" w:hAnsi="Times New Roman" w:cs="Times New Roman"/>
          <w:bCs/>
        </w:rPr>
        <w:t>undergoing</w:t>
      </w:r>
      <w:r>
        <w:rPr>
          <w:rFonts w:ascii="Times New Roman" w:hAnsi="Times New Roman" w:cs="Times New Roman"/>
          <w:bCs/>
        </w:rPr>
        <w:t xml:space="preserve"> an examination cannot be calculated without an instrument </w:t>
      </w:r>
      <w:r>
        <w:rPr>
          <w:rFonts w:ascii="Times New Roman" w:hAnsi="Times New Roman" w:cs="Times New Roman"/>
          <w:bCs/>
        </w:rPr>
        <w:lastRenderedPageBreak/>
        <w:t xml:space="preserve">which sets out the ‘specified rate per kilometre’. </w:t>
      </w:r>
      <w:r w:rsidRPr="007B579E">
        <w:rPr>
          <w:rFonts w:ascii="Times New Roman" w:hAnsi="Times New Roman" w:cs="Times New Roman"/>
        </w:rPr>
        <w:t>This</w:t>
      </w:r>
      <w:r>
        <w:rPr>
          <w:rFonts w:ascii="Times New Roman" w:hAnsi="Times New Roman" w:cs="Times New Roman"/>
        </w:rPr>
        <w:t xml:space="preserve"> instrument</w:t>
      </w:r>
      <w:r w:rsidRPr="005B0F70">
        <w:rPr>
          <w:rFonts w:ascii="Times New Roman" w:hAnsi="Times New Roman" w:cs="Times New Roman"/>
        </w:rPr>
        <w:t xml:space="preserve"> </w:t>
      </w:r>
      <w:r w:rsidRPr="00B41BB4">
        <w:rPr>
          <w:rFonts w:ascii="Times New Roman" w:hAnsi="Times New Roman" w:cs="Times New Roman"/>
        </w:rPr>
        <w:t xml:space="preserve">positively engages the right to social security by </w:t>
      </w:r>
      <w:r>
        <w:rPr>
          <w:rFonts w:ascii="Times New Roman" w:hAnsi="Times New Roman" w:cs="Times New Roman"/>
        </w:rPr>
        <w:t>enabling employees to be paid an appropriate amount of compensation in respect of the cost incurred by the employee</w:t>
      </w:r>
      <w:r w:rsidRPr="009454DF">
        <w:rPr>
          <w:rFonts w:ascii="Times New Roman" w:hAnsi="Times New Roman" w:cs="Times New Roman"/>
        </w:rPr>
        <w:t xml:space="preserve"> </w:t>
      </w:r>
      <w:r>
        <w:rPr>
          <w:rFonts w:ascii="Times New Roman" w:hAnsi="Times New Roman" w:cs="Times New Roman"/>
        </w:rPr>
        <w:t>in</w:t>
      </w:r>
      <w:r w:rsidRPr="00374289">
        <w:rPr>
          <w:rFonts w:ascii="Times New Roman" w:hAnsi="Times New Roman" w:cs="Times New Roman"/>
        </w:rPr>
        <w:t xml:space="preserve"> </w:t>
      </w:r>
      <w:r w:rsidRPr="009454DF">
        <w:rPr>
          <w:rFonts w:ascii="Times New Roman" w:hAnsi="Times New Roman" w:cs="Times New Roman"/>
        </w:rPr>
        <w:t xml:space="preserve">making a </w:t>
      </w:r>
      <w:r>
        <w:rPr>
          <w:rFonts w:ascii="Times New Roman" w:hAnsi="Times New Roman" w:cs="Times New Roman"/>
        </w:rPr>
        <w:t xml:space="preserve">prescribed </w:t>
      </w:r>
      <w:r w:rsidRPr="009454DF">
        <w:rPr>
          <w:rFonts w:ascii="Times New Roman" w:hAnsi="Times New Roman" w:cs="Times New Roman"/>
        </w:rPr>
        <w:t xml:space="preserve">journey </w:t>
      </w:r>
      <w:r>
        <w:rPr>
          <w:rFonts w:ascii="Times New Roman" w:hAnsi="Times New Roman" w:cs="Times New Roman"/>
        </w:rPr>
        <w:t>under the Act.</w:t>
      </w:r>
    </w:p>
    <w:p w14:paraId="6BE81DAB" w14:textId="77777777" w:rsidR="00BB254A" w:rsidRPr="00C04ACC" w:rsidRDefault="00BB254A" w:rsidP="00BB254A">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42C718EA" w14:textId="77777777" w:rsidR="00BB254A" w:rsidRPr="003F0C25" w:rsidRDefault="00BB254A" w:rsidP="00BB254A">
      <w:pPr>
        <w:spacing w:after="220" w:line="240" w:lineRule="auto"/>
        <w:rPr>
          <w:rFonts w:ascii="Times New Roman" w:hAnsi="Times New Roman" w:cs="Times New Roman"/>
        </w:rPr>
      </w:pPr>
      <w:r w:rsidRPr="003F0C25">
        <w:rPr>
          <w:rFonts w:ascii="Times New Roman" w:hAnsi="Times New Roman" w:cs="Times New Roman"/>
        </w:rPr>
        <w:t xml:space="preserve">This legislative instrument </w:t>
      </w:r>
      <w:r>
        <w:rPr>
          <w:rFonts w:ascii="Times New Roman" w:hAnsi="Times New Roman" w:cs="Times New Roman"/>
        </w:rPr>
        <w:t xml:space="preserve">promotes human rights by enabling compensation to be payable, and setting the rate at which that compensation is payable, in respect of compensable journeys prescribed by the Act. </w:t>
      </w:r>
    </w:p>
    <w:p w14:paraId="5BEB3CD7" w14:textId="77777777" w:rsidR="00027C49" w:rsidRDefault="00027C49" w:rsidP="00027C49">
      <w:pPr>
        <w:spacing w:after="220" w:line="240" w:lineRule="auto"/>
        <w:contextualSpacing/>
        <w:jc w:val="center"/>
        <w:rPr>
          <w:rFonts w:ascii="Times New Roman" w:eastAsia="Times New Roman" w:hAnsi="Times New Roman" w:cs="Times New Roman"/>
          <w:b/>
          <w:bCs/>
          <w:lang w:eastAsia="en-AU"/>
        </w:rPr>
      </w:pPr>
    </w:p>
    <w:p w14:paraId="2EA27162" w14:textId="7F2224D0" w:rsidR="00027C49" w:rsidRPr="00C04ACC" w:rsidRDefault="00027C49" w:rsidP="00027C49">
      <w:pPr>
        <w:spacing w:after="220" w:line="240" w:lineRule="auto"/>
        <w:contextualSpacing/>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 xml:space="preserve">The Hon </w:t>
      </w:r>
      <w:r>
        <w:rPr>
          <w:rFonts w:ascii="Times New Roman" w:eastAsia="Times New Roman" w:hAnsi="Times New Roman" w:cs="Times New Roman"/>
          <w:b/>
          <w:bCs/>
          <w:lang w:eastAsia="en-AU"/>
        </w:rPr>
        <w:t>Christian Porter MP</w:t>
      </w:r>
    </w:p>
    <w:p w14:paraId="28E479BF" w14:textId="77777777" w:rsidR="00027C49" w:rsidRDefault="00027C49" w:rsidP="00027C49">
      <w:pPr>
        <w:spacing w:after="220" w:line="240" w:lineRule="auto"/>
        <w:contextualSpacing/>
        <w:jc w:val="center"/>
        <w:rPr>
          <w:rFonts w:ascii="Times New Roman" w:eastAsia="Times New Roman" w:hAnsi="Times New Roman" w:cs="Times New Roman"/>
          <w:bCs/>
          <w:lang w:eastAsia="en-AU"/>
        </w:rPr>
      </w:pPr>
    </w:p>
    <w:p w14:paraId="601F5BC1" w14:textId="77777777" w:rsidR="00027C49" w:rsidRDefault="00027C49" w:rsidP="00027C49">
      <w:pPr>
        <w:spacing w:after="220" w:line="240" w:lineRule="auto"/>
        <w:contextualSpacing/>
        <w:jc w:val="center"/>
        <w:rPr>
          <w:rFonts w:ascii="Times New Roman" w:hAnsi="Times New Roman" w:cs="Times New Roman"/>
          <w:lang w:val="en"/>
        </w:rPr>
      </w:pPr>
      <w:r>
        <w:rPr>
          <w:rFonts w:ascii="Times New Roman" w:eastAsia="Times New Roman" w:hAnsi="Times New Roman" w:cs="Times New Roman"/>
          <w:bCs/>
          <w:lang w:eastAsia="en-AU"/>
        </w:rPr>
        <w:t xml:space="preserve">Attorney-General and </w:t>
      </w: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Pr>
          <w:rFonts w:ascii="Times New Roman" w:hAnsi="Times New Roman" w:cs="Times New Roman"/>
          <w:lang w:val="en"/>
        </w:rPr>
        <w:t>Industrial Relations</w:t>
      </w:r>
    </w:p>
    <w:p w14:paraId="2E0FE89F" w14:textId="77777777" w:rsidR="00027C49" w:rsidRDefault="00027C49" w:rsidP="00027C49">
      <w:pPr>
        <w:rPr>
          <w:rFonts w:ascii="Times New Roman" w:hAnsi="Times New Roman" w:cs="Times New Roman"/>
          <w:lang w:val="en"/>
        </w:rPr>
      </w:pPr>
      <w:r>
        <w:rPr>
          <w:rFonts w:ascii="Times New Roman" w:hAnsi="Times New Roman" w:cs="Times New Roman"/>
          <w:lang w:val="en"/>
        </w:rPr>
        <w:br w:type="page"/>
      </w:r>
    </w:p>
    <w:p w14:paraId="7677EBCF" w14:textId="67C148AF" w:rsidR="00B16DFA" w:rsidRDefault="00B16DFA" w:rsidP="00B16DFA">
      <w:pPr>
        <w:spacing w:after="220" w:line="240" w:lineRule="auto"/>
        <w:jc w:val="right"/>
        <w:rPr>
          <w:rFonts w:ascii="Times New Roman" w:eastAsia="Calibri" w:hAnsi="Times New Roman" w:cs="Times New Roman"/>
          <w:b/>
          <w:sz w:val="24"/>
          <w:szCs w:val="24"/>
        </w:rPr>
      </w:pPr>
      <w:r w:rsidRPr="00521029">
        <w:rPr>
          <w:rFonts w:ascii="Times New Roman" w:hAnsi="Times New Roman" w:cs="Times New Roman"/>
          <w:b/>
          <w:sz w:val="24"/>
          <w:szCs w:val="24"/>
        </w:rPr>
        <w:lastRenderedPageBreak/>
        <w:t>Attachment A</w:t>
      </w:r>
    </w:p>
    <w:p w14:paraId="17954761" w14:textId="32335606" w:rsidR="00027C49" w:rsidRPr="00BB254A" w:rsidRDefault="00027C49" w:rsidP="00027C49">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NOTES ON SECTIONS</w:t>
      </w:r>
    </w:p>
    <w:p w14:paraId="6A760DE7" w14:textId="5B71D7E3" w:rsidR="00FE4ED7" w:rsidRPr="00F36CE5" w:rsidRDefault="00F36CE5" w:rsidP="009A1F57">
      <w:pPr>
        <w:spacing w:after="220" w:line="240" w:lineRule="auto"/>
        <w:rPr>
          <w:rFonts w:ascii="Times New Roman" w:eastAsia="Calibri" w:hAnsi="Times New Roman" w:cs="Times New Roman"/>
          <w:b/>
        </w:rPr>
      </w:pPr>
      <w:r w:rsidRPr="00F36CE5">
        <w:rPr>
          <w:rFonts w:ascii="Times New Roman" w:eastAsia="Calibri" w:hAnsi="Times New Roman" w:cs="Times New Roman"/>
          <w:b/>
        </w:rPr>
        <w:t>Section 1 – Name</w:t>
      </w:r>
    </w:p>
    <w:p w14:paraId="7BD4FFFE" w14:textId="61C83901" w:rsidR="00F36CE5" w:rsidRPr="00A007B6" w:rsidRDefault="00F36CE5" w:rsidP="009A1F57">
      <w:pPr>
        <w:spacing w:after="220" w:line="240" w:lineRule="auto"/>
        <w:rPr>
          <w:rFonts w:ascii="Times New Roman" w:hAnsi="Times New Roman" w:cs="Times New Roman"/>
        </w:rPr>
      </w:pPr>
      <w:r w:rsidRPr="00A007B6">
        <w:rPr>
          <w:rFonts w:ascii="Times New Roman" w:eastAsia="Calibri" w:hAnsi="Times New Roman" w:cs="Times New Roman"/>
        </w:rPr>
        <w:t xml:space="preserve">Section 1 provides that the title of the instrument is the </w:t>
      </w:r>
      <w:r w:rsidR="000876DF" w:rsidRPr="00A007B6">
        <w:rPr>
          <w:rFonts w:ascii="Times New Roman" w:hAnsi="Times New Roman" w:cs="Times New Roman"/>
          <w:i/>
        </w:rPr>
        <w:t>Seafarers Rehabilitation and Compensation (Specified Rate per Kilometre) Instrument 2019</w:t>
      </w:r>
      <w:r w:rsidR="000876DF" w:rsidRPr="00A007B6">
        <w:rPr>
          <w:rFonts w:ascii="Times New Roman" w:hAnsi="Times New Roman" w:cs="Times New Roman"/>
        </w:rPr>
        <w:t>.</w:t>
      </w:r>
    </w:p>
    <w:p w14:paraId="6B2703E9" w14:textId="608A6FE1" w:rsidR="00F36CE5" w:rsidRPr="00A007B6" w:rsidRDefault="00F36CE5" w:rsidP="009A1F57">
      <w:pPr>
        <w:spacing w:after="220" w:line="240" w:lineRule="auto"/>
        <w:rPr>
          <w:rFonts w:ascii="Times New Roman" w:hAnsi="Times New Roman" w:cs="Times New Roman"/>
          <w:b/>
        </w:rPr>
      </w:pPr>
      <w:r w:rsidRPr="00A007B6">
        <w:rPr>
          <w:rFonts w:ascii="Times New Roman" w:hAnsi="Times New Roman" w:cs="Times New Roman"/>
          <w:b/>
        </w:rPr>
        <w:t xml:space="preserve">Section 2 – Commencement </w:t>
      </w:r>
    </w:p>
    <w:p w14:paraId="39F2FF41" w14:textId="7094D188" w:rsidR="00F36CE5" w:rsidRPr="00A007B6" w:rsidRDefault="00F36CE5" w:rsidP="009A1F57">
      <w:pPr>
        <w:spacing w:after="220" w:line="240" w:lineRule="auto"/>
        <w:rPr>
          <w:rFonts w:ascii="Times New Roman" w:hAnsi="Times New Roman" w:cs="Times New Roman"/>
        </w:rPr>
      </w:pPr>
      <w:r w:rsidRPr="00A007B6">
        <w:rPr>
          <w:rFonts w:ascii="Times New Roman" w:hAnsi="Times New Roman" w:cs="Times New Roman"/>
        </w:rPr>
        <w:t>Section 2 provides that the instrument commences on the day after it is registered on the Federal Register of Legislation.</w:t>
      </w:r>
    </w:p>
    <w:p w14:paraId="18373DD4" w14:textId="18D6B4AC" w:rsidR="00F36CE5" w:rsidRPr="00A007B6" w:rsidRDefault="00F36CE5" w:rsidP="009A1F57">
      <w:pPr>
        <w:spacing w:after="220" w:line="240" w:lineRule="auto"/>
        <w:rPr>
          <w:rFonts w:ascii="Times New Roman" w:hAnsi="Times New Roman" w:cs="Times New Roman"/>
          <w:b/>
        </w:rPr>
      </w:pPr>
      <w:r w:rsidRPr="00A007B6">
        <w:rPr>
          <w:rFonts w:ascii="Times New Roman" w:hAnsi="Times New Roman" w:cs="Times New Roman"/>
          <w:b/>
        </w:rPr>
        <w:t xml:space="preserve">Section 3 – Authority </w:t>
      </w:r>
    </w:p>
    <w:p w14:paraId="7FDDEF57" w14:textId="25DF2DDF" w:rsidR="00F36CE5" w:rsidRPr="00A007B6" w:rsidRDefault="00D16C05" w:rsidP="009A1F57">
      <w:pPr>
        <w:spacing w:after="220" w:line="240" w:lineRule="auto"/>
        <w:rPr>
          <w:rFonts w:ascii="Times New Roman" w:hAnsi="Times New Roman" w:cs="Times New Roman"/>
        </w:rPr>
      </w:pPr>
      <w:r w:rsidRPr="00A007B6">
        <w:rPr>
          <w:rFonts w:ascii="Times New Roman" w:hAnsi="Times New Roman" w:cs="Times New Roman"/>
        </w:rPr>
        <w:t xml:space="preserve">Section 3 provides </w:t>
      </w:r>
      <w:r w:rsidR="000876DF" w:rsidRPr="00A007B6">
        <w:rPr>
          <w:rFonts w:ascii="Times New Roman" w:hAnsi="Times New Roman" w:cs="Times New Roman"/>
        </w:rPr>
        <w:t xml:space="preserve">that the </w:t>
      </w:r>
      <w:r w:rsidR="00A007B6" w:rsidRPr="00A007B6">
        <w:rPr>
          <w:rFonts w:ascii="Times New Roman" w:hAnsi="Times New Roman" w:cs="Times New Roman"/>
        </w:rPr>
        <w:t xml:space="preserve">instrument is made under subsections 28(6A), 49(6B), 50(2B), 66(4B) and 83A(5) of the </w:t>
      </w:r>
      <w:r w:rsidR="00A007B6" w:rsidRPr="00A007B6">
        <w:rPr>
          <w:rFonts w:ascii="Times New Roman" w:hAnsi="Times New Roman" w:cs="Times New Roman"/>
          <w:i/>
        </w:rPr>
        <w:t>Seafarers Rehabilitation and Compensation Act 1992</w:t>
      </w:r>
      <w:r w:rsidR="00A007B6" w:rsidRPr="00A007B6">
        <w:rPr>
          <w:rFonts w:ascii="Times New Roman" w:hAnsi="Times New Roman" w:cs="Times New Roman"/>
        </w:rPr>
        <w:t>.</w:t>
      </w:r>
    </w:p>
    <w:p w14:paraId="2888BBFA" w14:textId="0F4A34AD" w:rsidR="00F36CE5" w:rsidRPr="00A007B6" w:rsidRDefault="00F36CE5" w:rsidP="009A1F57">
      <w:pPr>
        <w:spacing w:after="220" w:line="240" w:lineRule="auto"/>
        <w:rPr>
          <w:rFonts w:ascii="Times New Roman" w:hAnsi="Times New Roman" w:cs="Times New Roman"/>
          <w:b/>
        </w:rPr>
      </w:pPr>
      <w:r w:rsidRPr="00A007B6">
        <w:rPr>
          <w:rFonts w:ascii="Times New Roman" w:hAnsi="Times New Roman" w:cs="Times New Roman"/>
          <w:b/>
        </w:rPr>
        <w:t>Section 4 – Definitions</w:t>
      </w:r>
    </w:p>
    <w:p w14:paraId="2CD37FC1" w14:textId="597C4468" w:rsidR="00A007B6" w:rsidRPr="00795953" w:rsidRDefault="00795953" w:rsidP="009A1F57">
      <w:pPr>
        <w:spacing w:after="220" w:line="240" w:lineRule="auto"/>
        <w:rPr>
          <w:rFonts w:ascii="Times New Roman" w:hAnsi="Times New Roman" w:cs="Times New Roman"/>
          <w:b/>
        </w:rPr>
      </w:pPr>
      <w:r>
        <w:rPr>
          <w:rFonts w:ascii="Times New Roman" w:hAnsi="Times New Roman" w:cs="Times New Roman"/>
        </w:rPr>
        <w:t>Section 4</w:t>
      </w:r>
      <w:r w:rsidR="00E8251C" w:rsidRPr="00795953">
        <w:rPr>
          <w:rFonts w:ascii="Times New Roman" w:hAnsi="Times New Roman" w:cs="Times New Roman"/>
        </w:rPr>
        <w:t xml:space="preserve"> provides </w:t>
      </w:r>
      <w:r>
        <w:rPr>
          <w:rFonts w:ascii="Times New Roman" w:hAnsi="Times New Roman" w:cs="Times New Roman"/>
        </w:rPr>
        <w:t>the</w:t>
      </w:r>
      <w:r w:rsidR="00E8251C" w:rsidRPr="00795953">
        <w:rPr>
          <w:rFonts w:ascii="Times New Roman" w:hAnsi="Times New Roman" w:cs="Times New Roman"/>
        </w:rPr>
        <w:t xml:space="preserve"> definitions of</w:t>
      </w:r>
      <w:r w:rsidRPr="00795953">
        <w:rPr>
          <w:rFonts w:ascii="Times New Roman" w:hAnsi="Times New Roman" w:cs="Times New Roman"/>
        </w:rPr>
        <w:t xml:space="preserve"> terms used in the i</w:t>
      </w:r>
      <w:r w:rsidR="00E8251C" w:rsidRPr="00795953">
        <w:rPr>
          <w:rFonts w:ascii="Times New Roman" w:hAnsi="Times New Roman" w:cs="Times New Roman"/>
        </w:rPr>
        <w:t>nstrument.</w:t>
      </w:r>
    </w:p>
    <w:p w14:paraId="131189BC" w14:textId="6A931AF2" w:rsidR="00F36CE5" w:rsidRPr="00A007B6" w:rsidRDefault="00F36CE5" w:rsidP="009A1F57">
      <w:pPr>
        <w:spacing w:after="220" w:line="240" w:lineRule="auto"/>
        <w:rPr>
          <w:rFonts w:ascii="Times New Roman" w:hAnsi="Times New Roman" w:cs="Times New Roman"/>
          <w:b/>
        </w:rPr>
      </w:pPr>
      <w:r w:rsidRPr="00A007B6">
        <w:rPr>
          <w:rFonts w:ascii="Times New Roman" w:hAnsi="Times New Roman" w:cs="Times New Roman"/>
          <w:b/>
        </w:rPr>
        <w:t>Section 5 – Schedule</w:t>
      </w:r>
    </w:p>
    <w:p w14:paraId="287DABB4" w14:textId="57760CD4" w:rsidR="00A007B6" w:rsidRPr="00A007B6" w:rsidRDefault="00A007B6" w:rsidP="009A1F57">
      <w:pPr>
        <w:spacing w:after="220" w:line="240" w:lineRule="auto"/>
        <w:rPr>
          <w:rFonts w:ascii="Times New Roman" w:hAnsi="Times New Roman" w:cs="Times New Roman"/>
        </w:rPr>
      </w:pPr>
      <w:r w:rsidRPr="00A007B6">
        <w:rPr>
          <w:rFonts w:ascii="Times New Roman" w:hAnsi="Times New Roman" w:cs="Times New Roman"/>
        </w:rPr>
        <w:t xml:space="preserve">Section 5 provides that </w:t>
      </w:r>
      <w:r w:rsidRPr="00A007B6">
        <w:rPr>
          <w:rFonts w:ascii="Times New Roman" w:hAnsi="Times New Roman" w:cs="Times New Roman"/>
          <w:color w:val="000000" w:themeColor="text1"/>
        </w:rPr>
        <w:t xml:space="preserve">each instrument that is specified in the Schedule to the instrument is </w:t>
      </w:r>
      <w:r w:rsidRPr="00A007B6">
        <w:rPr>
          <w:rFonts w:ascii="Times New Roman" w:hAnsi="Times New Roman" w:cs="Times New Roman"/>
        </w:rPr>
        <w:t>amended or repealed as set out in the applicable items in that Schedule, and any other item in that Schedule has effect according to its term</w:t>
      </w:r>
    </w:p>
    <w:p w14:paraId="31C23D58" w14:textId="396EC822" w:rsidR="00F36CE5" w:rsidRPr="00A007B6" w:rsidRDefault="00F36CE5" w:rsidP="009A1F57">
      <w:pPr>
        <w:spacing w:after="220" w:line="240" w:lineRule="auto"/>
        <w:rPr>
          <w:rFonts w:ascii="Times New Roman" w:hAnsi="Times New Roman" w:cs="Times New Roman"/>
          <w:b/>
        </w:rPr>
      </w:pPr>
      <w:r w:rsidRPr="00A007B6">
        <w:rPr>
          <w:rFonts w:ascii="Times New Roman" w:hAnsi="Times New Roman" w:cs="Times New Roman"/>
          <w:b/>
        </w:rPr>
        <w:t>Section 6 – Specification</w:t>
      </w:r>
    </w:p>
    <w:p w14:paraId="6A009851" w14:textId="253ACBE0" w:rsidR="00A007B6" w:rsidRPr="00A007B6" w:rsidRDefault="00A007B6" w:rsidP="009A1F57">
      <w:pPr>
        <w:spacing w:after="220" w:line="240" w:lineRule="auto"/>
        <w:rPr>
          <w:rFonts w:ascii="Times New Roman" w:hAnsi="Times New Roman" w:cs="Times New Roman"/>
        </w:rPr>
      </w:pPr>
      <w:r w:rsidRPr="00A007B6">
        <w:rPr>
          <w:rFonts w:ascii="Times New Roman" w:hAnsi="Times New Roman" w:cs="Times New Roman"/>
        </w:rPr>
        <w:t xml:space="preserve">Section 6 provides that the specified rate per kilometre for the purposes of paragraphs 28(6A)(b), 49(6B)(b) and 50(2B)(b), and subsections 66(4B) and 83A(5), of the </w:t>
      </w:r>
      <w:r w:rsidRPr="00A007B6">
        <w:rPr>
          <w:rFonts w:ascii="Times New Roman" w:hAnsi="Times New Roman" w:cs="Times New Roman"/>
          <w:i/>
        </w:rPr>
        <w:t>Seafarers Rehabilitation and Compensation Act 1992</w:t>
      </w:r>
      <w:r w:rsidRPr="00A007B6">
        <w:rPr>
          <w:rFonts w:ascii="Times New Roman" w:hAnsi="Times New Roman" w:cs="Times New Roman"/>
        </w:rPr>
        <w:t xml:space="preserve"> is $0.68.</w:t>
      </w:r>
    </w:p>
    <w:p w14:paraId="7AAC1B72" w14:textId="4C9BE58D" w:rsidR="00F36CE5" w:rsidRPr="00F36CE5" w:rsidRDefault="00F36CE5" w:rsidP="009A1F57">
      <w:pPr>
        <w:spacing w:after="220" w:line="240" w:lineRule="auto"/>
        <w:rPr>
          <w:rFonts w:ascii="Times New Roman" w:hAnsi="Times New Roman" w:cs="Times New Roman"/>
          <w:b/>
        </w:rPr>
      </w:pPr>
      <w:r w:rsidRPr="00F36CE5">
        <w:rPr>
          <w:rFonts w:ascii="Times New Roman" w:hAnsi="Times New Roman" w:cs="Times New Roman"/>
          <w:b/>
        </w:rPr>
        <w:t xml:space="preserve">Schedule 1 – Repeals </w:t>
      </w:r>
    </w:p>
    <w:p w14:paraId="0002952B" w14:textId="48AD452E" w:rsidR="00795953" w:rsidRPr="00795953" w:rsidRDefault="00795953" w:rsidP="00795953">
      <w:pPr>
        <w:spacing w:after="220" w:line="240" w:lineRule="auto"/>
        <w:rPr>
          <w:rFonts w:ascii="Times New Roman" w:eastAsia="Calibri" w:hAnsi="Times New Roman" w:cs="Times New Roman"/>
        </w:rPr>
      </w:pPr>
      <w:r w:rsidRPr="00795953">
        <w:rPr>
          <w:rFonts w:ascii="Times New Roman" w:eastAsia="Calibri" w:hAnsi="Times New Roman" w:cs="Times New Roman"/>
        </w:rPr>
        <w:t xml:space="preserve">Schedule 1 to the instrument repeals the </w:t>
      </w:r>
      <w:bookmarkStart w:id="0" w:name="_Toc514772217"/>
      <w:r w:rsidRPr="00795953">
        <w:rPr>
          <w:rFonts w:ascii="Times New Roman" w:hAnsi="Times New Roman" w:cs="Times New Roman"/>
          <w:i/>
        </w:rPr>
        <w:t>Seafarers Rehabilitation and Compensation (Specified Rate per Kilometre) Notice 2008 (1)</w:t>
      </w:r>
      <w:r w:rsidRPr="00795953">
        <w:rPr>
          <w:rFonts w:ascii="Times New Roman" w:hAnsi="Times New Roman" w:cs="Times New Roman"/>
        </w:rPr>
        <w:t xml:space="preserve"> </w:t>
      </w:r>
      <w:bookmarkEnd w:id="0"/>
      <w:r w:rsidRPr="00795953">
        <w:rPr>
          <w:rFonts w:ascii="Times New Roman" w:hAnsi="Times New Roman" w:cs="Times New Roman"/>
        </w:rPr>
        <w:t xml:space="preserve">in its entirety. </w:t>
      </w:r>
    </w:p>
    <w:p w14:paraId="24B7F8A3" w14:textId="77777777" w:rsidR="00795953" w:rsidRPr="00F36CE5" w:rsidRDefault="00795953" w:rsidP="009A1F57">
      <w:pPr>
        <w:spacing w:after="220" w:line="240" w:lineRule="auto"/>
        <w:rPr>
          <w:rFonts w:ascii="Times New Roman" w:eastAsia="Calibri" w:hAnsi="Times New Roman" w:cs="Times New Roman"/>
        </w:rPr>
      </w:pPr>
    </w:p>
    <w:p w14:paraId="4E004E6E" w14:textId="77777777" w:rsidR="00FE4ED7" w:rsidRDefault="00FE4ED7" w:rsidP="009A1F57">
      <w:pPr>
        <w:spacing w:after="220" w:line="240" w:lineRule="auto"/>
        <w:rPr>
          <w:rFonts w:ascii="Times New Roman" w:eastAsia="Calibri" w:hAnsi="Times New Roman" w:cs="Times New Roman"/>
        </w:rPr>
      </w:pPr>
    </w:p>
    <w:p w14:paraId="7CCDA0EF" w14:textId="77777777" w:rsidR="00FE4ED7" w:rsidRDefault="00FE4ED7" w:rsidP="009A1F57">
      <w:pPr>
        <w:spacing w:after="220" w:line="240" w:lineRule="auto"/>
        <w:rPr>
          <w:rFonts w:ascii="Times New Roman" w:eastAsia="Calibri" w:hAnsi="Times New Roman" w:cs="Times New Roman"/>
        </w:rPr>
      </w:pPr>
    </w:p>
    <w:p w14:paraId="77A3DBE5" w14:textId="77777777" w:rsidR="00FE4ED7" w:rsidRDefault="00FE4ED7" w:rsidP="009A1F57">
      <w:pPr>
        <w:spacing w:after="220" w:line="240" w:lineRule="auto"/>
        <w:rPr>
          <w:rFonts w:ascii="Times New Roman" w:eastAsia="Calibri" w:hAnsi="Times New Roman" w:cs="Times New Roman"/>
        </w:rPr>
      </w:pPr>
    </w:p>
    <w:p w14:paraId="6437CFC2" w14:textId="77777777" w:rsidR="00FE4ED7" w:rsidRDefault="00FE4ED7" w:rsidP="009A1F57">
      <w:pPr>
        <w:spacing w:after="220" w:line="240" w:lineRule="auto"/>
        <w:rPr>
          <w:rFonts w:ascii="Times New Roman" w:eastAsia="Calibri" w:hAnsi="Times New Roman" w:cs="Times New Roman"/>
        </w:rPr>
      </w:pPr>
    </w:p>
    <w:p w14:paraId="4C2A3126" w14:textId="77777777" w:rsidR="00FE4ED7" w:rsidRDefault="00FE4ED7" w:rsidP="009A1F57">
      <w:pPr>
        <w:spacing w:after="220" w:line="240" w:lineRule="auto"/>
        <w:rPr>
          <w:rFonts w:ascii="Times New Roman" w:eastAsia="Calibri" w:hAnsi="Times New Roman" w:cs="Times New Roman"/>
        </w:rPr>
      </w:pPr>
    </w:p>
    <w:p w14:paraId="787AA2B9" w14:textId="16459E0A" w:rsidR="00FE4ED7" w:rsidRDefault="00FE4ED7" w:rsidP="009A1F57">
      <w:pPr>
        <w:spacing w:after="220" w:line="240" w:lineRule="auto"/>
        <w:rPr>
          <w:rFonts w:ascii="Times New Roman" w:eastAsia="Calibri" w:hAnsi="Times New Roman" w:cs="Times New Roman"/>
        </w:rPr>
      </w:pPr>
    </w:p>
    <w:p w14:paraId="07CCA361" w14:textId="77777777" w:rsidR="00795953" w:rsidRDefault="00795953" w:rsidP="009A1F57">
      <w:pPr>
        <w:spacing w:after="220" w:line="240" w:lineRule="auto"/>
        <w:rPr>
          <w:rFonts w:ascii="Times New Roman" w:eastAsia="Calibri" w:hAnsi="Times New Roman" w:cs="Times New Roman"/>
        </w:rPr>
      </w:pPr>
    </w:p>
    <w:p w14:paraId="4231E69B" w14:textId="77777777" w:rsidR="00A007B6" w:rsidRDefault="00A007B6" w:rsidP="009A1F57">
      <w:pPr>
        <w:spacing w:after="220" w:line="240" w:lineRule="auto"/>
        <w:rPr>
          <w:rFonts w:ascii="Times New Roman" w:eastAsia="Calibri" w:hAnsi="Times New Roman" w:cs="Times New Roman"/>
        </w:rPr>
      </w:pPr>
    </w:p>
    <w:p w14:paraId="04213A45" w14:textId="7B26067F" w:rsidR="00FE4ED7" w:rsidRPr="00B16DFA" w:rsidRDefault="00B16DFA" w:rsidP="00B16DFA">
      <w:pPr>
        <w:spacing w:after="220" w:line="240" w:lineRule="auto"/>
        <w:jc w:val="right"/>
        <w:rPr>
          <w:rFonts w:ascii="Times New Roman" w:eastAsia="Calibri" w:hAnsi="Times New Roman" w:cs="Times New Roman"/>
          <w:b/>
        </w:rPr>
      </w:pPr>
      <w:r w:rsidRPr="00B16DFA">
        <w:rPr>
          <w:rFonts w:ascii="Times New Roman" w:hAnsi="Times New Roman"/>
          <w:b/>
          <w:sz w:val="24"/>
          <w:szCs w:val="24"/>
        </w:rPr>
        <w:t>Attachment B</w:t>
      </w:r>
    </w:p>
    <w:p w14:paraId="09C52CBB" w14:textId="6B9025E9" w:rsidR="00FE4ED7" w:rsidRPr="00FE4ED7" w:rsidRDefault="00FE4ED7" w:rsidP="00FE4ED7">
      <w:pPr>
        <w:pStyle w:val="ActHead6"/>
        <w:rPr>
          <w:rFonts w:ascii="Times New Roman" w:hAnsi="Times New Roman"/>
          <w:sz w:val="24"/>
          <w:szCs w:val="24"/>
        </w:rPr>
      </w:pPr>
      <w:r w:rsidRPr="00FE4ED7">
        <w:rPr>
          <w:rFonts w:ascii="Times New Roman" w:hAnsi="Times New Roman"/>
          <w:sz w:val="24"/>
          <w:szCs w:val="24"/>
        </w:rPr>
        <w:t xml:space="preserve">Prior </w:t>
      </w:r>
      <w:r w:rsidR="00344C19">
        <w:rPr>
          <w:rFonts w:ascii="Times New Roman" w:hAnsi="Times New Roman"/>
          <w:sz w:val="24"/>
          <w:szCs w:val="24"/>
        </w:rPr>
        <w:t>s</w:t>
      </w:r>
      <w:r w:rsidR="00344C19" w:rsidRPr="00FE4ED7">
        <w:rPr>
          <w:rFonts w:ascii="Times New Roman" w:hAnsi="Times New Roman"/>
          <w:sz w:val="24"/>
          <w:szCs w:val="24"/>
        </w:rPr>
        <w:t>pecifications</w:t>
      </w:r>
    </w:p>
    <w:p w14:paraId="5623F901" w14:textId="46C8A9F8" w:rsidR="00F11695" w:rsidRPr="002F75C1" w:rsidRDefault="00FE4ED7" w:rsidP="00F11695">
      <w:pPr>
        <w:pStyle w:val="subsection"/>
        <w:tabs>
          <w:tab w:val="left" w:pos="1276"/>
        </w:tabs>
        <w:ind w:left="720"/>
        <w:rPr>
          <w:sz w:val="22"/>
          <w:szCs w:val="22"/>
        </w:rPr>
      </w:pPr>
      <w:r w:rsidRPr="002F75C1">
        <w:rPr>
          <w:sz w:val="22"/>
          <w:szCs w:val="22"/>
        </w:rPr>
        <w:t xml:space="preserve">Prior to the commencement of this instrument, the </w:t>
      </w:r>
      <w:r w:rsidRPr="002F75C1">
        <w:rPr>
          <w:b/>
          <w:i/>
          <w:sz w:val="22"/>
          <w:szCs w:val="22"/>
        </w:rPr>
        <w:t>specified rate per kilometre</w:t>
      </w:r>
      <w:r w:rsidRPr="002F75C1">
        <w:rPr>
          <w:sz w:val="22"/>
          <w:szCs w:val="22"/>
        </w:rPr>
        <w:t xml:space="preserve"> for the purposes of the provisions in column 2 of an item, was the rate specified in column 3 of that item, by the instrument or notice specified in column 4 of that item, for the period specified in column 1 of that item. </w:t>
      </w:r>
      <w:bookmarkStart w:id="1" w:name="_GoBack"/>
      <w:bookmarkEnd w:id="1"/>
    </w:p>
    <w:tbl>
      <w:tblPr>
        <w:tblStyle w:val="TableGrid"/>
        <w:tblpPr w:leftFromText="180" w:rightFromText="180" w:vertAnchor="text" w:tblpY="1"/>
        <w:tblOverlap w:val="never"/>
        <w:tblW w:w="5372"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3"/>
        <w:gridCol w:w="2166"/>
        <w:gridCol w:w="1701"/>
        <w:gridCol w:w="2165"/>
        <w:gridCol w:w="2940"/>
      </w:tblGrid>
      <w:tr w:rsidR="00FE4ED7" w:rsidRPr="00B516E3" w14:paraId="5F452891" w14:textId="77777777" w:rsidTr="001746E3">
        <w:tc>
          <w:tcPr>
            <w:tcW w:w="709" w:type="dxa"/>
            <w:tcBorders>
              <w:top w:val="single" w:sz="12" w:space="0" w:color="auto"/>
              <w:bottom w:val="single" w:sz="6" w:space="0" w:color="auto"/>
            </w:tcBorders>
            <w:shd w:val="clear" w:color="auto" w:fill="auto"/>
          </w:tcPr>
          <w:p w14:paraId="5D779BB1" w14:textId="77777777" w:rsidR="00FE4ED7" w:rsidRDefault="00FE4ED7" w:rsidP="00B516E3">
            <w:pPr>
              <w:pStyle w:val="TableHeading"/>
            </w:pPr>
          </w:p>
          <w:p w14:paraId="15C8ED66" w14:textId="50295A3C" w:rsidR="00F11695" w:rsidRPr="00F11695" w:rsidRDefault="00F11695" w:rsidP="00F11695">
            <w:pPr>
              <w:pStyle w:val="Tabletext"/>
            </w:pPr>
          </w:p>
        </w:tc>
        <w:tc>
          <w:tcPr>
            <w:tcW w:w="1985" w:type="dxa"/>
            <w:tcBorders>
              <w:top w:val="single" w:sz="12" w:space="0" w:color="auto"/>
              <w:bottom w:val="single" w:sz="6" w:space="0" w:color="auto"/>
            </w:tcBorders>
            <w:shd w:val="clear" w:color="auto" w:fill="auto"/>
          </w:tcPr>
          <w:p w14:paraId="58480E30" w14:textId="77777777" w:rsidR="00FE4ED7" w:rsidRPr="009925DD" w:rsidRDefault="00FE4ED7" w:rsidP="00B516E3">
            <w:pPr>
              <w:pStyle w:val="TableHeading"/>
              <w:jc w:val="center"/>
            </w:pPr>
            <w:r w:rsidRPr="009925DD">
              <w:t>Column 1</w:t>
            </w:r>
          </w:p>
        </w:tc>
        <w:tc>
          <w:tcPr>
            <w:tcW w:w="1559" w:type="dxa"/>
            <w:tcBorders>
              <w:top w:val="single" w:sz="12" w:space="0" w:color="auto"/>
              <w:bottom w:val="single" w:sz="6" w:space="0" w:color="auto"/>
            </w:tcBorders>
          </w:tcPr>
          <w:p w14:paraId="5F5520C0" w14:textId="77777777" w:rsidR="00FE4ED7" w:rsidRPr="009925DD" w:rsidRDefault="00FE4ED7" w:rsidP="009925DD">
            <w:pPr>
              <w:pStyle w:val="TableHeading"/>
              <w:jc w:val="center"/>
            </w:pPr>
            <w:r w:rsidRPr="009925DD">
              <w:t>Column 2</w:t>
            </w:r>
          </w:p>
        </w:tc>
        <w:tc>
          <w:tcPr>
            <w:tcW w:w="1984" w:type="dxa"/>
            <w:tcBorders>
              <w:top w:val="single" w:sz="12" w:space="0" w:color="auto"/>
              <w:bottom w:val="single" w:sz="6" w:space="0" w:color="auto"/>
            </w:tcBorders>
            <w:shd w:val="clear" w:color="auto" w:fill="auto"/>
          </w:tcPr>
          <w:p w14:paraId="5FD6535E" w14:textId="77777777" w:rsidR="00FE4ED7" w:rsidRPr="009925DD" w:rsidRDefault="00FE4ED7" w:rsidP="009925DD">
            <w:pPr>
              <w:pStyle w:val="TableHeading"/>
              <w:jc w:val="center"/>
            </w:pPr>
            <w:r w:rsidRPr="009925DD">
              <w:t>Column 3</w:t>
            </w:r>
          </w:p>
        </w:tc>
        <w:tc>
          <w:tcPr>
            <w:tcW w:w="2694" w:type="dxa"/>
            <w:tcBorders>
              <w:top w:val="single" w:sz="12" w:space="0" w:color="auto"/>
              <w:bottom w:val="single" w:sz="6" w:space="0" w:color="auto"/>
            </w:tcBorders>
          </w:tcPr>
          <w:p w14:paraId="3C493363" w14:textId="77777777" w:rsidR="00FE4ED7" w:rsidRPr="009925DD" w:rsidRDefault="00FE4ED7" w:rsidP="009925DD">
            <w:pPr>
              <w:pStyle w:val="TableHeading"/>
              <w:jc w:val="center"/>
            </w:pPr>
            <w:r w:rsidRPr="009925DD">
              <w:t>Column 4</w:t>
            </w:r>
          </w:p>
        </w:tc>
      </w:tr>
      <w:tr w:rsidR="00FE4ED7" w:rsidRPr="00B516E3" w14:paraId="01087539" w14:textId="77777777" w:rsidTr="001746E3">
        <w:tc>
          <w:tcPr>
            <w:tcW w:w="709" w:type="dxa"/>
            <w:tcBorders>
              <w:top w:val="single" w:sz="6" w:space="0" w:color="auto"/>
              <w:bottom w:val="single" w:sz="12" w:space="0" w:color="auto"/>
            </w:tcBorders>
            <w:shd w:val="clear" w:color="auto" w:fill="auto"/>
          </w:tcPr>
          <w:p w14:paraId="7B322714" w14:textId="77777777" w:rsidR="00FE4ED7" w:rsidRPr="009925DD" w:rsidRDefault="00FE4ED7" w:rsidP="00B516E3">
            <w:pPr>
              <w:pStyle w:val="TableHeading"/>
            </w:pPr>
            <w:r w:rsidRPr="009925DD">
              <w:t xml:space="preserve">Item </w:t>
            </w:r>
          </w:p>
        </w:tc>
        <w:tc>
          <w:tcPr>
            <w:tcW w:w="1985" w:type="dxa"/>
            <w:tcBorders>
              <w:top w:val="single" w:sz="6" w:space="0" w:color="auto"/>
              <w:bottom w:val="single" w:sz="12" w:space="0" w:color="auto"/>
            </w:tcBorders>
            <w:shd w:val="clear" w:color="auto" w:fill="auto"/>
          </w:tcPr>
          <w:p w14:paraId="4E121364" w14:textId="77777777" w:rsidR="00FE4ED7" w:rsidRPr="009925DD" w:rsidRDefault="00FE4ED7" w:rsidP="00B516E3">
            <w:pPr>
              <w:pStyle w:val="TableHeading"/>
              <w:jc w:val="center"/>
            </w:pPr>
            <w:r w:rsidRPr="009925DD">
              <w:t>Period</w:t>
            </w:r>
          </w:p>
        </w:tc>
        <w:tc>
          <w:tcPr>
            <w:tcW w:w="1559" w:type="dxa"/>
            <w:tcBorders>
              <w:top w:val="single" w:sz="6" w:space="0" w:color="auto"/>
              <w:bottom w:val="single" w:sz="12" w:space="0" w:color="auto"/>
            </w:tcBorders>
          </w:tcPr>
          <w:p w14:paraId="267EB72D" w14:textId="77777777" w:rsidR="00FE4ED7" w:rsidRPr="009925DD" w:rsidRDefault="00FE4ED7" w:rsidP="009925DD">
            <w:pPr>
              <w:pStyle w:val="TableHeading"/>
              <w:jc w:val="center"/>
            </w:pPr>
            <w:r w:rsidRPr="009925DD">
              <w:t xml:space="preserve">Provisions </w:t>
            </w:r>
          </w:p>
        </w:tc>
        <w:tc>
          <w:tcPr>
            <w:tcW w:w="1984" w:type="dxa"/>
            <w:tcBorders>
              <w:top w:val="single" w:sz="6" w:space="0" w:color="auto"/>
              <w:bottom w:val="single" w:sz="12" w:space="0" w:color="auto"/>
            </w:tcBorders>
            <w:shd w:val="clear" w:color="auto" w:fill="auto"/>
          </w:tcPr>
          <w:p w14:paraId="6645F6A3" w14:textId="77777777" w:rsidR="00FE4ED7" w:rsidRPr="009925DD" w:rsidRDefault="00FE4ED7" w:rsidP="009925DD">
            <w:pPr>
              <w:pStyle w:val="TableHeading"/>
              <w:jc w:val="center"/>
            </w:pPr>
            <w:r w:rsidRPr="009925DD">
              <w:t xml:space="preserve">Specified </w:t>
            </w:r>
            <w:r w:rsidR="00344C19" w:rsidRPr="009925DD">
              <w:t>r</w:t>
            </w:r>
            <w:r w:rsidRPr="009925DD">
              <w:t>ate</w:t>
            </w:r>
            <w:r w:rsidR="00344C19">
              <w:t xml:space="preserve"> </w:t>
            </w:r>
            <w:r w:rsidRPr="009925DD">
              <w:t xml:space="preserve">per </w:t>
            </w:r>
            <w:r w:rsidR="00344C19" w:rsidRPr="009925DD">
              <w:t>k</w:t>
            </w:r>
            <w:r w:rsidRPr="009925DD">
              <w:t>ilometre</w:t>
            </w:r>
          </w:p>
        </w:tc>
        <w:tc>
          <w:tcPr>
            <w:tcW w:w="2694" w:type="dxa"/>
            <w:tcBorders>
              <w:top w:val="single" w:sz="6" w:space="0" w:color="auto"/>
              <w:bottom w:val="single" w:sz="12" w:space="0" w:color="auto"/>
            </w:tcBorders>
          </w:tcPr>
          <w:p w14:paraId="2513BB62" w14:textId="77777777" w:rsidR="00FE4ED7" w:rsidRPr="009925DD" w:rsidRDefault="00FE4ED7" w:rsidP="009925DD">
            <w:pPr>
              <w:pStyle w:val="TableHeading"/>
              <w:jc w:val="center"/>
            </w:pPr>
            <w:r w:rsidRPr="009925DD">
              <w:t>Instrument/Notice</w:t>
            </w:r>
          </w:p>
        </w:tc>
      </w:tr>
      <w:tr w:rsidR="00FE4ED7" w:rsidRPr="00B516E3" w14:paraId="6EE6F750" w14:textId="77777777" w:rsidTr="001746E3">
        <w:tc>
          <w:tcPr>
            <w:tcW w:w="709" w:type="dxa"/>
            <w:tcBorders>
              <w:top w:val="single" w:sz="6" w:space="0" w:color="auto"/>
            </w:tcBorders>
          </w:tcPr>
          <w:p w14:paraId="3C85BE49" w14:textId="77777777" w:rsidR="00FE4ED7" w:rsidRPr="009925DD" w:rsidRDefault="00FE4ED7" w:rsidP="00B516E3">
            <w:pPr>
              <w:pStyle w:val="Tabletext"/>
              <w:numPr>
                <w:ilvl w:val="0"/>
                <w:numId w:val="15"/>
              </w:numPr>
            </w:pPr>
          </w:p>
        </w:tc>
        <w:tc>
          <w:tcPr>
            <w:tcW w:w="1985" w:type="dxa"/>
            <w:tcBorders>
              <w:top w:val="single" w:sz="6" w:space="0" w:color="auto"/>
            </w:tcBorders>
          </w:tcPr>
          <w:p w14:paraId="71E1C14C" w14:textId="77777777" w:rsidR="002F75C1" w:rsidRPr="009925DD" w:rsidRDefault="00FE4ED7" w:rsidP="00B516E3">
            <w:pPr>
              <w:pStyle w:val="Tabletext"/>
            </w:pPr>
            <w:r w:rsidRPr="009925DD">
              <w:t xml:space="preserve">1 July 2008 to </w:t>
            </w:r>
            <w:r w:rsidR="002F75C1" w:rsidRPr="009925DD">
              <w:t xml:space="preserve">the day the </w:t>
            </w:r>
            <w:r w:rsidR="002F75C1" w:rsidRPr="009925DD">
              <w:rPr>
                <w:i/>
              </w:rPr>
              <w:t xml:space="preserve">Seafarers Rehabilitation and Compensation (Specified Rate per </w:t>
            </w:r>
            <w:r w:rsidR="000D222A">
              <w:rPr>
                <w:i/>
              </w:rPr>
              <w:t>Kilometre) Instrument 2019</w:t>
            </w:r>
            <w:r w:rsidR="002F75C1" w:rsidRPr="009925DD">
              <w:t xml:space="preserve"> is registered on the Federal Register of Legislation</w:t>
            </w:r>
          </w:p>
        </w:tc>
        <w:tc>
          <w:tcPr>
            <w:tcW w:w="1559" w:type="dxa"/>
            <w:tcBorders>
              <w:top w:val="single" w:sz="12" w:space="0" w:color="auto"/>
            </w:tcBorders>
          </w:tcPr>
          <w:p w14:paraId="7CC1708D" w14:textId="77777777" w:rsidR="00FE4ED7" w:rsidRPr="009925DD" w:rsidRDefault="00FE4ED7" w:rsidP="009925DD">
            <w:pPr>
              <w:pStyle w:val="Tabletext"/>
              <w:jc w:val="center"/>
            </w:pPr>
            <w:r w:rsidRPr="009925DD">
              <w:t>28(6A)(b), 49(6B)(b), 50(2B)(b), 66(4B) and 83A(5)</w:t>
            </w:r>
          </w:p>
        </w:tc>
        <w:tc>
          <w:tcPr>
            <w:tcW w:w="1984" w:type="dxa"/>
            <w:tcBorders>
              <w:top w:val="single" w:sz="12" w:space="0" w:color="auto"/>
            </w:tcBorders>
          </w:tcPr>
          <w:p w14:paraId="2407B973" w14:textId="77777777" w:rsidR="00FE4ED7" w:rsidRPr="009925DD" w:rsidRDefault="00FE4ED7" w:rsidP="009925DD">
            <w:pPr>
              <w:pStyle w:val="Tabletext"/>
              <w:jc w:val="center"/>
            </w:pPr>
            <w:r w:rsidRPr="009925DD">
              <w:t>$0.60</w:t>
            </w:r>
          </w:p>
        </w:tc>
        <w:tc>
          <w:tcPr>
            <w:tcW w:w="2694" w:type="dxa"/>
            <w:tcBorders>
              <w:top w:val="single" w:sz="12" w:space="0" w:color="auto"/>
            </w:tcBorders>
          </w:tcPr>
          <w:p w14:paraId="57623DBA" w14:textId="77777777" w:rsidR="00FE4ED7" w:rsidRPr="009925DD" w:rsidRDefault="00FE4ED7" w:rsidP="009925DD">
            <w:pPr>
              <w:pStyle w:val="Tabletext"/>
              <w:rPr>
                <w:bCs/>
              </w:rPr>
            </w:pPr>
            <w:r w:rsidRPr="009925DD">
              <w:rPr>
                <w:i/>
              </w:rPr>
              <w:t>Seafarers Rehabilitation and Compensation (Specified Rate per Kilometre) Notice 2008 (1)</w:t>
            </w:r>
            <w:r w:rsidRPr="009925DD">
              <w:t xml:space="preserve"> </w:t>
            </w:r>
            <w:r w:rsidRPr="009925DD">
              <w:rPr>
                <w:rStyle w:val="OPCCharBase"/>
              </w:rPr>
              <w:t>(</w:t>
            </w:r>
            <w:r w:rsidRPr="009925DD">
              <w:rPr>
                <w:rStyle w:val="legsubtitle1"/>
                <w:b w:val="0"/>
              </w:rPr>
              <w:t>F2008L02333)</w:t>
            </w:r>
          </w:p>
        </w:tc>
      </w:tr>
      <w:tr w:rsidR="00FE4ED7" w:rsidRPr="00B516E3" w14:paraId="0F1FCDF8" w14:textId="77777777" w:rsidTr="001746E3">
        <w:tc>
          <w:tcPr>
            <w:tcW w:w="709" w:type="dxa"/>
          </w:tcPr>
          <w:p w14:paraId="2DAAA3BC" w14:textId="77777777" w:rsidR="00FE4ED7" w:rsidRPr="009925DD" w:rsidRDefault="00FE4ED7" w:rsidP="00B516E3">
            <w:pPr>
              <w:pStyle w:val="Tabletext"/>
              <w:numPr>
                <w:ilvl w:val="0"/>
                <w:numId w:val="15"/>
              </w:numPr>
            </w:pPr>
          </w:p>
        </w:tc>
        <w:tc>
          <w:tcPr>
            <w:tcW w:w="1985" w:type="dxa"/>
          </w:tcPr>
          <w:p w14:paraId="06583DE4" w14:textId="77777777" w:rsidR="00FE4ED7" w:rsidRPr="009925DD" w:rsidRDefault="00FE4ED7" w:rsidP="00B516E3">
            <w:pPr>
              <w:pStyle w:val="Tabletext"/>
            </w:pPr>
            <w:r w:rsidRPr="009925DD">
              <w:t>19 December 2005 to 30 June 2008</w:t>
            </w:r>
          </w:p>
        </w:tc>
        <w:tc>
          <w:tcPr>
            <w:tcW w:w="1559" w:type="dxa"/>
          </w:tcPr>
          <w:p w14:paraId="024AF819" w14:textId="77777777" w:rsidR="00FE4ED7" w:rsidRPr="009925DD" w:rsidRDefault="00FE4ED7" w:rsidP="009925DD">
            <w:pPr>
              <w:pStyle w:val="Tabletext"/>
              <w:jc w:val="center"/>
              <w:rPr>
                <w:highlight w:val="yellow"/>
              </w:rPr>
            </w:pPr>
            <w:r w:rsidRPr="009925DD">
              <w:t>28(6A)(b), 49(6B)(b), 50(2B)(b), 66(4B) and 83A(5)</w:t>
            </w:r>
          </w:p>
        </w:tc>
        <w:tc>
          <w:tcPr>
            <w:tcW w:w="1984" w:type="dxa"/>
          </w:tcPr>
          <w:p w14:paraId="111C8744" w14:textId="77777777" w:rsidR="00FE4ED7" w:rsidRPr="009925DD" w:rsidRDefault="00FE4ED7" w:rsidP="009925DD">
            <w:pPr>
              <w:pStyle w:val="Tabletext"/>
              <w:jc w:val="center"/>
              <w:rPr>
                <w:highlight w:val="yellow"/>
              </w:rPr>
            </w:pPr>
            <w:r w:rsidRPr="009925DD">
              <w:t>$0.47</w:t>
            </w:r>
          </w:p>
        </w:tc>
        <w:tc>
          <w:tcPr>
            <w:tcW w:w="2694" w:type="dxa"/>
          </w:tcPr>
          <w:p w14:paraId="0E7DE751" w14:textId="77777777" w:rsidR="00FE4ED7" w:rsidRPr="009925DD" w:rsidRDefault="00FE4ED7" w:rsidP="009925DD">
            <w:pPr>
              <w:spacing w:before="60" w:line="240" w:lineRule="atLeast"/>
              <w:rPr>
                <w:rFonts w:ascii="Times New Roman" w:hAnsi="Times New Roman" w:cs="Times New Roman"/>
                <w:i/>
                <w:sz w:val="20"/>
                <w:szCs w:val="20"/>
              </w:rPr>
            </w:pPr>
            <w:r w:rsidRPr="009925DD">
              <w:rPr>
                <w:rFonts w:ascii="Times New Roman" w:hAnsi="Times New Roman" w:cs="Times New Roman"/>
                <w:i/>
                <w:sz w:val="20"/>
                <w:szCs w:val="20"/>
              </w:rPr>
              <w:t>Seafarers Rehabilitation and Compensation (Specified Rate per Kilometre) Notice 2005 (1)</w:t>
            </w:r>
            <w:r w:rsidR="002F75C1" w:rsidRPr="009925DD">
              <w:rPr>
                <w:rFonts w:ascii="Times New Roman" w:hAnsi="Times New Roman" w:cs="Times New Roman"/>
                <w:i/>
                <w:sz w:val="20"/>
                <w:szCs w:val="20"/>
              </w:rPr>
              <w:t xml:space="preserve"> </w:t>
            </w:r>
            <w:r w:rsidRPr="009925DD">
              <w:rPr>
                <w:rFonts w:ascii="Times New Roman" w:hAnsi="Times New Roman" w:cs="Times New Roman"/>
                <w:sz w:val="20"/>
                <w:szCs w:val="20"/>
              </w:rPr>
              <w:t>(F2005L04065)</w:t>
            </w:r>
          </w:p>
        </w:tc>
      </w:tr>
      <w:tr w:rsidR="00FE4ED7" w:rsidRPr="00B516E3" w14:paraId="2C8880AC" w14:textId="77777777" w:rsidTr="001746E3">
        <w:tc>
          <w:tcPr>
            <w:tcW w:w="709" w:type="dxa"/>
          </w:tcPr>
          <w:p w14:paraId="522D57C4" w14:textId="77777777" w:rsidR="00FE4ED7" w:rsidRPr="009925DD" w:rsidRDefault="00FE4ED7" w:rsidP="00B516E3">
            <w:pPr>
              <w:pStyle w:val="Tabletext"/>
              <w:numPr>
                <w:ilvl w:val="0"/>
                <w:numId w:val="15"/>
              </w:numPr>
            </w:pPr>
          </w:p>
        </w:tc>
        <w:tc>
          <w:tcPr>
            <w:tcW w:w="1985" w:type="dxa"/>
          </w:tcPr>
          <w:p w14:paraId="308CEEA5" w14:textId="77777777" w:rsidR="00FE4ED7" w:rsidRPr="009925DD" w:rsidRDefault="00FE4ED7" w:rsidP="00B516E3">
            <w:pPr>
              <w:pStyle w:val="Tabletext"/>
            </w:pPr>
            <w:r w:rsidRPr="009925DD">
              <w:t>10 March 2004 to 18 December 2005</w:t>
            </w:r>
          </w:p>
        </w:tc>
        <w:tc>
          <w:tcPr>
            <w:tcW w:w="1559" w:type="dxa"/>
          </w:tcPr>
          <w:p w14:paraId="29ABEDC2" w14:textId="77777777" w:rsidR="00FE4ED7" w:rsidRPr="009925DD" w:rsidRDefault="00FE4ED7" w:rsidP="009925DD">
            <w:pPr>
              <w:pStyle w:val="Tabletext"/>
              <w:jc w:val="center"/>
            </w:pPr>
            <w:r w:rsidRPr="009925DD">
              <w:t>28(6A)(b), 49(6B)(b), 50(2B)(b), 66(4B) and 83A(5)</w:t>
            </w:r>
          </w:p>
        </w:tc>
        <w:tc>
          <w:tcPr>
            <w:tcW w:w="1984" w:type="dxa"/>
          </w:tcPr>
          <w:p w14:paraId="43CCFFB2" w14:textId="77777777" w:rsidR="00FE4ED7" w:rsidRPr="009925DD" w:rsidRDefault="00FE4ED7" w:rsidP="009925DD">
            <w:pPr>
              <w:pStyle w:val="Tabletext"/>
              <w:jc w:val="center"/>
            </w:pPr>
            <w:r w:rsidRPr="009925DD">
              <w:t>$0.47</w:t>
            </w:r>
          </w:p>
        </w:tc>
        <w:tc>
          <w:tcPr>
            <w:tcW w:w="2694" w:type="dxa"/>
          </w:tcPr>
          <w:p w14:paraId="2A7A2FCC" w14:textId="77777777" w:rsidR="00FE4ED7" w:rsidRPr="009925DD" w:rsidRDefault="00FE4ED7" w:rsidP="009925DD">
            <w:pPr>
              <w:spacing w:before="60" w:line="240" w:lineRule="atLeast"/>
              <w:rPr>
                <w:rFonts w:ascii="Times New Roman" w:hAnsi="Times New Roman" w:cs="Times New Roman"/>
                <w:color w:val="000000"/>
                <w:sz w:val="20"/>
                <w:szCs w:val="20"/>
              </w:rPr>
            </w:pPr>
            <w:r w:rsidRPr="009925DD">
              <w:rPr>
                <w:rFonts w:ascii="Times New Roman" w:hAnsi="Times New Roman" w:cs="Times New Roman"/>
                <w:color w:val="000000"/>
                <w:sz w:val="20"/>
                <w:szCs w:val="20"/>
              </w:rPr>
              <w:t xml:space="preserve">Notice No 01/2004 – Change to Mileage Rate in Commonwealth Gazette No. GN 10 on 10 March 2004 </w:t>
            </w:r>
          </w:p>
        </w:tc>
      </w:tr>
      <w:tr w:rsidR="00FE4ED7" w:rsidRPr="00B516E3" w14:paraId="01AF8B6C" w14:textId="77777777" w:rsidTr="001746E3">
        <w:tc>
          <w:tcPr>
            <w:tcW w:w="709" w:type="dxa"/>
          </w:tcPr>
          <w:p w14:paraId="0BBD1EFA" w14:textId="77777777" w:rsidR="00FE4ED7" w:rsidRPr="009925DD" w:rsidRDefault="00FE4ED7" w:rsidP="00B516E3">
            <w:pPr>
              <w:pStyle w:val="Tabletext"/>
              <w:numPr>
                <w:ilvl w:val="0"/>
                <w:numId w:val="15"/>
              </w:numPr>
            </w:pPr>
          </w:p>
        </w:tc>
        <w:tc>
          <w:tcPr>
            <w:tcW w:w="1985" w:type="dxa"/>
          </w:tcPr>
          <w:p w14:paraId="715A2426" w14:textId="77777777" w:rsidR="00FE4ED7" w:rsidRPr="009925DD" w:rsidRDefault="00FE4ED7" w:rsidP="009925DD">
            <w:pPr>
              <w:pStyle w:val="Tabletext"/>
            </w:pPr>
            <w:r w:rsidRPr="009925DD">
              <w:t xml:space="preserve">1 July 2002 to 9 March 2004 </w:t>
            </w:r>
          </w:p>
        </w:tc>
        <w:tc>
          <w:tcPr>
            <w:tcW w:w="1559" w:type="dxa"/>
          </w:tcPr>
          <w:p w14:paraId="2A29C303" w14:textId="77777777" w:rsidR="00FE4ED7" w:rsidRPr="009925DD" w:rsidRDefault="00FE4ED7" w:rsidP="009925DD">
            <w:pPr>
              <w:spacing w:before="60" w:line="240" w:lineRule="atLeast"/>
              <w:jc w:val="center"/>
              <w:rPr>
                <w:rFonts w:ascii="Times New Roman" w:hAnsi="Times New Roman" w:cs="Times New Roman"/>
                <w:sz w:val="20"/>
                <w:szCs w:val="20"/>
                <w:highlight w:val="yellow"/>
              </w:rPr>
            </w:pPr>
            <w:r w:rsidRPr="009925DD">
              <w:rPr>
                <w:rFonts w:ascii="Times New Roman" w:hAnsi="Times New Roman" w:cs="Times New Roman"/>
                <w:sz w:val="20"/>
                <w:szCs w:val="20"/>
              </w:rPr>
              <w:t>28(6A)(b), 49(6B)(b), 50(2B)(b), 66(4B) and 83A(5)</w:t>
            </w:r>
          </w:p>
        </w:tc>
        <w:tc>
          <w:tcPr>
            <w:tcW w:w="1984" w:type="dxa"/>
          </w:tcPr>
          <w:p w14:paraId="1F2B11A6" w14:textId="77777777" w:rsidR="00FE4ED7" w:rsidRPr="009925DD" w:rsidRDefault="00FE4ED7" w:rsidP="009925DD">
            <w:pPr>
              <w:spacing w:before="60" w:line="240" w:lineRule="atLeast"/>
              <w:jc w:val="center"/>
              <w:rPr>
                <w:rFonts w:ascii="Times New Roman" w:eastAsia="Times New Roman" w:hAnsi="Times New Roman" w:cs="Times New Roman"/>
                <w:sz w:val="20"/>
                <w:szCs w:val="20"/>
                <w:highlight w:val="yellow"/>
                <w:lang w:eastAsia="en-AU"/>
              </w:rPr>
            </w:pPr>
            <w:r w:rsidRPr="009925DD">
              <w:rPr>
                <w:rFonts w:ascii="Times New Roman" w:hAnsi="Times New Roman" w:cs="Times New Roman"/>
                <w:sz w:val="20"/>
                <w:szCs w:val="20"/>
              </w:rPr>
              <w:t>$0.42</w:t>
            </w:r>
          </w:p>
        </w:tc>
        <w:tc>
          <w:tcPr>
            <w:tcW w:w="2694" w:type="dxa"/>
          </w:tcPr>
          <w:p w14:paraId="5250D2B0" w14:textId="77777777" w:rsidR="00FE4ED7" w:rsidRPr="009925DD" w:rsidRDefault="00FE4ED7" w:rsidP="009925DD">
            <w:pPr>
              <w:spacing w:before="60" w:line="240" w:lineRule="atLeast"/>
              <w:rPr>
                <w:rFonts w:ascii="Times New Roman" w:eastAsia="Times New Roman" w:hAnsi="Times New Roman" w:cs="Times New Roman"/>
                <w:sz w:val="20"/>
                <w:szCs w:val="20"/>
                <w:highlight w:val="yellow"/>
                <w:lang w:eastAsia="en-AU"/>
              </w:rPr>
            </w:pPr>
            <w:r w:rsidRPr="009925DD">
              <w:rPr>
                <w:rFonts w:ascii="Times New Roman" w:hAnsi="Times New Roman" w:cs="Times New Roman"/>
                <w:color w:val="000000"/>
                <w:sz w:val="20"/>
                <w:szCs w:val="20"/>
              </w:rPr>
              <w:t>Notice No 02/2002 – Advice on Mileage Rate</w:t>
            </w:r>
          </w:p>
        </w:tc>
      </w:tr>
      <w:tr w:rsidR="00FE4ED7" w:rsidRPr="00B516E3" w14:paraId="7A3454AE" w14:textId="77777777" w:rsidTr="001746E3">
        <w:tc>
          <w:tcPr>
            <w:tcW w:w="709" w:type="dxa"/>
          </w:tcPr>
          <w:p w14:paraId="46846DC6" w14:textId="77777777" w:rsidR="00FE4ED7" w:rsidRPr="009925DD" w:rsidRDefault="00FE4ED7" w:rsidP="00B516E3">
            <w:pPr>
              <w:pStyle w:val="Tabletext"/>
              <w:numPr>
                <w:ilvl w:val="0"/>
                <w:numId w:val="15"/>
              </w:numPr>
            </w:pPr>
          </w:p>
        </w:tc>
        <w:tc>
          <w:tcPr>
            <w:tcW w:w="1985" w:type="dxa"/>
          </w:tcPr>
          <w:p w14:paraId="61741FF8" w14:textId="77777777" w:rsidR="00FE4ED7" w:rsidRPr="009925DD" w:rsidRDefault="00FE4ED7" w:rsidP="00B516E3">
            <w:pPr>
              <w:pStyle w:val="Tabletext"/>
            </w:pPr>
            <w:r w:rsidRPr="009925DD">
              <w:t>1 July 2001 to 30 June 2002</w:t>
            </w:r>
          </w:p>
        </w:tc>
        <w:tc>
          <w:tcPr>
            <w:tcW w:w="1559" w:type="dxa"/>
          </w:tcPr>
          <w:p w14:paraId="3EFB522C" w14:textId="77777777" w:rsidR="00FE4ED7" w:rsidRPr="009925DD" w:rsidRDefault="00FE4ED7" w:rsidP="009925DD">
            <w:pPr>
              <w:spacing w:before="60" w:line="240" w:lineRule="atLeast"/>
              <w:jc w:val="center"/>
              <w:rPr>
                <w:rFonts w:ascii="Times New Roman" w:hAnsi="Times New Roman" w:cs="Times New Roman"/>
                <w:sz w:val="20"/>
                <w:szCs w:val="20"/>
                <w:highlight w:val="yellow"/>
              </w:rPr>
            </w:pPr>
            <w:r w:rsidRPr="009925DD">
              <w:rPr>
                <w:rFonts w:ascii="Times New Roman" w:hAnsi="Times New Roman" w:cs="Times New Roman"/>
                <w:sz w:val="20"/>
                <w:szCs w:val="20"/>
              </w:rPr>
              <w:t>28(6A)(b), 49(6B)(b), 50(2B)(b), 66(4B) and 83A(5)</w:t>
            </w:r>
          </w:p>
        </w:tc>
        <w:tc>
          <w:tcPr>
            <w:tcW w:w="1984" w:type="dxa"/>
          </w:tcPr>
          <w:p w14:paraId="4A8C3D19" w14:textId="77777777" w:rsidR="00FE4ED7" w:rsidRPr="009925DD" w:rsidRDefault="00FE4ED7" w:rsidP="009925DD">
            <w:pPr>
              <w:spacing w:before="60" w:line="240" w:lineRule="atLeast"/>
              <w:jc w:val="center"/>
              <w:rPr>
                <w:rFonts w:ascii="Times New Roman" w:eastAsia="Times New Roman" w:hAnsi="Times New Roman" w:cs="Times New Roman"/>
                <w:sz w:val="20"/>
                <w:szCs w:val="20"/>
                <w:highlight w:val="yellow"/>
                <w:lang w:eastAsia="en-AU"/>
              </w:rPr>
            </w:pPr>
            <w:r w:rsidRPr="009925DD">
              <w:rPr>
                <w:rFonts w:ascii="Times New Roman" w:hAnsi="Times New Roman" w:cs="Times New Roman"/>
                <w:sz w:val="20"/>
                <w:szCs w:val="20"/>
              </w:rPr>
              <w:t>$0.42</w:t>
            </w:r>
          </w:p>
        </w:tc>
        <w:tc>
          <w:tcPr>
            <w:tcW w:w="2694" w:type="dxa"/>
          </w:tcPr>
          <w:p w14:paraId="0110BD21" w14:textId="77777777" w:rsidR="00FE4ED7" w:rsidRPr="009925DD" w:rsidRDefault="00FE4ED7" w:rsidP="009925DD">
            <w:pPr>
              <w:spacing w:before="60" w:line="240" w:lineRule="atLeast"/>
              <w:rPr>
                <w:rFonts w:ascii="Times New Roman" w:eastAsia="Times New Roman" w:hAnsi="Times New Roman" w:cs="Times New Roman"/>
                <w:sz w:val="20"/>
                <w:szCs w:val="20"/>
                <w:highlight w:val="yellow"/>
                <w:lang w:eastAsia="en-AU"/>
              </w:rPr>
            </w:pPr>
            <w:r w:rsidRPr="009925DD">
              <w:rPr>
                <w:rFonts w:ascii="Times New Roman" w:hAnsi="Times New Roman" w:cs="Times New Roman"/>
                <w:color w:val="000000"/>
                <w:sz w:val="20"/>
                <w:szCs w:val="20"/>
              </w:rPr>
              <w:t>Notice No 05/2001 – Change to Mileage Rate</w:t>
            </w:r>
          </w:p>
        </w:tc>
      </w:tr>
      <w:tr w:rsidR="00FE4ED7" w:rsidRPr="00B516E3" w14:paraId="1D9F14E2" w14:textId="77777777" w:rsidTr="001746E3">
        <w:tc>
          <w:tcPr>
            <w:tcW w:w="709" w:type="dxa"/>
            <w:tcBorders>
              <w:bottom w:val="single" w:sz="4" w:space="0" w:color="auto"/>
            </w:tcBorders>
          </w:tcPr>
          <w:p w14:paraId="44A1922B" w14:textId="77777777" w:rsidR="00FE4ED7" w:rsidRPr="009925DD" w:rsidRDefault="00FE4ED7" w:rsidP="00B516E3">
            <w:pPr>
              <w:pStyle w:val="Tabletext"/>
              <w:numPr>
                <w:ilvl w:val="0"/>
                <w:numId w:val="15"/>
              </w:numPr>
            </w:pPr>
          </w:p>
        </w:tc>
        <w:tc>
          <w:tcPr>
            <w:tcW w:w="1985" w:type="dxa"/>
            <w:tcBorders>
              <w:bottom w:val="single" w:sz="4" w:space="0" w:color="auto"/>
            </w:tcBorders>
          </w:tcPr>
          <w:p w14:paraId="057163DA" w14:textId="77777777" w:rsidR="00FE4ED7" w:rsidRPr="009925DD" w:rsidRDefault="00FE4ED7" w:rsidP="00B516E3">
            <w:pPr>
              <w:pStyle w:val="Tabletext"/>
            </w:pPr>
            <w:r w:rsidRPr="009925DD">
              <w:t>17 January 2001 to 30 June 2001</w:t>
            </w:r>
          </w:p>
        </w:tc>
        <w:tc>
          <w:tcPr>
            <w:tcW w:w="1559" w:type="dxa"/>
            <w:tcBorders>
              <w:bottom w:val="single" w:sz="4" w:space="0" w:color="auto"/>
            </w:tcBorders>
          </w:tcPr>
          <w:p w14:paraId="6A1048B5" w14:textId="77777777" w:rsidR="00FE4ED7" w:rsidRPr="009925DD" w:rsidRDefault="00FE4ED7" w:rsidP="009925DD">
            <w:pPr>
              <w:spacing w:before="60" w:line="240" w:lineRule="atLeast"/>
              <w:jc w:val="center"/>
              <w:rPr>
                <w:rFonts w:ascii="Times New Roman" w:hAnsi="Times New Roman" w:cs="Times New Roman"/>
                <w:sz w:val="20"/>
                <w:szCs w:val="20"/>
                <w:highlight w:val="yellow"/>
              </w:rPr>
            </w:pPr>
            <w:r w:rsidRPr="009925DD">
              <w:rPr>
                <w:rFonts w:ascii="Times New Roman" w:hAnsi="Times New Roman" w:cs="Times New Roman"/>
                <w:sz w:val="20"/>
                <w:szCs w:val="20"/>
              </w:rPr>
              <w:t>28(6A)(b), 49(6B)(b), 50(2B)(b), 66(4B) and 83A(5)</w:t>
            </w:r>
          </w:p>
        </w:tc>
        <w:tc>
          <w:tcPr>
            <w:tcW w:w="1984" w:type="dxa"/>
            <w:tcBorders>
              <w:bottom w:val="single" w:sz="4" w:space="0" w:color="auto"/>
            </w:tcBorders>
          </w:tcPr>
          <w:p w14:paraId="0DC22F88" w14:textId="77777777" w:rsidR="00FE4ED7" w:rsidRPr="009925DD" w:rsidRDefault="00FE4ED7" w:rsidP="009925DD">
            <w:pPr>
              <w:spacing w:before="60" w:line="240" w:lineRule="atLeast"/>
              <w:jc w:val="center"/>
              <w:rPr>
                <w:rFonts w:ascii="Times New Roman" w:eastAsia="Times New Roman" w:hAnsi="Times New Roman" w:cs="Times New Roman"/>
                <w:sz w:val="20"/>
                <w:szCs w:val="20"/>
                <w:highlight w:val="yellow"/>
                <w:lang w:eastAsia="en-AU"/>
              </w:rPr>
            </w:pPr>
            <w:r w:rsidRPr="009925DD">
              <w:rPr>
                <w:rFonts w:ascii="Times New Roman" w:hAnsi="Times New Roman" w:cs="Times New Roman"/>
                <w:sz w:val="20"/>
                <w:szCs w:val="20"/>
              </w:rPr>
              <w:t>$0.34</w:t>
            </w:r>
          </w:p>
        </w:tc>
        <w:tc>
          <w:tcPr>
            <w:tcW w:w="2694" w:type="dxa"/>
            <w:tcBorders>
              <w:bottom w:val="single" w:sz="4" w:space="0" w:color="auto"/>
            </w:tcBorders>
          </w:tcPr>
          <w:p w14:paraId="6DA63DD5" w14:textId="77777777" w:rsidR="00FE4ED7" w:rsidRPr="009925DD" w:rsidRDefault="00FE4ED7" w:rsidP="009925DD">
            <w:pPr>
              <w:spacing w:before="60" w:line="240" w:lineRule="atLeast"/>
              <w:rPr>
                <w:rFonts w:ascii="Times New Roman" w:hAnsi="Times New Roman" w:cs="Times New Roman"/>
                <w:color w:val="000000"/>
                <w:sz w:val="20"/>
                <w:szCs w:val="20"/>
              </w:rPr>
            </w:pPr>
            <w:r w:rsidRPr="009925DD">
              <w:rPr>
                <w:rFonts w:ascii="Times New Roman" w:hAnsi="Times New Roman" w:cs="Times New Roman"/>
                <w:color w:val="000000"/>
                <w:sz w:val="20"/>
                <w:szCs w:val="20"/>
              </w:rPr>
              <w:t>Notice No 01/2001 – Change to Mileage Rate in Commonwealth Gazette No. GN 2 on 17 January 2001</w:t>
            </w:r>
          </w:p>
        </w:tc>
      </w:tr>
      <w:tr w:rsidR="00FE4ED7" w:rsidRPr="00B516E3" w14:paraId="79CFFEB9" w14:textId="77777777" w:rsidTr="001746E3">
        <w:tc>
          <w:tcPr>
            <w:tcW w:w="709" w:type="dxa"/>
            <w:tcBorders>
              <w:top w:val="single" w:sz="4" w:space="0" w:color="auto"/>
              <w:bottom w:val="single" w:sz="4" w:space="0" w:color="auto"/>
            </w:tcBorders>
          </w:tcPr>
          <w:p w14:paraId="7AF0E95B" w14:textId="77777777" w:rsidR="00FE4ED7" w:rsidRPr="009925DD" w:rsidRDefault="00FE4ED7" w:rsidP="00B516E3">
            <w:pPr>
              <w:pStyle w:val="Tabletext"/>
              <w:numPr>
                <w:ilvl w:val="0"/>
                <w:numId w:val="15"/>
              </w:numPr>
            </w:pPr>
          </w:p>
        </w:tc>
        <w:tc>
          <w:tcPr>
            <w:tcW w:w="1985" w:type="dxa"/>
            <w:tcBorders>
              <w:top w:val="single" w:sz="4" w:space="0" w:color="auto"/>
              <w:bottom w:val="single" w:sz="4" w:space="0" w:color="auto"/>
            </w:tcBorders>
          </w:tcPr>
          <w:p w14:paraId="07353E4D" w14:textId="77777777" w:rsidR="00FE4ED7" w:rsidRPr="009925DD" w:rsidRDefault="00FE4ED7" w:rsidP="009925DD">
            <w:pPr>
              <w:pStyle w:val="Tabletext"/>
            </w:pPr>
            <w:r w:rsidRPr="009925DD">
              <w:t xml:space="preserve">1 July 1997 to 16 January 2001 </w:t>
            </w:r>
          </w:p>
        </w:tc>
        <w:tc>
          <w:tcPr>
            <w:tcW w:w="1559" w:type="dxa"/>
            <w:tcBorders>
              <w:top w:val="single" w:sz="4" w:space="0" w:color="auto"/>
              <w:bottom w:val="single" w:sz="4" w:space="0" w:color="auto"/>
            </w:tcBorders>
          </w:tcPr>
          <w:p w14:paraId="20A3B55D" w14:textId="77777777" w:rsidR="00FE4ED7" w:rsidRPr="009925DD" w:rsidRDefault="00FE4ED7" w:rsidP="009925DD">
            <w:pPr>
              <w:spacing w:before="60" w:line="240" w:lineRule="atLeast"/>
              <w:jc w:val="center"/>
              <w:rPr>
                <w:rFonts w:ascii="Times New Roman" w:hAnsi="Times New Roman" w:cs="Times New Roman"/>
                <w:sz w:val="20"/>
                <w:szCs w:val="20"/>
              </w:rPr>
            </w:pPr>
            <w:r w:rsidRPr="009925DD">
              <w:rPr>
                <w:rFonts w:ascii="Times New Roman" w:hAnsi="Times New Roman" w:cs="Times New Roman"/>
                <w:sz w:val="20"/>
                <w:szCs w:val="20"/>
              </w:rPr>
              <w:t>66(4B) and 83A(5)</w:t>
            </w:r>
          </w:p>
        </w:tc>
        <w:tc>
          <w:tcPr>
            <w:tcW w:w="1984" w:type="dxa"/>
            <w:tcBorders>
              <w:top w:val="single" w:sz="4" w:space="0" w:color="auto"/>
              <w:bottom w:val="single" w:sz="4" w:space="0" w:color="auto"/>
            </w:tcBorders>
          </w:tcPr>
          <w:p w14:paraId="43717CC3" w14:textId="77777777" w:rsidR="00FE4ED7" w:rsidRPr="009925DD" w:rsidRDefault="00FE4ED7" w:rsidP="009925DD">
            <w:pPr>
              <w:spacing w:before="60" w:line="240" w:lineRule="atLeast"/>
              <w:jc w:val="center"/>
              <w:rPr>
                <w:rFonts w:ascii="Times New Roman" w:eastAsia="Times New Roman" w:hAnsi="Times New Roman" w:cs="Times New Roman"/>
                <w:sz w:val="20"/>
                <w:szCs w:val="20"/>
                <w:lang w:eastAsia="en-AU"/>
              </w:rPr>
            </w:pPr>
            <w:r w:rsidRPr="009925DD">
              <w:rPr>
                <w:rFonts w:ascii="Times New Roman" w:hAnsi="Times New Roman" w:cs="Times New Roman"/>
                <w:sz w:val="20"/>
                <w:szCs w:val="20"/>
              </w:rPr>
              <w:t>$0.30</w:t>
            </w:r>
          </w:p>
        </w:tc>
        <w:tc>
          <w:tcPr>
            <w:tcW w:w="2694" w:type="dxa"/>
            <w:tcBorders>
              <w:top w:val="single" w:sz="4" w:space="0" w:color="auto"/>
              <w:bottom w:val="single" w:sz="4" w:space="0" w:color="auto"/>
            </w:tcBorders>
          </w:tcPr>
          <w:p w14:paraId="73CC25B8" w14:textId="77777777" w:rsidR="00FE4ED7" w:rsidRPr="009925DD" w:rsidRDefault="00FE4ED7" w:rsidP="009925DD">
            <w:pPr>
              <w:spacing w:before="60" w:line="240" w:lineRule="atLeast"/>
              <w:rPr>
                <w:rFonts w:ascii="Times New Roman" w:hAnsi="Times New Roman" w:cs="Times New Roman"/>
                <w:sz w:val="20"/>
                <w:szCs w:val="20"/>
              </w:rPr>
            </w:pPr>
            <w:r w:rsidRPr="009925DD">
              <w:rPr>
                <w:rFonts w:ascii="Times New Roman" w:hAnsi="Times New Roman" w:cs="Times New Roman"/>
                <w:sz w:val="20"/>
                <w:szCs w:val="20"/>
              </w:rPr>
              <w:t>Seacare Authority Notice No. 1 of 1997 in Commonwealth Gazette No. GN 24 on 18 June 1997</w:t>
            </w:r>
          </w:p>
        </w:tc>
      </w:tr>
      <w:tr w:rsidR="00FE4ED7" w:rsidRPr="00B516E3" w14:paraId="2288B9D2" w14:textId="77777777" w:rsidTr="001746E3">
        <w:tc>
          <w:tcPr>
            <w:tcW w:w="709" w:type="dxa"/>
            <w:tcBorders>
              <w:top w:val="single" w:sz="4" w:space="0" w:color="auto"/>
              <w:bottom w:val="single" w:sz="4" w:space="0" w:color="auto"/>
            </w:tcBorders>
          </w:tcPr>
          <w:p w14:paraId="3B6BFB37" w14:textId="77777777" w:rsidR="00FE4ED7" w:rsidRPr="009925DD" w:rsidRDefault="00FE4ED7" w:rsidP="00B516E3">
            <w:pPr>
              <w:pStyle w:val="Tabletext"/>
              <w:numPr>
                <w:ilvl w:val="0"/>
                <w:numId w:val="15"/>
              </w:numPr>
            </w:pPr>
          </w:p>
        </w:tc>
        <w:tc>
          <w:tcPr>
            <w:tcW w:w="1985" w:type="dxa"/>
            <w:tcBorders>
              <w:top w:val="single" w:sz="4" w:space="0" w:color="auto"/>
              <w:bottom w:val="single" w:sz="4" w:space="0" w:color="auto"/>
            </w:tcBorders>
          </w:tcPr>
          <w:p w14:paraId="38913822" w14:textId="77777777" w:rsidR="00FE4ED7" w:rsidRPr="009925DD" w:rsidRDefault="00FE4ED7" w:rsidP="009925DD">
            <w:pPr>
              <w:pStyle w:val="Tabletext"/>
            </w:pPr>
            <w:r w:rsidRPr="009925DD">
              <w:t xml:space="preserve">1 July 1995 to 30 June 1997 </w:t>
            </w:r>
          </w:p>
        </w:tc>
        <w:tc>
          <w:tcPr>
            <w:tcW w:w="1559" w:type="dxa"/>
            <w:tcBorders>
              <w:top w:val="single" w:sz="4" w:space="0" w:color="auto"/>
              <w:bottom w:val="single" w:sz="4" w:space="0" w:color="auto"/>
            </w:tcBorders>
          </w:tcPr>
          <w:p w14:paraId="3623514F" w14:textId="77777777" w:rsidR="00FE4ED7" w:rsidRPr="009925DD" w:rsidRDefault="00FE4ED7" w:rsidP="009925DD">
            <w:pPr>
              <w:spacing w:before="60" w:line="240" w:lineRule="atLeast"/>
              <w:jc w:val="center"/>
              <w:rPr>
                <w:rFonts w:ascii="Times New Roman" w:hAnsi="Times New Roman" w:cs="Times New Roman"/>
                <w:sz w:val="20"/>
                <w:szCs w:val="20"/>
              </w:rPr>
            </w:pPr>
            <w:r w:rsidRPr="009925DD">
              <w:rPr>
                <w:rFonts w:ascii="Times New Roman" w:hAnsi="Times New Roman" w:cs="Times New Roman"/>
                <w:sz w:val="20"/>
                <w:szCs w:val="20"/>
              </w:rPr>
              <w:t>28, 29 and 50</w:t>
            </w:r>
          </w:p>
        </w:tc>
        <w:tc>
          <w:tcPr>
            <w:tcW w:w="1984" w:type="dxa"/>
            <w:tcBorders>
              <w:top w:val="single" w:sz="4" w:space="0" w:color="auto"/>
              <w:bottom w:val="single" w:sz="4" w:space="0" w:color="auto"/>
            </w:tcBorders>
          </w:tcPr>
          <w:p w14:paraId="03F31F31" w14:textId="77777777" w:rsidR="00FE4ED7" w:rsidRPr="009925DD" w:rsidRDefault="00FE4ED7" w:rsidP="009925DD">
            <w:pPr>
              <w:spacing w:before="60" w:line="240" w:lineRule="atLeast"/>
              <w:jc w:val="center"/>
              <w:rPr>
                <w:rFonts w:ascii="Times New Roman" w:eastAsia="Times New Roman" w:hAnsi="Times New Roman" w:cs="Times New Roman"/>
                <w:sz w:val="20"/>
                <w:szCs w:val="20"/>
                <w:lang w:eastAsia="en-AU"/>
              </w:rPr>
            </w:pPr>
            <w:r w:rsidRPr="009925DD">
              <w:rPr>
                <w:rFonts w:ascii="Times New Roman" w:hAnsi="Times New Roman" w:cs="Times New Roman"/>
                <w:sz w:val="20"/>
                <w:szCs w:val="20"/>
              </w:rPr>
              <w:t>$0.30</w:t>
            </w:r>
          </w:p>
        </w:tc>
        <w:tc>
          <w:tcPr>
            <w:tcW w:w="2694" w:type="dxa"/>
            <w:tcBorders>
              <w:top w:val="single" w:sz="4" w:space="0" w:color="auto"/>
              <w:bottom w:val="single" w:sz="4" w:space="0" w:color="auto"/>
            </w:tcBorders>
          </w:tcPr>
          <w:p w14:paraId="210045F6" w14:textId="77777777" w:rsidR="00FE4ED7" w:rsidRPr="009925DD" w:rsidRDefault="00FE4ED7" w:rsidP="009925DD">
            <w:pPr>
              <w:spacing w:before="60" w:line="240" w:lineRule="atLeast"/>
              <w:rPr>
                <w:rFonts w:ascii="Times New Roman" w:hAnsi="Times New Roman" w:cs="Times New Roman"/>
                <w:sz w:val="20"/>
                <w:szCs w:val="20"/>
              </w:rPr>
            </w:pPr>
            <w:r w:rsidRPr="009925DD">
              <w:rPr>
                <w:rFonts w:ascii="Times New Roman" w:hAnsi="Times New Roman" w:cs="Times New Roman"/>
                <w:sz w:val="20"/>
                <w:szCs w:val="20"/>
              </w:rPr>
              <w:t>Notice No 4/1995 – Rate of Travel Allowance for Private Vehicles Used By Seafarers for Rehabilitation and Compensation Related Journeys</w:t>
            </w:r>
          </w:p>
        </w:tc>
      </w:tr>
    </w:tbl>
    <w:p w14:paraId="302E9363" w14:textId="7109B091" w:rsidR="00CB6AA4" w:rsidRPr="00A007B6" w:rsidRDefault="00CB6AA4" w:rsidP="00A007B6">
      <w:pPr>
        <w:spacing w:after="220" w:line="240" w:lineRule="auto"/>
        <w:contextualSpacing/>
        <w:rPr>
          <w:rFonts w:ascii="Times New Roman" w:hAnsi="Times New Roman" w:cs="Times New Roman"/>
        </w:rPr>
      </w:pPr>
    </w:p>
    <w:sectPr w:rsidR="00CB6AA4" w:rsidRPr="00A007B6" w:rsidSect="00E73EF2">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56776" w14:textId="77777777" w:rsidR="00ED160D" w:rsidRDefault="00ED160D" w:rsidP="002F5E5A">
      <w:pPr>
        <w:spacing w:after="0" w:line="240" w:lineRule="auto"/>
      </w:pPr>
      <w:r>
        <w:separator/>
      </w:r>
    </w:p>
  </w:endnote>
  <w:endnote w:type="continuationSeparator" w:id="0">
    <w:p w14:paraId="53F03026" w14:textId="77777777" w:rsidR="00ED160D" w:rsidRDefault="00ED160D"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19533996" w14:textId="592982A3"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F11695">
          <w:rPr>
            <w:rFonts w:ascii="Times New Roman" w:hAnsi="Times New Roman" w:cs="Times New Roman"/>
            <w:noProof/>
          </w:rPr>
          <w:t>5</w:t>
        </w:r>
        <w:r w:rsidRPr="006B03DD">
          <w:rPr>
            <w:rFonts w:ascii="Times New Roman" w:hAnsi="Times New Roman" w:cs="Times New Roman"/>
            <w:noProof/>
          </w:rPr>
          <w:fldChar w:fldCharType="end"/>
        </w:r>
      </w:p>
    </w:sdtContent>
  </w:sdt>
  <w:p w14:paraId="28D4EECF"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8D4F" w14:textId="77777777" w:rsidR="00ED160D" w:rsidRDefault="00ED160D" w:rsidP="002F5E5A">
      <w:pPr>
        <w:spacing w:after="0" w:line="240" w:lineRule="auto"/>
      </w:pPr>
      <w:r>
        <w:separator/>
      </w:r>
    </w:p>
  </w:footnote>
  <w:footnote w:type="continuationSeparator" w:id="0">
    <w:p w14:paraId="487F9D0B" w14:textId="77777777" w:rsidR="00ED160D" w:rsidRDefault="00ED160D" w:rsidP="002F5E5A">
      <w:pPr>
        <w:spacing w:after="0" w:line="240" w:lineRule="auto"/>
      </w:pPr>
      <w:r>
        <w:continuationSeparator/>
      </w:r>
    </w:p>
  </w:footnote>
  <w:footnote w:id="1">
    <w:p w14:paraId="0894A1FD" w14:textId="77777777" w:rsidR="00BB254A" w:rsidRDefault="00BB254A" w:rsidP="00BB254A">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6D02D5"/>
    <w:multiLevelType w:val="hybridMultilevel"/>
    <w:tmpl w:val="D27EB39C"/>
    <w:lvl w:ilvl="0" w:tplc="101686D6">
      <w:start w:val="1"/>
      <w:numFmt w:val="decimal"/>
      <w:lvlText w:val="%1."/>
      <w:lvlJc w:val="left"/>
      <w:pPr>
        <w:ind w:left="1571" w:hanging="360"/>
      </w:pPr>
    </w:lvl>
    <w:lvl w:ilvl="1" w:tplc="251AD7C0" w:tentative="1">
      <w:start w:val="1"/>
      <w:numFmt w:val="lowerLetter"/>
      <w:lvlText w:val="%2."/>
      <w:lvlJc w:val="left"/>
      <w:pPr>
        <w:ind w:left="2291" w:hanging="360"/>
      </w:pPr>
    </w:lvl>
    <w:lvl w:ilvl="2" w:tplc="6D302FB2" w:tentative="1">
      <w:start w:val="1"/>
      <w:numFmt w:val="lowerRoman"/>
      <w:lvlText w:val="%3."/>
      <w:lvlJc w:val="right"/>
      <w:pPr>
        <w:ind w:left="3011" w:hanging="180"/>
      </w:pPr>
    </w:lvl>
    <w:lvl w:ilvl="3" w:tplc="48788B26" w:tentative="1">
      <w:start w:val="1"/>
      <w:numFmt w:val="decimal"/>
      <w:lvlText w:val="%4."/>
      <w:lvlJc w:val="left"/>
      <w:pPr>
        <w:ind w:left="3731" w:hanging="360"/>
      </w:pPr>
    </w:lvl>
    <w:lvl w:ilvl="4" w:tplc="9F96E988" w:tentative="1">
      <w:start w:val="1"/>
      <w:numFmt w:val="lowerLetter"/>
      <w:lvlText w:val="%5."/>
      <w:lvlJc w:val="left"/>
      <w:pPr>
        <w:ind w:left="4451" w:hanging="360"/>
      </w:pPr>
    </w:lvl>
    <w:lvl w:ilvl="5" w:tplc="9B884E10" w:tentative="1">
      <w:start w:val="1"/>
      <w:numFmt w:val="lowerRoman"/>
      <w:lvlText w:val="%6."/>
      <w:lvlJc w:val="right"/>
      <w:pPr>
        <w:ind w:left="5171" w:hanging="180"/>
      </w:pPr>
    </w:lvl>
    <w:lvl w:ilvl="6" w:tplc="487054B4" w:tentative="1">
      <w:start w:val="1"/>
      <w:numFmt w:val="decimal"/>
      <w:lvlText w:val="%7."/>
      <w:lvlJc w:val="left"/>
      <w:pPr>
        <w:ind w:left="5891" w:hanging="360"/>
      </w:pPr>
    </w:lvl>
    <w:lvl w:ilvl="7" w:tplc="F162D620" w:tentative="1">
      <w:start w:val="1"/>
      <w:numFmt w:val="lowerLetter"/>
      <w:lvlText w:val="%8."/>
      <w:lvlJc w:val="left"/>
      <w:pPr>
        <w:ind w:left="6611" w:hanging="360"/>
      </w:pPr>
    </w:lvl>
    <w:lvl w:ilvl="8" w:tplc="2C6213C2" w:tentative="1">
      <w:start w:val="1"/>
      <w:numFmt w:val="lowerRoman"/>
      <w:lvlText w:val="%9."/>
      <w:lvlJc w:val="right"/>
      <w:pPr>
        <w:ind w:left="7331" w:hanging="180"/>
      </w:pPr>
    </w:lvl>
  </w:abstractNum>
  <w:abstractNum w:abstractNumId="2"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F02950"/>
    <w:multiLevelType w:val="hybridMultilevel"/>
    <w:tmpl w:val="1A4C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E07B6"/>
    <w:multiLevelType w:val="hybridMultilevel"/>
    <w:tmpl w:val="72CA4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3"/>
  </w:num>
  <w:num w:numId="8">
    <w:abstractNumId w:val="6"/>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0"/>
  </w:num>
  <w:num w:numId="14">
    <w:abstractNumId w:val="1"/>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05836"/>
    <w:rsid w:val="00012FEC"/>
    <w:rsid w:val="00013A66"/>
    <w:rsid w:val="00015276"/>
    <w:rsid w:val="0001701E"/>
    <w:rsid w:val="00022B3B"/>
    <w:rsid w:val="00025FAA"/>
    <w:rsid w:val="00027C49"/>
    <w:rsid w:val="00032460"/>
    <w:rsid w:val="000354FE"/>
    <w:rsid w:val="000376D9"/>
    <w:rsid w:val="0004722F"/>
    <w:rsid w:val="000512E9"/>
    <w:rsid w:val="00053695"/>
    <w:rsid w:val="00062B89"/>
    <w:rsid w:val="00064E41"/>
    <w:rsid w:val="00067997"/>
    <w:rsid w:val="0007043B"/>
    <w:rsid w:val="000709B9"/>
    <w:rsid w:val="00073867"/>
    <w:rsid w:val="0007758A"/>
    <w:rsid w:val="00080876"/>
    <w:rsid w:val="00080D64"/>
    <w:rsid w:val="00081941"/>
    <w:rsid w:val="00083BE9"/>
    <w:rsid w:val="00084025"/>
    <w:rsid w:val="00085E69"/>
    <w:rsid w:val="0008754D"/>
    <w:rsid w:val="000876DF"/>
    <w:rsid w:val="00090306"/>
    <w:rsid w:val="00093625"/>
    <w:rsid w:val="00093D7F"/>
    <w:rsid w:val="00095B9B"/>
    <w:rsid w:val="000A168F"/>
    <w:rsid w:val="000A3584"/>
    <w:rsid w:val="000A3A1E"/>
    <w:rsid w:val="000A74C1"/>
    <w:rsid w:val="000B096B"/>
    <w:rsid w:val="000B2E36"/>
    <w:rsid w:val="000B47DD"/>
    <w:rsid w:val="000B49B8"/>
    <w:rsid w:val="000B4DD8"/>
    <w:rsid w:val="000B6924"/>
    <w:rsid w:val="000C1092"/>
    <w:rsid w:val="000C4B8D"/>
    <w:rsid w:val="000D00C0"/>
    <w:rsid w:val="000D222A"/>
    <w:rsid w:val="000D286E"/>
    <w:rsid w:val="000D5EE3"/>
    <w:rsid w:val="000D5F4D"/>
    <w:rsid w:val="000E0166"/>
    <w:rsid w:val="000E233F"/>
    <w:rsid w:val="000E4F31"/>
    <w:rsid w:val="000F430C"/>
    <w:rsid w:val="000F4A0D"/>
    <w:rsid w:val="000F7A1F"/>
    <w:rsid w:val="001001EC"/>
    <w:rsid w:val="0010447E"/>
    <w:rsid w:val="00105466"/>
    <w:rsid w:val="00105612"/>
    <w:rsid w:val="001079BE"/>
    <w:rsid w:val="00110419"/>
    <w:rsid w:val="00111B8D"/>
    <w:rsid w:val="001163FF"/>
    <w:rsid w:val="0012237D"/>
    <w:rsid w:val="001223F2"/>
    <w:rsid w:val="0013445B"/>
    <w:rsid w:val="00134AB7"/>
    <w:rsid w:val="00135E16"/>
    <w:rsid w:val="001377C5"/>
    <w:rsid w:val="00140E4B"/>
    <w:rsid w:val="0014257C"/>
    <w:rsid w:val="0014750D"/>
    <w:rsid w:val="00150191"/>
    <w:rsid w:val="00150469"/>
    <w:rsid w:val="001520E9"/>
    <w:rsid w:val="001524DB"/>
    <w:rsid w:val="0015326D"/>
    <w:rsid w:val="001541E2"/>
    <w:rsid w:val="00154352"/>
    <w:rsid w:val="00160589"/>
    <w:rsid w:val="00161AE9"/>
    <w:rsid w:val="00162836"/>
    <w:rsid w:val="001658A5"/>
    <w:rsid w:val="00171094"/>
    <w:rsid w:val="00173065"/>
    <w:rsid w:val="001741E2"/>
    <w:rsid w:val="00184BEF"/>
    <w:rsid w:val="00184CDF"/>
    <w:rsid w:val="00185414"/>
    <w:rsid w:val="00187ACC"/>
    <w:rsid w:val="00190DC3"/>
    <w:rsid w:val="001919AE"/>
    <w:rsid w:val="00192AA7"/>
    <w:rsid w:val="00194826"/>
    <w:rsid w:val="0019495F"/>
    <w:rsid w:val="001957C8"/>
    <w:rsid w:val="001A6095"/>
    <w:rsid w:val="001B0635"/>
    <w:rsid w:val="001B099C"/>
    <w:rsid w:val="001B74CE"/>
    <w:rsid w:val="001C56C1"/>
    <w:rsid w:val="001C590A"/>
    <w:rsid w:val="001C6880"/>
    <w:rsid w:val="001C7725"/>
    <w:rsid w:val="001D2385"/>
    <w:rsid w:val="001D381E"/>
    <w:rsid w:val="001D70BF"/>
    <w:rsid w:val="001E3828"/>
    <w:rsid w:val="001E536B"/>
    <w:rsid w:val="001F0C94"/>
    <w:rsid w:val="001F3C5E"/>
    <w:rsid w:val="001F3D56"/>
    <w:rsid w:val="001F70FB"/>
    <w:rsid w:val="002014C5"/>
    <w:rsid w:val="00203035"/>
    <w:rsid w:val="00211841"/>
    <w:rsid w:val="00221EB7"/>
    <w:rsid w:val="002249B4"/>
    <w:rsid w:val="00237288"/>
    <w:rsid w:val="002448AC"/>
    <w:rsid w:val="002465B6"/>
    <w:rsid w:val="0025133B"/>
    <w:rsid w:val="00251A52"/>
    <w:rsid w:val="00253854"/>
    <w:rsid w:val="00256E8B"/>
    <w:rsid w:val="002617AD"/>
    <w:rsid w:val="00261EA3"/>
    <w:rsid w:val="00264441"/>
    <w:rsid w:val="002649F8"/>
    <w:rsid w:val="00264B46"/>
    <w:rsid w:val="002652C6"/>
    <w:rsid w:val="00265B18"/>
    <w:rsid w:val="002704CE"/>
    <w:rsid w:val="00272741"/>
    <w:rsid w:val="002740CE"/>
    <w:rsid w:val="002741FE"/>
    <w:rsid w:val="002748DD"/>
    <w:rsid w:val="00281247"/>
    <w:rsid w:val="0028380E"/>
    <w:rsid w:val="00284724"/>
    <w:rsid w:val="00285EE5"/>
    <w:rsid w:val="002912AC"/>
    <w:rsid w:val="00294D8A"/>
    <w:rsid w:val="00295A3D"/>
    <w:rsid w:val="002A6E38"/>
    <w:rsid w:val="002B04FD"/>
    <w:rsid w:val="002B1E30"/>
    <w:rsid w:val="002B212F"/>
    <w:rsid w:val="002B22DD"/>
    <w:rsid w:val="002B2316"/>
    <w:rsid w:val="002B30D7"/>
    <w:rsid w:val="002B3B01"/>
    <w:rsid w:val="002B4142"/>
    <w:rsid w:val="002B6980"/>
    <w:rsid w:val="002B72C4"/>
    <w:rsid w:val="002B7D27"/>
    <w:rsid w:val="002B7E8F"/>
    <w:rsid w:val="002C3760"/>
    <w:rsid w:val="002D2D64"/>
    <w:rsid w:val="002E4B7A"/>
    <w:rsid w:val="002E7B9B"/>
    <w:rsid w:val="002F2069"/>
    <w:rsid w:val="002F28DA"/>
    <w:rsid w:val="002F36E5"/>
    <w:rsid w:val="002F5E5A"/>
    <w:rsid w:val="002F642C"/>
    <w:rsid w:val="002F75C1"/>
    <w:rsid w:val="002F76D5"/>
    <w:rsid w:val="00300221"/>
    <w:rsid w:val="00300378"/>
    <w:rsid w:val="003005CD"/>
    <w:rsid w:val="003008AA"/>
    <w:rsid w:val="0030092E"/>
    <w:rsid w:val="00301619"/>
    <w:rsid w:val="00302E4F"/>
    <w:rsid w:val="0030364E"/>
    <w:rsid w:val="00307C89"/>
    <w:rsid w:val="00307E88"/>
    <w:rsid w:val="00315006"/>
    <w:rsid w:val="00317B80"/>
    <w:rsid w:val="003214FD"/>
    <w:rsid w:val="00324BB9"/>
    <w:rsid w:val="003253AC"/>
    <w:rsid w:val="0032683B"/>
    <w:rsid w:val="00326B4F"/>
    <w:rsid w:val="00332A11"/>
    <w:rsid w:val="00332AA1"/>
    <w:rsid w:val="00333480"/>
    <w:rsid w:val="0033638A"/>
    <w:rsid w:val="003374CD"/>
    <w:rsid w:val="00337D3B"/>
    <w:rsid w:val="003411CF"/>
    <w:rsid w:val="00341D12"/>
    <w:rsid w:val="00341FCF"/>
    <w:rsid w:val="00342C0A"/>
    <w:rsid w:val="00344C19"/>
    <w:rsid w:val="00352499"/>
    <w:rsid w:val="00360C0A"/>
    <w:rsid w:val="0037098B"/>
    <w:rsid w:val="00370A26"/>
    <w:rsid w:val="00370FF2"/>
    <w:rsid w:val="00374E1C"/>
    <w:rsid w:val="003766FE"/>
    <w:rsid w:val="00377045"/>
    <w:rsid w:val="0038244B"/>
    <w:rsid w:val="00386051"/>
    <w:rsid w:val="00386D00"/>
    <w:rsid w:val="00393BF9"/>
    <w:rsid w:val="0039557E"/>
    <w:rsid w:val="003973B4"/>
    <w:rsid w:val="003A04AB"/>
    <w:rsid w:val="003A11BC"/>
    <w:rsid w:val="003A2255"/>
    <w:rsid w:val="003A397A"/>
    <w:rsid w:val="003B0001"/>
    <w:rsid w:val="003C2EC7"/>
    <w:rsid w:val="003C4EDD"/>
    <w:rsid w:val="003D1802"/>
    <w:rsid w:val="003D1C54"/>
    <w:rsid w:val="003D55D0"/>
    <w:rsid w:val="003D6C6E"/>
    <w:rsid w:val="003E56F7"/>
    <w:rsid w:val="003F0C25"/>
    <w:rsid w:val="003F0E01"/>
    <w:rsid w:val="003F2FB1"/>
    <w:rsid w:val="003F5066"/>
    <w:rsid w:val="003F5A5D"/>
    <w:rsid w:val="0040391E"/>
    <w:rsid w:val="00406A72"/>
    <w:rsid w:val="00406D7B"/>
    <w:rsid w:val="00406F85"/>
    <w:rsid w:val="00407C81"/>
    <w:rsid w:val="004103A6"/>
    <w:rsid w:val="004119F0"/>
    <w:rsid w:val="004122A4"/>
    <w:rsid w:val="004133BE"/>
    <w:rsid w:val="00413F57"/>
    <w:rsid w:val="00414F23"/>
    <w:rsid w:val="004166C2"/>
    <w:rsid w:val="00425A05"/>
    <w:rsid w:val="00426110"/>
    <w:rsid w:val="004269AD"/>
    <w:rsid w:val="0043263A"/>
    <w:rsid w:val="00433596"/>
    <w:rsid w:val="00436BF9"/>
    <w:rsid w:val="00440B98"/>
    <w:rsid w:val="00446218"/>
    <w:rsid w:val="00446F76"/>
    <w:rsid w:val="00447C7F"/>
    <w:rsid w:val="00455C0D"/>
    <w:rsid w:val="0045626F"/>
    <w:rsid w:val="00461517"/>
    <w:rsid w:val="00461C07"/>
    <w:rsid w:val="00463C10"/>
    <w:rsid w:val="00464C48"/>
    <w:rsid w:val="004652CB"/>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928EC"/>
    <w:rsid w:val="004A61B2"/>
    <w:rsid w:val="004A62F5"/>
    <w:rsid w:val="004A768C"/>
    <w:rsid w:val="004A772F"/>
    <w:rsid w:val="004B19C0"/>
    <w:rsid w:val="004B1E99"/>
    <w:rsid w:val="004B3A25"/>
    <w:rsid w:val="004B580A"/>
    <w:rsid w:val="004C111F"/>
    <w:rsid w:val="004C247A"/>
    <w:rsid w:val="004C7DEC"/>
    <w:rsid w:val="004D1320"/>
    <w:rsid w:val="004D2A44"/>
    <w:rsid w:val="004D359D"/>
    <w:rsid w:val="004D3BA4"/>
    <w:rsid w:val="004D4C37"/>
    <w:rsid w:val="004D50B5"/>
    <w:rsid w:val="004D5EB5"/>
    <w:rsid w:val="004D7E00"/>
    <w:rsid w:val="004E0016"/>
    <w:rsid w:val="004E3F4F"/>
    <w:rsid w:val="004F0815"/>
    <w:rsid w:val="004F0BE5"/>
    <w:rsid w:val="00503867"/>
    <w:rsid w:val="00505792"/>
    <w:rsid w:val="00512417"/>
    <w:rsid w:val="005126B8"/>
    <w:rsid w:val="005138AB"/>
    <w:rsid w:val="00515F15"/>
    <w:rsid w:val="005173B5"/>
    <w:rsid w:val="005213F4"/>
    <w:rsid w:val="00523C86"/>
    <w:rsid w:val="00535813"/>
    <w:rsid w:val="005408BD"/>
    <w:rsid w:val="00541178"/>
    <w:rsid w:val="00543D87"/>
    <w:rsid w:val="005505D6"/>
    <w:rsid w:val="00556CD2"/>
    <w:rsid w:val="00557FB0"/>
    <w:rsid w:val="00560B86"/>
    <w:rsid w:val="005652DE"/>
    <w:rsid w:val="005672FE"/>
    <w:rsid w:val="005676C4"/>
    <w:rsid w:val="0057253C"/>
    <w:rsid w:val="005755EA"/>
    <w:rsid w:val="00582095"/>
    <w:rsid w:val="00583889"/>
    <w:rsid w:val="0058573D"/>
    <w:rsid w:val="00585CAF"/>
    <w:rsid w:val="005914B7"/>
    <w:rsid w:val="005923A6"/>
    <w:rsid w:val="00592426"/>
    <w:rsid w:val="00593C72"/>
    <w:rsid w:val="005A1847"/>
    <w:rsid w:val="005A2480"/>
    <w:rsid w:val="005A263A"/>
    <w:rsid w:val="005A3172"/>
    <w:rsid w:val="005A6497"/>
    <w:rsid w:val="005B542A"/>
    <w:rsid w:val="005B5B3A"/>
    <w:rsid w:val="005B66D3"/>
    <w:rsid w:val="005C0351"/>
    <w:rsid w:val="005C0938"/>
    <w:rsid w:val="005C4671"/>
    <w:rsid w:val="005C5071"/>
    <w:rsid w:val="005C5730"/>
    <w:rsid w:val="005D173D"/>
    <w:rsid w:val="005D2757"/>
    <w:rsid w:val="005D48B7"/>
    <w:rsid w:val="005D5223"/>
    <w:rsid w:val="005D558D"/>
    <w:rsid w:val="005D676B"/>
    <w:rsid w:val="005D7A5C"/>
    <w:rsid w:val="005E5D35"/>
    <w:rsid w:val="005E7D69"/>
    <w:rsid w:val="005F1069"/>
    <w:rsid w:val="005F18BF"/>
    <w:rsid w:val="005F2976"/>
    <w:rsid w:val="005F32D8"/>
    <w:rsid w:val="005F3386"/>
    <w:rsid w:val="0060012E"/>
    <w:rsid w:val="006029D9"/>
    <w:rsid w:val="00603317"/>
    <w:rsid w:val="00606DF2"/>
    <w:rsid w:val="00607894"/>
    <w:rsid w:val="00610BB3"/>
    <w:rsid w:val="00610E46"/>
    <w:rsid w:val="00612C70"/>
    <w:rsid w:val="006151A0"/>
    <w:rsid w:val="00615AF0"/>
    <w:rsid w:val="00621A12"/>
    <w:rsid w:val="00623DC5"/>
    <w:rsid w:val="00627996"/>
    <w:rsid w:val="006347DB"/>
    <w:rsid w:val="00635E28"/>
    <w:rsid w:val="006452C0"/>
    <w:rsid w:val="00650937"/>
    <w:rsid w:val="006525C0"/>
    <w:rsid w:val="00652A94"/>
    <w:rsid w:val="006534A8"/>
    <w:rsid w:val="00654D1E"/>
    <w:rsid w:val="0066049E"/>
    <w:rsid w:val="0066366C"/>
    <w:rsid w:val="00666C3B"/>
    <w:rsid w:val="00667397"/>
    <w:rsid w:val="006721D5"/>
    <w:rsid w:val="00674991"/>
    <w:rsid w:val="006749E6"/>
    <w:rsid w:val="00674ADE"/>
    <w:rsid w:val="00681C69"/>
    <w:rsid w:val="006835A9"/>
    <w:rsid w:val="00683C09"/>
    <w:rsid w:val="00684F75"/>
    <w:rsid w:val="0068554A"/>
    <w:rsid w:val="00686EE7"/>
    <w:rsid w:val="006878AA"/>
    <w:rsid w:val="006915D7"/>
    <w:rsid w:val="00692C87"/>
    <w:rsid w:val="00692F9B"/>
    <w:rsid w:val="006967BC"/>
    <w:rsid w:val="00696D57"/>
    <w:rsid w:val="006977F7"/>
    <w:rsid w:val="006A1D37"/>
    <w:rsid w:val="006A3185"/>
    <w:rsid w:val="006A3346"/>
    <w:rsid w:val="006B03DD"/>
    <w:rsid w:val="006B61B2"/>
    <w:rsid w:val="006C139E"/>
    <w:rsid w:val="006C1833"/>
    <w:rsid w:val="006C3EEA"/>
    <w:rsid w:val="006C4117"/>
    <w:rsid w:val="006C645C"/>
    <w:rsid w:val="006D16C0"/>
    <w:rsid w:val="006D33C5"/>
    <w:rsid w:val="006D4DD0"/>
    <w:rsid w:val="006E335E"/>
    <w:rsid w:val="006E38CA"/>
    <w:rsid w:val="006E3CD1"/>
    <w:rsid w:val="006E6DA2"/>
    <w:rsid w:val="006E7737"/>
    <w:rsid w:val="006F13F1"/>
    <w:rsid w:val="006F1C8D"/>
    <w:rsid w:val="006F66CB"/>
    <w:rsid w:val="006F6F4D"/>
    <w:rsid w:val="006F7DB6"/>
    <w:rsid w:val="00703865"/>
    <w:rsid w:val="00703FDF"/>
    <w:rsid w:val="00710747"/>
    <w:rsid w:val="00710B0A"/>
    <w:rsid w:val="00712566"/>
    <w:rsid w:val="007137AA"/>
    <w:rsid w:val="00713C8D"/>
    <w:rsid w:val="00714873"/>
    <w:rsid w:val="00715111"/>
    <w:rsid w:val="00727A45"/>
    <w:rsid w:val="007304C9"/>
    <w:rsid w:val="0073198C"/>
    <w:rsid w:val="00731F96"/>
    <w:rsid w:val="00735D55"/>
    <w:rsid w:val="007361E1"/>
    <w:rsid w:val="00736535"/>
    <w:rsid w:val="007368C4"/>
    <w:rsid w:val="00737159"/>
    <w:rsid w:val="00737E8C"/>
    <w:rsid w:val="0074079D"/>
    <w:rsid w:val="00743D18"/>
    <w:rsid w:val="00746F97"/>
    <w:rsid w:val="00751362"/>
    <w:rsid w:val="00753AD6"/>
    <w:rsid w:val="00756A91"/>
    <w:rsid w:val="00761664"/>
    <w:rsid w:val="0076325D"/>
    <w:rsid w:val="007655B0"/>
    <w:rsid w:val="00765D63"/>
    <w:rsid w:val="00771B9E"/>
    <w:rsid w:val="00773819"/>
    <w:rsid w:val="007809A9"/>
    <w:rsid w:val="00782064"/>
    <w:rsid w:val="007830F2"/>
    <w:rsid w:val="007831AC"/>
    <w:rsid w:val="00783B85"/>
    <w:rsid w:val="0078528B"/>
    <w:rsid w:val="00787ECA"/>
    <w:rsid w:val="00790823"/>
    <w:rsid w:val="007919CB"/>
    <w:rsid w:val="00791E7D"/>
    <w:rsid w:val="00795953"/>
    <w:rsid w:val="007A2145"/>
    <w:rsid w:val="007A260C"/>
    <w:rsid w:val="007A4D7E"/>
    <w:rsid w:val="007B2CA6"/>
    <w:rsid w:val="007C097C"/>
    <w:rsid w:val="007C151D"/>
    <w:rsid w:val="007C33BB"/>
    <w:rsid w:val="007C61C5"/>
    <w:rsid w:val="007D0C09"/>
    <w:rsid w:val="007D2D3B"/>
    <w:rsid w:val="007D32FD"/>
    <w:rsid w:val="007D3465"/>
    <w:rsid w:val="007D4946"/>
    <w:rsid w:val="007D743C"/>
    <w:rsid w:val="007D7660"/>
    <w:rsid w:val="007E7D28"/>
    <w:rsid w:val="007F0FB0"/>
    <w:rsid w:val="007F10D3"/>
    <w:rsid w:val="007F32A7"/>
    <w:rsid w:val="007F36E4"/>
    <w:rsid w:val="007F5D03"/>
    <w:rsid w:val="007F74D0"/>
    <w:rsid w:val="00801983"/>
    <w:rsid w:val="008034D7"/>
    <w:rsid w:val="00804185"/>
    <w:rsid w:val="008069F6"/>
    <w:rsid w:val="00813969"/>
    <w:rsid w:val="008226AE"/>
    <w:rsid w:val="00831920"/>
    <w:rsid w:val="00832752"/>
    <w:rsid w:val="0083349A"/>
    <w:rsid w:val="00836BD5"/>
    <w:rsid w:val="008464BC"/>
    <w:rsid w:val="00851109"/>
    <w:rsid w:val="008518BE"/>
    <w:rsid w:val="00851DB0"/>
    <w:rsid w:val="008556D6"/>
    <w:rsid w:val="00855B98"/>
    <w:rsid w:val="008576F8"/>
    <w:rsid w:val="0086026F"/>
    <w:rsid w:val="00865DF6"/>
    <w:rsid w:val="00870803"/>
    <w:rsid w:val="0087153C"/>
    <w:rsid w:val="0087159F"/>
    <w:rsid w:val="00871C6F"/>
    <w:rsid w:val="0088112D"/>
    <w:rsid w:val="00881BB0"/>
    <w:rsid w:val="008828F9"/>
    <w:rsid w:val="00883573"/>
    <w:rsid w:val="00883CDD"/>
    <w:rsid w:val="00893A78"/>
    <w:rsid w:val="00893ED9"/>
    <w:rsid w:val="008956BA"/>
    <w:rsid w:val="008A0481"/>
    <w:rsid w:val="008A45C3"/>
    <w:rsid w:val="008A559D"/>
    <w:rsid w:val="008A5CDB"/>
    <w:rsid w:val="008A6200"/>
    <w:rsid w:val="008B0AE3"/>
    <w:rsid w:val="008B7BC4"/>
    <w:rsid w:val="008C326F"/>
    <w:rsid w:val="008C3F02"/>
    <w:rsid w:val="008C4D53"/>
    <w:rsid w:val="008C57F8"/>
    <w:rsid w:val="008D1265"/>
    <w:rsid w:val="008D75ED"/>
    <w:rsid w:val="008E0C2E"/>
    <w:rsid w:val="008E2498"/>
    <w:rsid w:val="008E3CA7"/>
    <w:rsid w:val="008E73D5"/>
    <w:rsid w:val="008E76DD"/>
    <w:rsid w:val="008E7DF7"/>
    <w:rsid w:val="008F020C"/>
    <w:rsid w:val="008F184D"/>
    <w:rsid w:val="008F3E13"/>
    <w:rsid w:val="008F5687"/>
    <w:rsid w:val="008F6F82"/>
    <w:rsid w:val="008F7DD8"/>
    <w:rsid w:val="00901439"/>
    <w:rsid w:val="0090372B"/>
    <w:rsid w:val="00904A92"/>
    <w:rsid w:val="00906B6C"/>
    <w:rsid w:val="009077BB"/>
    <w:rsid w:val="00910097"/>
    <w:rsid w:val="00913672"/>
    <w:rsid w:val="009150CB"/>
    <w:rsid w:val="00924151"/>
    <w:rsid w:val="00927D27"/>
    <w:rsid w:val="009322B7"/>
    <w:rsid w:val="009325BE"/>
    <w:rsid w:val="009331F6"/>
    <w:rsid w:val="009336B1"/>
    <w:rsid w:val="00933A51"/>
    <w:rsid w:val="00934DF0"/>
    <w:rsid w:val="00936651"/>
    <w:rsid w:val="00936DEC"/>
    <w:rsid w:val="00936EBB"/>
    <w:rsid w:val="009376AC"/>
    <w:rsid w:val="009409DC"/>
    <w:rsid w:val="009412CD"/>
    <w:rsid w:val="00945060"/>
    <w:rsid w:val="009454DF"/>
    <w:rsid w:val="0095251D"/>
    <w:rsid w:val="00955FA1"/>
    <w:rsid w:val="00957CB8"/>
    <w:rsid w:val="009607FE"/>
    <w:rsid w:val="00963EF7"/>
    <w:rsid w:val="0096590B"/>
    <w:rsid w:val="00967FF5"/>
    <w:rsid w:val="00970252"/>
    <w:rsid w:val="009726E3"/>
    <w:rsid w:val="00972B18"/>
    <w:rsid w:val="0097301D"/>
    <w:rsid w:val="009746AA"/>
    <w:rsid w:val="009772CD"/>
    <w:rsid w:val="00977359"/>
    <w:rsid w:val="00977625"/>
    <w:rsid w:val="00984DE5"/>
    <w:rsid w:val="009869A4"/>
    <w:rsid w:val="00990AD8"/>
    <w:rsid w:val="00991D12"/>
    <w:rsid w:val="009925DD"/>
    <w:rsid w:val="00992A56"/>
    <w:rsid w:val="009A0304"/>
    <w:rsid w:val="009A1F57"/>
    <w:rsid w:val="009A343C"/>
    <w:rsid w:val="009A4E05"/>
    <w:rsid w:val="009B6E6B"/>
    <w:rsid w:val="009C04BD"/>
    <w:rsid w:val="009C0A5A"/>
    <w:rsid w:val="009C2D95"/>
    <w:rsid w:val="009D23C6"/>
    <w:rsid w:val="009D2A47"/>
    <w:rsid w:val="009D3893"/>
    <w:rsid w:val="009D674B"/>
    <w:rsid w:val="009E04FE"/>
    <w:rsid w:val="009E44E8"/>
    <w:rsid w:val="009E6799"/>
    <w:rsid w:val="009F1863"/>
    <w:rsid w:val="009F36B3"/>
    <w:rsid w:val="009F7687"/>
    <w:rsid w:val="009F7807"/>
    <w:rsid w:val="00A007B6"/>
    <w:rsid w:val="00A01E94"/>
    <w:rsid w:val="00A025CC"/>
    <w:rsid w:val="00A05539"/>
    <w:rsid w:val="00A05798"/>
    <w:rsid w:val="00A05E5A"/>
    <w:rsid w:val="00A060F5"/>
    <w:rsid w:val="00A1219F"/>
    <w:rsid w:val="00A128E3"/>
    <w:rsid w:val="00A14BC5"/>
    <w:rsid w:val="00A20DE7"/>
    <w:rsid w:val="00A22805"/>
    <w:rsid w:val="00A23409"/>
    <w:rsid w:val="00A26884"/>
    <w:rsid w:val="00A27587"/>
    <w:rsid w:val="00A327B2"/>
    <w:rsid w:val="00A334DC"/>
    <w:rsid w:val="00A34277"/>
    <w:rsid w:val="00A3567F"/>
    <w:rsid w:val="00A367F9"/>
    <w:rsid w:val="00A37544"/>
    <w:rsid w:val="00A37BCE"/>
    <w:rsid w:val="00A43C4D"/>
    <w:rsid w:val="00A43D09"/>
    <w:rsid w:val="00A460A4"/>
    <w:rsid w:val="00A471CE"/>
    <w:rsid w:val="00A504DF"/>
    <w:rsid w:val="00A55A33"/>
    <w:rsid w:val="00A57D8C"/>
    <w:rsid w:val="00A61632"/>
    <w:rsid w:val="00A621EE"/>
    <w:rsid w:val="00A62EF0"/>
    <w:rsid w:val="00A63C2D"/>
    <w:rsid w:val="00A65D43"/>
    <w:rsid w:val="00A663FC"/>
    <w:rsid w:val="00A70436"/>
    <w:rsid w:val="00A71799"/>
    <w:rsid w:val="00A71999"/>
    <w:rsid w:val="00A71D36"/>
    <w:rsid w:val="00A72D8F"/>
    <w:rsid w:val="00A77866"/>
    <w:rsid w:val="00A80454"/>
    <w:rsid w:val="00A81D2B"/>
    <w:rsid w:val="00A8489B"/>
    <w:rsid w:val="00A90322"/>
    <w:rsid w:val="00A947BD"/>
    <w:rsid w:val="00A96277"/>
    <w:rsid w:val="00AA0C4F"/>
    <w:rsid w:val="00AA2332"/>
    <w:rsid w:val="00AA44D5"/>
    <w:rsid w:val="00AA56B9"/>
    <w:rsid w:val="00AB7809"/>
    <w:rsid w:val="00AC1BE1"/>
    <w:rsid w:val="00AC28CC"/>
    <w:rsid w:val="00AC797B"/>
    <w:rsid w:val="00AC7D80"/>
    <w:rsid w:val="00AD0EE6"/>
    <w:rsid w:val="00AD63FD"/>
    <w:rsid w:val="00AD64A9"/>
    <w:rsid w:val="00AE1C7D"/>
    <w:rsid w:val="00AE3398"/>
    <w:rsid w:val="00AE344E"/>
    <w:rsid w:val="00AE362E"/>
    <w:rsid w:val="00AE40AC"/>
    <w:rsid w:val="00AE4623"/>
    <w:rsid w:val="00AF3EC2"/>
    <w:rsid w:val="00AF63EE"/>
    <w:rsid w:val="00B0199F"/>
    <w:rsid w:val="00B02308"/>
    <w:rsid w:val="00B02395"/>
    <w:rsid w:val="00B02F81"/>
    <w:rsid w:val="00B075E6"/>
    <w:rsid w:val="00B11160"/>
    <w:rsid w:val="00B15843"/>
    <w:rsid w:val="00B15C2C"/>
    <w:rsid w:val="00B16DFA"/>
    <w:rsid w:val="00B1734C"/>
    <w:rsid w:val="00B215A5"/>
    <w:rsid w:val="00B22168"/>
    <w:rsid w:val="00B22EE7"/>
    <w:rsid w:val="00B24CC2"/>
    <w:rsid w:val="00B267DA"/>
    <w:rsid w:val="00B3292B"/>
    <w:rsid w:val="00B37EA2"/>
    <w:rsid w:val="00B40190"/>
    <w:rsid w:val="00B41363"/>
    <w:rsid w:val="00B41707"/>
    <w:rsid w:val="00B513AF"/>
    <w:rsid w:val="00B516E3"/>
    <w:rsid w:val="00B660E9"/>
    <w:rsid w:val="00B71DED"/>
    <w:rsid w:val="00B73B42"/>
    <w:rsid w:val="00B743B5"/>
    <w:rsid w:val="00B80829"/>
    <w:rsid w:val="00B83089"/>
    <w:rsid w:val="00B90B19"/>
    <w:rsid w:val="00B932BC"/>
    <w:rsid w:val="00B94042"/>
    <w:rsid w:val="00B94272"/>
    <w:rsid w:val="00B96205"/>
    <w:rsid w:val="00B96607"/>
    <w:rsid w:val="00B9771E"/>
    <w:rsid w:val="00BA4D8A"/>
    <w:rsid w:val="00BA5A14"/>
    <w:rsid w:val="00BB15D1"/>
    <w:rsid w:val="00BB182E"/>
    <w:rsid w:val="00BB20FF"/>
    <w:rsid w:val="00BB254A"/>
    <w:rsid w:val="00BB4DEE"/>
    <w:rsid w:val="00BC1B0D"/>
    <w:rsid w:val="00BC4C57"/>
    <w:rsid w:val="00BD1821"/>
    <w:rsid w:val="00BD38D8"/>
    <w:rsid w:val="00BD60CB"/>
    <w:rsid w:val="00BD7363"/>
    <w:rsid w:val="00BE129D"/>
    <w:rsid w:val="00BE2D51"/>
    <w:rsid w:val="00BE44AE"/>
    <w:rsid w:val="00BE775A"/>
    <w:rsid w:val="00BF1BC6"/>
    <w:rsid w:val="00BF5355"/>
    <w:rsid w:val="00BF5739"/>
    <w:rsid w:val="00BF6247"/>
    <w:rsid w:val="00BF78D6"/>
    <w:rsid w:val="00BF7B83"/>
    <w:rsid w:val="00C00379"/>
    <w:rsid w:val="00C04087"/>
    <w:rsid w:val="00C04ACC"/>
    <w:rsid w:val="00C05DAC"/>
    <w:rsid w:val="00C071FB"/>
    <w:rsid w:val="00C10A46"/>
    <w:rsid w:val="00C11242"/>
    <w:rsid w:val="00C1182C"/>
    <w:rsid w:val="00C15EA1"/>
    <w:rsid w:val="00C16519"/>
    <w:rsid w:val="00C16B0C"/>
    <w:rsid w:val="00C211EE"/>
    <w:rsid w:val="00C26472"/>
    <w:rsid w:val="00C30A95"/>
    <w:rsid w:val="00C30CA8"/>
    <w:rsid w:val="00C32939"/>
    <w:rsid w:val="00C334D5"/>
    <w:rsid w:val="00C3623C"/>
    <w:rsid w:val="00C36E8F"/>
    <w:rsid w:val="00C40083"/>
    <w:rsid w:val="00C439A7"/>
    <w:rsid w:val="00C45AC9"/>
    <w:rsid w:val="00C4678B"/>
    <w:rsid w:val="00C46B29"/>
    <w:rsid w:val="00C516C9"/>
    <w:rsid w:val="00C51A11"/>
    <w:rsid w:val="00C520CE"/>
    <w:rsid w:val="00C56ED6"/>
    <w:rsid w:val="00C64942"/>
    <w:rsid w:val="00C65C0B"/>
    <w:rsid w:val="00C67170"/>
    <w:rsid w:val="00C67FCD"/>
    <w:rsid w:val="00C73C2D"/>
    <w:rsid w:val="00C756F9"/>
    <w:rsid w:val="00C810C5"/>
    <w:rsid w:val="00C8114B"/>
    <w:rsid w:val="00C81696"/>
    <w:rsid w:val="00C90FFD"/>
    <w:rsid w:val="00C91A36"/>
    <w:rsid w:val="00C9377E"/>
    <w:rsid w:val="00C9777A"/>
    <w:rsid w:val="00CA0E48"/>
    <w:rsid w:val="00CA19D4"/>
    <w:rsid w:val="00CB6AA4"/>
    <w:rsid w:val="00CB7644"/>
    <w:rsid w:val="00CC0B7F"/>
    <w:rsid w:val="00CC28A0"/>
    <w:rsid w:val="00CC704C"/>
    <w:rsid w:val="00CC7CB7"/>
    <w:rsid w:val="00CD2342"/>
    <w:rsid w:val="00CD3B8E"/>
    <w:rsid w:val="00CD3FE9"/>
    <w:rsid w:val="00CE184C"/>
    <w:rsid w:val="00CE1D26"/>
    <w:rsid w:val="00CE306F"/>
    <w:rsid w:val="00CE65F8"/>
    <w:rsid w:val="00CE7B89"/>
    <w:rsid w:val="00CF342C"/>
    <w:rsid w:val="00CF41DC"/>
    <w:rsid w:val="00CF554B"/>
    <w:rsid w:val="00CF6151"/>
    <w:rsid w:val="00D04EB7"/>
    <w:rsid w:val="00D069A3"/>
    <w:rsid w:val="00D10849"/>
    <w:rsid w:val="00D12B24"/>
    <w:rsid w:val="00D16C05"/>
    <w:rsid w:val="00D21832"/>
    <w:rsid w:val="00D24AF0"/>
    <w:rsid w:val="00D26322"/>
    <w:rsid w:val="00D27374"/>
    <w:rsid w:val="00D47750"/>
    <w:rsid w:val="00D52117"/>
    <w:rsid w:val="00D56AE8"/>
    <w:rsid w:val="00D63C0B"/>
    <w:rsid w:val="00D648BE"/>
    <w:rsid w:val="00D6581D"/>
    <w:rsid w:val="00D67DC6"/>
    <w:rsid w:val="00D74141"/>
    <w:rsid w:val="00D74CB4"/>
    <w:rsid w:val="00D75395"/>
    <w:rsid w:val="00D8488C"/>
    <w:rsid w:val="00D85512"/>
    <w:rsid w:val="00D92EFE"/>
    <w:rsid w:val="00D9638C"/>
    <w:rsid w:val="00DA1AFC"/>
    <w:rsid w:val="00DA1B16"/>
    <w:rsid w:val="00DA3D13"/>
    <w:rsid w:val="00DA4251"/>
    <w:rsid w:val="00DA4645"/>
    <w:rsid w:val="00DA59A2"/>
    <w:rsid w:val="00DA680F"/>
    <w:rsid w:val="00DA6C96"/>
    <w:rsid w:val="00DB397C"/>
    <w:rsid w:val="00DB48EB"/>
    <w:rsid w:val="00DC0538"/>
    <w:rsid w:val="00DC1F9A"/>
    <w:rsid w:val="00DC3340"/>
    <w:rsid w:val="00DC6ED9"/>
    <w:rsid w:val="00DC6F06"/>
    <w:rsid w:val="00DC73B0"/>
    <w:rsid w:val="00DD2522"/>
    <w:rsid w:val="00DD7D6F"/>
    <w:rsid w:val="00DE0A50"/>
    <w:rsid w:val="00DE0CF3"/>
    <w:rsid w:val="00DE0F37"/>
    <w:rsid w:val="00DE3921"/>
    <w:rsid w:val="00DE4A6F"/>
    <w:rsid w:val="00DE5A89"/>
    <w:rsid w:val="00DE7DA2"/>
    <w:rsid w:val="00DF0FE2"/>
    <w:rsid w:val="00DF6D4A"/>
    <w:rsid w:val="00E000C0"/>
    <w:rsid w:val="00E0062D"/>
    <w:rsid w:val="00E0076E"/>
    <w:rsid w:val="00E00951"/>
    <w:rsid w:val="00E019B2"/>
    <w:rsid w:val="00E02ECE"/>
    <w:rsid w:val="00E03829"/>
    <w:rsid w:val="00E057AD"/>
    <w:rsid w:val="00E11D15"/>
    <w:rsid w:val="00E204DD"/>
    <w:rsid w:val="00E22118"/>
    <w:rsid w:val="00E22F5E"/>
    <w:rsid w:val="00E24211"/>
    <w:rsid w:val="00E24A84"/>
    <w:rsid w:val="00E24C83"/>
    <w:rsid w:val="00E2522B"/>
    <w:rsid w:val="00E27E6B"/>
    <w:rsid w:val="00E32242"/>
    <w:rsid w:val="00E33309"/>
    <w:rsid w:val="00E33312"/>
    <w:rsid w:val="00E43E76"/>
    <w:rsid w:val="00E44D42"/>
    <w:rsid w:val="00E50A26"/>
    <w:rsid w:val="00E51CF6"/>
    <w:rsid w:val="00E525C4"/>
    <w:rsid w:val="00E538A6"/>
    <w:rsid w:val="00E55426"/>
    <w:rsid w:val="00E57CB8"/>
    <w:rsid w:val="00E62543"/>
    <w:rsid w:val="00E65D99"/>
    <w:rsid w:val="00E7161A"/>
    <w:rsid w:val="00E73EF2"/>
    <w:rsid w:val="00E74B52"/>
    <w:rsid w:val="00E752D3"/>
    <w:rsid w:val="00E75E83"/>
    <w:rsid w:val="00E80540"/>
    <w:rsid w:val="00E8251C"/>
    <w:rsid w:val="00E84FA7"/>
    <w:rsid w:val="00E90735"/>
    <w:rsid w:val="00E90CFA"/>
    <w:rsid w:val="00E9197C"/>
    <w:rsid w:val="00E91ECC"/>
    <w:rsid w:val="00E9609F"/>
    <w:rsid w:val="00EA0F16"/>
    <w:rsid w:val="00EA7B3F"/>
    <w:rsid w:val="00EB378B"/>
    <w:rsid w:val="00EB5BE4"/>
    <w:rsid w:val="00EC065B"/>
    <w:rsid w:val="00EC420F"/>
    <w:rsid w:val="00EC73AB"/>
    <w:rsid w:val="00ED160D"/>
    <w:rsid w:val="00ED6D37"/>
    <w:rsid w:val="00ED6DE0"/>
    <w:rsid w:val="00EE0D7B"/>
    <w:rsid w:val="00EE16F9"/>
    <w:rsid w:val="00EE29AC"/>
    <w:rsid w:val="00EE3577"/>
    <w:rsid w:val="00EE4A5E"/>
    <w:rsid w:val="00EE5C3B"/>
    <w:rsid w:val="00EE7934"/>
    <w:rsid w:val="00EF4A98"/>
    <w:rsid w:val="00EF4F03"/>
    <w:rsid w:val="00EF6EA1"/>
    <w:rsid w:val="00F010A6"/>
    <w:rsid w:val="00F01476"/>
    <w:rsid w:val="00F02175"/>
    <w:rsid w:val="00F03293"/>
    <w:rsid w:val="00F038EA"/>
    <w:rsid w:val="00F03B73"/>
    <w:rsid w:val="00F0469F"/>
    <w:rsid w:val="00F11695"/>
    <w:rsid w:val="00F123BA"/>
    <w:rsid w:val="00F1241E"/>
    <w:rsid w:val="00F131D8"/>
    <w:rsid w:val="00F15059"/>
    <w:rsid w:val="00F151DF"/>
    <w:rsid w:val="00F17467"/>
    <w:rsid w:val="00F175F0"/>
    <w:rsid w:val="00F2209D"/>
    <w:rsid w:val="00F247B0"/>
    <w:rsid w:val="00F27B3F"/>
    <w:rsid w:val="00F27B88"/>
    <w:rsid w:val="00F334F1"/>
    <w:rsid w:val="00F337ED"/>
    <w:rsid w:val="00F3450B"/>
    <w:rsid w:val="00F35DCC"/>
    <w:rsid w:val="00F36CE5"/>
    <w:rsid w:val="00F375FE"/>
    <w:rsid w:val="00F3776E"/>
    <w:rsid w:val="00F4175A"/>
    <w:rsid w:val="00F42079"/>
    <w:rsid w:val="00F43BA5"/>
    <w:rsid w:val="00F44A39"/>
    <w:rsid w:val="00F460AA"/>
    <w:rsid w:val="00F5113E"/>
    <w:rsid w:val="00F52D75"/>
    <w:rsid w:val="00F546BF"/>
    <w:rsid w:val="00F57A20"/>
    <w:rsid w:val="00F613A7"/>
    <w:rsid w:val="00F64D78"/>
    <w:rsid w:val="00F67B72"/>
    <w:rsid w:val="00F71315"/>
    <w:rsid w:val="00F72C94"/>
    <w:rsid w:val="00F73147"/>
    <w:rsid w:val="00F76B10"/>
    <w:rsid w:val="00F77B2B"/>
    <w:rsid w:val="00F82A05"/>
    <w:rsid w:val="00F84D24"/>
    <w:rsid w:val="00F84E14"/>
    <w:rsid w:val="00F85298"/>
    <w:rsid w:val="00F85780"/>
    <w:rsid w:val="00F931B5"/>
    <w:rsid w:val="00F94A58"/>
    <w:rsid w:val="00F955D3"/>
    <w:rsid w:val="00F9752B"/>
    <w:rsid w:val="00FA09BD"/>
    <w:rsid w:val="00FA68AF"/>
    <w:rsid w:val="00FA722E"/>
    <w:rsid w:val="00FB0957"/>
    <w:rsid w:val="00FB3522"/>
    <w:rsid w:val="00FB3A91"/>
    <w:rsid w:val="00FB7261"/>
    <w:rsid w:val="00FC0726"/>
    <w:rsid w:val="00FD02FC"/>
    <w:rsid w:val="00FD232A"/>
    <w:rsid w:val="00FD5AC7"/>
    <w:rsid w:val="00FD5BD4"/>
    <w:rsid w:val="00FD654B"/>
    <w:rsid w:val="00FE0511"/>
    <w:rsid w:val="00FE0689"/>
    <w:rsid w:val="00FE20A9"/>
    <w:rsid w:val="00FE3F33"/>
    <w:rsid w:val="00FE439B"/>
    <w:rsid w:val="00FE4CDC"/>
    <w:rsid w:val="00FE4ED7"/>
    <w:rsid w:val="00FE6FEB"/>
    <w:rsid w:val="00FE77B8"/>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C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paragraph" w:customStyle="1" w:styleId="paragraphsub">
    <w:name w:val="paragraph(sub)"/>
    <w:aliases w:val="aa"/>
    <w:basedOn w:val="Normal"/>
    <w:rsid w:val="00455C0D"/>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OPCCharBase">
    <w:name w:val="OPCCharBase"/>
    <w:uiPriority w:val="1"/>
    <w:qFormat/>
    <w:rsid w:val="00FE4ED7"/>
  </w:style>
  <w:style w:type="paragraph" w:customStyle="1" w:styleId="ActHead6">
    <w:name w:val="ActHead 6"/>
    <w:aliases w:val="as"/>
    <w:basedOn w:val="Normal"/>
    <w:next w:val="Normal"/>
    <w:qFormat/>
    <w:rsid w:val="00FE4ED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Tabletext">
    <w:name w:val="Tabletext"/>
    <w:aliases w:val="tt"/>
    <w:basedOn w:val="Normal"/>
    <w:rsid w:val="00FE4ED7"/>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E4ED7"/>
    <w:pPr>
      <w:keepNext/>
      <w:spacing w:before="60" w:after="0" w:line="240" w:lineRule="atLeast"/>
    </w:pPr>
    <w:rPr>
      <w:rFonts w:ascii="Times New Roman" w:eastAsia="Times New Roman" w:hAnsi="Times New Roman" w:cs="Times New Roman"/>
      <w:b/>
      <w:sz w:val="20"/>
      <w:szCs w:val="20"/>
      <w:lang w:eastAsia="en-AU"/>
    </w:rPr>
  </w:style>
  <w:style w:type="character" w:customStyle="1" w:styleId="charamschtext">
    <w:name w:val="charamschtext"/>
    <w:basedOn w:val="DefaultParagraphFont"/>
    <w:rsid w:val="00FE4ED7"/>
  </w:style>
  <w:style w:type="character" w:customStyle="1" w:styleId="legsubtitle1">
    <w:name w:val="legsubtitle1"/>
    <w:basedOn w:val="DefaultParagraphFont"/>
    <w:rsid w:val="00FE4ED7"/>
    <w:rPr>
      <w:b/>
      <w:bCs/>
    </w:rPr>
  </w:style>
  <w:style w:type="paragraph" w:customStyle="1" w:styleId="ActHead9">
    <w:name w:val="ActHead 9"/>
    <w:aliases w:val="aat"/>
    <w:basedOn w:val="Normal"/>
    <w:next w:val="Normal"/>
    <w:qFormat/>
    <w:rsid w:val="0079595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6127">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634676312">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2878-2E1E-4C13-8F02-98C5CBAA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31DB5017.dotm</Template>
  <TotalTime>0</TotalTime>
  <Pages>5</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2019-09-23T00:59:00Z</dcterms:created>
  <dcterms:modified xsi:type="dcterms:W3CDTF">2019-09-23T01:12:00Z</dcterms:modified>
</cp:coreProperties>
</file>