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25509" w14:textId="77777777" w:rsidR="00715914" w:rsidRPr="005F1388" w:rsidRDefault="00DA186E" w:rsidP="00715914">
      <w:pPr>
        <w:rPr>
          <w:sz w:val="28"/>
        </w:rPr>
      </w:pPr>
      <w:r>
        <w:rPr>
          <w:noProof/>
          <w:lang w:eastAsia="en-AU"/>
        </w:rPr>
        <w:drawing>
          <wp:inline distT="0" distB="0" distL="0" distR="0" wp14:anchorId="53412E94" wp14:editId="06A4C84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453154" w14:textId="77777777" w:rsidR="00715914" w:rsidRPr="00E500D4" w:rsidRDefault="00715914" w:rsidP="00715914">
      <w:pPr>
        <w:rPr>
          <w:sz w:val="19"/>
        </w:rPr>
      </w:pPr>
    </w:p>
    <w:p w14:paraId="2082557C" w14:textId="632444A4" w:rsidR="00554826" w:rsidRDefault="005E2C1B" w:rsidP="00554826">
      <w:pPr>
        <w:pStyle w:val="ShortT"/>
      </w:pPr>
      <w:r>
        <w:t xml:space="preserve">Fuel </w:t>
      </w:r>
      <w:r w:rsidR="00BC6AD0">
        <w:t xml:space="preserve">Quality </w:t>
      </w:r>
      <w:r>
        <w:t>Standard</w:t>
      </w:r>
      <w:r w:rsidR="00BC6AD0">
        <w:t>s</w:t>
      </w:r>
      <w:r w:rsidR="00554826" w:rsidRPr="00DA182D">
        <w:t xml:space="preserve"> </w:t>
      </w:r>
      <w:r w:rsidR="00554826">
        <w:t>(</w:t>
      </w:r>
      <w:proofErr w:type="spellStart"/>
      <w:r w:rsidR="00CF262F">
        <w:t>Autogas</w:t>
      </w:r>
      <w:proofErr w:type="spellEnd"/>
      <w:r w:rsidR="00554826">
        <w:t xml:space="preserve">) </w:t>
      </w:r>
      <w:r>
        <w:t>Determination 2019</w:t>
      </w:r>
    </w:p>
    <w:p w14:paraId="43163416" w14:textId="7665E9B9" w:rsidR="00554826" w:rsidRPr="00DA182D" w:rsidRDefault="00554826" w:rsidP="00554826">
      <w:pPr>
        <w:pStyle w:val="SignCoverPageStart"/>
        <w:spacing w:before="240"/>
        <w:ind w:right="91"/>
        <w:rPr>
          <w:szCs w:val="22"/>
        </w:rPr>
      </w:pPr>
      <w:r w:rsidRPr="00DA182D">
        <w:rPr>
          <w:szCs w:val="22"/>
        </w:rPr>
        <w:t xml:space="preserve">I, </w:t>
      </w:r>
      <w:r w:rsidR="00775688">
        <w:rPr>
          <w:szCs w:val="22"/>
        </w:rPr>
        <w:t>Angus Taylor</w:t>
      </w:r>
      <w:r w:rsidRPr="00DA182D">
        <w:rPr>
          <w:szCs w:val="22"/>
        </w:rPr>
        <w:t xml:space="preserve">, </w:t>
      </w:r>
      <w:r w:rsidR="00435597">
        <w:rPr>
          <w:szCs w:val="22"/>
        </w:rPr>
        <w:t xml:space="preserve">Minister for </w:t>
      </w:r>
      <w:r w:rsidR="00775688">
        <w:rPr>
          <w:szCs w:val="22"/>
        </w:rPr>
        <w:t>Energy and Emissions Reduction</w:t>
      </w:r>
      <w:r w:rsidRPr="00DA182D">
        <w:rPr>
          <w:szCs w:val="22"/>
        </w:rPr>
        <w:t xml:space="preserve">, </w:t>
      </w:r>
      <w:r>
        <w:rPr>
          <w:szCs w:val="22"/>
        </w:rPr>
        <w:t xml:space="preserve">make the following </w:t>
      </w:r>
      <w:r w:rsidR="00435597">
        <w:rPr>
          <w:szCs w:val="22"/>
        </w:rPr>
        <w:t>determination</w:t>
      </w:r>
      <w:r w:rsidRPr="00DA182D">
        <w:rPr>
          <w:szCs w:val="22"/>
        </w:rPr>
        <w:t>.</w:t>
      </w:r>
    </w:p>
    <w:p w14:paraId="45D9191E" w14:textId="7BCC50E0"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AD6949">
        <w:rPr>
          <w:szCs w:val="22"/>
        </w:rPr>
        <w:t>18 September 2019</w:t>
      </w:r>
      <w:r w:rsidRPr="00001A63">
        <w:rPr>
          <w:szCs w:val="22"/>
        </w:rPr>
        <w:tab/>
      </w:r>
      <w:r>
        <w:rPr>
          <w:szCs w:val="22"/>
        </w:rPr>
        <w:tab/>
      </w:r>
      <w:r w:rsidRPr="00001A63">
        <w:rPr>
          <w:szCs w:val="22"/>
        </w:rPr>
        <w:tab/>
      </w:r>
    </w:p>
    <w:p w14:paraId="34A567AB" w14:textId="5D12EDE1" w:rsidR="00554826" w:rsidRPr="00373C51" w:rsidRDefault="00775688" w:rsidP="00554826">
      <w:pPr>
        <w:keepNext/>
        <w:tabs>
          <w:tab w:val="left" w:pos="3402"/>
        </w:tabs>
        <w:spacing w:before="1440" w:line="300" w:lineRule="atLeast"/>
        <w:ind w:right="397"/>
        <w:rPr>
          <w:b/>
          <w:szCs w:val="22"/>
        </w:rPr>
      </w:pPr>
      <w:r>
        <w:rPr>
          <w:szCs w:val="22"/>
        </w:rPr>
        <w:t>Angus Taylor</w:t>
      </w:r>
    </w:p>
    <w:p w14:paraId="4886E7CF" w14:textId="3A3CBDE9" w:rsidR="00554826" w:rsidRPr="008E0027" w:rsidRDefault="00435597" w:rsidP="00554826">
      <w:pPr>
        <w:pStyle w:val="SignCoverPageEnd"/>
        <w:ind w:right="91"/>
        <w:rPr>
          <w:sz w:val="22"/>
        </w:rPr>
      </w:pPr>
      <w:r>
        <w:rPr>
          <w:sz w:val="22"/>
        </w:rPr>
        <w:t xml:space="preserve">Minister for </w:t>
      </w:r>
      <w:r w:rsidR="00775688">
        <w:rPr>
          <w:sz w:val="22"/>
        </w:rPr>
        <w:t>Energy and Emissions Reductions</w:t>
      </w:r>
    </w:p>
    <w:p w14:paraId="7A77BE1F" w14:textId="77777777" w:rsidR="00554826" w:rsidRDefault="00554826" w:rsidP="00554826"/>
    <w:p w14:paraId="5EC5A7DE" w14:textId="77777777" w:rsidR="00554826" w:rsidRPr="00ED79B6" w:rsidRDefault="00554826" w:rsidP="00554826"/>
    <w:p w14:paraId="5FC5CC2F" w14:textId="77777777" w:rsidR="00F6696E" w:rsidRDefault="00F6696E" w:rsidP="00F6696E"/>
    <w:p w14:paraId="42370D6D" w14:textId="77777777" w:rsidR="00F6696E" w:rsidRDefault="00F6696E" w:rsidP="00F6696E">
      <w:pPr>
        <w:sectPr w:rsidR="00F6696E" w:rsidSect="0067355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1134" w:footer="989" w:gutter="0"/>
          <w:pgNumType w:start="1"/>
          <w:cols w:space="708"/>
          <w:titlePg/>
          <w:docGrid w:linePitch="360"/>
        </w:sectPr>
      </w:pPr>
    </w:p>
    <w:p w14:paraId="550AED15" w14:textId="77777777" w:rsidR="007500C8" w:rsidRDefault="00715914" w:rsidP="00715914">
      <w:pPr>
        <w:outlineLvl w:val="0"/>
        <w:rPr>
          <w:sz w:val="36"/>
        </w:rPr>
      </w:pPr>
      <w:r w:rsidRPr="007A1328">
        <w:rPr>
          <w:sz w:val="36"/>
        </w:rPr>
        <w:lastRenderedPageBreak/>
        <w:t>Contents</w:t>
      </w:r>
    </w:p>
    <w:p w14:paraId="01F61B76" w14:textId="77777777" w:rsidR="00CF262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F262F">
        <w:rPr>
          <w:noProof/>
        </w:rPr>
        <w:t>1  Name</w:t>
      </w:r>
      <w:r w:rsidR="00CF262F">
        <w:rPr>
          <w:noProof/>
        </w:rPr>
        <w:tab/>
      </w:r>
      <w:r w:rsidR="00CF262F">
        <w:rPr>
          <w:noProof/>
        </w:rPr>
        <w:fldChar w:fldCharType="begin"/>
      </w:r>
      <w:r w:rsidR="00CF262F">
        <w:rPr>
          <w:noProof/>
        </w:rPr>
        <w:instrText xml:space="preserve"> PAGEREF _Toc5092850 \h </w:instrText>
      </w:r>
      <w:r w:rsidR="00CF262F">
        <w:rPr>
          <w:noProof/>
        </w:rPr>
      </w:r>
      <w:r w:rsidR="00CF262F">
        <w:rPr>
          <w:noProof/>
        </w:rPr>
        <w:fldChar w:fldCharType="separate"/>
      </w:r>
      <w:r w:rsidR="00AA3E05">
        <w:rPr>
          <w:noProof/>
        </w:rPr>
        <w:t>1</w:t>
      </w:r>
      <w:r w:rsidR="00CF262F">
        <w:rPr>
          <w:noProof/>
        </w:rPr>
        <w:fldChar w:fldCharType="end"/>
      </w:r>
    </w:p>
    <w:p w14:paraId="5988237B" w14:textId="77777777" w:rsidR="00CF262F" w:rsidRDefault="00CF262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_Toc5092851 \h </w:instrText>
      </w:r>
      <w:r>
        <w:rPr>
          <w:noProof/>
        </w:rPr>
      </w:r>
      <w:r>
        <w:rPr>
          <w:noProof/>
        </w:rPr>
        <w:fldChar w:fldCharType="separate"/>
      </w:r>
      <w:r w:rsidR="00AA3E05">
        <w:rPr>
          <w:noProof/>
        </w:rPr>
        <w:t>1</w:t>
      </w:r>
      <w:r>
        <w:rPr>
          <w:noProof/>
        </w:rPr>
        <w:fldChar w:fldCharType="end"/>
      </w:r>
    </w:p>
    <w:p w14:paraId="56C60691" w14:textId="77777777" w:rsidR="00CF262F" w:rsidRDefault="00CF262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_Toc5092852 \h </w:instrText>
      </w:r>
      <w:r>
        <w:rPr>
          <w:noProof/>
        </w:rPr>
      </w:r>
      <w:r>
        <w:rPr>
          <w:noProof/>
        </w:rPr>
        <w:fldChar w:fldCharType="separate"/>
      </w:r>
      <w:r w:rsidR="00AA3E05">
        <w:rPr>
          <w:noProof/>
        </w:rPr>
        <w:t>1</w:t>
      </w:r>
      <w:r>
        <w:rPr>
          <w:noProof/>
        </w:rPr>
        <w:fldChar w:fldCharType="end"/>
      </w:r>
    </w:p>
    <w:p w14:paraId="05F6D434" w14:textId="77777777" w:rsidR="00CF262F" w:rsidRDefault="00CF262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_Toc5092853 \h </w:instrText>
      </w:r>
      <w:r>
        <w:rPr>
          <w:noProof/>
        </w:rPr>
      </w:r>
      <w:r>
        <w:rPr>
          <w:noProof/>
        </w:rPr>
        <w:fldChar w:fldCharType="separate"/>
      </w:r>
      <w:r w:rsidR="00AA3E05">
        <w:rPr>
          <w:noProof/>
        </w:rPr>
        <w:t>1</w:t>
      </w:r>
      <w:r>
        <w:rPr>
          <w:noProof/>
        </w:rPr>
        <w:fldChar w:fldCharType="end"/>
      </w:r>
    </w:p>
    <w:p w14:paraId="6937751A" w14:textId="77777777" w:rsidR="00CF262F" w:rsidRDefault="00CF262F">
      <w:pPr>
        <w:pStyle w:val="TOC5"/>
        <w:rPr>
          <w:rFonts w:asciiTheme="minorHAnsi" w:eastAsiaTheme="minorEastAsia" w:hAnsiTheme="minorHAnsi" w:cstheme="minorBidi"/>
          <w:noProof/>
          <w:kern w:val="0"/>
          <w:sz w:val="22"/>
          <w:szCs w:val="22"/>
        </w:rPr>
      </w:pPr>
      <w:r>
        <w:rPr>
          <w:noProof/>
        </w:rPr>
        <w:t>5  Fuel standard for autogas</w:t>
      </w:r>
      <w:r>
        <w:rPr>
          <w:noProof/>
        </w:rPr>
        <w:tab/>
      </w:r>
      <w:r>
        <w:rPr>
          <w:noProof/>
        </w:rPr>
        <w:fldChar w:fldCharType="begin"/>
      </w:r>
      <w:r>
        <w:rPr>
          <w:noProof/>
        </w:rPr>
        <w:instrText xml:space="preserve"> PAGEREF _Toc5092854 \h </w:instrText>
      </w:r>
      <w:r>
        <w:rPr>
          <w:noProof/>
        </w:rPr>
      </w:r>
      <w:r>
        <w:rPr>
          <w:noProof/>
        </w:rPr>
        <w:fldChar w:fldCharType="separate"/>
      </w:r>
      <w:r w:rsidR="00AA3E05">
        <w:rPr>
          <w:noProof/>
        </w:rPr>
        <w:t>1</w:t>
      </w:r>
      <w:r>
        <w:rPr>
          <w:noProof/>
        </w:rPr>
        <w:fldChar w:fldCharType="end"/>
      </w:r>
    </w:p>
    <w:p w14:paraId="0482188B" w14:textId="77777777" w:rsidR="00F6696E" w:rsidRDefault="00B418CB" w:rsidP="00F6696E">
      <w:pPr>
        <w:outlineLvl w:val="0"/>
      </w:pPr>
      <w:r>
        <w:fldChar w:fldCharType="end"/>
      </w:r>
    </w:p>
    <w:p w14:paraId="0DF4503C" w14:textId="77777777" w:rsidR="00F6696E" w:rsidRPr="00A802BC" w:rsidRDefault="00F6696E" w:rsidP="00F6696E">
      <w:pPr>
        <w:outlineLvl w:val="0"/>
        <w:rPr>
          <w:sz w:val="20"/>
        </w:rPr>
      </w:pPr>
    </w:p>
    <w:p w14:paraId="70B6C910"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F4C5EA7" w14:textId="77777777" w:rsidR="00554826" w:rsidRPr="00554826" w:rsidRDefault="00554826" w:rsidP="00554826">
      <w:pPr>
        <w:pStyle w:val="ActHead5"/>
      </w:pPr>
      <w:bookmarkStart w:id="0" w:name="_Toc5092850"/>
      <w:proofErr w:type="gramStart"/>
      <w:r w:rsidRPr="00554826">
        <w:lastRenderedPageBreak/>
        <w:t>1  Name</w:t>
      </w:r>
      <w:bookmarkStart w:id="1" w:name="_GoBack"/>
      <w:bookmarkEnd w:id="0"/>
      <w:bookmarkEnd w:id="1"/>
      <w:proofErr w:type="gramEnd"/>
    </w:p>
    <w:p w14:paraId="0970B4C9" w14:textId="43D43812" w:rsidR="00372CBB" w:rsidRDefault="00554826" w:rsidP="00372CBB">
      <w:pPr>
        <w:pStyle w:val="subsection"/>
      </w:pPr>
      <w:r w:rsidRPr="009C2562">
        <w:tab/>
      </w:r>
      <w:r w:rsidRPr="009C2562">
        <w:tab/>
        <w:t xml:space="preserve">This </w:t>
      </w:r>
      <w:r>
        <w:t xml:space="preserve">instrument </w:t>
      </w:r>
      <w:r w:rsidRPr="009C2562">
        <w:t xml:space="preserve">is the </w:t>
      </w:r>
      <w:bookmarkStart w:id="2" w:name="BKCheck15B_3"/>
      <w:bookmarkEnd w:id="2"/>
      <w:r w:rsidR="005E2C1B">
        <w:rPr>
          <w:i/>
        </w:rPr>
        <w:t xml:space="preserve">Fuel </w:t>
      </w:r>
      <w:r w:rsidR="00BC6AD0">
        <w:rPr>
          <w:i/>
        </w:rPr>
        <w:t xml:space="preserve">Quality </w:t>
      </w:r>
      <w:r w:rsidR="005E2C1B">
        <w:rPr>
          <w:i/>
        </w:rPr>
        <w:t>Standard</w:t>
      </w:r>
      <w:r w:rsidR="00BC6AD0">
        <w:rPr>
          <w:i/>
        </w:rPr>
        <w:t>s</w:t>
      </w:r>
      <w:r w:rsidR="005E2C1B">
        <w:rPr>
          <w:i/>
        </w:rPr>
        <w:t xml:space="preserve"> (</w:t>
      </w:r>
      <w:proofErr w:type="spellStart"/>
      <w:r w:rsidR="006975A5">
        <w:rPr>
          <w:i/>
        </w:rPr>
        <w:t>Autogas</w:t>
      </w:r>
      <w:proofErr w:type="spellEnd"/>
      <w:r w:rsidR="005E2C1B">
        <w:rPr>
          <w:i/>
        </w:rPr>
        <w:t>) Determination 2019</w:t>
      </w:r>
      <w:r w:rsidRPr="009C2562">
        <w:t>.</w:t>
      </w:r>
    </w:p>
    <w:p w14:paraId="3C7606CC" w14:textId="77777777" w:rsidR="00554826" w:rsidRPr="00554826" w:rsidRDefault="00554826" w:rsidP="00554826">
      <w:pPr>
        <w:pStyle w:val="ActHead5"/>
      </w:pPr>
      <w:bookmarkStart w:id="3" w:name="_Toc5092851"/>
      <w:proofErr w:type="gramStart"/>
      <w:r w:rsidRPr="00554826">
        <w:t>2  Commencement</w:t>
      </w:r>
      <w:bookmarkEnd w:id="3"/>
      <w:proofErr w:type="gramEnd"/>
    </w:p>
    <w:p w14:paraId="16EF9502" w14:textId="77777777" w:rsidR="00554826" w:rsidRPr="00232984" w:rsidRDefault="00554826" w:rsidP="00554826">
      <w:pPr>
        <w:pStyle w:val="subsection"/>
      </w:pPr>
      <w:r>
        <w:tab/>
      </w:r>
      <w:r>
        <w:tab/>
        <w:t>This instrument commences</w:t>
      </w:r>
      <w:r w:rsidR="004271B5">
        <w:t xml:space="preserve"> on</w:t>
      </w:r>
      <w:r>
        <w:t xml:space="preserve"> </w:t>
      </w:r>
      <w:r w:rsidR="005E2C1B">
        <w:t>1 October 2019</w:t>
      </w:r>
      <w:r>
        <w:t>.</w:t>
      </w:r>
    </w:p>
    <w:p w14:paraId="0034197D" w14:textId="77777777" w:rsidR="00554826" w:rsidRPr="00554826" w:rsidRDefault="00554826" w:rsidP="00554826">
      <w:pPr>
        <w:pStyle w:val="ActHead5"/>
      </w:pPr>
      <w:bookmarkStart w:id="4" w:name="_Toc5092852"/>
      <w:proofErr w:type="gramStart"/>
      <w:r w:rsidRPr="00554826">
        <w:t>3  Authority</w:t>
      </w:r>
      <w:bookmarkEnd w:id="4"/>
      <w:proofErr w:type="gramEnd"/>
    </w:p>
    <w:p w14:paraId="69C286E1" w14:textId="77777777" w:rsidR="00554826" w:rsidRPr="009C2562" w:rsidRDefault="00554826" w:rsidP="00554826">
      <w:pPr>
        <w:pStyle w:val="subsection"/>
      </w:pPr>
      <w:r w:rsidRPr="009C2562">
        <w:tab/>
      </w:r>
      <w:r w:rsidRPr="009C2562">
        <w:tab/>
        <w:t xml:space="preserve">This instrument is made under </w:t>
      </w:r>
      <w:r w:rsidR="004271B5">
        <w:t xml:space="preserve">section 21 of the </w:t>
      </w:r>
      <w:r w:rsidR="007F6F38">
        <w:rPr>
          <w:i/>
        </w:rPr>
        <w:t>Fuel Quality Standards Act 2000</w:t>
      </w:r>
      <w:r w:rsidRPr="009C2562">
        <w:t>.</w:t>
      </w:r>
    </w:p>
    <w:p w14:paraId="66BD67F7" w14:textId="77777777" w:rsidR="00554826" w:rsidRPr="00554826" w:rsidRDefault="00554826" w:rsidP="00554826">
      <w:pPr>
        <w:pStyle w:val="ActHead5"/>
      </w:pPr>
      <w:bookmarkStart w:id="5" w:name="_Toc5092853"/>
      <w:proofErr w:type="gramStart"/>
      <w:r w:rsidRPr="00554826">
        <w:t>4  Definitions</w:t>
      </w:r>
      <w:bookmarkEnd w:id="5"/>
      <w:proofErr w:type="gramEnd"/>
    </w:p>
    <w:p w14:paraId="0B4A4B1F" w14:textId="77777777" w:rsidR="00554826" w:rsidRPr="009C2562" w:rsidRDefault="00554826" w:rsidP="00554826">
      <w:pPr>
        <w:pStyle w:val="notetext"/>
      </w:pPr>
      <w:r w:rsidRPr="009C2562">
        <w:t>Note:</w:t>
      </w:r>
      <w:r w:rsidRPr="009C2562">
        <w:tab/>
        <w:t xml:space="preserve">A number of expressions used in this instrument are defined in </w:t>
      </w:r>
      <w:r w:rsidR="005E2C1B">
        <w:t>section 4</w:t>
      </w:r>
      <w:r>
        <w:t xml:space="preserve"> of the Act</w:t>
      </w:r>
      <w:r w:rsidRPr="009C2562">
        <w:t>, including the following:</w:t>
      </w:r>
    </w:p>
    <w:p w14:paraId="3C309650" w14:textId="77777777" w:rsidR="00554826" w:rsidRPr="009C2562" w:rsidRDefault="00554826" w:rsidP="00554826">
      <w:pPr>
        <w:pStyle w:val="notepara"/>
      </w:pPr>
      <w:r w:rsidRPr="009C2562">
        <w:t>(a)</w:t>
      </w:r>
      <w:r w:rsidRPr="009C2562">
        <w:tab/>
      </w:r>
      <w:proofErr w:type="gramStart"/>
      <w:r w:rsidR="005E2C1B" w:rsidRPr="005E2C1B">
        <w:rPr>
          <w:b/>
          <w:i/>
        </w:rPr>
        <w:t>fuel</w:t>
      </w:r>
      <w:proofErr w:type="gramEnd"/>
    </w:p>
    <w:p w14:paraId="36A2AC1F" w14:textId="2C9EE3E0" w:rsidR="00004CFD" w:rsidRDefault="00554826" w:rsidP="002F7BCC">
      <w:pPr>
        <w:pStyle w:val="notepara"/>
        <w:rPr>
          <w:b/>
          <w:i/>
        </w:rPr>
      </w:pPr>
      <w:r w:rsidRPr="009C2562">
        <w:t>(b)</w:t>
      </w:r>
      <w:r w:rsidRPr="009C2562">
        <w:tab/>
      </w:r>
      <w:proofErr w:type="gramStart"/>
      <w:r w:rsidR="005E2C1B">
        <w:rPr>
          <w:b/>
          <w:i/>
        </w:rPr>
        <w:t>supply</w:t>
      </w:r>
      <w:proofErr w:type="gramEnd"/>
    </w:p>
    <w:p w14:paraId="66F42D5C" w14:textId="44FFB790" w:rsidR="00AA3E05" w:rsidRPr="00AA3E05" w:rsidRDefault="00AA3E05" w:rsidP="002F7BCC">
      <w:pPr>
        <w:pStyle w:val="notepara"/>
        <w:rPr>
          <w:b/>
          <w:i/>
        </w:rPr>
      </w:pPr>
      <w:r>
        <w:t>(c)</w:t>
      </w:r>
      <w:r>
        <w:tab/>
      </w:r>
      <w:proofErr w:type="gramStart"/>
      <w:r>
        <w:rPr>
          <w:b/>
          <w:i/>
        </w:rPr>
        <w:t>inspector</w:t>
      </w:r>
      <w:proofErr w:type="gramEnd"/>
    </w:p>
    <w:p w14:paraId="2FCB5D59" w14:textId="77777777" w:rsidR="00554826" w:rsidRPr="009C2562" w:rsidRDefault="00554826" w:rsidP="00554826">
      <w:pPr>
        <w:pStyle w:val="subsection"/>
      </w:pPr>
      <w:r w:rsidRPr="009C2562">
        <w:tab/>
      </w:r>
      <w:r w:rsidRPr="009C2562">
        <w:tab/>
        <w:t>In this instrument:</w:t>
      </w:r>
    </w:p>
    <w:p w14:paraId="27C8E671" w14:textId="77777777" w:rsidR="00554826" w:rsidRDefault="00554826" w:rsidP="00554826">
      <w:pPr>
        <w:pStyle w:val="Definition"/>
      </w:pPr>
      <w:r w:rsidRPr="009C2562">
        <w:rPr>
          <w:b/>
          <w:i/>
        </w:rPr>
        <w:t>Act</w:t>
      </w:r>
      <w:r w:rsidRPr="009C2562">
        <w:t xml:space="preserve"> means the </w:t>
      </w:r>
      <w:r w:rsidR="005E2C1B">
        <w:rPr>
          <w:i/>
        </w:rPr>
        <w:t>Fuel Quality Standards Act 2000</w:t>
      </w:r>
      <w:r>
        <w:t>.</w:t>
      </w:r>
    </w:p>
    <w:p w14:paraId="613D3EFC" w14:textId="7AFF935E" w:rsidR="00546C43" w:rsidRPr="00546C43" w:rsidRDefault="00546C43" w:rsidP="00554826">
      <w:pPr>
        <w:pStyle w:val="Definition"/>
      </w:pPr>
      <w:proofErr w:type="spellStart"/>
      <w:r>
        <w:rPr>
          <w:b/>
          <w:i/>
        </w:rPr>
        <w:t>Autogas</w:t>
      </w:r>
      <w:proofErr w:type="spellEnd"/>
      <w:r>
        <w:rPr>
          <w:b/>
          <w:i/>
        </w:rPr>
        <w:t xml:space="preserve"> </w:t>
      </w:r>
      <w:r>
        <w:t xml:space="preserve">means </w:t>
      </w:r>
      <w:r w:rsidRPr="00630E79">
        <w:rPr>
          <w:rFonts w:cs="Arial"/>
        </w:rPr>
        <w:t>liquefied petroleum gas that is supplied or represented as fuel suitable for motor vehicles but excludes liquefied petroleum gas supplied in cylinders</w:t>
      </w:r>
      <w:r>
        <w:rPr>
          <w:rFonts w:cs="Arial"/>
        </w:rPr>
        <w:t>.</w:t>
      </w:r>
    </w:p>
    <w:p w14:paraId="05A643C2" w14:textId="77777777" w:rsidR="00554826" w:rsidRDefault="005E2C1B" w:rsidP="00554826">
      <w:pPr>
        <w:pStyle w:val="Definition"/>
      </w:pPr>
      <w:r w:rsidRPr="00EF7A1D">
        <w:rPr>
          <w:b/>
          <w:i/>
        </w:rPr>
        <w:t>ASTM</w:t>
      </w:r>
      <w:r w:rsidRPr="00EF7A1D">
        <w:t xml:space="preserve"> followed</w:t>
      </w:r>
      <w:r>
        <w:t xml:space="preserve"> by an alphanumeric code means the testing method developed under that code by the </w:t>
      </w:r>
      <w:r w:rsidR="004148E8">
        <w:t>standards development organisation called ASTM International</w:t>
      </w:r>
      <w:r w:rsidR="00554826">
        <w:t>.</w:t>
      </w:r>
    </w:p>
    <w:p w14:paraId="568226C4" w14:textId="77777777" w:rsidR="004148E8" w:rsidRDefault="004148E8" w:rsidP="00554826">
      <w:pPr>
        <w:pStyle w:val="Definition"/>
      </w:pPr>
      <w:r>
        <w:rPr>
          <w:b/>
          <w:i/>
        </w:rPr>
        <w:t xml:space="preserve">EN </w:t>
      </w:r>
      <w:r>
        <w:t>followed by a numeric code means the testing method developed under that code by the European Committee for Standardization.</w:t>
      </w:r>
    </w:p>
    <w:p w14:paraId="5A161D5F" w14:textId="77777777" w:rsidR="00546C43" w:rsidRDefault="00546C43" w:rsidP="00554826">
      <w:pPr>
        <w:pStyle w:val="Definition"/>
      </w:pPr>
      <w:r>
        <w:rPr>
          <w:b/>
          <w:i/>
        </w:rPr>
        <w:t xml:space="preserve">EN ISO </w:t>
      </w:r>
      <w:r>
        <w:t>followed by a numeric code means the testing method developed under that code by the European Committee for Standardization.</w:t>
      </w:r>
    </w:p>
    <w:p w14:paraId="1D719C22" w14:textId="77777777" w:rsidR="007B4065" w:rsidRPr="007B4065" w:rsidRDefault="007B4065" w:rsidP="007B4065">
      <w:pPr>
        <w:pStyle w:val="Definition"/>
      </w:pPr>
      <w:r w:rsidRPr="007B4065">
        <w:rPr>
          <w:b/>
          <w:i/>
        </w:rPr>
        <w:t xml:space="preserve">ISO </w:t>
      </w:r>
      <w:r>
        <w:t xml:space="preserve">followed </w:t>
      </w:r>
      <w:r w:rsidRPr="007B4065">
        <w:t>by a numeric code means the testing method developed under that code by the International Organization for Standardization.</w:t>
      </w:r>
    </w:p>
    <w:p w14:paraId="2A7F76EE" w14:textId="3F77D518" w:rsidR="004148E8" w:rsidRDefault="007B4065" w:rsidP="00554826">
      <w:pPr>
        <w:pStyle w:val="Definition"/>
      </w:pPr>
      <w:r>
        <w:rPr>
          <w:b/>
          <w:i/>
        </w:rPr>
        <w:t>JLPGA</w:t>
      </w:r>
      <w:r w:rsidR="004148E8">
        <w:rPr>
          <w:b/>
          <w:i/>
        </w:rPr>
        <w:t xml:space="preserve"> </w:t>
      </w:r>
      <w:r w:rsidR="004148E8">
        <w:t xml:space="preserve">followed by </w:t>
      </w:r>
      <w:r>
        <w:t>an alphanumeric</w:t>
      </w:r>
      <w:r w:rsidR="00E76A28">
        <w:t xml:space="preserve"> code</w:t>
      </w:r>
      <w:r w:rsidR="004148E8">
        <w:t xml:space="preserve"> means the testing method </w:t>
      </w:r>
      <w:r w:rsidR="004148E8" w:rsidRPr="002A154B">
        <w:t>developed</w:t>
      </w:r>
      <w:r w:rsidR="004148E8">
        <w:t xml:space="preserve"> under that code by the </w:t>
      </w:r>
      <w:r w:rsidRPr="00630E79">
        <w:rPr>
          <w:rFonts w:cs="Arial"/>
        </w:rPr>
        <w:t>Japan LP Gas Association</w:t>
      </w:r>
      <w:r w:rsidR="004148E8">
        <w:t>.</w:t>
      </w:r>
    </w:p>
    <w:p w14:paraId="7702533D" w14:textId="77777777" w:rsidR="00046EC3" w:rsidRDefault="00046EC3" w:rsidP="0041634D">
      <w:pPr>
        <w:pStyle w:val="Definition"/>
      </w:pPr>
      <w:proofErr w:type="gramStart"/>
      <w:r w:rsidRPr="007B4065">
        <w:rPr>
          <w:b/>
          <w:i/>
        </w:rPr>
        <w:t>mg/kg</w:t>
      </w:r>
      <w:proofErr w:type="gramEnd"/>
      <w:r>
        <w:rPr>
          <w:b/>
          <w:i/>
        </w:rPr>
        <w:t xml:space="preserve"> </w:t>
      </w:r>
      <w:r w:rsidR="00351D06">
        <w:t xml:space="preserve">means </w:t>
      </w:r>
      <w:r>
        <w:t>m</w:t>
      </w:r>
      <w:r w:rsidR="00351D06">
        <w:t>illigrams per kilogram,</w:t>
      </w:r>
      <w:r>
        <w:t xml:space="preserve"> and is equivalent to ‘parts per million’ or ‘ppm’ by mass</w:t>
      </w:r>
      <w:r w:rsidR="00834F91">
        <w:t>.</w:t>
      </w:r>
    </w:p>
    <w:p w14:paraId="2F402FA4" w14:textId="77777777" w:rsidR="00554826" w:rsidRPr="00554826" w:rsidRDefault="00554826" w:rsidP="00554826">
      <w:pPr>
        <w:pStyle w:val="ActHead5"/>
      </w:pPr>
      <w:bookmarkStart w:id="6" w:name="_Toc454781205"/>
      <w:bookmarkStart w:id="7" w:name="_Toc5092854"/>
      <w:proofErr w:type="gramStart"/>
      <w:r w:rsidRPr="00554826">
        <w:t xml:space="preserve">5  </w:t>
      </w:r>
      <w:bookmarkEnd w:id="6"/>
      <w:r w:rsidR="00046EC3">
        <w:t>Fuel</w:t>
      </w:r>
      <w:proofErr w:type="gramEnd"/>
      <w:r w:rsidR="00046EC3">
        <w:t xml:space="preserve"> standard for </w:t>
      </w:r>
      <w:proofErr w:type="spellStart"/>
      <w:r w:rsidR="007B4065">
        <w:t>autogas</w:t>
      </w:r>
      <w:bookmarkEnd w:id="7"/>
      <w:proofErr w:type="spellEnd"/>
    </w:p>
    <w:p w14:paraId="4C707062" w14:textId="77777777" w:rsidR="00504981" w:rsidRDefault="007D391A" w:rsidP="00710281">
      <w:pPr>
        <w:pStyle w:val="subsection"/>
        <w:spacing w:after="240"/>
      </w:pPr>
      <w:r>
        <w:tab/>
        <w:t>(1)</w:t>
      </w:r>
      <w:r>
        <w:tab/>
      </w:r>
      <w:r w:rsidR="00BC6AD0">
        <w:t>I</w:t>
      </w:r>
      <w:r w:rsidR="00653C15">
        <w:t xml:space="preserve">n relation to </w:t>
      </w:r>
      <w:r w:rsidR="00BC6AD0">
        <w:t>a</w:t>
      </w:r>
      <w:r w:rsidR="00653C15">
        <w:t xml:space="preserve"> parameter mentioned in </w:t>
      </w:r>
      <w:r w:rsidR="00BC6AD0">
        <w:t>an</w:t>
      </w:r>
      <w:r w:rsidR="00653C15">
        <w:t xml:space="preserve"> item</w:t>
      </w:r>
      <w:r w:rsidR="00BC6AD0">
        <w:t xml:space="preserve"> of the following table</w:t>
      </w:r>
      <w:r w:rsidR="00653C15">
        <w:t>,</w:t>
      </w:r>
      <w:r w:rsidR="00BC6AD0">
        <w:t xml:space="preserve"> </w:t>
      </w:r>
      <w:proofErr w:type="spellStart"/>
      <w:r w:rsidR="009371B9">
        <w:t>autogas</w:t>
      </w:r>
      <w:proofErr w:type="spellEnd"/>
      <w:r w:rsidR="00BC6AD0">
        <w:t xml:space="preserve"> must</w:t>
      </w:r>
      <w:r w:rsidR="00653C15">
        <w:t xml:space="preserve"> comply with the specification for that parameter mentioned in that item.</w:t>
      </w:r>
    </w:p>
    <w:p w14:paraId="10943639" w14:textId="7D5A1DB4" w:rsidR="00653C15" w:rsidRPr="00653C15" w:rsidRDefault="00653C15" w:rsidP="00653C15">
      <w:pPr>
        <w:pStyle w:val="subsection"/>
        <w:spacing w:after="240"/>
      </w:pPr>
      <w:r>
        <w:lastRenderedPageBreak/>
        <w:tab/>
      </w:r>
    </w:p>
    <w:tbl>
      <w:tblPr>
        <w:tblW w:w="0" w:type="auto"/>
        <w:tblLook w:val="0000" w:firstRow="0" w:lastRow="0" w:firstColumn="0" w:lastColumn="0" w:noHBand="0" w:noVBand="0"/>
      </w:tblPr>
      <w:tblGrid>
        <w:gridCol w:w="587"/>
        <w:gridCol w:w="2229"/>
        <w:gridCol w:w="2969"/>
        <w:gridCol w:w="2528"/>
      </w:tblGrid>
      <w:tr w:rsidR="00BC6AD0" w:rsidRPr="00470E2C" w14:paraId="2364E1A5" w14:textId="77777777" w:rsidTr="00BC6AD0">
        <w:trPr>
          <w:cantSplit/>
          <w:tblHeader/>
        </w:trPr>
        <w:tc>
          <w:tcPr>
            <w:tcW w:w="0" w:type="auto"/>
            <w:tcBorders>
              <w:top w:val="nil"/>
              <w:left w:val="nil"/>
              <w:bottom w:val="single" w:sz="4" w:space="0" w:color="auto"/>
              <w:right w:val="nil"/>
            </w:tcBorders>
          </w:tcPr>
          <w:p w14:paraId="20F0DB49" w14:textId="77777777" w:rsidR="00BC6AD0" w:rsidRPr="00470E2C" w:rsidRDefault="00BC6AD0" w:rsidP="00F83201">
            <w:pPr>
              <w:pStyle w:val="TableColHead"/>
            </w:pPr>
            <w:r w:rsidRPr="00470E2C">
              <w:t>Item</w:t>
            </w:r>
          </w:p>
        </w:tc>
        <w:tc>
          <w:tcPr>
            <w:tcW w:w="0" w:type="auto"/>
            <w:tcBorders>
              <w:top w:val="nil"/>
              <w:left w:val="nil"/>
              <w:bottom w:val="single" w:sz="4" w:space="0" w:color="auto"/>
              <w:right w:val="nil"/>
            </w:tcBorders>
          </w:tcPr>
          <w:p w14:paraId="53194A4C" w14:textId="77777777" w:rsidR="00BC6AD0" w:rsidRPr="00470E2C" w:rsidRDefault="00BC6AD0" w:rsidP="00F83201">
            <w:pPr>
              <w:pStyle w:val="TableColHead"/>
            </w:pPr>
            <w:r w:rsidRPr="00470E2C">
              <w:t>Parameter</w:t>
            </w:r>
          </w:p>
        </w:tc>
        <w:tc>
          <w:tcPr>
            <w:tcW w:w="0" w:type="auto"/>
            <w:tcBorders>
              <w:top w:val="nil"/>
              <w:left w:val="nil"/>
              <w:bottom w:val="single" w:sz="4" w:space="0" w:color="auto"/>
              <w:right w:val="nil"/>
            </w:tcBorders>
          </w:tcPr>
          <w:p w14:paraId="0C442A17" w14:textId="77777777" w:rsidR="00BC6AD0" w:rsidRPr="00470E2C" w:rsidRDefault="00BC6AD0" w:rsidP="00F83201">
            <w:pPr>
              <w:pStyle w:val="TableColHead"/>
            </w:pPr>
            <w:r w:rsidRPr="00470E2C">
              <w:t>Specification</w:t>
            </w:r>
          </w:p>
        </w:tc>
        <w:tc>
          <w:tcPr>
            <w:tcW w:w="0" w:type="auto"/>
            <w:tcBorders>
              <w:top w:val="nil"/>
              <w:left w:val="nil"/>
              <w:bottom w:val="single" w:sz="4" w:space="0" w:color="auto"/>
              <w:right w:val="nil"/>
            </w:tcBorders>
          </w:tcPr>
          <w:p w14:paraId="2E0F7E16" w14:textId="4F673CF5" w:rsidR="00BC6AD0" w:rsidRPr="00470E2C" w:rsidRDefault="00BC6AD0" w:rsidP="00C07074">
            <w:pPr>
              <w:pStyle w:val="TableColHead"/>
            </w:pPr>
            <w:r>
              <w:t>Testing Method</w:t>
            </w:r>
          </w:p>
        </w:tc>
      </w:tr>
      <w:tr w:rsidR="00BC6AD0" w:rsidRPr="00470E2C" w14:paraId="16B393D0" w14:textId="77777777" w:rsidTr="00BC6AD0">
        <w:trPr>
          <w:cantSplit/>
        </w:trPr>
        <w:tc>
          <w:tcPr>
            <w:tcW w:w="0" w:type="auto"/>
            <w:tcBorders>
              <w:top w:val="nil"/>
              <w:left w:val="nil"/>
              <w:bottom w:val="nil"/>
              <w:right w:val="nil"/>
            </w:tcBorders>
          </w:tcPr>
          <w:p w14:paraId="70312DA3" w14:textId="224092C0" w:rsidR="00BC6AD0" w:rsidRPr="00470E2C" w:rsidRDefault="00BC6AD0" w:rsidP="00F83201">
            <w:pPr>
              <w:pStyle w:val="TableText0"/>
              <w:ind w:left="-561" w:right="153"/>
              <w:jc w:val="right"/>
            </w:pPr>
            <w:r w:rsidRPr="00470E2C">
              <w:t>1</w:t>
            </w:r>
          </w:p>
        </w:tc>
        <w:tc>
          <w:tcPr>
            <w:tcW w:w="0" w:type="auto"/>
            <w:tcBorders>
              <w:top w:val="nil"/>
              <w:left w:val="nil"/>
              <w:bottom w:val="nil"/>
              <w:right w:val="nil"/>
            </w:tcBorders>
          </w:tcPr>
          <w:p w14:paraId="29B0B6FC" w14:textId="77777777" w:rsidR="00BC6AD0" w:rsidRPr="00470E2C" w:rsidRDefault="00CF657C" w:rsidP="00F83201">
            <w:pPr>
              <w:spacing w:before="60" w:after="60"/>
            </w:pPr>
            <w:r>
              <w:t>Copper corrosion</w:t>
            </w:r>
          </w:p>
        </w:tc>
        <w:tc>
          <w:tcPr>
            <w:tcW w:w="0" w:type="auto"/>
            <w:tcBorders>
              <w:top w:val="nil"/>
              <w:left w:val="nil"/>
              <w:bottom w:val="nil"/>
              <w:right w:val="nil"/>
            </w:tcBorders>
          </w:tcPr>
          <w:p w14:paraId="7B68A341" w14:textId="77777777" w:rsidR="00BC6AD0" w:rsidRPr="00470E2C" w:rsidRDefault="00CF657C" w:rsidP="00F83201">
            <w:pPr>
              <w:spacing w:before="60" w:after="60"/>
            </w:pPr>
            <w:r>
              <w:t>Class 1</w:t>
            </w:r>
          </w:p>
        </w:tc>
        <w:tc>
          <w:tcPr>
            <w:tcW w:w="0" w:type="auto"/>
            <w:tcBorders>
              <w:top w:val="nil"/>
              <w:left w:val="nil"/>
              <w:bottom w:val="nil"/>
              <w:right w:val="nil"/>
            </w:tcBorders>
          </w:tcPr>
          <w:p w14:paraId="784C0047" w14:textId="77777777" w:rsidR="00BC6AD0" w:rsidRPr="00EF7A1D" w:rsidRDefault="00CF657C" w:rsidP="00F83201">
            <w:pPr>
              <w:spacing w:before="60" w:after="60"/>
            </w:pPr>
            <w:r w:rsidRPr="00EF7A1D">
              <w:t>EN ISO  6251</w:t>
            </w:r>
          </w:p>
        </w:tc>
      </w:tr>
      <w:tr w:rsidR="00CF657C" w:rsidRPr="00470E2C" w14:paraId="7836E7F3" w14:textId="77777777" w:rsidTr="00BC6AD0">
        <w:trPr>
          <w:cantSplit/>
        </w:trPr>
        <w:tc>
          <w:tcPr>
            <w:tcW w:w="0" w:type="auto"/>
            <w:tcBorders>
              <w:top w:val="nil"/>
              <w:left w:val="nil"/>
              <w:bottom w:val="nil"/>
              <w:right w:val="nil"/>
            </w:tcBorders>
          </w:tcPr>
          <w:p w14:paraId="023A5B52" w14:textId="77777777" w:rsidR="00CF657C" w:rsidRPr="00470E2C" w:rsidRDefault="00CF657C" w:rsidP="00CF657C">
            <w:pPr>
              <w:pStyle w:val="TableText0"/>
              <w:ind w:left="-561" w:right="153"/>
              <w:jc w:val="right"/>
            </w:pPr>
            <w:r w:rsidRPr="00470E2C">
              <w:t>2</w:t>
            </w:r>
          </w:p>
        </w:tc>
        <w:tc>
          <w:tcPr>
            <w:tcW w:w="0" w:type="auto"/>
            <w:tcBorders>
              <w:top w:val="nil"/>
              <w:left w:val="nil"/>
              <w:bottom w:val="nil"/>
              <w:right w:val="nil"/>
            </w:tcBorders>
          </w:tcPr>
          <w:p w14:paraId="13CE1A94" w14:textId="77777777" w:rsidR="00CF657C" w:rsidRPr="00BC7B67" w:rsidRDefault="00CF657C" w:rsidP="00CF657C">
            <w:pPr>
              <w:rPr>
                <w:rFonts w:cs="Arial"/>
              </w:rPr>
            </w:pPr>
            <w:r w:rsidRPr="00BC7B67">
              <w:rPr>
                <w:rFonts w:cs="Arial"/>
              </w:rPr>
              <w:t xml:space="preserve">Dienes </w:t>
            </w:r>
          </w:p>
        </w:tc>
        <w:tc>
          <w:tcPr>
            <w:tcW w:w="0" w:type="auto"/>
            <w:tcBorders>
              <w:top w:val="nil"/>
              <w:left w:val="nil"/>
              <w:bottom w:val="nil"/>
              <w:right w:val="nil"/>
            </w:tcBorders>
          </w:tcPr>
          <w:p w14:paraId="64DE65AD" w14:textId="77777777" w:rsidR="00CF657C" w:rsidRPr="00BC7B67" w:rsidRDefault="00CF657C" w:rsidP="00CF657C">
            <w:pPr>
              <w:rPr>
                <w:rFonts w:cs="Arial"/>
              </w:rPr>
            </w:pPr>
            <w:r w:rsidRPr="002D386C">
              <w:rPr>
                <w:rFonts w:cs="Arial"/>
              </w:rPr>
              <w:t>0.3% molar maximum</w:t>
            </w:r>
            <w:r w:rsidRPr="00BC7B67">
              <w:rPr>
                <w:rFonts w:cs="Arial"/>
              </w:rPr>
              <w:t xml:space="preserve"> </w:t>
            </w:r>
          </w:p>
        </w:tc>
        <w:tc>
          <w:tcPr>
            <w:tcW w:w="0" w:type="auto"/>
            <w:tcBorders>
              <w:top w:val="nil"/>
              <w:left w:val="nil"/>
              <w:bottom w:val="nil"/>
              <w:right w:val="nil"/>
            </w:tcBorders>
          </w:tcPr>
          <w:p w14:paraId="42EF7A62" w14:textId="77777777" w:rsidR="00CF657C" w:rsidRPr="00EF7A1D" w:rsidRDefault="00CF657C" w:rsidP="00CF657C">
            <w:pPr>
              <w:rPr>
                <w:rFonts w:cs="Arial"/>
              </w:rPr>
            </w:pPr>
            <w:r w:rsidRPr="00EF7A1D">
              <w:rPr>
                <w:rFonts w:cs="Arial"/>
              </w:rPr>
              <w:t xml:space="preserve">ISO 7941 </w:t>
            </w:r>
          </w:p>
        </w:tc>
      </w:tr>
      <w:tr w:rsidR="00CF657C" w:rsidRPr="00470E2C" w14:paraId="75627816" w14:textId="77777777" w:rsidTr="00BC6AD0">
        <w:trPr>
          <w:cantSplit/>
        </w:trPr>
        <w:tc>
          <w:tcPr>
            <w:tcW w:w="0" w:type="auto"/>
            <w:tcBorders>
              <w:top w:val="nil"/>
              <w:left w:val="nil"/>
              <w:bottom w:val="nil"/>
              <w:right w:val="nil"/>
            </w:tcBorders>
          </w:tcPr>
          <w:p w14:paraId="6D6D5A1F" w14:textId="77777777" w:rsidR="00CF657C" w:rsidRPr="00470E2C" w:rsidRDefault="00CF657C" w:rsidP="00CF657C">
            <w:pPr>
              <w:pStyle w:val="TableText0"/>
              <w:ind w:left="-561" w:right="153"/>
              <w:jc w:val="right"/>
            </w:pPr>
            <w:r w:rsidRPr="00470E2C">
              <w:t>3</w:t>
            </w:r>
          </w:p>
        </w:tc>
        <w:tc>
          <w:tcPr>
            <w:tcW w:w="0" w:type="auto"/>
            <w:tcBorders>
              <w:top w:val="nil"/>
              <w:left w:val="nil"/>
              <w:bottom w:val="nil"/>
              <w:right w:val="nil"/>
            </w:tcBorders>
          </w:tcPr>
          <w:p w14:paraId="1727596A" w14:textId="77777777" w:rsidR="00CF657C" w:rsidRPr="00BC7B67" w:rsidRDefault="00CF657C" w:rsidP="00CF657C">
            <w:pPr>
              <w:rPr>
                <w:rFonts w:cs="Arial"/>
              </w:rPr>
            </w:pPr>
            <w:r w:rsidRPr="00BC7B67">
              <w:rPr>
                <w:rFonts w:cs="Arial"/>
              </w:rPr>
              <w:t xml:space="preserve">Hydrogen </w:t>
            </w:r>
            <w:proofErr w:type="spellStart"/>
            <w:r w:rsidRPr="00BC7B67">
              <w:rPr>
                <w:rFonts w:cs="Arial"/>
              </w:rPr>
              <w:t>sulfide</w:t>
            </w:r>
            <w:proofErr w:type="spellEnd"/>
            <w:r w:rsidRPr="00BC7B67">
              <w:rPr>
                <w:rFonts w:cs="Arial"/>
              </w:rPr>
              <w:t xml:space="preserve"> </w:t>
            </w:r>
          </w:p>
        </w:tc>
        <w:tc>
          <w:tcPr>
            <w:tcW w:w="0" w:type="auto"/>
            <w:tcBorders>
              <w:top w:val="nil"/>
              <w:left w:val="nil"/>
              <w:bottom w:val="nil"/>
              <w:right w:val="nil"/>
            </w:tcBorders>
          </w:tcPr>
          <w:p w14:paraId="5B9DFE9D" w14:textId="77777777" w:rsidR="00CF657C" w:rsidRPr="00BC7B67" w:rsidRDefault="00CF657C" w:rsidP="00CF657C">
            <w:pPr>
              <w:rPr>
                <w:rFonts w:cs="Arial"/>
              </w:rPr>
            </w:pPr>
            <w:r w:rsidRPr="002D386C">
              <w:rPr>
                <w:rFonts w:cs="Arial"/>
              </w:rPr>
              <w:t>Negative</w:t>
            </w:r>
            <w:r w:rsidRPr="00BC7B67">
              <w:rPr>
                <w:rFonts w:cs="Arial"/>
              </w:rPr>
              <w:t xml:space="preserve"> </w:t>
            </w:r>
          </w:p>
        </w:tc>
        <w:tc>
          <w:tcPr>
            <w:tcW w:w="0" w:type="auto"/>
            <w:tcBorders>
              <w:top w:val="nil"/>
              <w:left w:val="nil"/>
              <w:bottom w:val="nil"/>
              <w:right w:val="nil"/>
            </w:tcBorders>
          </w:tcPr>
          <w:p w14:paraId="573DB556" w14:textId="77777777" w:rsidR="00CF657C" w:rsidRPr="00EF7A1D" w:rsidRDefault="00CF657C" w:rsidP="00CF657C">
            <w:pPr>
              <w:rPr>
                <w:rFonts w:cs="Arial"/>
              </w:rPr>
            </w:pPr>
            <w:r w:rsidRPr="00EF7A1D">
              <w:rPr>
                <w:rFonts w:cs="Arial"/>
              </w:rPr>
              <w:t xml:space="preserve">EN ISO 8819 </w:t>
            </w:r>
          </w:p>
        </w:tc>
      </w:tr>
      <w:tr w:rsidR="00CF657C" w:rsidRPr="00470E2C" w:rsidDel="000D48BD" w14:paraId="4C0BD269" w14:textId="77777777" w:rsidTr="00BC6AD0">
        <w:trPr>
          <w:cantSplit/>
        </w:trPr>
        <w:tc>
          <w:tcPr>
            <w:tcW w:w="0" w:type="auto"/>
            <w:tcBorders>
              <w:top w:val="nil"/>
              <w:left w:val="nil"/>
              <w:bottom w:val="nil"/>
              <w:right w:val="nil"/>
            </w:tcBorders>
          </w:tcPr>
          <w:p w14:paraId="5DA5C7A5" w14:textId="77777777" w:rsidR="00CF657C" w:rsidRPr="00470E2C" w:rsidRDefault="00CF657C" w:rsidP="00CF657C">
            <w:pPr>
              <w:pStyle w:val="TableText0"/>
              <w:ind w:left="-561" w:right="153"/>
              <w:jc w:val="right"/>
            </w:pPr>
            <w:r w:rsidRPr="00470E2C">
              <w:t>4</w:t>
            </w:r>
          </w:p>
        </w:tc>
        <w:tc>
          <w:tcPr>
            <w:tcW w:w="0" w:type="auto"/>
            <w:tcBorders>
              <w:top w:val="nil"/>
              <w:left w:val="nil"/>
              <w:bottom w:val="nil"/>
              <w:right w:val="nil"/>
            </w:tcBorders>
          </w:tcPr>
          <w:p w14:paraId="3BE8F542" w14:textId="77777777" w:rsidR="00CF657C" w:rsidRPr="00BC7B67" w:rsidRDefault="00CF657C" w:rsidP="00CF657C">
            <w:pPr>
              <w:rPr>
                <w:rFonts w:cs="Arial"/>
              </w:rPr>
            </w:pPr>
            <w:r w:rsidRPr="002D386C">
              <w:rPr>
                <w:rFonts w:cs="Arial"/>
              </w:rPr>
              <w:t>Motor octane number (MON)</w:t>
            </w:r>
            <w:r w:rsidRPr="00BC7B67">
              <w:rPr>
                <w:rFonts w:cs="Arial"/>
              </w:rPr>
              <w:t xml:space="preserve"> </w:t>
            </w:r>
          </w:p>
        </w:tc>
        <w:tc>
          <w:tcPr>
            <w:tcW w:w="0" w:type="auto"/>
            <w:tcBorders>
              <w:top w:val="nil"/>
              <w:left w:val="nil"/>
              <w:bottom w:val="nil"/>
              <w:right w:val="nil"/>
            </w:tcBorders>
          </w:tcPr>
          <w:p w14:paraId="7315C987" w14:textId="77777777" w:rsidR="00CF657C" w:rsidRPr="00BC7B67" w:rsidRDefault="00CF657C" w:rsidP="00CF657C">
            <w:pPr>
              <w:rPr>
                <w:rFonts w:cs="Arial"/>
              </w:rPr>
            </w:pPr>
            <w:r w:rsidRPr="00BC7B67">
              <w:rPr>
                <w:rFonts w:cs="Arial"/>
              </w:rPr>
              <w:t xml:space="preserve">90.5 minimum </w:t>
            </w:r>
          </w:p>
        </w:tc>
        <w:tc>
          <w:tcPr>
            <w:tcW w:w="0" w:type="auto"/>
            <w:tcBorders>
              <w:top w:val="nil"/>
              <w:left w:val="nil"/>
              <w:bottom w:val="nil"/>
              <w:right w:val="nil"/>
            </w:tcBorders>
          </w:tcPr>
          <w:p w14:paraId="25E1371B" w14:textId="77777777" w:rsidR="00CF657C" w:rsidRPr="00EF7A1D" w:rsidRDefault="00CF657C" w:rsidP="00CF657C">
            <w:pPr>
              <w:rPr>
                <w:rFonts w:cs="Arial"/>
              </w:rPr>
            </w:pPr>
            <w:r w:rsidRPr="00EF7A1D">
              <w:rPr>
                <w:rFonts w:cs="Arial"/>
              </w:rPr>
              <w:t xml:space="preserve">Composition by ISO 7941 </w:t>
            </w:r>
            <w:r w:rsidRPr="00EF7A1D">
              <w:rPr>
                <w:rFonts w:cs="Arial"/>
              </w:rPr>
              <w:br/>
              <w:t>Calculation by EN 589 Annex B</w:t>
            </w:r>
          </w:p>
        </w:tc>
      </w:tr>
      <w:tr w:rsidR="00CF657C" w:rsidRPr="00470E2C" w14:paraId="0689985B" w14:textId="77777777" w:rsidTr="00BC6AD0">
        <w:trPr>
          <w:cantSplit/>
        </w:trPr>
        <w:tc>
          <w:tcPr>
            <w:tcW w:w="0" w:type="auto"/>
            <w:tcBorders>
              <w:top w:val="nil"/>
              <w:left w:val="nil"/>
              <w:bottom w:val="nil"/>
              <w:right w:val="nil"/>
            </w:tcBorders>
          </w:tcPr>
          <w:p w14:paraId="7C93EA8C" w14:textId="77777777" w:rsidR="00CF657C" w:rsidRPr="00470E2C" w:rsidRDefault="00CF657C" w:rsidP="00CF657C">
            <w:pPr>
              <w:pStyle w:val="TableText0"/>
              <w:ind w:left="-561" w:right="153"/>
              <w:jc w:val="right"/>
            </w:pPr>
            <w:r w:rsidRPr="00470E2C">
              <w:t>5</w:t>
            </w:r>
          </w:p>
        </w:tc>
        <w:tc>
          <w:tcPr>
            <w:tcW w:w="0" w:type="auto"/>
            <w:tcBorders>
              <w:top w:val="nil"/>
              <w:left w:val="nil"/>
              <w:bottom w:val="nil"/>
              <w:right w:val="nil"/>
            </w:tcBorders>
          </w:tcPr>
          <w:p w14:paraId="5199E5FC" w14:textId="77777777" w:rsidR="00CF657C" w:rsidRPr="00BC7B67" w:rsidRDefault="00CF657C" w:rsidP="00CF657C">
            <w:pPr>
              <w:rPr>
                <w:rFonts w:cs="Arial"/>
              </w:rPr>
            </w:pPr>
            <w:r w:rsidRPr="00BC7B67">
              <w:rPr>
                <w:rFonts w:cs="Arial"/>
              </w:rPr>
              <w:t xml:space="preserve">Odour </w:t>
            </w:r>
          </w:p>
        </w:tc>
        <w:tc>
          <w:tcPr>
            <w:tcW w:w="0" w:type="auto"/>
            <w:tcBorders>
              <w:top w:val="nil"/>
              <w:left w:val="nil"/>
              <w:bottom w:val="nil"/>
              <w:right w:val="nil"/>
            </w:tcBorders>
          </w:tcPr>
          <w:p w14:paraId="1818C865" w14:textId="77777777" w:rsidR="00CF657C" w:rsidRPr="00BC7B67" w:rsidRDefault="00CF657C" w:rsidP="00CF657C">
            <w:pPr>
              <w:rPr>
                <w:rFonts w:cs="Arial"/>
              </w:rPr>
            </w:pPr>
            <w:r w:rsidRPr="00BC7B67">
              <w:rPr>
                <w:rFonts w:cs="Arial"/>
              </w:rPr>
              <w:t xml:space="preserve">Detectable in air at 20% lower flammability limit </w:t>
            </w:r>
          </w:p>
        </w:tc>
        <w:tc>
          <w:tcPr>
            <w:tcW w:w="0" w:type="auto"/>
            <w:tcBorders>
              <w:top w:val="nil"/>
              <w:left w:val="nil"/>
              <w:bottom w:val="nil"/>
              <w:right w:val="nil"/>
            </w:tcBorders>
          </w:tcPr>
          <w:p w14:paraId="09CC87FD" w14:textId="05328359" w:rsidR="00CF657C" w:rsidRPr="00EF7A1D" w:rsidRDefault="00CF657C" w:rsidP="00775688">
            <w:pPr>
              <w:rPr>
                <w:rFonts w:cs="Arial"/>
              </w:rPr>
            </w:pPr>
            <w:r w:rsidRPr="00EF7A1D">
              <w:rPr>
                <w:rFonts w:cs="Arial"/>
              </w:rPr>
              <w:t>EN 589</w:t>
            </w:r>
            <w:r w:rsidR="00775688">
              <w:rPr>
                <w:rFonts w:cs="Arial"/>
              </w:rPr>
              <w:t xml:space="preserve"> </w:t>
            </w:r>
            <w:r w:rsidRPr="00EF7A1D">
              <w:rPr>
                <w:rFonts w:cs="Arial"/>
              </w:rPr>
              <w:t xml:space="preserve">Annex A </w:t>
            </w:r>
          </w:p>
        </w:tc>
      </w:tr>
      <w:tr w:rsidR="00CF657C" w:rsidRPr="00470E2C" w14:paraId="13495E6C" w14:textId="77777777" w:rsidTr="00BC6AD0">
        <w:trPr>
          <w:cantSplit/>
        </w:trPr>
        <w:tc>
          <w:tcPr>
            <w:tcW w:w="0" w:type="auto"/>
            <w:tcBorders>
              <w:top w:val="nil"/>
              <w:left w:val="nil"/>
              <w:bottom w:val="nil"/>
              <w:right w:val="nil"/>
            </w:tcBorders>
          </w:tcPr>
          <w:p w14:paraId="67A68B4F" w14:textId="77777777" w:rsidR="00CF657C" w:rsidRPr="00470E2C" w:rsidRDefault="00CF657C" w:rsidP="00CF657C">
            <w:pPr>
              <w:pStyle w:val="TableText0"/>
              <w:ind w:left="-561" w:right="153"/>
              <w:jc w:val="right"/>
            </w:pPr>
            <w:r w:rsidRPr="00470E2C">
              <w:t>6</w:t>
            </w:r>
          </w:p>
        </w:tc>
        <w:tc>
          <w:tcPr>
            <w:tcW w:w="0" w:type="auto"/>
            <w:tcBorders>
              <w:top w:val="nil"/>
              <w:left w:val="nil"/>
              <w:bottom w:val="nil"/>
              <w:right w:val="nil"/>
            </w:tcBorders>
          </w:tcPr>
          <w:p w14:paraId="7B3B5500" w14:textId="77777777" w:rsidR="00CF657C" w:rsidRPr="00BC7B67" w:rsidRDefault="00CF657C" w:rsidP="00CF657C">
            <w:pPr>
              <w:rPr>
                <w:rFonts w:cs="Arial"/>
              </w:rPr>
            </w:pPr>
            <w:r w:rsidRPr="00BC7B67">
              <w:rPr>
                <w:rFonts w:cs="Arial"/>
              </w:rPr>
              <w:t>Residue on evaporation</w:t>
            </w:r>
          </w:p>
        </w:tc>
        <w:tc>
          <w:tcPr>
            <w:tcW w:w="0" w:type="auto"/>
            <w:tcBorders>
              <w:top w:val="nil"/>
              <w:left w:val="nil"/>
              <w:bottom w:val="nil"/>
              <w:right w:val="nil"/>
            </w:tcBorders>
          </w:tcPr>
          <w:p w14:paraId="2E38D225" w14:textId="77777777" w:rsidR="00CF657C" w:rsidRPr="00BC7B67" w:rsidRDefault="00CF657C" w:rsidP="00CF657C">
            <w:pPr>
              <w:rPr>
                <w:rFonts w:cs="Arial"/>
              </w:rPr>
            </w:pPr>
            <w:r w:rsidRPr="00BC7B67">
              <w:rPr>
                <w:rFonts w:cs="Arial"/>
              </w:rPr>
              <w:t xml:space="preserve">60 mg/kg maximum </w:t>
            </w:r>
          </w:p>
        </w:tc>
        <w:tc>
          <w:tcPr>
            <w:tcW w:w="0" w:type="auto"/>
            <w:tcBorders>
              <w:top w:val="nil"/>
              <w:left w:val="nil"/>
              <w:bottom w:val="nil"/>
              <w:right w:val="nil"/>
            </w:tcBorders>
          </w:tcPr>
          <w:p w14:paraId="54E293B5" w14:textId="77777777" w:rsidR="00CF657C" w:rsidRPr="00EF7A1D" w:rsidRDefault="00CF657C" w:rsidP="00CF657C">
            <w:pPr>
              <w:rPr>
                <w:rFonts w:cs="Arial"/>
              </w:rPr>
            </w:pPr>
            <w:r w:rsidRPr="00EF7A1D">
              <w:rPr>
                <w:rFonts w:cs="Arial"/>
              </w:rPr>
              <w:t xml:space="preserve">JLPGA-S-03 by mass method at 105°C </w:t>
            </w:r>
          </w:p>
        </w:tc>
      </w:tr>
      <w:tr w:rsidR="00CF657C" w:rsidRPr="00470E2C" w14:paraId="28ADA98D" w14:textId="77777777" w:rsidTr="00BC6AD0">
        <w:trPr>
          <w:cantSplit/>
        </w:trPr>
        <w:tc>
          <w:tcPr>
            <w:tcW w:w="0" w:type="auto"/>
            <w:tcBorders>
              <w:top w:val="nil"/>
              <w:left w:val="nil"/>
              <w:bottom w:val="nil"/>
              <w:right w:val="nil"/>
            </w:tcBorders>
          </w:tcPr>
          <w:p w14:paraId="00B81CA5" w14:textId="77777777" w:rsidR="00CF657C" w:rsidRPr="00470E2C" w:rsidRDefault="00CF657C" w:rsidP="00CF657C">
            <w:pPr>
              <w:pStyle w:val="TableText0"/>
              <w:ind w:left="-561" w:right="153"/>
              <w:jc w:val="right"/>
            </w:pPr>
            <w:r w:rsidRPr="00470E2C">
              <w:t>7</w:t>
            </w:r>
          </w:p>
        </w:tc>
        <w:tc>
          <w:tcPr>
            <w:tcW w:w="0" w:type="auto"/>
            <w:tcBorders>
              <w:top w:val="nil"/>
              <w:left w:val="nil"/>
              <w:bottom w:val="nil"/>
              <w:right w:val="nil"/>
            </w:tcBorders>
          </w:tcPr>
          <w:p w14:paraId="322F9D64" w14:textId="77777777" w:rsidR="00CF657C" w:rsidRPr="00BC7B67" w:rsidRDefault="00CF657C" w:rsidP="00CF657C">
            <w:pPr>
              <w:rPr>
                <w:rFonts w:cs="Arial"/>
              </w:rPr>
            </w:pPr>
            <w:proofErr w:type="spellStart"/>
            <w:r w:rsidRPr="002D386C">
              <w:rPr>
                <w:rFonts w:cs="Arial"/>
              </w:rPr>
              <w:t>Sulfur</w:t>
            </w:r>
            <w:proofErr w:type="spellEnd"/>
            <w:r w:rsidRPr="002D386C">
              <w:rPr>
                <w:rFonts w:cs="Arial"/>
              </w:rPr>
              <w:t xml:space="preserve">—after </w:t>
            </w:r>
            <w:proofErr w:type="spellStart"/>
            <w:r w:rsidRPr="002D386C">
              <w:rPr>
                <w:rFonts w:cs="Arial"/>
              </w:rPr>
              <w:t>stenching</w:t>
            </w:r>
            <w:proofErr w:type="spellEnd"/>
            <w:r w:rsidRPr="00BC7B67">
              <w:rPr>
                <w:rFonts w:cs="Arial"/>
              </w:rPr>
              <w:t xml:space="preserve"> </w:t>
            </w:r>
          </w:p>
        </w:tc>
        <w:tc>
          <w:tcPr>
            <w:tcW w:w="0" w:type="auto"/>
            <w:tcBorders>
              <w:top w:val="nil"/>
              <w:left w:val="nil"/>
              <w:bottom w:val="nil"/>
              <w:right w:val="nil"/>
            </w:tcBorders>
          </w:tcPr>
          <w:p w14:paraId="67B5C8B0" w14:textId="77777777" w:rsidR="00CF657C" w:rsidRPr="00BC7B67" w:rsidRDefault="00CF657C" w:rsidP="00CF657C">
            <w:pPr>
              <w:rPr>
                <w:rFonts w:cs="Arial"/>
              </w:rPr>
            </w:pPr>
            <w:r w:rsidRPr="00BC7B67">
              <w:rPr>
                <w:rFonts w:cs="Arial"/>
              </w:rPr>
              <w:t xml:space="preserve">50 mg/kg maximum </w:t>
            </w:r>
          </w:p>
        </w:tc>
        <w:tc>
          <w:tcPr>
            <w:tcW w:w="0" w:type="auto"/>
            <w:tcBorders>
              <w:top w:val="nil"/>
              <w:left w:val="nil"/>
              <w:bottom w:val="nil"/>
              <w:right w:val="nil"/>
            </w:tcBorders>
          </w:tcPr>
          <w:p w14:paraId="43E0F898" w14:textId="77777777" w:rsidR="00CF657C" w:rsidRPr="00EF7A1D" w:rsidRDefault="00CF657C" w:rsidP="00CF657C">
            <w:pPr>
              <w:rPr>
                <w:rFonts w:cs="Arial"/>
              </w:rPr>
            </w:pPr>
            <w:r w:rsidRPr="00EF7A1D">
              <w:rPr>
                <w:rFonts w:cs="Arial"/>
              </w:rPr>
              <w:t>ASTM D6667</w:t>
            </w:r>
          </w:p>
        </w:tc>
      </w:tr>
      <w:tr w:rsidR="00CF657C" w:rsidRPr="00470E2C" w14:paraId="26993243" w14:textId="77777777" w:rsidTr="00BC6AD0">
        <w:trPr>
          <w:cantSplit/>
        </w:trPr>
        <w:tc>
          <w:tcPr>
            <w:tcW w:w="0" w:type="auto"/>
            <w:tcBorders>
              <w:top w:val="nil"/>
              <w:left w:val="nil"/>
              <w:bottom w:val="nil"/>
              <w:right w:val="nil"/>
            </w:tcBorders>
          </w:tcPr>
          <w:p w14:paraId="294E40E5" w14:textId="77777777" w:rsidR="00CF657C" w:rsidRPr="00470E2C" w:rsidRDefault="00CF657C" w:rsidP="00CF657C">
            <w:pPr>
              <w:pStyle w:val="TableText0"/>
              <w:ind w:left="-561" w:right="153"/>
              <w:jc w:val="right"/>
            </w:pPr>
            <w:r w:rsidRPr="00470E2C">
              <w:t>8</w:t>
            </w:r>
          </w:p>
        </w:tc>
        <w:tc>
          <w:tcPr>
            <w:tcW w:w="0" w:type="auto"/>
            <w:tcBorders>
              <w:top w:val="nil"/>
              <w:left w:val="nil"/>
              <w:bottom w:val="nil"/>
              <w:right w:val="nil"/>
            </w:tcBorders>
          </w:tcPr>
          <w:p w14:paraId="3A1C4D49" w14:textId="1C61EF75" w:rsidR="00CF657C" w:rsidRPr="00BC7B67" w:rsidRDefault="00CF657C" w:rsidP="00CF657C">
            <w:pPr>
              <w:keepNext/>
              <w:rPr>
                <w:rFonts w:cs="Arial"/>
              </w:rPr>
            </w:pPr>
            <w:r w:rsidRPr="002D386C">
              <w:rPr>
                <w:rFonts w:cs="Arial"/>
              </w:rPr>
              <w:t>Vapour pressure—gauge</w:t>
            </w:r>
            <w:r w:rsidR="00372CBB">
              <w:rPr>
                <w:rFonts w:cs="Arial"/>
              </w:rPr>
              <w:t xml:space="preserve">, at </w:t>
            </w:r>
            <w:r w:rsidR="00372CBB" w:rsidRPr="002D386C">
              <w:rPr>
                <w:rFonts w:cs="Arial"/>
              </w:rPr>
              <w:t>40°C</w:t>
            </w:r>
          </w:p>
        </w:tc>
        <w:tc>
          <w:tcPr>
            <w:tcW w:w="0" w:type="auto"/>
            <w:tcBorders>
              <w:top w:val="nil"/>
              <w:left w:val="nil"/>
              <w:bottom w:val="nil"/>
              <w:right w:val="nil"/>
            </w:tcBorders>
          </w:tcPr>
          <w:p w14:paraId="6ACDB6EB" w14:textId="38333491" w:rsidR="00CF657C" w:rsidRPr="00BC7B67" w:rsidRDefault="00BF4953" w:rsidP="00372CBB">
            <w:pPr>
              <w:rPr>
                <w:rFonts w:cs="Arial"/>
              </w:rPr>
            </w:pPr>
            <w:r>
              <w:rPr>
                <w:rFonts w:cs="Arial"/>
              </w:rPr>
              <w:t>800–1,</w:t>
            </w:r>
            <w:r w:rsidR="00372CBB">
              <w:rPr>
                <w:rFonts w:cs="Arial"/>
              </w:rPr>
              <w:t xml:space="preserve">530 </w:t>
            </w:r>
            <w:proofErr w:type="spellStart"/>
            <w:r w:rsidR="00372CBB">
              <w:rPr>
                <w:rFonts w:cs="Arial"/>
              </w:rPr>
              <w:t>kPa</w:t>
            </w:r>
            <w:proofErr w:type="spellEnd"/>
          </w:p>
        </w:tc>
        <w:tc>
          <w:tcPr>
            <w:tcW w:w="0" w:type="auto"/>
            <w:tcBorders>
              <w:top w:val="nil"/>
              <w:left w:val="nil"/>
              <w:bottom w:val="nil"/>
              <w:right w:val="nil"/>
            </w:tcBorders>
          </w:tcPr>
          <w:p w14:paraId="70EF478F" w14:textId="77777777" w:rsidR="00CF657C" w:rsidRPr="00EF7A1D" w:rsidRDefault="00CF657C" w:rsidP="00CF657C">
            <w:pPr>
              <w:keepNext/>
              <w:rPr>
                <w:rFonts w:cs="Arial"/>
              </w:rPr>
            </w:pPr>
            <w:r w:rsidRPr="00EF7A1D">
              <w:rPr>
                <w:rFonts w:cs="Arial"/>
              </w:rPr>
              <w:t>ISO 8973</w:t>
            </w:r>
          </w:p>
        </w:tc>
      </w:tr>
      <w:tr w:rsidR="00CF657C" w:rsidRPr="00470E2C" w14:paraId="416D81C0" w14:textId="77777777" w:rsidTr="00BC6AD0">
        <w:trPr>
          <w:cantSplit/>
        </w:trPr>
        <w:tc>
          <w:tcPr>
            <w:tcW w:w="0" w:type="auto"/>
            <w:tcBorders>
              <w:top w:val="nil"/>
              <w:left w:val="nil"/>
              <w:bottom w:val="nil"/>
              <w:right w:val="nil"/>
            </w:tcBorders>
          </w:tcPr>
          <w:p w14:paraId="5E29EAD0" w14:textId="77777777" w:rsidR="00CF657C" w:rsidRPr="00470E2C" w:rsidRDefault="00CF657C" w:rsidP="00CF657C">
            <w:pPr>
              <w:pStyle w:val="TableText0"/>
              <w:ind w:left="-561" w:right="153"/>
              <w:jc w:val="right"/>
            </w:pPr>
            <w:r w:rsidRPr="00470E2C">
              <w:t>9</w:t>
            </w:r>
          </w:p>
        </w:tc>
        <w:tc>
          <w:tcPr>
            <w:tcW w:w="0" w:type="auto"/>
            <w:tcBorders>
              <w:top w:val="nil"/>
              <w:left w:val="nil"/>
              <w:bottom w:val="nil"/>
              <w:right w:val="nil"/>
            </w:tcBorders>
          </w:tcPr>
          <w:p w14:paraId="0922096E" w14:textId="7DE591AB" w:rsidR="00CF657C" w:rsidRPr="00BC7B67" w:rsidRDefault="00CF657C" w:rsidP="00775688">
            <w:pPr>
              <w:keepNext/>
              <w:rPr>
                <w:rFonts w:cs="Arial"/>
              </w:rPr>
            </w:pPr>
            <w:r w:rsidRPr="002D386C">
              <w:rPr>
                <w:rFonts w:cs="Arial"/>
              </w:rPr>
              <w:t>Volatile residues—C5 and higher</w:t>
            </w:r>
          </w:p>
        </w:tc>
        <w:tc>
          <w:tcPr>
            <w:tcW w:w="0" w:type="auto"/>
            <w:tcBorders>
              <w:top w:val="nil"/>
              <w:left w:val="nil"/>
              <w:bottom w:val="nil"/>
              <w:right w:val="nil"/>
            </w:tcBorders>
          </w:tcPr>
          <w:p w14:paraId="79D06898" w14:textId="77777777" w:rsidR="00CF657C" w:rsidRPr="00BC7B67" w:rsidRDefault="00CF657C" w:rsidP="00CF657C">
            <w:pPr>
              <w:keepNext/>
              <w:rPr>
                <w:rFonts w:cs="Arial"/>
              </w:rPr>
            </w:pPr>
            <w:r w:rsidRPr="002D386C">
              <w:rPr>
                <w:rFonts w:cs="Arial"/>
              </w:rPr>
              <w:t>2.0% molar maximum</w:t>
            </w:r>
            <w:r w:rsidRPr="00BC7B67">
              <w:rPr>
                <w:rFonts w:cs="Arial"/>
              </w:rPr>
              <w:t xml:space="preserve"> </w:t>
            </w:r>
          </w:p>
        </w:tc>
        <w:tc>
          <w:tcPr>
            <w:tcW w:w="0" w:type="auto"/>
            <w:tcBorders>
              <w:top w:val="nil"/>
              <w:left w:val="nil"/>
              <w:bottom w:val="nil"/>
              <w:right w:val="nil"/>
            </w:tcBorders>
          </w:tcPr>
          <w:p w14:paraId="60914E16" w14:textId="6FF7F25D" w:rsidR="00CF657C" w:rsidRPr="00EF7A1D" w:rsidRDefault="00CF657C" w:rsidP="00CF657C">
            <w:pPr>
              <w:keepNext/>
              <w:rPr>
                <w:rFonts w:cs="Arial"/>
              </w:rPr>
            </w:pPr>
            <w:r w:rsidRPr="00EF7A1D">
              <w:rPr>
                <w:rFonts w:cs="Arial"/>
              </w:rPr>
              <w:t>ISO 7941</w:t>
            </w:r>
          </w:p>
        </w:tc>
      </w:tr>
      <w:tr w:rsidR="00CF657C" w:rsidRPr="00470E2C" w14:paraId="6DFCAACD" w14:textId="77777777" w:rsidTr="00BC6AD0">
        <w:trPr>
          <w:cantSplit/>
        </w:trPr>
        <w:tc>
          <w:tcPr>
            <w:tcW w:w="0" w:type="auto"/>
            <w:tcBorders>
              <w:top w:val="nil"/>
              <w:left w:val="nil"/>
              <w:right w:val="nil"/>
            </w:tcBorders>
          </w:tcPr>
          <w:p w14:paraId="211781D6" w14:textId="77777777" w:rsidR="00CF657C" w:rsidRPr="00470E2C" w:rsidRDefault="00CF657C" w:rsidP="00CF657C">
            <w:pPr>
              <w:pStyle w:val="TableText0"/>
              <w:ind w:left="-561" w:right="153"/>
              <w:jc w:val="right"/>
            </w:pPr>
            <w:r w:rsidRPr="00470E2C">
              <w:t>10</w:t>
            </w:r>
          </w:p>
        </w:tc>
        <w:tc>
          <w:tcPr>
            <w:tcW w:w="0" w:type="auto"/>
            <w:tcBorders>
              <w:top w:val="nil"/>
              <w:left w:val="nil"/>
              <w:right w:val="nil"/>
            </w:tcBorders>
          </w:tcPr>
          <w:p w14:paraId="1DDCB57A" w14:textId="77777777" w:rsidR="00CF657C" w:rsidRPr="00BC7B67" w:rsidRDefault="00CF657C" w:rsidP="00CF657C">
            <w:pPr>
              <w:keepNext/>
              <w:rPr>
                <w:rFonts w:cs="Arial"/>
              </w:rPr>
            </w:pPr>
            <w:r w:rsidRPr="00BC7B67">
              <w:rPr>
                <w:rFonts w:cs="Arial"/>
              </w:rPr>
              <w:t xml:space="preserve">Water </w:t>
            </w:r>
          </w:p>
        </w:tc>
        <w:tc>
          <w:tcPr>
            <w:tcW w:w="0" w:type="auto"/>
            <w:tcBorders>
              <w:top w:val="nil"/>
              <w:left w:val="nil"/>
              <w:right w:val="nil"/>
            </w:tcBorders>
          </w:tcPr>
          <w:p w14:paraId="372ACEC8" w14:textId="77777777" w:rsidR="00CF657C" w:rsidRPr="002A154B" w:rsidRDefault="00CF657C" w:rsidP="00CF657C">
            <w:pPr>
              <w:keepNext/>
              <w:rPr>
                <w:rFonts w:cs="Arial"/>
              </w:rPr>
            </w:pPr>
            <w:r w:rsidRPr="002A154B">
              <w:rPr>
                <w:rFonts w:cs="Arial"/>
              </w:rPr>
              <w:t xml:space="preserve">Pass </w:t>
            </w:r>
          </w:p>
        </w:tc>
        <w:tc>
          <w:tcPr>
            <w:tcW w:w="0" w:type="auto"/>
            <w:tcBorders>
              <w:top w:val="nil"/>
              <w:left w:val="nil"/>
              <w:right w:val="nil"/>
            </w:tcBorders>
          </w:tcPr>
          <w:p w14:paraId="004B90BF" w14:textId="77777777" w:rsidR="00CF657C" w:rsidRPr="002A154B" w:rsidRDefault="00CF657C" w:rsidP="00CF657C">
            <w:pPr>
              <w:keepNext/>
              <w:rPr>
                <w:rFonts w:cs="Arial"/>
              </w:rPr>
            </w:pPr>
            <w:r w:rsidRPr="002A154B">
              <w:rPr>
                <w:rFonts w:cs="Arial"/>
              </w:rPr>
              <w:t>EN 15469</w:t>
            </w:r>
          </w:p>
        </w:tc>
      </w:tr>
    </w:tbl>
    <w:p w14:paraId="32787C31" w14:textId="6E5F9D89" w:rsidR="00435597" w:rsidRDefault="002646DC" w:rsidP="003D5B51">
      <w:pPr>
        <w:pStyle w:val="subsection"/>
        <w:spacing w:after="240"/>
      </w:pPr>
      <w:r>
        <w:tab/>
        <w:t>(2)</w:t>
      </w:r>
      <w:r>
        <w:tab/>
        <w:t xml:space="preserve">For subsection (1), compliance with the specification for a parameter is determined by using the testing method for that parameter mentioned in that item of the table. </w:t>
      </w:r>
    </w:p>
    <w:p w14:paraId="37170ED8" w14:textId="23210F78" w:rsidR="0029549C" w:rsidRPr="00435597" w:rsidRDefault="003D5B51" w:rsidP="003D5B51">
      <w:pPr>
        <w:pStyle w:val="notetext"/>
      </w:pPr>
      <w:r>
        <w:t xml:space="preserve">Note: </w:t>
      </w:r>
      <w:r>
        <w:tab/>
        <w:t xml:space="preserve">The testing methods listed in the table are the methods that will be used by inspectors and other persons authorised to conduct tests on fuel under the Act to determine whether the fuel complies with the relevant fuel standard. Subsection (2) does not prevent other persons (including persons supplying fuel) from using other test methods to ensure that the fuel complies with the relevant fuel standard. </w:t>
      </w:r>
    </w:p>
    <w:sectPr w:rsidR="0029549C" w:rsidRPr="00435597"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AE24A" w14:textId="77777777" w:rsidR="00377B82" w:rsidRDefault="00377B82" w:rsidP="00715914">
      <w:pPr>
        <w:spacing w:line="240" w:lineRule="auto"/>
      </w:pPr>
      <w:r>
        <w:separator/>
      </w:r>
    </w:p>
  </w:endnote>
  <w:endnote w:type="continuationSeparator" w:id="0">
    <w:p w14:paraId="149EC84D" w14:textId="77777777" w:rsidR="00377B82" w:rsidRDefault="00377B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F1F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F7B0B32" w14:textId="77777777" w:rsidTr="00B33709">
      <w:tc>
        <w:tcPr>
          <w:tcW w:w="709" w:type="dxa"/>
          <w:tcBorders>
            <w:top w:val="nil"/>
            <w:left w:val="nil"/>
            <w:bottom w:val="nil"/>
            <w:right w:val="nil"/>
          </w:tcBorders>
        </w:tcPr>
        <w:p w14:paraId="1CBB2D81"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10">
            <w:rPr>
              <w:i/>
              <w:noProof/>
              <w:sz w:val="18"/>
            </w:rPr>
            <w:t>2</w:t>
          </w:r>
          <w:r w:rsidRPr="00ED79B6">
            <w:rPr>
              <w:i/>
              <w:sz w:val="18"/>
            </w:rPr>
            <w:fldChar w:fldCharType="end"/>
          </w:r>
        </w:p>
      </w:tc>
      <w:tc>
        <w:tcPr>
          <w:tcW w:w="6379" w:type="dxa"/>
          <w:tcBorders>
            <w:top w:val="nil"/>
            <w:left w:val="nil"/>
            <w:bottom w:val="nil"/>
            <w:right w:val="nil"/>
          </w:tcBorders>
        </w:tcPr>
        <w:p w14:paraId="53CD7E1C"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7C10">
            <w:rPr>
              <w:i/>
              <w:noProof/>
              <w:sz w:val="18"/>
            </w:rPr>
            <w:t>Fuel Quality Standards (Autogas) Determination 2019</w:t>
          </w:r>
          <w:r w:rsidRPr="004E1307">
            <w:rPr>
              <w:i/>
              <w:sz w:val="18"/>
            </w:rPr>
            <w:fldChar w:fldCharType="end"/>
          </w:r>
        </w:p>
      </w:tc>
      <w:tc>
        <w:tcPr>
          <w:tcW w:w="1383" w:type="dxa"/>
          <w:tcBorders>
            <w:top w:val="nil"/>
            <w:left w:val="nil"/>
            <w:bottom w:val="nil"/>
            <w:right w:val="nil"/>
          </w:tcBorders>
        </w:tcPr>
        <w:p w14:paraId="0D6BE69F" w14:textId="77777777" w:rsidR="0072147A" w:rsidRDefault="0072147A" w:rsidP="00A369E3">
          <w:pPr>
            <w:spacing w:line="0" w:lineRule="atLeast"/>
            <w:jc w:val="right"/>
            <w:rPr>
              <w:sz w:val="18"/>
            </w:rPr>
          </w:pPr>
        </w:p>
      </w:tc>
    </w:tr>
    <w:tr w:rsidR="0072147A" w14:paraId="1CCDD56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69682A" w14:textId="77777777" w:rsidR="0072147A" w:rsidRDefault="0072147A" w:rsidP="00A369E3">
          <w:pPr>
            <w:jc w:val="right"/>
            <w:rPr>
              <w:sz w:val="18"/>
            </w:rPr>
          </w:pPr>
        </w:p>
      </w:tc>
    </w:tr>
  </w:tbl>
  <w:p w14:paraId="1F8152A0"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650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2925E3C2" w14:textId="77777777" w:rsidTr="00A369E3">
      <w:tc>
        <w:tcPr>
          <w:tcW w:w="1384" w:type="dxa"/>
          <w:tcBorders>
            <w:top w:val="nil"/>
            <w:left w:val="nil"/>
            <w:bottom w:val="nil"/>
            <w:right w:val="nil"/>
          </w:tcBorders>
        </w:tcPr>
        <w:p w14:paraId="57EE1681" w14:textId="77777777" w:rsidR="0072147A" w:rsidRDefault="0072147A" w:rsidP="00A369E3">
          <w:pPr>
            <w:spacing w:line="0" w:lineRule="atLeast"/>
            <w:rPr>
              <w:sz w:val="18"/>
            </w:rPr>
          </w:pPr>
        </w:p>
      </w:tc>
      <w:tc>
        <w:tcPr>
          <w:tcW w:w="6379" w:type="dxa"/>
          <w:tcBorders>
            <w:top w:val="nil"/>
            <w:left w:val="nil"/>
            <w:bottom w:val="nil"/>
            <w:right w:val="nil"/>
          </w:tcBorders>
        </w:tcPr>
        <w:p w14:paraId="63E23AB6"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7C10">
            <w:rPr>
              <w:i/>
              <w:noProof/>
              <w:sz w:val="18"/>
            </w:rPr>
            <w:t>Fuel Quality Standards (Autogas) Determination 2019</w:t>
          </w:r>
          <w:r w:rsidRPr="004E1307">
            <w:rPr>
              <w:i/>
              <w:sz w:val="18"/>
            </w:rPr>
            <w:fldChar w:fldCharType="end"/>
          </w:r>
        </w:p>
      </w:tc>
      <w:tc>
        <w:tcPr>
          <w:tcW w:w="709" w:type="dxa"/>
          <w:tcBorders>
            <w:top w:val="nil"/>
            <w:left w:val="nil"/>
            <w:bottom w:val="nil"/>
            <w:right w:val="nil"/>
          </w:tcBorders>
        </w:tcPr>
        <w:p w14:paraId="78F34EE0"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10">
            <w:rPr>
              <w:i/>
              <w:noProof/>
              <w:sz w:val="18"/>
            </w:rPr>
            <w:t>2</w:t>
          </w:r>
          <w:r w:rsidRPr="00ED79B6">
            <w:rPr>
              <w:i/>
              <w:sz w:val="18"/>
            </w:rPr>
            <w:fldChar w:fldCharType="end"/>
          </w:r>
        </w:p>
      </w:tc>
    </w:tr>
    <w:tr w:rsidR="0072147A" w14:paraId="53F48BA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D9F5109" w14:textId="77777777" w:rsidR="0072147A" w:rsidRDefault="0072147A" w:rsidP="00A369E3">
          <w:pPr>
            <w:rPr>
              <w:sz w:val="18"/>
            </w:rPr>
          </w:pPr>
        </w:p>
      </w:tc>
    </w:tr>
  </w:tbl>
  <w:p w14:paraId="679E6726"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657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070148F" w14:textId="77777777" w:rsidTr="00B33709">
      <w:tc>
        <w:tcPr>
          <w:tcW w:w="1384" w:type="dxa"/>
          <w:tcBorders>
            <w:top w:val="nil"/>
            <w:left w:val="nil"/>
            <w:bottom w:val="nil"/>
            <w:right w:val="nil"/>
          </w:tcBorders>
        </w:tcPr>
        <w:p w14:paraId="5E3880D0" w14:textId="77777777" w:rsidR="0072147A" w:rsidRDefault="0072147A" w:rsidP="00A369E3">
          <w:pPr>
            <w:spacing w:line="0" w:lineRule="atLeast"/>
            <w:rPr>
              <w:sz w:val="18"/>
            </w:rPr>
          </w:pPr>
        </w:p>
      </w:tc>
      <w:tc>
        <w:tcPr>
          <w:tcW w:w="6379" w:type="dxa"/>
          <w:tcBorders>
            <w:top w:val="nil"/>
            <w:left w:val="nil"/>
            <w:bottom w:val="nil"/>
            <w:right w:val="nil"/>
          </w:tcBorders>
        </w:tcPr>
        <w:p w14:paraId="38B28BB2"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4A6073A" w14:textId="77777777" w:rsidR="0072147A" w:rsidRDefault="0072147A" w:rsidP="00A369E3">
          <w:pPr>
            <w:spacing w:line="0" w:lineRule="atLeast"/>
            <w:jc w:val="right"/>
            <w:rPr>
              <w:sz w:val="18"/>
            </w:rPr>
          </w:pPr>
        </w:p>
      </w:tc>
    </w:tr>
  </w:tbl>
  <w:p w14:paraId="46D19FA5" w14:textId="77777777" w:rsidR="0072147A" w:rsidRDefault="0072147A" w:rsidP="007500C8">
    <w:pPr>
      <w:rPr>
        <w:i/>
        <w:sz w:val="18"/>
      </w:rPr>
    </w:pPr>
  </w:p>
  <w:p w14:paraId="72E653C8" w14:textId="77777777" w:rsidR="00377B82" w:rsidRPr="00377B82" w:rsidRDefault="00377B82" w:rsidP="00377B82">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28A48"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7FF7B87D" w14:textId="77777777" w:rsidTr="00A87A58">
      <w:tc>
        <w:tcPr>
          <w:tcW w:w="365" w:type="pct"/>
        </w:tcPr>
        <w:p w14:paraId="0C3FCE77"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10">
            <w:rPr>
              <w:i/>
              <w:noProof/>
              <w:sz w:val="18"/>
            </w:rPr>
            <w:t>ii</w:t>
          </w:r>
          <w:r w:rsidRPr="00ED79B6">
            <w:rPr>
              <w:i/>
              <w:sz w:val="18"/>
            </w:rPr>
            <w:fldChar w:fldCharType="end"/>
          </w:r>
        </w:p>
      </w:tc>
      <w:tc>
        <w:tcPr>
          <w:tcW w:w="3688" w:type="pct"/>
        </w:tcPr>
        <w:p w14:paraId="06E06AB3"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7C10">
            <w:rPr>
              <w:i/>
              <w:noProof/>
              <w:sz w:val="18"/>
            </w:rPr>
            <w:t>Fuel Quality Standards (Autogas) Determination 2019</w:t>
          </w:r>
          <w:r w:rsidRPr="004E1307">
            <w:rPr>
              <w:i/>
              <w:sz w:val="18"/>
            </w:rPr>
            <w:fldChar w:fldCharType="end"/>
          </w:r>
        </w:p>
      </w:tc>
      <w:tc>
        <w:tcPr>
          <w:tcW w:w="947" w:type="pct"/>
        </w:tcPr>
        <w:p w14:paraId="6A6A02BB" w14:textId="77777777" w:rsidR="00F6696E" w:rsidRDefault="00F6696E" w:rsidP="000850AC">
          <w:pPr>
            <w:spacing w:line="0" w:lineRule="atLeast"/>
            <w:jc w:val="right"/>
            <w:rPr>
              <w:sz w:val="18"/>
            </w:rPr>
          </w:pPr>
        </w:p>
      </w:tc>
    </w:tr>
    <w:tr w:rsidR="00F6696E" w14:paraId="51430E82" w14:textId="77777777" w:rsidTr="00A87A58">
      <w:tc>
        <w:tcPr>
          <w:tcW w:w="5000" w:type="pct"/>
          <w:gridSpan w:val="3"/>
        </w:tcPr>
        <w:p w14:paraId="5D6D9D94" w14:textId="77777777" w:rsidR="00F6696E" w:rsidRDefault="00F6696E" w:rsidP="000850AC">
          <w:pPr>
            <w:jc w:val="right"/>
            <w:rPr>
              <w:sz w:val="18"/>
            </w:rPr>
          </w:pPr>
        </w:p>
      </w:tc>
    </w:tr>
  </w:tbl>
  <w:p w14:paraId="14905F9B"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DE0F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FCA71B5" w14:textId="77777777" w:rsidTr="00A87A58">
      <w:tc>
        <w:tcPr>
          <w:tcW w:w="947" w:type="pct"/>
        </w:tcPr>
        <w:p w14:paraId="230BABEA" w14:textId="77777777" w:rsidR="00F6696E" w:rsidRDefault="00F6696E" w:rsidP="000850AC">
          <w:pPr>
            <w:spacing w:line="0" w:lineRule="atLeast"/>
            <w:rPr>
              <w:sz w:val="18"/>
            </w:rPr>
          </w:pPr>
        </w:p>
      </w:tc>
      <w:tc>
        <w:tcPr>
          <w:tcW w:w="3688" w:type="pct"/>
        </w:tcPr>
        <w:p w14:paraId="11CEEE20"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55FF">
            <w:rPr>
              <w:i/>
              <w:noProof/>
              <w:sz w:val="18"/>
            </w:rPr>
            <w:t>Fuel Quality Standards (Autogas) Determination 2019</w:t>
          </w:r>
          <w:r w:rsidRPr="004E1307">
            <w:rPr>
              <w:i/>
              <w:sz w:val="18"/>
            </w:rPr>
            <w:fldChar w:fldCharType="end"/>
          </w:r>
        </w:p>
      </w:tc>
      <w:tc>
        <w:tcPr>
          <w:tcW w:w="365" w:type="pct"/>
        </w:tcPr>
        <w:p w14:paraId="4A920B5B"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55FF">
            <w:rPr>
              <w:i/>
              <w:noProof/>
              <w:sz w:val="18"/>
            </w:rPr>
            <w:t>i</w:t>
          </w:r>
          <w:r w:rsidRPr="00ED79B6">
            <w:rPr>
              <w:i/>
              <w:sz w:val="18"/>
            </w:rPr>
            <w:fldChar w:fldCharType="end"/>
          </w:r>
        </w:p>
      </w:tc>
    </w:tr>
    <w:tr w:rsidR="00F6696E" w14:paraId="627A6154" w14:textId="77777777" w:rsidTr="00A87A58">
      <w:tc>
        <w:tcPr>
          <w:tcW w:w="5000" w:type="pct"/>
          <w:gridSpan w:val="3"/>
        </w:tcPr>
        <w:p w14:paraId="747909D0" w14:textId="77777777" w:rsidR="00F6696E" w:rsidRDefault="00F6696E" w:rsidP="000850AC">
          <w:pPr>
            <w:rPr>
              <w:sz w:val="18"/>
            </w:rPr>
          </w:pPr>
        </w:p>
      </w:tc>
    </w:tr>
  </w:tbl>
  <w:p w14:paraId="0BF4BB98" w14:textId="77777777" w:rsidR="00F6696E" w:rsidRDefault="00F6696E" w:rsidP="003278F2">
    <w:pPr>
      <w:rPr>
        <w:i/>
        <w:sz w:val="18"/>
      </w:rPr>
    </w:pPr>
  </w:p>
  <w:p w14:paraId="46CD7529" w14:textId="77777777" w:rsidR="00377B82" w:rsidRPr="00377B82" w:rsidRDefault="00377B82" w:rsidP="00377B82">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A0C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80E2C29" w14:textId="77777777" w:rsidTr="00A87A58">
      <w:tc>
        <w:tcPr>
          <w:tcW w:w="365" w:type="pct"/>
        </w:tcPr>
        <w:p w14:paraId="18C61A6F"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55FF">
            <w:rPr>
              <w:i/>
              <w:noProof/>
              <w:sz w:val="18"/>
            </w:rPr>
            <w:t>2</w:t>
          </w:r>
          <w:r w:rsidRPr="00ED79B6">
            <w:rPr>
              <w:i/>
              <w:sz w:val="18"/>
            </w:rPr>
            <w:fldChar w:fldCharType="end"/>
          </w:r>
        </w:p>
      </w:tc>
      <w:tc>
        <w:tcPr>
          <w:tcW w:w="3688" w:type="pct"/>
        </w:tcPr>
        <w:p w14:paraId="02F0DEE2"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55FF">
            <w:rPr>
              <w:i/>
              <w:noProof/>
              <w:sz w:val="18"/>
            </w:rPr>
            <w:t>Fuel Quality Standards (Autogas) Determination 2019</w:t>
          </w:r>
          <w:r w:rsidRPr="004E1307">
            <w:rPr>
              <w:i/>
              <w:sz w:val="18"/>
            </w:rPr>
            <w:fldChar w:fldCharType="end"/>
          </w:r>
        </w:p>
      </w:tc>
      <w:tc>
        <w:tcPr>
          <w:tcW w:w="947" w:type="pct"/>
        </w:tcPr>
        <w:p w14:paraId="6DA32D4F" w14:textId="77777777" w:rsidR="008C2EAC" w:rsidRDefault="008C2EAC" w:rsidP="000850AC">
          <w:pPr>
            <w:spacing w:line="0" w:lineRule="atLeast"/>
            <w:jc w:val="right"/>
            <w:rPr>
              <w:sz w:val="18"/>
            </w:rPr>
          </w:pPr>
        </w:p>
      </w:tc>
    </w:tr>
    <w:tr w:rsidR="008C2EAC" w14:paraId="7C607E01" w14:textId="77777777" w:rsidTr="00A87A58">
      <w:tc>
        <w:tcPr>
          <w:tcW w:w="5000" w:type="pct"/>
          <w:gridSpan w:val="3"/>
        </w:tcPr>
        <w:p w14:paraId="42C0E00F" w14:textId="77777777" w:rsidR="008C2EAC" w:rsidRDefault="008C2EAC" w:rsidP="000850AC">
          <w:pPr>
            <w:jc w:val="right"/>
            <w:rPr>
              <w:sz w:val="18"/>
            </w:rPr>
          </w:pPr>
        </w:p>
      </w:tc>
    </w:tr>
  </w:tbl>
  <w:p w14:paraId="1CCEF569" w14:textId="77777777" w:rsidR="008C2EAC" w:rsidRPr="000824C5" w:rsidRDefault="008C2EAC" w:rsidP="000A6C6A">
    <w:pP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06B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389C78B" w14:textId="77777777" w:rsidTr="00A87A58">
      <w:tc>
        <w:tcPr>
          <w:tcW w:w="947" w:type="pct"/>
        </w:tcPr>
        <w:p w14:paraId="49FF8440" w14:textId="77777777" w:rsidR="008C2EAC" w:rsidRDefault="008C2EAC" w:rsidP="000850AC">
          <w:pPr>
            <w:spacing w:line="0" w:lineRule="atLeast"/>
            <w:rPr>
              <w:sz w:val="18"/>
            </w:rPr>
          </w:pPr>
        </w:p>
      </w:tc>
      <w:tc>
        <w:tcPr>
          <w:tcW w:w="3688" w:type="pct"/>
        </w:tcPr>
        <w:p w14:paraId="6A815DD2"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55FF">
            <w:rPr>
              <w:i/>
              <w:noProof/>
              <w:sz w:val="18"/>
            </w:rPr>
            <w:t>Fuel Quality Standards (Autogas) Determination 2019</w:t>
          </w:r>
          <w:r w:rsidRPr="004E1307">
            <w:rPr>
              <w:i/>
              <w:sz w:val="18"/>
            </w:rPr>
            <w:fldChar w:fldCharType="end"/>
          </w:r>
        </w:p>
      </w:tc>
      <w:tc>
        <w:tcPr>
          <w:tcW w:w="365" w:type="pct"/>
        </w:tcPr>
        <w:p w14:paraId="7FF92191"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55FF">
            <w:rPr>
              <w:i/>
              <w:noProof/>
              <w:sz w:val="18"/>
            </w:rPr>
            <w:t>1</w:t>
          </w:r>
          <w:r w:rsidRPr="00ED79B6">
            <w:rPr>
              <w:i/>
              <w:sz w:val="18"/>
            </w:rPr>
            <w:fldChar w:fldCharType="end"/>
          </w:r>
        </w:p>
      </w:tc>
    </w:tr>
    <w:tr w:rsidR="008C2EAC" w14:paraId="77127CAE" w14:textId="77777777" w:rsidTr="00A87A58">
      <w:tc>
        <w:tcPr>
          <w:tcW w:w="5000" w:type="pct"/>
          <w:gridSpan w:val="3"/>
        </w:tcPr>
        <w:p w14:paraId="27B8C962" w14:textId="77777777" w:rsidR="008C2EAC" w:rsidRDefault="008C2EAC" w:rsidP="000850AC">
          <w:pPr>
            <w:rPr>
              <w:sz w:val="18"/>
            </w:rPr>
          </w:pPr>
        </w:p>
      </w:tc>
    </w:tr>
  </w:tbl>
  <w:p w14:paraId="1B461560" w14:textId="77777777" w:rsidR="008C2EAC" w:rsidRDefault="008C2EAC" w:rsidP="003278F2">
    <w:pPr>
      <w:rPr>
        <w:i/>
        <w:sz w:val="18"/>
      </w:rPr>
    </w:pPr>
  </w:p>
  <w:p w14:paraId="6AAEC895" w14:textId="77777777" w:rsidR="00377B82" w:rsidRPr="00377B82" w:rsidRDefault="00377B82" w:rsidP="00377B82">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1E787" w14:textId="77777777" w:rsidR="00377B82" w:rsidRDefault="00377B82" w:rsidP="00715914">
      <w:pPr>
        <w:spacing w:line="240" w:lineRule="auto"/>
      </w:pPr>
      <w:r>
        <w:separator/>
      </w:r>
    </w:p>
  </w:footnote>
  <w:footnote w:type="continuationSeparator" w:id="0">
    <w:p w14:paraId="73C20A4F" w14:textId="77777777" w:rsidR="00377B82" w:rsidRDefault="00377B8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8E3A" w14:textId="3D77111C" w:rsidR="00F6696E" w:rsidRDefault="00F6696E" w:rsidP="00715914">
    <w:pPr>
      <w:pStyle w:val="Header"/>
      <w:tabs>
        <w:tab w:val="clear" w:pos="4150"/>
        <w:tab w:val="clear" w:pos="8307"/>
      </w:tabs>
    </w:pPr>
  </w:p>
  <w:p w14:paraId="1BD845C0" w14:textId="52F8A3C7" w:rsidR="00373C51" w:rsidRPr="005F1388" w:rsidRDefault="00373C51" w:rsidP="00715914">
    <w:pPr>
      <w:pStyle w:val="Header"/>
      <w:tabs>
        <w:tab w:val="clear" w:pos="4150"/>
        <w:tab w:val="clear" w:pos="8307"/>
      </w:tabs>
    </w:pPr>
    <w:proofErr w:type="gramStart"/>
    <w:r w:rsidRPr="00373C51">
      <w:t>DRAFT  02</w:t>
    </w:r>
    <w:proofErr w:type="gramEnd"/>
    <w:r w:rsidRPr="00373C51">
      <w:t>-04-2019  04:26 PM  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561B" w14:textId="64191B5E" w:rsidR="00F6696E" w:rsidRDefault="00F6696E" w:rsidP="00715914">
    <w:pPr>
      <w:pStyle w:val="Header"/>
      <w:tabs>
        <w:tab w:val="clear" w:pos="4150"/>
        <w:tab w:val="clear" w:pos="8307"/>
      </w:tabs>
    </w:pPr>
  </w:p>
  <w:p w14:paraId="323BC249" w14:textId="39993BE4" w:rsidR="00373C51" w:rsidRPr="005F1388" w:rsidRDefault="00373C51" w:rsidP="00715914">
    <w:pPr>
      <w:pStyle w:val="Header"/>
      <w:tabs>
        <w:tab w:val="clear" w:pos="4150"/>
        <w:tab w:val="clear" w:pos="8307"/>
      </w:tabs>
    </w:pPr>
    <w:proofErr w:type="gramStart"/>
    <w:r w:rsidRPr="00373C51">
      <w:t>DRAFT  02</w:t>
    </w:r>
    <w:proofErr w:type="gramEnd"/>
    <w:r w:rsidRPr="00373C51">
      <w:t>-04-2019  04:26 PM  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6776" w14:textId="652B8428" w:rsidR="00373C51" w:rsidRPr="00567B7F" w:rsidRDefault="00373C51" w:rsidP="00673558">
    <w:pPr>
      <w:pStyle w:val="ActHead6"/>
      <w:ind w:left="0"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7CC6F" w14:textId="3DDCC0F1" w:rsidR="00F6696E" w:rsidRDefault="00F6696E" w:rsidP="006442D3">
    <w:pPr>
      <w:pBdr>
        <w:bottom w:val="single" w:sz="6" w:space="1" w:color="auto"/>
      </w:pBdr>
      <w:spacing w:before="1000" w:line="240" w:lineRule="auto"/>
    </w:pPr>
  </w:p>
  <w:p w14:paraId="58E2BBF6" w14:textId="0D51A11D" w:rsidR="00373C51" w:rsidRPr="00ED79B6" w:rsidRDefault="00373C51" w:rsidP="006442D3">
    <w:pPr>
      <w:pBdr>
        <w:bottom w:val="single" w:sz="6" w:space="1" w:color="auto"/>
      </w:pBdr>
      <w:spacing w:before="1000" w:line="240" w:lineRule="auto"/>
    </w:pPr>
    <w:proofErr w:type="gramStart"/>
    <w:r w:rsidRPr="00373C51">
      <w:t>DRAFT  02</w:t>
    </w:r>
    <w:proofErr w:type="gramEnd"/>
    <w:r w:rsidRPr="00373C51">
      <w:t>-04-2019  04:26 PM  v</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F322" w14:textId="4827CBF9" w:rsidR="00373C51" w:rsidRPr="00ED79B6" w:rsidRDefault="00373C51"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3CE7" w14:textId="05595EE1" w:rsidR="00F6696E" w:rsidRDefault="00F6696E" w:rsidP="00715914">
    <w:pPr>
      <w:pStyle w:val="Header"/>
      <w:tabs>
        <w:tab w:val="clear" w:pos="4150"/>
        <w:tab w:val="clear" w:pos="8307"/>
      </w:tabs>
    </w:pPr>
  </w:p>
  <w:p w14:paraId="5099A3CC" w14:textId="312D9C95" w:rsidR="00373C51" w:rsidRPr="00ED79B6" w:rsidRDefault="00373C51" w:rsidP="00715914">
    <w:pPr>
      <w:pStyle w:val="Header"/>
      <w:tabs>
        <w:tab w:val="clear" w:pos="4150"/>
        <w:tab w:val="clear" w:pos="8307"/>
      </w:tabs>
    </w:pPr>
    <w:proofErr w:type="gramStart"/>
    <w:r w:rsidRPr="00373C51">
      <w:t>DRAFT  02</w:t>
    </w:r>
    <w:proofErr w:type="gramEnd"/>
    <w:r w:rsidRPr="00373C51">
      <w:t>-04-2019  04:26 PM  v</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EE79" w14:textId="77777777" w:rsidR="004E1307" w:rsidRDefault="004E1307" w:rsidP="00715914">
    <w:pPr>
      <w:rPr>
        <w:sz w:val="20"/>
      </w:rPr>
    </w:pPr>
  </w:p>
  <w:p w14:paraId="113F837B" w14:textId="77777777" w:rsidR="004E1307" w:rsidRDefault="004E1307" w:rsidP="00715914">
    <w:pPr>
      <w:rPr>
        <w:sz w:val="20"/>
      </w:rPr>
    </w:pPr>
  </w:p>
  <w:p w14:paraId="4CA3D243" w14:textId="77777777" w:rsidR="004E1307" w:rsidRPr="007A1328" w:rsidRDefault="004E1307" w:rsidP="00715914">
    <w:pPr>
      <w:rPr>
        <w:sz w:val="20"/>
      </w:rPr>
    </w:pPr>
  </w:p>
  <w:p w14:paraId="43C6203E" w14:textId="77777777" w:rsidR="004E1307" w:rsidRPr="007A1328" w:rsidRDefault="004E1307" w:rsidP="00715914">
    <w:pPr>
      <w:rPr>
        <w:b/>
        <w:sz w:val="24"/>
      </w:rPr>
    </w:pPr>
  </w:p>
  <w:p w14:paraId="59DDFA82" w14:textId="4F0D0834" w:rsidR="00373C51" w:rsidRPr="007A1328" w:rsidRDefault="00373C51"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CCC9" w14:textId="77777777" w:rsidR="004E1307" w:rsidRPr="007A1328" w:rsidRDefault="004E1307" w:rsidP="00715914">
    <w:pPr>
      <w:jc w:val="right"/>
      <w:rPr>
        <w:sz w:val="20"/>
      </w:rPr>
    </w:pPr>
  </w:p>
  <w:p w14:paraId="527C0CEC" w14:textId="46832343" w:rsidR="00373C51" w:rsidRPr="007A1328" w:rsidRDefault="00373C51" w:rsidP="00F774F0">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46A6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6A3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1A6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76B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62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84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56DB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B014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088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20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609B"/>
    <w:multiLevelType w:val="hybridMultilevel"/>
    <w:tmpl w:val="D3E6B104"/>
    <w:lvl w:ilvl="0" w:tplc="832A6C9A">
      <w:start w:val="1"/>
      <w:numFmt w:val="decimal"/>
      <w:lvlText w:val="(%1)"/>
      <w:lvlJc w:val="left"/>
      <w:pPr>
        <w:ind w:left="1500" w:hanging="360"/>
      </w:pPr>
      <w:rPr>
        <w:rFonts w:hint="default"/>
        <w:sz w:val="22"/>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5E5A0B"/>
    <w:multiLevelType w:val="hybridMultilevel"/>
    <w:tmpl w:val="56DEE468"/>
    <w:lvl w:ilvl="0" w:tplc="1EBA16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61E270E4"/>
    <w:multiLevelType w:val="hybridMultilevel"/>
    <w:tmpl w:val="631207D0"/>
    <w:lvl w:ilvl="0" w:tplc="0C090017">
      <w:start w:val="1"/>
      <w:numFmt w:val="lowerLetter"/>
      <w:lvlText w:val="%1)"/>
      <w:lvlJc w:val="left"/>
      <w:pPr>
        <w:ind w:left="1089" w:hanging="360"/>
      </w:pPr>
    </w:lvl>
    <w:lvl w:ilvl="1" w:tplc="0C09001B">
      <w:start w:val="1"/>
      <w:numFmt w:val="lowerRoman"/>
      <w:lvlText w:val="%2."/>
      <w:lvlJc w:val="right"/>
      <w:pPr>
        <w:ind w:left="1809" w:hanging="360"/>
      </w:pPr>
    </w:lvl>
    <w:lvl w:ilvl="2" w:tplc="0C09001B">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6" w15:restartNumberingAfterBreak="0">
    <w:nsid w:val="65456429"/>
    <w:multiLevelType w:val="multilevel"/>
    <w:tmpl w:val="E898CC72"/>
    <w:numStyleLink w:val="KeyPoints"/>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0"/>
  </w:num>
  <w:num w:numId="16">
    <w:abstractNumId w:val="17"/>
  </w:num>
  <w:num w:numId="17">
    <w:abstractNumId w:val="16"/>
    <w:lvlOverride w:ilvl="0">
      <w:lvl w:ilvl="0">
        <w:start w:val="1"/>
        <w:numFmt w:val="decimal"/>
        <w:pStyle w:val="ListNumber"/>
        <w:lvlText w:val="%1."/>
        <w:lvlJc w:val="left"/>
        <w:pPr>
          <w:ind w:left="369" w:hanging="369"/>
        </w:pPr>
        <w:rPr>
          <w:rFonts w:ascii="Arial" w:hAnsi="Arial" w:hint="default"/>
          <w:i w:val="0"/>
          <w:color w:val="auto"/>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82"/>
    <w:rsid w:val="00004174"/>
    <w:rsid w:val="00004470"/>
    <w:rsid w:val="00004CFD"/>
    <w:rsid w:val="000136AF"/>
    <w:rsid w:val="000258B1"/>
    <w:rsid w:val="00033600"/>
    <w:rsid w:val="00040A89"/>
    <w:rsid w:val="000437C1"/>
    <w:rsid w:val="0004455A"/>
    <w:rsid w:val="00046EC3"/>
    <w:rsid w:val="0005365D"/>
    <w:rsid w:val="000614BF"/>
    <w:rsid w:val="0006709C"/>
    <w:rsid w:val="00074376"/>
    <w:rsid w:val="000824C5"/>
    <w:rsid w:val="000978F5"/>
    <w:rsid w:val="000B15CD"/>
    <w:rsid w:val="000B35EB"/>
    <w:rsid w:val="000D05EF"/>
    <w:rsid w:val="000D7C10"/>
    <w:rsid w:val="000E2261"/>
    <w:rsid w:val="000E78B7"/>
    <w:rsid w:val="000F21C1"/>
    <w:rsid w:val="00106CDC"/>
    <w:rsid w:val="0010745C"/>
    <w:rsid w:val="00132CEB"/>
    <w:rsid w:val="001339B0"/>
    <w:rsid w:val="00142B62"/>
    <w:rsid w:val="001441B7"/>
    <w:rsid w:val="001516CB"/>
    <w:rsid w:val="00152336"/>
    <w:rsid w:val="00157B8B"/>
    <w:rsid w:val="00166C2F"/>
    <w:rsid w:val="001809D7"/>
    <w:rsid w:val="001939E1"/>
    <w:rsid w:val="00194C3E"/>
    <w:rsid w:val="00195382"/>
    <w:rsid w:val="001A1776"/>
    <w:rsid w:val="001A3F61"/>
    <w:rsid w:val="001B2CB6"/>
    <w:rsid w:val="001C61C5"/>
    <w:rsid w:val="001C69C4"/>
    <w:rsid w:val="001D37EF"/>
    <w:rsid w:val="001E3590"/>
    <w:rsid w:val="001E7407"/>
    <w:rsid w:val="001F5D5E"/>
    <w:rsid w:val="001F6219"/>
    <w:rsid w:val="001F6CD4"/>
    <w:rsid w:val="00206C4D"/>
    <w:rsid w:val="00215AF1"/>
    <w:rsid w:val="00221A08"/>
    <w:rsid w:val="002321E8"/>
    <w:rsid w:val="00232984"/>
    <w:rsid w:val="0024010F"/>
    <w:rsid w:val="00240749"/>
    <w:rsid w:val="00243018"/>
    <w:rsid w:val="002564A4"/>
    <w:rsid w:val="002646DC"/>
    <w:rsid w:val="0026736C"/>
    <w:rsid w:val="00281308"/>
    <w:rsid w:val="00284719"/>
    <w:rsid w:val="0029549C"/>
    <w:rsid w:val="00297ECB"/>
    <w:rsid w:val="002A154B"/>
    <w:rsid w:val="002A7BCF"/>
    <w:rsid w:val="002C3FD1"/>
    <w:rsid w:val="002C7172"/>
    <w:rsid w:val="002D043A"/>
    <w:rsid w:val="002D266B"/>
    <w:rsid w:val="002D6224"/>
    <w:rsid w:val="002F7BCC"/>
    <w:rsid w:val="00304F8B"/>
    <w:rsid w:val="00335BC6"/>
    <w:rsid w:val="003415D3"/>
    <w:rsid w:val="00344338"/>
    <w:rsid w:val="00344701"/>
    <w:rsid w:val="00351D06"/>
    <w:rsid w:val="00352B0F"/>
    <w:rsid w:val="00360459"/>
    <w:rsid w:val="00372CBB"/>
    <w:rsid w:val="00373C51"/>
    <w:rsid w:val="00377B82"/>
    <w:rsid w:val="0038049F"/>
    <w:rsid w:val="003B58F7"/>
    <w:rsid w:val="003C6231"/>
    <w:rsid w:val="003D0BFE"/>
    <w:rsid w:val="003D4BBF"/>
    <w:rsid w:val="003D5700"/>
    <w:rsid w:val="003D5B51"/>
    <w:rsid w:val="003E341B"/>
    <w:rsid w:val="003E4D00"/>
    <w:rsid w:val="004116CD"/>
    <w:rsid w:val="004148E8"/>
    <w:rsid w:val="0041634D"/>
    <w:rsid w:val="00417EB9"/>
    <w:rsid w:val="00424CA9"/>
    <w:rsid w:val="004271B5"/>
    <w:rsid w:val="004276DF"/>
    <w:rsid w:val="004278BA"/>
    <w:rsid w:val="00431E9B"/>
    <w:rsid w:val="00435597"/>
    <w:rsid w:val="004379E3"/>
    <w:rsid w:val="0044015E"/>
    <w:rsid w:val="0044291A"/>
    <w:rsid w:val="00467661"/>
    <w:rsid w:val="00472DBE"/>
    <w:rsid w:val="00474A19"/>
    <w:rsid w:val="00477830"/>
    <w:rsid w:val="00477C99"/>
    <w:rsid w:val="00487764"/>
    <w:rsid w:val="00496F97"/>
    <w:rsid w:val="004B6B8C"/>
    <w:rsid w:val="004B6C48"/>
    <w:rsid w:val="004C4E59"/>
    <w:rsid w:val="004C6809"/>
    <w:rsid w:val="004E063A"/>
    <w:rsid w:val="004E12DA"/>
    <w:rsid w:val="004E1307"/>
    <w:rsid w:val="004E7BEC"/>
    <w:rsid w:val="00504981"/>
    <w:rsid w:val="00505D3D"/>
    <w:rsid w:val="00506AF6"/>
    <w:rsid w:val="00516B8D"/>
    <w:rsid w:val="005303C8"/>
    <w:rsid w:val="00537FBC"/>
    <w:rsid w:val="0054536A"/>
    <w:rsid w:val="00546C43"/>
    <w:rsid w:val="00554826"/>
    <w:rsid w:val="00562877"/>
    <w:rsid w:val="00567AB2"/>
    <w:rsid w:val="00567B7F"/>
    <w:rsid w:val="00584811"/>
    <w:rsid w:val="00585784"/>
    <w:rsid w:val="00593AA6"/>
    <w:rsid w:val="00594161"/>
    <w:rsid w:val="00594749"/>
    <w:rsid w:val="005955FF"/>
    <w:rsid w:val="005A65D5"/>
    <w:rsid w:val="005A7C4E"/>
    <w:rsid w:val="005B4067"/>
    <w:rsid w:val="005C3F41"/>
    <w:rsid w:val="005D1D92"/>
    <w:rsid w:val="005D2D09"/>
    <w:rsid w:val="005E2C1B"/>
    <w:rsid w:val="00600219"/>
    <w:rsid w:val="00604F2A"/>
    <w:rsid w:val="00620076"/>
    <w:rsid w:val="00627E0A"/>
    <w:rsid w:val="00653C15"/>
    <w:rsid w:val="0065488B"/>
    <w:rsid w:val="00670EA1"/>
    <w:rsid w:val="00673558"/>
    <w:rsid w:val="00677CC2"/>
    <w:rsid w:val="0068744B"/>
    <w:rsid w:val="006905DE"/>
    <w:rsid w:val="0069207B"/>
    <w:rsid w:val="006975A5"/>
    <w:rsid w:val="006A154F"/>
    <w:rsid w:val="006A437B"/>
    <w:rsid w:val="006B5789"/>
    <w:rsid w:val="006C30C5"/>
    <w:rsid w:val="006C7F8C"/>
    <w:rsid w:val="006E2E1C"/>
    <w:rsid w:val="006E6246"/>
    <w:rsid w:val="006E69C2"/>
    <w:rsid w:val="006E6DCC"/>
    <w:rsid w:val="006F318F"/>
    <w:rsid w:val="0070017E"/>
    <w:rsid w:val="00700B2C"/>
    <w:rsid w:val="007050A2"/>
    <w:rsid w:val="00710281"/>
    <w:rsid w:val="00713084"/>
    <w:rsid w:val="00714F20"/>
    <w:rsid w:val="0071590F"/>
    <w:rsid w:val="00715914"/>
    <w:rsid w:val="0072147A"/>
    <w:rsid w:val="00723791"/>
    <w:rsid w:val="00731E00"/>
    <w:rsid w:val="007440B7"/>
    <w:rsid w:val="007500C8"/>
    <w:rsid w:val="00756272"/>
    <w:rsid w:val="00762D38"/>
    <w:rsid w:val="00764003"/>
    <w:rsid w:val="007715C9"/>
    <w:rsid w:val="00771613"/>
    <w:rsid w:val="00774EDD"/>
    <w:rsid w:val="00775688"/>
    <w:rsid w:val="007757EC"/>
    <w:rsid w:val="00783E89"/>
    <w:rsid w:val="00793915"/>
    <w:rsid w:val="007B1A79"/>
    <w:rsid w:val="007B4065"/>
    <w:rsid w:val="007C2253"/>
    <w:rsid w:val="007D391A"/>
    <w:rsid w:val="007D706B"/>
    <w:rsid w:val="007D7911"/>
    <w:rsid w:val="007E163D"/>
    <w:rsid w:val="007E667A"/>
    <w:rsid w:val="007F28C9"/>
    <w:rsid w:val="007F51B2"/>
    <w:rsid w:val="007F6F38"/>
    <w:rsid w:val="008040DD"/>
    <w:rsid w:val="008117E9"/>
    <w:rsid w:val="00824498"/>
    <w:rsid w:val="00826BD1"/>
    <w:rsid w:val="00834F91"/>
    <w:rsid w:val="00854D0B"/>
    <w:rsid w:val="00856A31"/>
    <w:rsid w:val="00860B4E"/>
    <w:rsid w:val="00867B37"/>
    <w:rsid w:val="00873D87"/>
    <w:rsid w:val="008754D0"/>
    <w:rsid w:val="00875D13"/>
    <w:rsid w:val="008855C9"/>
    <w:rsid w:val="00886456"/>
    <w:rsid w:val="00896176"/>
    <w:rsid w:val="008A46E1"/>
    <w:rsid w:val="008A4F43"/>
    <w:rsid w:val="008B2706"/>
    <w:rsid w:val="008C2EAC"/>
    <w:rsid w:val="008C7EF2"/>
    <w:rsid w:val="008D0EE0"/>
    <w:rsid w:val="008E0027"/>
    <w:rsid w:val="008E6067"/>
    <w:rsid w:val="008F54E7"/>
    <w:rsid w:val="00903422"/>
    <w:rsid w:val="009142B2"/>
    <w:rsid w:val="009254C3"/>
    <w:rsid w:val="00932377"/>
    <w:rsid w:val="00932E61"/>
    <w:rsid w:val="009371B9"/>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67E1A"/>
    <w:rsid w:val="00A70A74"/>
    <w:rsid w:val="00A75FE9"/>
    <w:rsid w:val="00AA3E05"/>
    <w:rsid w:val="00AD53CC"/>
    <w:rsid w:val="00AD5641"/>
    <w:rsid w:val="00AD6949"/>
    <w:rsid w:val="00AE481D"/>
    <w:rsid w:val="00AF06CF"/>
    <w:rsid w:val="00B064EE"/>
    <w:rsid w:val="00B07CDB"/>
    <w:rsid w:val="00B16A31"/>
    <w:rsid w:val="00B17DFD"/>
    <w:rsid w:val="00B25306"/>
    <w:rsid w:val="00B27831"/>
    <w:rsid w:val="00B308FE"/>
    <w:rsid w:val="00B33709"/>
    <w:rsid w:val="00B33B3C"/>
    <w:rsid w:val="00B36392"/>
    <w:rsid w:val="00B418CB"/>
    <w:rsid w:val="00B47444"/>
    <w:rsid w:val="00B50ADC"/>
    <w:rsid w:val="00B566B1"/>
    <w:rsid w:val="00B626C8"/>
    <w:rsid w:val="00B63834"/>
    <w:rsid w:val="00B80199"/>
    <w:rsid w:val="00B83204"/>
    <w:rsid w:val="00B856E7"/>
    <w:rsid w:val="00BA220B"/>
    <w:rsid w:val="00BA3A57"/>
    <w:rsid w:val="00BB1533"/>
    <w:rsid w:val="00BB4E1A"/>
    <w:rsid w:val="00BC015E"/>
    <w:rsid w:val="00BC6AD0"/>
    <w:rsid w:val="00BC76AC"/>
    <w:rsid w:val="00BD0ECB"/>
    <w:rsid w:val="00BD36AB"/>
    <w:rsid w:val="00BE2155"/>
    <w:rsid w:val="00BE719A"/>
    <w:rsid w:val="00BE720A"/>
    <w:rsid w:val="00BF0D73"/>
    <w:rsid w:val="00BF2465"/>
    <w:rsid w:val="00BF4953"/>
    <w:rsid w:val="00C07074"/>
    <w:rsid w:val="00C15BCB"/>
    <w:rsid w:val="00C16619"/>
    <w:rsid w:val="00C25E7F"/>
    <w:rsid w:val="00C2746F"/>
    <w:rsid w:val="00C323D6"/>
    <w:rsid w:val="00C324A0"/>
    <w:rsid w:val="00C42BF8"/>
    <w:rsid w:val="00C50043"/>
    <w:rsid w:val="00C510AB"/>
    <w:rsid w:val="00C55FEF"/>
    <w:rsid w:val="00C756CC"/>
    <w:rsid w:val="00C7573B"/>
    <w:rsid w:val="00C75BCC"/>
    <w:rsid w:val="00C97A54"/>
    <w:rsid w:val="00CA5B23"/>
    <w:rsid w:val="00CB602E"/>
    <w:rsid w:val="00CB7E90"/>
    <w:rsid w:val="00CE051D"/>
    <w:rsid w:val="00CE1335"/>
    <w:rsid w:val="00CE493D"/>
    <w:rsid w:val="00CF07FA"/>
    <w:rsid w:val="00CF0BB2"/>
    <w:rsid w:val="00CF262F"/>
    <w:rsid w:val="00CF3EE8"/>
    <w:rsid w:val="00CF657C"/>
    <w:rsid w:val="00D13441"/>
    <w:rsid w:val="00D150E7"/>
    <w:rsid w:val="00D211A4"/>
    <w:rsid w:val="00D33105"/>
    <w:rsid w:val="00D52DC2"/>
    <w:rsid w:val="00D53BCC"/>
    <w:rsid w:val="00D54C9E"/>
    <w:rsid w:val="00D6537E"/>
    <w:rsid w:val="00D65BD9"/>
    <w:rsid w:val="00D70DFB"/>
    <w:rsid w:val="00D766DF"/>
    <w:rsid w:val="00D8206C"/>
    <w:rsid w:val="00D91F10"/>
    <w:rsid w:val="00D97C7F"/>
    <w:rsid w:val="00DA186E"/>
    <w:rsid w:val="00DA4116"/>
    <w:rsid w:val="00DA46B4"/>
    <w:rsid w:val="00DB04A7"/>
    <w:rsid w:val="00DB251C"/>
    <w:rsid w:val="00DB4630"/>
    <w:rsid w:val="00DC4F88"/>
    <w:rsid w:val="00DE107C"/>
    <w:rsid w:val="00DF2388"/>
    <w:rsid w:val="00E05704"/>
    <w:rsid w:val="00E338EF"/>
    <w:rsid w:val="00E544BB"/>
    <w:rsid w:val="00E74DC7"/>
    <w:rsid w:val="00E76A28"/>
    <w:rsid w:val="00E77DA1"/>
    <w:rsid w:val="00E8075A"/>
    <w:rsid w:val="00E940D8"/>
    <w:rsid w:val="00E94D5E"/>
    <w:rsid w:val="00EA7100"/>
    <w:rsid w:val="00EA7F9F"/>
    <w:rsid w:val="00EB1274"/>
    <w:rsid w:val="00ED2BB6"/>
    <w:rsid w:val="00ED34E1"/>
    <w:rsid w:val="00ED3B8D"/>
    <w:rsid w:val="00EE5E36"/>
    <w:rsid w:val="00EE705E"/>
    <w:rsid w:val="00EF2E3A"/>
    <w:rsid w:val="00EF7A1D"/>
    <w:rsid w:val="00F02C7C"/>
    <w:rsid w:val="00F072A7"/>
    <w:rsid w:val="00F078DC"/>
    <w:rsid w:val="00F232A9"/>
    <w:rsid w:val="00F32BA8"/>
    <w:rsid w:val="00F32EE0"/>
    <w:rsid w:val="00F349F1"/>
    <w:rsid w:val="00F34D0D"/>
    <w:rsid w:val="00F4350D"/>
    <w:rsid w:val="00F479C4"/>
    <w:rsid w:val="00F567F7"/>
    <w:rsid w:val="00F6696E"/>
    <w:rsid w:val="00F67E80"/>
    <w:rsid w:val="00F73BD6"/>
    <w:rsid w:val="00F774F0"/>
    <w:rsid w:val="00F83989"/>
    <w:rsid w:val="00F85099"/>
    <w:rsid w:val="00F9379C"/>
    <w:rsid w:val="00F9632C"/>
    <w:rsid w:val="00FA1E52"/>
    <w:rsid w:val="00FB5A08"/>
    <w:rsid w:val="00FC4BD4"/>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7E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D65BD9"/>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D65BD9"/>
    <w:pPr>
      <w:spacing w:before="60" w:after="60" w:line="240" w:lineRule="exact"/>
    </w:pPr>
    <w:rPr>
      <w:rFonts w:eastAsia="Times New Roman" w:cs="Times New Roman"/>
      <w:szCs w:val="24"/>
      <w:lang w:eastAsia="en-AU"/>
    </w:rPr>
  </w:style>
  <w:style w:type="character" w:styleId="CommentReference">
    <w:name w:val="annotation reference"/>
    <w:basedOn w:val="DefaultParagraphFont"/>
    <w:uiPriority w:val="99"/>
    <w:semiHidden/>
    <w:unhideWhenUsed/>
    <w:rsid w:val="00546C43"/>
    <w:rPr>
      <w:sz w:val="16"/>
      <w:szCs w:val="16"/>
    </w:rPr>
  </w:style>
  <w:style w:type="paragraph" w:styleId="CommentText">
    <w:name w:val="annotation text"/>
    <w:basedOn w:val="Normal"/>
    <w:link w:val="CommentTextChar"/>
    <w:uiPriority w:val="99"/>
    <w:semiHidden/>
    <w:unhideWhenUsed/>
    <w:rsid w:val="00546C43"/>
    <w:pPr>
      <w:spacing w:line="240" w:lineRule="auto"/>
    </w:pPr>
    <w:rPr>
      <w:sz w:val="20"/>
    </w:rPr>
  </w:style>
  <w:style w:type="character" w:customStyle="1" w:styleId="CommentTextChar">
    <w:name w:val="Comment Text Char"/>
    <w:basedOn w:val="DefaultParagraphFont"/>
    <w:link w:val="CommentText"/>
    <w:uiPriority w:val="99"/>
    <w:semiHidden/>
    <w:rsid w:val="00546C43"/>
  </w:style>
  <w:style w:type="paragraph" w:styleId="CommentSubject">
    <w:name w:val="annotation subject"/>
    <w:basedOn w:val="CommentText"/>
    <w:next w:val="CommentText"/>
    <w:link w:val="CommentSubjectChar"/>
    <w:uiPriority w:val="99"/>
    <w:semiHidden/>
    <w:unhideWhenUsed/>
    <w:rsid w:val="00546C43"/>
    <w:rPr>
      <w:b/>
      <w:bCs/>
    </w:rPr>
  </w:style>
  <w:style w:type="character" w:customStyle="1" w:styleId="CommentSubjectChar">
    <w:name w:val="Comment Subject Char"/>
    <w:basedOn w:val="CommentTextChar"/>
    <w:link w:val="CommentSubject"/>
    <w:uiPriority w:val="99"/>
    <w:semiHidden/>
    <w:rsid w:val="00546C43"/>
    <w:rPr>
      <w:b/>
      <w:bCs/>
    </w:rPr>
  </w:style>
  <w:style w:type="numbering" w:customStyle="1" w:styleId="KeyPoints">
    <w:name w:val="Key Points"/>
    <w:basedOn w:val="NoList"/>
    <w:uiPriority w:val="99"/>
    <w:rsid w:val="007B4065"/>
    <w:pPr>
      <w:numPr>
        <w:numId w:val="16"/>
      </w:numPr>
    </w:pPr>
  </w:style>
  <w:style w:type="paragraph" w:styleId="ListNumber">
    <w:name w:val="List Number"/>
    <w:basedOn w:val="Normal"/>
    <w:uiPriority w:val="99"/>
    <w:qFormat/>
    <w:rsid w:val="007B4065"/>
    <w:pPr>
      <w:numPr>
        <w:numId w:val="17"/>
      </w:numPr>
      <w:spacing w:after="200" w:line="276" w:lineRule="auto"/>
    </w:pPr>
    <w:rPr>
      <w:rFonts w:ascii="Arial" w:eastAsia="Calibri" w:hAnsi="Arial" w:cs="Times New Roman"/>
      <w:szCs w:val="22"/>
    </w:rPr>
  </w:style>
  <w:style w:type="paragraph" w:styleId="ListNumber2">
    <w:name w:val="List Number 2"/>
    <w:basedOn w:val="Normal"/>
    <w:uiPriority w:val="99"/>
    <w:rsid w:val="007B4065"/>
    <w:pPr>
      <w:numPr>
        <w:ilvl w:val="1"/>
        <w:numId w:val="17"/>
      </w:numPr>
      <w:spacing w:after="200" w:line="276" w:lineRule="auto"/>
    </w:pPr>
    <w:rPr>
      <w:rFonts w:ascii="Arial" w:eastAsia="Calibri" w:hAnsi="Arial" w:cs="Times New Roman"/>
      <w:szCs w:val="22"/>
    </w:rPr>
  </w:style>
  <w:style w:type="paragraph" w:styleId="ListNumber3">
    <w:name w:val="List Number 3"/>
    <w:basedOn w:val="Normal"/>
    <w:uiPriority w:val="99"/>
    <w:rsid w:val="007B4065"/>
    <w:pPr>
      <w:numPr>
        <w:ilvl w:val="2"/>
        <w:numId w:val="17"/>
      </w:numPr>
      <w:spacing w:after="200" w:line="276" w:lineRule="auto"/>
    </w:pPr>
    <w:rPr>
      <w:rFonts w:ascii="Arial" w:eastAsia="Calibri" w:hAnsi="Arial" w:cs="Times New Roman"/>
      <w:szCs w:val="22"/>
    </w:rPr>
  </w:style>
  <w:style w:type="paragraph" w:styleId="ListNumber4">
    <w:name w:val="List Number 4"/>
    <w:basedOn w:val="Normal"/>
    <w:uiPriority w:val="99"/>
    <w:rsid w:val="007B4065"/>
    <w:pPr>
      <w:numPr>
        <w:ilvl w:val="3"/>
        <w:numId w:val="17"/>
      </w:numPr>
      <w:spacing w:after="200" w:line="276" w:lineRule="auto"/>
    </w:pPr>
    <w:rPr>
      <w:rFonts w:ascii="Arial" w:eastAsia="Calibri" w:hAnsi="Arial" w:cs="Times New Roman"/>
      <w:szCs w:val="22"/>
    </w:rPr>
  </w:style>
  <w:style w:type="paragraph" w:styleId="ListNumber5">
    <w:name w:val="List Number 5"/>
    <w:basedOn w:val="Normal"/>
    <w:uiPriority w:val="99"/>
    <w:rsid w:val="007B4065"/>
    <w:pPr>
      <w:numPr>
        <w:ilvl w:val="4"/>
        <w:numId w:val="17"/>
      </w:numPr>
      <w:spacing w:after="200" w:line="276" w:lineRule="auto"/>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CDD5-427C-40DD-BC84-7344CD3C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1CA7E9CF.dotm</Template>
  <TotalTime>0</TotalTime>
  <Pages>6</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2019-09-24T06:18:00Z</dcterms:created>
  <dcterms:modified xsi:type="dcterms:W3CDTF">2019-09-24T06:18:00Z</dcterms:modified>
</cp:coreProperties>
</file>