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09C" w:rsidRPr="00574F9C" w:rsidRDefault="002533F0" w:rsidP="002533F0">
      <w:pPr>
        <w:spacing w:before="0"/>
        <w:ind w:right="91"/>
        <w:jc w:val="center"/>
        <w:rPr>
          <w:b/>
          <w:szCs w:val="24"/>
          <w:u w:val="single"/>
        </w:rPr>
      </w:pPr>
      <w:r w:rsidRPr="00574F9C">
        <w:rPr>
          <w:b/>
          <w:szCs w:val="24"/>
          <w:u w:val="single"/>
        </w:rPr>
        <w:t>EXPLANATORY STATEMENT</w:t>
      </w:r>
      <w:r w:rsidR="00B54C30" w:rsidRPr="00574F9C">
        <w:rPr>
          <w:b/>
          <w:szCs w:val="24"/>
          <w:u w:val="single"/>
        </w:rPr>
        <w:t xml:space="preserve"> </w:t>
      </w:r>
    </w:p>
    <w:p w:rsidR="00772FAD" w:rsidRPr="00574F9C" w:rsidRDefault="00772FAD" w:rsidP="002533F0">
      <w:pPr>
        <w:spacing w:before="0"/>
        <w:ind w:right="91"/>
        <w:jc w:val="center"/>
        <w:rPr>
          <w:szCs w:val="24"/>
        </w:rPr>
      </w:pPr>
    </w:p>
    <w:p w:rsidR="002533F0" w:rsidRPr="00574F9C" w:rsidRDefault="002533F0" w:rsidP="002533F0">
      <w:pPr>
        <w:spacing w:before="0"/>
        <w:ind w:right="91"/>
        <w:jc w:val="center"/>
        <w:rPr>
          <w:szCs w:val="24"/>
        </w:rPr>
      </w:pPr>
      <w:r w:rsidRPr="00574F9C">
        <w:rPr>
          <w:szCs w:val="24"/>
        </w:rPr>
        <w:t>Issued by the authority of the</w:t>
      </w:r>
      <w:r w:rsidR="00AD1645" w:rsidRPr="00574F9C">
        <w:rPr>
          <w:szCs w:val="24"/>
        </w:rPr>
        <w:t xml:space="preserve"> </w:t>
      </w:r>
      <w:r w:rsidR="00D076EE" w:rsidRPr="00574F9C">
        <w:rPr>
          <w:szCs w:val="24"/>
        </w:rPr>
        <w:t>Secretary of the Department of</w:t>
      </w:r>
      <w:r w:rsidR="00372E56" w:rsidRPr="00574F9C">
        <w:rPr>
          <w:szCs w:val="24"/>
        </w:rPr>
        <w:t xml:space="preserve"> Social Services</w:t>
      </w:r>
      <w:r w:rsidR="00446D6C" w:rsidRPr="00574F9C">
        <w:rPr>
          <w:szCs w:val="24"/>
        </w:rPr>
        <w:t xml:space="preserve"> </w:t>
      </w:r>
    </w:p>
    <w:p w:rsidR="002533F0" w:rsidRPr="00574F9C" w:rsidRDefault="002533F0" w:rsidP="002533F0">
      <w:pPr>
        <w:spacing w:before="0"/>
        <w:ind w:right="91"/>
        <w:jc w:val="center"/>
        <w:rPr>
          <w:i/>
          <w:szCs w:val="24"/>
        </w:rPr>
      </w:pPr>
    </w:p>
    <w:p w:rsidR="00966756" w:rsidRPr="00574F9C" w:rsidRDefault="00372E56" w:rsidP="002533F0">
      <w:pPr>
        <w:spacing w:before="0"/>
        <w:ind w:right="91"/>
        <w:jc w:val="center"/>
        <w:rPr>
          <w:i/>
          <w:szCs w:val="24"/>
        </w:rPr>
      </w:pPr>
      <w:r w:rsidRPr="00574F9C">
        <w:rPr>
          <w:i/>
          <w:szCs w:val="24"/>
        </w:rPr>
        <w:t>Social Security Act 1991</w:t>
      </w:r>
    </w:p>
    <w:p w:rsidR="00372E56" w:rsidRPr="00574F9C" w:rsidRDefault="00372E56" w:rsidP="002533F0">
      <w:pPr>
        <w:spacing w:before="0"/>
        <w:ind w:right="91"/>
        <w:jc w:val="center"/>
        <w:rPr>
          <w:szCs w:val="24"/>
        </w:rPr>
      </w:pPr>
    </w:p>
    <w:p w:rsidR="002533F0" w:rsidRPr="00574F9C" w:rsidRDefault="00372E56" w:rsidP="00372E56">
      <w:pPr>
        <w:spacing w:before="0"/>
        <w:ind w:right="91"/>
        <w:jc w:val="center"/>
        <w:rPr>
          <w:i/>
          <w:szCs w:val="24"/>
        </w:rPr>
      </w:pPr>
      <w:r w:rsidRPr="00574F9C">
        <w:rPr>
          <w:i/>
          <w:szCs w:val="24"/>
        </w:rPr>
        <w:t>Social Security (Reasonable Excuse – Student Payments) Determination 2019</w:t>
      </w:r>
    </w:p>
    <w:p w:rsidR="00372E56" w:rsidRPr="00574F9C" w:rsidRDefault="00372E56" w:rsidP="00372E56">
      <w:pPr>
        <w:spacing w:before="0"/>
        <w:ind w:right="91"/>
        <w:jc w:val="center"/>
        <w:rPr>
          <w:i/>
          <w:szCs w:val="24"/>
        </w:rPr>
      </w:pPr>
    </w:p>
    <w:p w:rsidR="002533F0" w:rsidRPr="00574F9C" w:rsidRDefault="0083135C" w:rsidP="002533F0">
      <w:pPr>
        <w:spacing w:before="0"/>
        <w:ind w:right="91"/>
        <w:rPr>
          <w:b/>
          <w:szCs w:val="24"/>
        </w:rPr>
      </w:pPr>
      <w:r w:rsidRPr="00574F9C">
        <w:rPr>
          <w:b/>
          <w:szCs w:val="24"/>
        </w:rPr>
        <w:t>Purpose</w:t>
      </w:r>
    </w:p>
    <w:p w:rsidR="00372E56" w:rsidRPr="00574F9C" w:rsidRDefault="00372E56" w:rsidP="001D71B5">
      <w:pPr>
        <w:spacing w:before="120"/>
        <w:jc w:val="both"/>
        <w:rPr>
          <w:rStyle w:val="BookTitle"/>
          <w:i w:val="0"/>
          <w:iCs w:val="0"/>
          <w:smallCaps w:val="0"/>
          <w:spacing w:val="0"/>
          <w:szCs w:val="24"/>
        </w:rPr>
      </w:pPr>
      <w:r w:rsidRPr="00574F9C">
        <w:rPr>
          <w:rStyle w:val="BookTitle"/>
          <w:i w:val="0"/>
          <w:iCs w:val="0"/>
          <w:smallCaps w:val="0"/>
          <w:spacing w:val="0"/>
          <w:szCs w:val="24"/>
        </w:rPr>
        <w:t>The purpose of the Determination is to specify matters that the Secretary must take into account in deciding whether a person has a reasonable excuse for committing</w:t>
      </w:r>
      <w:r w:rsidR="00772FAD" w:rsidRPr="00574F9C">
        <w:rPr>
          <w:rStyle w:val="BookTitle"/>
          <w:i w:val="0"/>
          <w:iCs w:val="0"/>
          <w:smallCaps w:val="0"/>
          <w:spacing w:val="0"/>
          <w:szCs w:val="24"/>
        </w:rPr>
        <w:t xml:space="preserve"> </w:t>
      </w:r>
      <w:r w:rsidRPr="00574F9C">
        <w:rPr>
          <w:rStyle w:val="BookTitle"/>
          <w:i w:val="0"/>
          <w:iCs w:val="0"/>
          <w:smallCaps w:val="0"/>
          <w:spacing w:val="0"/>
          <w:szCs w:val="24"/>
        </w:rPr>
        <w:t xml:space="preserve">a participation failure </w:t>
      </w:r>
      <w:r w:rsidR="000665C7" w:rsidRPr="00574F9C">
        <w:rPr>
          <w:rStyle w:val="BookTitle"/>
          <w:i w:val="0"/>
          <w:iCs w:val="0"/>
          <w:smallCaps w:val="0"/>
          <w:spacing w:val="0"/>
          <w:szCs w:val="24"/>
        </w:rPr>
        <w:t>in</w:t>
      </w:r>
      <w:r w:rsidR="000665C7">
        <w:rPr>
          <w:rStyle w:val="BookTitle"/>
          <w:i w:val="0"/>
          <w:iCs w:val="0"/>
          <w:smallCaps w:val="0"/>
          <w:spacing w:val="0"/>
          <w:szCs w:val="24"/>
        </w:rPr>
        <w:t> </w:t>
      </w:r>
      <w:r w:rsidRPr="00574F9C">
        <w:rPr>
          <w:rStyle w:val="BookTitle"/>
          <w:i w:val="0"/>
          <w:iCs w:val="0"/>
          <w:smallCaps w:val="0"/>
          <w:spacing w:val="0"/>
          <w:szCs w:val="24"/>
        </w:rPr>
        <w:t>regard to youth allowance</w:t>
      </w:r>
      <w:r w:rsidR="00904934" w:rsidRPr="00574F9C">
        <w:rPr>
          <w:rStyle w:val="BookTitle"/>
          <w:i w:val="0"/>
          <w:iCs w:val="0"/>
          <w:smallCaps w:val="0"/>
          <w:spacing w:val="0"/>
          <w:szCs w:val="24"/>
        </w:rPr>
        <w:t xml:space="preserve"> (if the person is undertaking full-time study)</w:t>
      </w:r>
      <w:r w:rsidRPr="00574F9C">
        <w:rPr>
          <w:rStyle w:val="BookTitle"/>
          <w:i w:val="0"/>
          <w:iCs w:val="0"/>
          <w:smallCaps w:val="0"/>
          <w:spacing w:val="0"/>
          <w:szCs w:val="24"/>
        </w:rPr>
        <w:t xml:space="preserve"> </w:t>
      </w:r>
      <w:r w:rsidR="00772FAD" w:rsidRPr="00574F9C">
        <w:rPr>
          <w:rStyle w:val="BookTitle"/>
          <w:i w:val="0"/>
          <w:iCs w:val="0"/>
          <w:smallCaps w:val="0"/>
          <w:spacing w:val="0"/>
          <w:szCs w:val="24"/>
        </w:rPr>
        <w:t xml:space="preserve">or </w:t>
      </w:r>
      <w:r w:rsidRPr="00574F9C">
        <w:rPr>
          <w:rStyle w:val="BookTitle"/>
          <w:i w:val="0"/>
          <w:iCs w:val="0"/>
          <w:smallCaps w:val="0"/>
          <w:spacing w:val="0"/>
          <w:szCs w:val="24"/>
        </w:rPr>
        <w:t>a</w:t>
      </w:r>
      <w:r w:rsidR="00904934" w:rsidRPr="00574F9C">
        <w:rPr>
          <w:rStyle w:val="BookTitle"/>
          <w:i w:val="0"/>
          <w:iCs w:val="0"/>
          <w:smallCaps w:val="0"/>
          <w:spacing w:val="0"/>
          <w:szCs w:val="24"/>
        </w:rPr>
        <w:t>ustudy payment under subsection</w:t>
      </w:r>
      <w:r w:rsidR="00004E8A">
        <w:rPr>
          <w:rStyle w:val="BookTitle"/>
          <w:i w:val="0"/>
          <w:iCs w:val="0"/>
          <w:smallCaps w:val="0"/>
          <w:spacing w:val="0"/>
          <w:szCs w:val="24"/>
        </w:rPr>
        <w:t>s</w:t>
      </w:r>
      <w:r w:rsidRPr="00574F9C">
        <w:rPr>
          <w:rStyle w:val="BookTitle"/>
          <w:i w:val="0"/>
          <w:iCs w:val="0"/>
          <w:smallCaps w:val="0"/>
          <w:spacing w:val="0"/>
          <w:szCs w:val="24"/>
        </w:rPr>
        <w:t xml:space="preserve"> 550(2A), 550B(2A), 576(2A) and</w:t>
      </w:r>
      <w:r w:rsidR="00904934" w:rsidRPr="00574F9C">
        <w:rPr>
          <w:rStyle w:val="BookTitle"/>
          <w:i w:val="0"/>
          <w:iCs w:val="0"/>
          <w:smallCaps w:val="0"/>
          <w:spacing w:val="0"/>
          <w:szCs w:val="24"/>
        </w:rPr>
        <w:t xml:space="preserve"> </w:t>
      </w:r>
      <w:r w:rsidRPr="00574F9C">
        <w:rPr>
          <w:rStyle w:val="BookTitle"/>
          <w:i w:val="0"/>
          <w:iCs w:val="0"/>
          <w:smallCaps w:val="0"/>
          <w:spacing w:val="0"/>
          <w:szCs w:val="24"/>
        </w:rPr>
        <w:t xml:space="preserve">576A(2A) of the </w:t>
      </w:r>
      <w:r w:rsidRPr="00574F9C">
        <w:rPr>
          <w:rStyle w:val="BookTitle"/>
          <w:iCs w:val="0"/>
          <w:smallCaps w:val="0"/>
          <w:spacing w:val="0"/>
          <w:szCs w:val="24"/>
        </w:rPr>
        <w:t xml:space="preserve">Social Security Act 1991 </w:t>
      </w:r>
      <w:r w:rsidRPr="00574F9C">
        <w:rPr>
          <w:rStyle w:val="BookTitle"/>
          <w:i w:val="0"/>
          <w:iCs w:val="0"/>
          <w:smallCaps w:val="0"/>
          <w:spacing w:val="0"/>
          <w:szCs w:val="24"/>
        </w:rPr>
        <w:t>(the Act).</w:t>
      </w:r>
    </w:p>
    <w:p w:rsidR="00657242" w:rsidRPr="00574F9C" w:rsidRDefault="00657242" w:rsidP="001D71B5">
      <w:pPr>
        <w:shd w:val="clear" w:color="auto" w:fill="FFFFFF"/>
        <w:spacing w:before="100" w:beforeAutospacing="1" w:after="100" w:afterAutospacing="1"/>
        <w:jc w:val="both"/>
        <w:rPr>
          <w:szCs w:val="24"/>
        </w:rPr>
      </w:pPr>
      <w:r w:rsidRPr="00574F9C">
        <w:rPr>
          <w:szCs w:val="24"/>
        </w:rPr>
        <w:t xml:space="preserve">The Determination repeals and replaces the </w:t>
      </w:r>
      <w:r w:rsidRPr="00574F9C">
        <w:rPr>
          <w:i/>
          <w:iCs/>
          <w:szCs w:val="24"/>
        </w:rPr>
        <w:t>Social Security (Reasonable Excuse — Participation Payment Obligations) (DEEWR) Determination 2009 (No. 1)</w:t>
      </w:r>
      <w:r w:rsidR="00533C8D" w:rsidRPr="00574F9C">
        <w:rPr>
          <w:i/>
          <w:iCs/>
          <w:szCs w:val="24"/>
        </w:rPr>
        <w:t xml:space="preserve"> </w:t>
      </w:r>
      <w:r w:rsidR="00533C8D" w:rsidRPr="00574F9C">
        <w:rPr>
          <w:iCs/>
          <w:szCs w:val="24"/>
        </w:rPr>
        <w:t>(the 2009 Determination)</w:t>
      </w:r>
      <w:r w:rsidRPr="00574F9C">
        <w:rPr>
          <w:iCs/>
          <w:szCs w:val="24"/>
        </w:rPr>
        <w:t>, which sunset</w:t>
      </w:r>
      <w:r w:rsidR="008C2017">
        <w:rPr>
          <w:iCs/>
          <w:szCs w:val="24"/>
        </w:rPr>
        <w:t>s</w:t>
      </w:r>
      <w:r w:rsidRPr="00574F9C">
        <w:rPr>
          <w:iCs/>
          <w:szCs w:val="24"/>
        </w:rPr>
        <w:t xml:space="preserve"> on 1 October 2019</w:t>
      </w:r>
      <w:r w:rsidRPr="00574F9C">
        <w:rPr>
          <w:szCs w:val="24"/>
        </w:rPr>
        <w:t xml:space="preserve">.  </w:t>
      </w:r>
    </w:p>
    <w:p w:rsidR="0015134A" w:rsidRPr="00574F9C" w:rsidRDefault="0015134A" w:rsidP="001D71B5">
      <w:pPr>
        <w:jc w:val="both"/>
        <w:rPr>
          <w:rStyle w:val="BookTitle"/>
          <w:i w:val="0"/>
          <w:iCs w:val="0"/>
          <w:smallCaps w:val="0"/>
          <w:spacing w:val="0"/>
          <w:szCs w:val="24"/>
        </w:rPr>
      </w:pPr>
      <w:r w:rsidRPr="00574F9C">
        <w:rPr>
          <w:rStyle w:val="BookTitle"/>
          <w:b/>
          <w:i w:val="0"/>
          <w:iCs w:val="0"/>
          <w:smallCaps w:val="0"/>
          <w:spacing w:val="0"/>
          <w:szCs w:val="24"/>
        </w:rPr>
        <w:t>Background</w:t>
      </w:r>
    </w:p>
    <w:p w:rsidR="00372E56" w:rsidRPr="00574F9C" w:rsidRDefault="00372E56" w:rsidP="001D71B5">
      <w:pPr>
        <w:shd w:val="clear" w:color="auto" w:fill="FFFFFF"/>
        <w:spacing w:before="100" w:beforeAutospacing="1" w:after="100" w:afterAutospacing="1"/>
        <w:jc w:val="both"/>
        <w:rPr>
          <w:szCs w:val="24"/>
        </w:rPr>
      </w:pPr>
      <w:r w:rsidRPr="00574F9C">
        <w:rPr>
          <w:szCs w:val="24"/>
        </w:rPr>
        <w:t xml:space="preserve">The Determination applies to </w:t>
      </w:r>
      <w:r w:rsidR="00904934" w:rsidRPr="00574F9C">
        <w:rPr>
          <w:szCs w:val="24"/>
        </w:rPr>
        <w:t xml:space="preserve">participation </w:t>
      </w:r>
      <w:r w:rsidRPr="00574F9C">
        <w:rPr>
          <w:szCs w:val="24"/>
        </w:rPr>
        <w:t>failures committed by</w:t>
      </w:r>
      <w:r w:rsidR="00DA2971" w:rsidRPr="00574F9C">
        <w:rPr>
          <w:szCs w:val="24"/>
        </w:rPr>
        <w:t xml:space="preserve"> recipients of youth allowance </w:t>
      </w:r>
      <w:r w:rsidR="00904934" w:rsidRPr="00574F9C">
        <w:rPr>
          <w:szCs w:val="24"/>
        </w:rPr>
        <w:t xml:space="preserve">(if the person is undertaking full time study) </w:t>
      </w:r>
      <w:r w:rsidR="00DA2971" w:rsidRPr="00574F9C">
        <w:rPr>
          <w:szCs w:val="24"/>
        </w:rPr>
        <w:t xml:space="preserve">or </w:t>
      </w:r>
      <w:r w:rsidRPr="00574F9C">
        <w:rPr>
          <w:szCs w:val="24"/>
        </w:rPr>
        <w:t>austudy payment</w:t>
      </w:r>
      <w:r w:rsidR="00167E95" w:rsidRPr="00574F9C">
        <w:rPr>
          <w:szCs w:val="24"/>
        </w:rPr>
        <w:t xml:space="preserve">. </w:t>
      </w:r>
    </w:p>
    <w:p w:rsidR="00F6031C" w:rsidRPr="00574F9C" w:rsidRDefault="00F6031C" w:rsidP="001D71B5">
      <w:pPr>
        <w:shd w:val="clear" w:color="auto" w:fill="FFFFFF"/>
        <w:spacing w:before="100" w:beforeAutospacing="1" w:after="100" w:afterAutospacing="1"/>
        <w:jc w:val="both"/>
        <w:rPr>
          <w:szCs w:val="24"/>
        </w:rPr>
      </w:pPr>
      <w:r w:rsidRPr="00574F9C">
        <w:rPr>
          <w:szCs w:val="24"/>
        </w:rPr>
        <w:t>Youth allowance (if the person is undertaking full time study) and austudy are not participation payments</w:t>
      </w:r>
      <w:r w:rsidR="00604447" w:rsidRPr="00574F9C">
        <w:rPr>
          <w:szCs w:val="24"/>
        </w:rPr>
        <w:t>,</w:t>
      </w:r>
      <w:r w:rsidRPr="00574F9C">
        <w:rPr>
          <w:szCs w:val="24"/>
        </w:rPr>
        <w:t xml:space="preserve"> although they are subject to participation requirements in the form of qualifying study. </w:t>
      </w:r>
      <w:r w:rsidR="000665C7">
        <w:rPr>
          <w:szCs w:val="24"/>
        </w:rPr>
        <w:t xml:space="preserve"> </w:t>
      </w:r>
      <w:r w:rsidR="0096221C">
        <w:rPr>
          <w:szCs w:val="24"/>
        </w:rPr>
        <w:t xml:space="preserve">These payments </w:t>
      </w:r>
      <w:r w:rsidRPr="00574F9C">
        <w:rPr>
          <w:szCs w:val="24"/>
        </w:rPr>
        <w:t>require regular ongoing participation in study to meet qualifying study load requirements</w:t>
      </w:r>
      <w:r w:rsidR="00604447" w:rsidRPr="00574F9C">
        <w:rPr>
          <w:szCs w:val="24"/>
        </w:rPr>
        <w:t>,</w:t>
      </w:r>
      <w:r w:rsidRPr="00574F9C">
        <w:rPr>
          <w:szCs w:val="24"/>
        </w:rPr>
        <w:t xml:space="preserve"> as set out in the</w:t>
      </w:r>
      <w:r w:rsidR="00604447" w:rsidRPr="00574F9C">
        <w:rPr>
          <w:szCs w:val="24"/>
        </w:rPr>
        <w:t xml:space="preserve"> Act</w:t>
      </w:r>
      <w:r w:rsidRPr="00574F9C">
        <w:rPr>
          <w:szCs w:val="24"/>
        </w:rPr>
        <w:t xml:space="preserve">. </w:t>
      </w:r>
      <w:r w:rsidR="000665C7">
        <w:rPr>
          <w:szCs w:val="24"/>
        </w:rPr>
        <w:t xml:space="preserve"> </w:t>
      </w:r>
      <w:r w:rsidRPr="00574F9C">
        <w:rPr>
          <w:szCs w:val="24"/>
        </w:rPr>
        <w:t>This instrument therefore sets out matt</w:t>
      </w:r>
      <w:r w:rsidR="00604447" w:rsidRPr="00574F9C">
        <w:rPr>
          <w:szCs w:val="24"/>
        </w:rPr>
        <w:t xml:space="preserve">ers that the Secretary must </w:t>
      </w:r>
      <w:r w:rsidRPr="00574F9C">
        <w:rPr>
          <w:szCs w:val="24"/>
        </w:rPr>
        <w:t xml:space="preserve">take into </w:t>
      </w:r>
      <w:r w:rsidR="00604447" w:rsidRPr="00574F9C">
        <w:rPr>
          <w:szCs w:val="24"/>
        </w:rPr>
        <w:t xml:space="preserve">account when </w:t>
      </w:r>
      <w:r w:rsidRPr="00574F9C">
        <w:rPr>
          <w:szCs w:val="24"/>
        </w:rPr>
        <w:t>consider</w:t>
      </w:r>
      <w:r w:rsidR="00604447" w:rsidRPr="00574F9C">
        <w:rPr>
          <w:szCs w:val="24"/>
        </w:rPr>
        <w:t xml:space="preserve">ing potential participation failures of </w:t>
      </w:r>
      <w:r w:rsidRPr="00574F9C">
        <w:rPr>
          <w:szCs w:val="24"/>
        </w:rPr>
        <w:t xml:space="preserve">recipients who are studying.  </w:t>
      </w:r>
    </w:p>
    <w:p w:rsidR="00372E56" w:rsidRPr="00574F9C" w:rsidRDefault="00372E56" w:rsidP="001D71B5">
      <w:pPr>
        <w:shd w:val="clear" w:color="auto" w:fill="FFFFFF"/>
        <w:spacing w:before="100" w:beforeAutospacing="1" w:after="100" w:afterAutospacing="1"/>
        <w:jc w:val="both"/>
        <w:rPr>
          <w:szCs w:val="24"/>
        </w:rPr>
      </w:pPr>
      <w:r w:rsidRPr="00574F9C">
        <w:rPr>
          <w:szCs w:val="24"/>
        </w:rPr>
        <w:t>The matters specified in the Determination are not exhaustive</w:t>
      </w:r>
      <w:r w:rsidR="008C2017">
        <w:rPr>
          <w:szCs w:val="24"/>
        </w:rPr>
        <w:t xml:space="preserve">. </w:t>
      </w:r>
      <w:r w:rsidR="000665C7">
        <w:rPr>
          <w:szCs w:val="24"/>
        </w:rPr>
        <w:t xml:space="preserve"> </w:t>
      </w:r>
      <w:r w:rsidR="008C2017">
        <w:rPr>
          <w:szCs w:val="24"/>
        </w:rPr>
        <w:t>Therefore</w:t>
      </w:r>
      <w:r w:rsidRPr="00574F9C">
        <w:rPr>
          <w:szCs w:val="24"/>
        </w:rPr>
        <w:t xml:space="preserve">, the Secretary may </w:t>
      </w:r>
      <w:r w:rsidR="008C2017">
        <w:rPr>
          <w:szCs w:val="24"/>
        </w:rPr>
        <w:t xml:space="preserve">also </w:t>
      </w:r>
      <w:r w:rsidRPr="00574F9C">
        <w:rPr>
          <w:szCs w:val="24"/>
        </w:rPr>
        <w:t>take other matters into account (see subsection</w:t>
      </w:r>
      <w:r w:rsidR="00B85345" w:rsidRPr="00574F9C">
        <w:rPr>
          <w:szCs w:val="24"/>
        </w:rPr>
        <w:t>s</w:t>
      </w:r>
      <w:r w:rsidRPr="00574F9C">
        <w:rPr>
          <w:szCs w:val="24"/>
        </w:rPr>
        <w:t xml:space="preserve"> </w:t>
      </w:r>
      <w:r w:rsidR="00B85345" w:rsidRPr="00574F9C">
        <w:rPr>
          <w:szCs w:val="24"/>
        </w:rPr>
        <w:t>550(2</w:t>
      </w:r>
      <w:r w:rsidR="00591360">
        <w:rPr>
          <w:szCs w:val="24"/>
        </w:rPr>
        <w:t>B</w:t>
      </w:r>
      <w:r w:rsidR="00B85345" w:rsidRPr="00574F9C">
        <w:rPr>
          <w:szCs w:val="24"/>
        </w:rPr>
        <w:t>)</w:t>
      </w:r>
      <w:r w:rsidR="00591360">
        <w:rPr>
          <w:szCs w:val="24"/>
        </w:rPr>
        <w:t>, 550B(2B), 576(2B)</w:t>
      </w:r>
      <w:r w:rsidR="00B85345" w:rsidRPr="00574F9C">
        <w:rPr>
          <w:szCs w:val="24"/>
        </w:rPr>
        <w:t xml:space="preserve"> and </w:t>
      </w:r>
      <w:r w:rsidRPr="00574F9C">
        <w:rPr>
          <w:szCs w:val="24"/>
        </w:rPr>
        <w:t>576A(2B) of the Act).</w:t>
      </w:r>
    </w:p>
    <w:p w:rsidR="00533C8D" w:rsidRPr="00574F9C" w:rsidRDefault="00533C8D" w:rsidP="001D71B5">
      <w:pPr>
        <w:shd w:val="clear" w:color="auto" w:fill="FFFFFF"/>
        <w:spacing w:before="100" w:beforeAutospacing="1" w:after="100" w:afterAutospacing="1"/>
        <w:jc w:val="both"/>
        <w:rPr>
          <w:szCs w:val="24"/>
        </w:rPr>
      </w:pPr>
      <w:r w:rsidRPr="00574F9C">
        <w:rPr>
          <w:szCs w:val="24"/>
        </w:rPr>
        <w:t>The Determination has been remade in substantially the same terms as the 2009 Determination.</w:t>
      </w:r>
      <w:r w:rsidR="000665C7">
        <w:rPr>
          <w:szCs w:val="24"/>
        </w:rPr>
        <w:t xml:space="preserve"> </w:t>
      </w:r>
      <w:r w:rsidRPr="00574F9C">
        <w:rPr>
          <w:szCs w:val="24"/>
        </w:rPr>
        <w:t xml:space="preserve"> However, changes have been made to expand the matters </w:t>
      </w:r>
      <w:r w:rsidR="005D2F0C" w:rsidRPr="00574F9C">
        <w:rPr>
          <w:szCs w:val="24"/>
        </w:rPr>
        <w:t>that the Secretary m</w:t>
      </w:r>
      <w:r w:rsidR="000D639D" w:rsidRPr="00574F9C">
        <w:rPr>
          <w:szCs w:val="24"/>
        </w:rPr>
        <w:t>ust</w:t>
      </w:r>
      <w:r w:rsidR="005D2F0C" w:rsidRPr="00574F9C">
        <w:rPr>
          <w:szCs w:val="24"/>
        </w:rPr>
        <w:t xml:space="preserve"> take into account, such as</w:t>
      </w:r>
      <w:r w:rsidR="00927EA0" w:rsidRPr="00574F9C">
        <w:rPr>
          <w:szCs w:val="24"/>
        </w:rPr>
        <w:t xml:space="preserve"> the person’s refugee status, </w:t>
      </w:r>
      <w:r w:rsidR="008C2017">
        <w:rPr>
          <w:szCs w:val="24"/>
        </w:rPr>
        <w:t>when</w:t>
      </w:r>
      <w:r w:rsidR="00927EA0" w:rsidRPr="00574F9C">
        <w:rPr>
          <w:szCs w:val="24"/>
        </w:rPr>
        <w:t xml:space="preserve"> the person is serving on a jury, </w:t>
      </w:r>
      <w:r w:rsidR="00904934" w:rsidRPr="00574F9C">
        <w:rPr>
          <w:szCs w:val="24"/>
        </w:rPr>
        <w:t xml:space="preserve">the </w:t>
      </w:r>
      <w:r w:rsidR="00927EA0" w:rsidRPr="00574F9C">
        <w:rPr>
          <w:szCs w:val="24"/>
        </w:rPr>
        <w:t xml:space="preserve">breakdown of </w:t>
      </w:r>
      <w:r w:rsidR="00904934" w:rsidRPr="00574F9C">
        <w:rPr>
          <w:szCs w:val="24"/>
        </w:rPr>
        <w:t xml:space="preserve">the person’s </w:t>
      </w:r>
      <w:r w:rsidR="00927EA0" w:rsidRPr="00574F9C">
        <w:rPr>
          <w:szCs w:val="24"/>
        </w:rPr>
        <w:t>relationship</w:t>
      </w:r>
      <w:r w:rsidR="00B87061">
        <w:rPr>
          <w:szCs w:val="24"/>
        </w:rPr>
        <w:t xml:space="preserve"> and</w:t>
      </w:r>
      <w:r w:rsidR="0069657F" w:rsidRPr="00574F9C">
        <w:rPr>
          <w:szCs w:val="24"/>
        </w:rPr>
        <w:t xml:space="preserve"> </w:t>
      </w:r>
      <w:r w:rsidR="008C2017">
        <w:rPr>
          <w:szCs w:val="24"/>
        </w:rPr>
        <w:t>when</w:t>
      </w:r>
      <w:r w:rsidR="0069657F" w:rsidRPr="00574F9C">
        <w:rPr>
          <w:szCs w:val="24"/>
        </w:rPr>
        <w:t xml:space="preserve"> the person is subject to a </w:t>
      </w:r>
      <w:r w:rsidR="008C2017">
        <w:rPr>
          <w:szCs w:val="24"/>
        </w:rPr>
        <w:t>c</w:t>
      </w:r>
      <w:r w:rsidR="0069657F" w:rsidRPr="00574F9C">
        <w:rPr>
          <w:szCs w:val="24"/>
        </w:rPr>
        <w:t xml:space="preserve">ommunity </w:t>
      </w:r>
      <w:r w:rsidR="008C2017">
        <w:rPr>
          <w:szCs w:val="24"/>
        </w:rPr>
        <w:t>s</w:t>
      </w:r>
      <w:r w:rsidR="0069657F" w:rsidRPr="00574F9C">
        <w:rPr>
          <w:szCs w:val="24"/>
        </w:rPr>
        <w:t xml:space="preserve">ervice </w:t>
      </w:r>
      <w:r w:rsidR="008C2017">
        <w:rPr>
          <w:szCs w:val="24"/>
        </w:rPr>
        <w:t>o</w:t>
      </w:r>
      <w:r w:rsidR="0069657F" w:rsidRPr="00574F9C">
        <w:rPr>
          <w:szCs w:val="24"/>
        </w:rPr>
        <w:t>rder</w:t>
      </w:r>
      <w:r w:rsidR="00904934" w:rsidRPr="00574F9C">
        <w:rPr>
          <w:szCs w:val="24"/>
        </w:rPr>
        <w:t xml:space="preserve">. </w:t>
      </w:r>
      <w:r w:rsidR="000665C7">
        <w:rPr>
          <w:szCs w:val="24"/>
        </w:rPr>
        <w:t xml:space="preserve"> </w:t>
      </w:r>
      <w:r w:rsidR="000C3D0B" w:rsidRPr="00574F9C">
        <w:rPr>
          <w:szCs w:val="24"/>
        </w:rPr>
        <w:t>These changes are beneficial to recipients o</w:t>
      </w:r>
      <w:r w:rsidR="00C81B04" w:rsidRPr="00574F9C">
        <w:rPr>
          <w:szCs w:val="24"/>
        </w:rPr>
        <w:t>f</w:t>
      </w:r>
      <w:r w:rsidR="000C3D0B" w:rsidRPr="00574F9C">
        <w:rPr>
          <w:szCs w:val="24"/>
        </w:rPr>
        <w:t xml:space="preserve"> youth allowance (if the person is undertaking full time study) or austudy, as the matters that the Secretary must take into account when determining whether t</w:t>
      </w:r>
      <w:r w:rsidR="00F6031C" w:rsidRPr="00574F9C">
        <w:rPr>
          <w:szCs w:val="24"/>
        </w:rPr>
        <w:t>h</w:t>
      </w:r>
      <w:r w:rsidR="000C3D0B" w:rsidRPr="00574F9C">
        <w:rPr>
          <w:szCs w:val="24"/>
        </w:rPr>
        <w:t xml:space="preserve">e person has </w:t>
      </w:r>
      <w:r w:rsidR="000665C7" w:rsidRPr="00574F9C">
        <w:rPr>
          <w:szCs w:val="24"/>
        </w:rPr>
        <w:t>a</w:t>
      </w:r>
      <w:r w:rsidR="000665C7">
        <w:rPr>
          <w:szCs w:val="24"/>
        </w:rPr>
        <w:t> </w:t>
      </w:r>
      <w:r w:rsidR="000C3D0B" w:rsidRPr="00574F9C">
        <w:rPr>
          <w:szCs w:val="24"/>
        </w:rPr>
        <w:t>reasonable excuse are being expanded.</w:t>
      </w:r>
      <w:r w:rsidR="00F6031C" w:rsidRPr="00574F9C">
        <w:rPr>
          <w:szCs w:val="24"/>
        </w:rPr>
        <w:t xml:space="preserve"> </w:t>
      </w:r>
    </w:p>
    <w:p w:rsidR="00F6031C" w:rsidRPr="00574F9C" w:rsidRDefault="00F6031C" w:rsidP="00481940">
      <w:pPr>
        <w:keepNext/>
        <w:keepLines/>
        <w:shd w:val="clear" w:color="auto" w:fill="FFFFFF"/>
        <w:spacing w:before="100" w:beforeAutospacing="1" w:after="100" w:afterAutospacing="1"/>
        <w:jc w:val="both"/>
        <w:rPr>
          <w:szCs w:val="24"/>
        </w:rPr>
      </w:pPr>
      <w:r w:rsidRPr="00574F9C">
        <w:rPr>
          <w:szCs w:val="24"/>
        </w:rPr>
        <w:t xml:space="preserve">The additional provisions </w:t>
      </w:r>
      <w:r w:rsidR="0078276E">
        <w:rPr>
          <w:szCs w:val="24"/>
        </w:rPr>
        <w:t xml:space="preserve">are </w:t>
      </w:r>
      <w:r w:rsidR="00824B19" w:rsidRPr="00574F9C">
        <w:rPr>
          <w:szCs w:val="24"/>
        </w:rPr>
        <w:t xml:space="preserve">also </w:t>
      </w:r>
      <w:r w:rsidR="00074737">
        <w:rPr>
          <w:szCs w:val="24"/>
        </w:rPr>
        <w:t xml:space="preserve">included </w:t>
      </w:r>
      <w:r w:rsidRPr="00574F9C">
        <w:rPr>
          <w:szCs w:val="24"/>
        </w:rPr>
        <w:t xml:space="preserve">in the </w:t>
      </w:r>
      <w:r w:rsidRPr="00574F9C">
        <w:rPr>
          <w:i/>
          <w:szCs w:val="24"/>
        </w:rPr>
        <w:t>Social Security (Special Circumstances Exemption to Youth Allowance Activity Test Guidelines) Instrument 2019</w:t>
      </w:r>
      <w:r w:rsidR="00671624">
        <w:rPr>
          <w:i/>
          <w:szCs w:val="24"/>
        </w:rPr>
        <w:t xml:space="preserve"> </w:t>
      </w:r>
      <w:r w:rsidR="00671624">
        <w:rPr>
          <w:szCs w:val="24"/>
        </w:rPr>
        <w:t xml:space="preserve">(the </w:t>
      </w:r>
      <w:r w:rsidR="007C335D">
        <w:rPr>
          <w:szCs w:val="24"/>
        </w:rPr>
        <w:t>Youth Allowance Guidelines</w:t>
      </w:r>
      <w:r w:rsidR="00671624">
        <w:rPr>
          <w:szCs w:val="24"/>
        </w:rPr>
        <w:t>)</w:t>
      </w:r>
      <w:r w:rsidR="00004E8A">
        <w:rPr>
          <w:szCs w:val="24"/>
        </w:rPr>
        <w:t>, relating to youth allowance</w:t>
      </w:r>
      <w:r w:rsidR="00671624">
        <w:rPr>
          <w:szCs w:val="24"/>
        </w:rPr>
        <w:t xml:space="preserve">. </w:t>
      </w:r>
      <w:r w:rsidR="000665C7">
        <w:rPr>
          <w:szCs w:val="24"/>
        </w:rPr>
        <w:t xml:space="preserve"> </w:t>
      </w:r>
      <w:r w:rsidR="00671624">
        <w:rPr>
          <w:szCs w:val="24"/>
        </w:rPr>
        <w:t xml:space="preserve">The </w:t>
      </w:r>
      <w:r w:rsidR="007C335D">
        <w:rPr>
          <w:szCs w:val="24"/>
        </w:rPr>
        <w:t>Youth Allowance Guidelines are</w:t>
      </w:r>
      <w:r w:rsidR="00671624">
        <w:rPr>
          <w:szCs w:val="24"/>
        </w:rPr>
        <w:t xml:space="preserve"> made under provisions of the Act that are </w:t>
      </w:r>
      <w:r w:rsidR="00004E8A">
        <w:rPr>
          <w:szCs w:val="24"/>
        </w:rPr>
        <w:t xml:space="preserve">administered by the </w:t>
      </w:r>
      <w:r w:rsidR="00671624">
        <w:rPr>
          <w:szCs w:val="24"/>
        </w:rPr>
        <w:t>Minister of</w:t>
      </w:r>
      <w:r w:rsidR="00004E8A">
        <w:rPr>
          <w:szCs w:val="24"/>
        </w:rPr>
        <w:t> Employment, Skills, Small and Family Business</w:t>
      </w:r>
      <w:r w:rsidRPr="00574F9C">
        <w:rPr>
          <w:szCs w:val="24"/>
        </w:rPr>
        <w:t xml:space="preserve">. </w:t>
      </w:r>
      <w:r w:rsidR="000665C7">
        <w:rPr>
          <w:szCs w:val="24"/>
        </w:rPr>
        <w:t xml:space="preserve"> </w:t>
      </w:r>
      <w:r w:rsidRPr="00574F9C">
        <w:rPr>
          <w:szCs w:val="24"/>
        </w:rPr>
        <w:t xml:space="preserve">These provisions are being included </w:t>
      </w:r>
      <w:r w:rsidR="000665C7" w:rsidRPr="00574F9C">
        <w:rPr>
          <w:szCs w:val="24"/>
        </w:rPr>
        <w:t>in</w:t>
      </w:r>
      <w:r w:rsidR="000665C7">
        <w:rPr>
          <w:szCs w:val="24"/>
        </w:rPr>
        <w:t> </w:t>
      </w:r>
      <w:r w:rsidR="00074737">
        <w:rPr>
          <w:szCs w:val="24"/>
        </w:rPr>
        <w:t>the Determination</w:t>
      </w:r>
      <w:r w:rsidRPr="00574F9C">
        <w:rPr>
          <w:szCs w:val="24"/>
        </w:rPr>
        <w:t xml:space="preserve"> to increase coverage for austudy recipients</w:t>
      </w:r>
      <w:r w:rsidR="00824B19" w:rsidRPr="00574F9C">
        <w:rPr>
          <w:szCs w:val="24"/>
        </w:rPr>
        <w:t>,</w:t>
      </w:r>
      <w:r w:rsidRPr="00574F9C">
        <w:rPr>
          <w:szCs w:val="24"/>
        </w:rPr>
        <w:t xml:space="preserve"> and to</w:t>
      </w:r>
      <w:r w:rsidR="00B87061">
        <w:rPr>
          <w:szCs w:val="24"/>
        </w:rPr>
        <w:t xml:space="preserve"> create</w:t>
      </w:r>
      <w:r w:rsidRPr="00574F9C">
        <w:rPr>
          <w:szCs w:val="24"/>
        </w:rPr>
        <w:t xml:space="preserve"> consistency </w:t>
      </w:r>
      <w:r w:rsidR="000665C7" w:rsidRPr="00574F9C">
        <w:rPr>
          <w:szCs w:val="24"/>
        </w:rPr>
        <w:t>in</w:t>
      </w:r>
      <w:r w:rsidR="000665C7">
        <w:rPr>
          <w:szCs w:val="24"/>
        </w:rPr>
        <w:t> </w:t>
      </w:r>
      <w:r w:rsidR="00B87061">
        <w:rPr>
          <w:szCs w:val="24"/>
        </w:rPr>
        <w:t>applying the reasonable excuse exemptions</w:t>
      </w:r>
      <w:r w:rsidRPr="00574F9C">
        <w:rPr>
          <w:szCs w:val="24"/>
        </w:rPr>
        <w:t>.</w:t>
      </w:r>
    </w:p>
    <w:p w:rsidR="00657242" w:rsidRPr="00574F9C" w:rsidRDefault="00657242" w:rsidP="001D71B5">
      <w:pPr>
        <w:shd w:val="clear" w:color="auto" w:fill="FFFFFF"/>
        <w:spacing w:before="100" w:beforeAutospacing="1" w:after="100" w:afterAutospacing="1"/>
        <w:jc w:val="both"/>
        <w:rPr>
          <w:szCs w:val="24"/>
        </w:rPr>
      </w:pPr>
      <w:r w:rsidRPr="00574F9C">
        <w:rPr>
          <w:szCs w:val="24"/>
        </w:rPr>
        <w:t xml:space="preserve">Under subsection 33(3) of the </w:t>
      </w:r>
      <w:r w:rsidRPr="00574F9C">
        <w:rPr>
          <w:i/>
          <w:iCs/>
          <w:szCs w:val="24"/>
        </w:rPr>
        <w:t>Acts Interpretation Act 1901</w:t>
      </w:r>
      <w:r w:rsidRPr="00574F9C">
        <w:rPr>
          <w:szCs w:val="24"/>
        </w:rPr>
        <w:t xml:space="preserve">, where an Act confers a power </w:t>
      </w:r>
      <w:r w:rsidR="000665C7" w:rsidRPr="00574F9C">
        <w:rPr>
          <w:szCs w:val="24"/>
        </w:rPr>
        <w:t>to</w:t>
      </w:r>
      <w:r w:rsidR="000665C7">
        <w:rPr>
          <w:szCs w:val="24"/>
        </w:rPr>
        <w:t> </w:t>
      </w:r>
      <w:r w:rsidRPr="00574F9C">
        <w:rPr>
          <w:szCs w:val="24"/>
        </w:rPr>
        <w:t xml:space="preserve">make, grant or issue any instrument of a legislative or administrative character (including rules, regulations or by-laws), the power </w:t>
      </w:r>
      <w:r w:rsidR="00904934" w:rsidRPr="00574F9C">
        <w:rPr>
          <w:szCs w:val="24"/>
        </w:rPr>
        <w:t>is</w:t>
      </w:r>
      <w:r w:rsidRPr="00574F9C">
        <w:rPr>
          <w:szCs w:val="24"/>
        </w:rPr>
        <w:t xml:space="preserve"> construed as including a power exercisable in the like manner and subject to the like conditions (if any) to repeal, rescind, revoke, amend, or vary any such instrument.</w:t>
      </w:r>
    </w:p>
    <w:p w:rsidR="00F6031C" w:rsidRPr="00574F9C" w:rsidRDefault="00B50943" w:rsidP="00F6031C">
      <w:pPr>
        <w:shd w:val="clear" w:color="auto" w:fill="FFFFFF"/>
        <w:spacing w:before="100" w:beforeAutospacing="1" w:after="100" w:afterAutospacing="1"/>
        <w:jc w:val="both"/>
        <w:rPr>
          <w:szCs w:val="24"/>
        </w:rPr>
      </w:pPr>
      <w:r w:rsidRPr="00574F9C">
        <w:rPr>
          <w:szCs w:val="24"/>
        </w:rPr>
        <w:t>Any decision made under</w:t>
      </w:r>
      <w:r w:rsidR="002D3DBD">
        <w:rPr>
          <w:szCs w:val="24"/>
        </w:rPr>
        <w:t xml:space="preserve"> the relevant provisions of the  Social Security Act</w:t>
      </w:r>
      <w:r w:rsidRPr="00574F9C">
        <w:rPr>
          <w:szCs w:val="24"/>
        </w:rPr>
        <w:t xml:space="preserve">, </w:t>
      </w:r>
      <w:r w:rsidR="002D3DBD">
        <w:rPr>
          <w:szCs w:val="24"/>
        </w:rPr>
        <w:t>having regard to the matters set out in this</w:t>
      </w:r>
      <w:r w:rsidRPr="00574F9C">
        <w:rPr>
          <w:szCs w:val="24"/>
        </w:rPr>
        <w:t xml:space="preserve"> Determination</w:t>
      </w:r>
      <w:r w:rsidR="002D3DBD">
        <w:rPr>
          <w:szCs w:val="24"/>
        </w:rPr>
        <w:t>,</w:t>
      </w:r>
      <w:r w:rsidRPr="00574F9C">
        <w:rPr>
          <w:szCs w:val="24"/>
        </w:rPr>
        <w:t xml:space="preserve"> is subject to the review provisions outlined in Parts 4 and 4A of the </w:t>
      </w:r>
      <w:r w:rsidRPr="00574F9C">
        <w:rPr>
          <w:i/>
          <w:iCs/>
          <w:szCs w:val="24"/>
        </w:rPr>
        <w:t xml:space="preserve">Social Security (Administration) Act 1999 </w:t>
      </w:r>
      <w:r w:rsidRPr="00574F9C">
        <w:rPr>
          <w:iCs/>
          <w:szCs w:val="24"/>
        </w:rPr>
        <w:t>(the Administration Act)</w:t>
      </w:r>
      <w:r w:rsidRPr="00574F9C">
        <w:rPr>
          <w:szCs w:val="24"/>
        </w:rPr>
        <w:t xml:space="preserve">. </w:t>
      </w:r>
      <w:r w:rsidR="000665C7">
        <w:rPr>
          <w:szCs w:val="24"/>
        </w:rPr>
        <w:t xml:space="preserve"> </w:t>
      </w:r>
      <w:r w:rsidRPr="00574F9C">
        <w:rPr>
          <w:szCs w:val="24"/>
        </w:rPr>
        <w:t>Further, any information collected under the Determination is protected by the information gathering and confidentiality provisions in Part 5 of the Administration Act.</w:t>
      </w:r>
    </w:p>
    <w:p w:rsidR="000B4130" w:rsidRPr="00574F9C" w:rsidRDefault="000B4130" w:rsidP="00F6031C">
      <w:pPr>
        <w:shd w:val="clear" w:color="auto" w:fill="FFFFFF"/>
        <w:spacing w:before="100" w:beforeAutospacing="1" w:after="100" w:afterAutospacing="1"/>
        <w:jc w:val="both"/>
        <w:rPr>
          <w:rStyle w:val="BookTitle"/>
          <w:b/>
          <w:i w:val="0"/>
          <w:iCs w:val="0"/>
          <w:smallCaps w:val="0"/>
          <w:spacing w:val="0"/>
          <w:szCs w:val="24"/>
        </w:rPr>
      </w:pPr>
      <w:r w:rsidRPr="00574F9C">
        <w:rPr>
          <w:rStyle w:val="BookTitle"/>
          <w:b/>
          <w:i w:val="0"/>
          <w:iCs w:val="0"/>
          <w:smallCaps w:val="0"/>
          <w:spacing w:val="0"/>
          <w:szCs w:val="24"/>
        </w:rPr>
        <w:t>Commencement</w:t>
      </w:r>
    </w:p>
    <w:p w:rsidR="00904934" w:rsidRPr="00574F9C" w:rsidRDefault="00372E56" w:rsidP="00F6031C">
      <w:pPr>
        <w:jc w:val="both"/>
        <w:rPr>
          <w:rStyle w:val="BookTitle"/>
          <w:i w:val="0"/>
          <w:iCs w:val="0"/>
          <w:smallCaps w:val="0"/>
          <w:spacing w:val="0"/>
          <w:szCs w:val="24"/>
        </w:rPr>
      </w:pPr>
      <w:r w:rsidRPr="00574F9C">
        <w:rPr>
          <w:rStyle w:val="BookTitle"/>
          <w:i w:val="0"/>
          <w:iCs w:val="0"/>
          <w:smallCaps w:val="0"/>
          <w:spacing w:val="0"/>
          <w:szCs w:val="24"/>
        </w:rPr>
        <w:t xml:space="preserve">The Determination commences on the day after it is registered. </w:t>
      </w:r>
    </w:p>
    <w:p w:rsidR="00904934" w:rsidRPr="00574F9C" w:rsidRDefault="00904934" w:rsidP="00904934">
      <w:pPr>
        <w:spacing w:after="240"/>
        <w:jc w:val="both"/>
        <w:rPr>
          <w:rStyle w:val="BookTitle"/>
          <w:b/>
          <w:i w:val="0"/>
          <w:iCs w:val="0"/>
          <w:smallCaps w:val="0"/>
          <w:spacing w:val="0"/>
          <w:szCs w:val="24"/>
        </w:rPr>
      </w:pPr>
      <w:r w:rsidRPr="00574F9C">
        <w:rPr>
          <w:rStyle w:val="BookTitle"/>
          <w:b/>
          <w:i w:val="0"/>
          <w:iCs w:val="0"/>
          <w:smallCaps w:val="0"/>
          <w:spacing w:val="0"/>
          <w:szCs w:val="24"/>
        </w:rPr>
        <w:t>Consultation</w:t>
      </w:r>
    </w:p>
    <w:p w:rsidR="00904934" w:rsidRPr="00574F9C" w:rsidRDefault="00904934" w:rsidP="00904934">
      <w:pPr>
        <w:spacing w:after="240"/>
        <w:jc w:val="both"/>
        <w:rPr>
          <w:szCs w:val="24"/>
        </w:rPr>
      </w:pPr>
      <w:r w:rsidRPr="00574F9C">
        <w:rPr>
          <w:rStyle w:val="BookTitle"/>
          <w:i w:val="0"/>
          <w:iCs w:val="0"/>
          <w:smallCaps w:val="0"/>
          <w:spacing w:val="0"/>
          <w:szCs w:val="24"/>
        </w:rPr>
        <w:t>Consultations were undertaken with the Department of Employment, Skills, Small and Family Business</w:t>
      </w:r>
      <w:r w:rsidR="00696FCA">
        <w:rPr>
          <w:rStyle w:val="BookTitle"/>
          <w:i w:val="0"/>
          <w:iCs w:val="0"/>
          <w:smallCaps w:val="0"/>
          <w:spacing w:val="0"/>
          <w:szCs w:val="24"/>
        </w:rPr>
        <w:t xml:space="preserve"> and</w:t>
      </w:r>
      <w:r w:rsidRPr="00574F9C">
        <w:rPr>
          <w:rStyle w:val="BookTitle"/>
          <w:i w:val="0"/>
          <w:iCs w:val="0"/>
          <w:smallCaps w:val="0"/>
          <w:spacing w:val="0"/>
          <w:szCs w:val="24"/>
        </w:rPr>
        <w:t xml:space="preserve"> </w:t>
      </w:r>
      <w:r w:rsidR="00717A9D">
        <w:rPr>
          <w:rStyle w:val="BookTitle"/>
          <w:i w:val="0"/>
          <w:iCs w:val="0"/>
          <w:smallCaps w:val="0"/>
          <w:spacing w:val="0"/>
          <w:szCs w:val="24"/>
        </w:rPr>
        <w:t>Services Australia</w:t>
      </w:r>
      <w:r w:rsidR="00696FCA" w:rsidRPr="00574F9C">
        <w:rPr>
          <w:rStyle w:val="BookTitle"/>
          <w:i w:val="0"/>
          <w:iCs w:val="0"/>
          <w:smallCaps w:val="0"/>
          <w:spacing w:val="0"/>
          <w:szCs w:val="24"/>
        </w:rPr>
        <w:t xml:space="preserve"> </w:t>
      </w:r>
      <w:r w:rsidRPr="00574F9C">
        <w:rPr>
          <w:rStyle w:val="BookTitle"/>
          <w:i w:val="0"/>
          <w:iCs w:val="0"/>
          <w:smallCaps w:val="0"/>
          <w:spacing w:val="0"/>
          <w:szCs w:val="24"/>
        </w:rPr>
        <w:t xml:space="preserve">during the preparation of this Determination. </w:t>
      </w:r>
      <w:r w:rsidR="000665C7">
        <w:rPr>
          <w:rStyle w:val="BookTitle"/>
          <w:i w:val="0"/>
          <w:iCs w:val="0"/>
          <w:smallCaps w:val="0"/>
          <w:spacing w:val="0"/>
          <w:szCs w:val="24"/>
        </w:rPr>
        <w:t xml:space="preserve"> </w:t>
      </w:r>
      <w:r w:rsidRPr="00574F9C">
        <w:rPr>
          <w:rStyle w:val="BookTitle"/>
          <w:i w:val="0"/>
          <w:iCs w:val="0"/>
          <w:smallCaps w:val="0"/>
          <w:spacing w:val="0"/>
          <w:szCs w:val="24"/>
        </w:rPr>
        <w:t>This was done to ensure a co-ordinated and consistent approach for social security payments under the Act.</w:t>
      </w:r>
      <w:r w:rsidRPr="00574F9C">
        <w:rPr>
          <w:szCs w:val="24"/>
        </w:rPr>
        <w:t xml:space="preserve"> </w:t>
      </w:r>
    </w:p>
    <w:p w:rsidR="002329E1" w:rsidRPr="00574F9C" w:rsidRDefault="002329E1" w:rsidP="00904934">
      <w:pPr>
        <w:spacing w:after="240"/>
        <w:jc w:val="both"/>
        <w:rPr>
          <w:b/>
          <w:szCs w:val="24"/>
        </w:rPr>
      </w:pPr>
      <w:r w:rsidRPr="00574F9C">
        <w:rPr>
          <w:b/>
          <w:szCs w:val="24"/>
        </w:rPr>
        <w:t>Regulat</w:t>
      </w:r>
      <w:r w:rsidR="00D459E0" w:rsidRPr="00574F9C">
        <w:rPr>
          <w:b/>
          <w:szCs w:val="24"/>
        </w:rPr>
        <w:t>ion</w:t>
      </w:r>
      <w:r w:rsidRPr="00574F9C">
        <w:rPr>
          <w:b/>
          <w:szCs w:val="24"/>
        </w:rPr>
        <w:t xml:space="preserve"> Impact </w:t>
      </w:r>
      <w:r w:rsidR="00D459E0" w:rsidRPr="00574F9C">
        <w:rPr>
          <w:b/>
          <w:szCs w:val="24"/>
        </w:rPr>
        <w:t>Statement</w:t>
      </w:r>
      <w:r w:rsidR="00F52853" w:rsidRPr="00574F9C">
        <w:rPr>
          <w:b/>
          <w:szCs w:val="24"/>
        </w:rPr>
        <w:t xml:space="preserve"> (RIS)</w:t>
      </w:r>
    </w:p>
    <w:p w:rsidR="00C542C9" w:rsidRPr="00574F9C" w:rsidRDefault="00C542C9" w:rsidP="001D71B5">
      <w:pPr>
        <w:jc w:val="both"/>
        <w:rPr>
          <w:szCs w:val="24"/>
        </w:rPr>
      </w:pPr>
      <w:r w:rsidRPr="00574F9C">
        <w:rPr>
          <w:szCs w:val="24"/>
        </w:rPr>
        <w:t>The Determination does not require a Regulatory Impact Statement (RIS)</w:t>
      </w:r>
      <w:r w:rsidR="00904934" w:rsidRPr="00574F9C">
        <w:rPr>
          <w:szCs w:val="24"/>
        </w:rPr>
        <w:t>.</w:t>
      </w:r>
      <w:r w:rsidR="000665C7">
        <w:rPr>
          <w:szCs w:val="24"/>
        </w:rPr>
        <w:t xml:space="preserve"> </w:t>
      </w:r>
      <w:r w:rsidR="00904934" w:rsidRPr="00574F9C">
        <w:rPr>
          <w:szCs w:val="24"/>
        </w:rPr>
        <w:t xml:space="preserve"> </w:t>
      </w:r>
      <w:r w:rsidRPr="00574F9C">
        <w:rPr>
          <w:szCs w:val="24"/>
        </w:rPr>
        <w:t>The Determination is not regulatory in nature, will not impact on business activity and will have no, or minimal, complia</w:t>
      </w:r>
      <w:r w:rsidR="00904934" w:rsidRPr="00574F9C">
        <w:rPr>
          <w:szCs w:val="24"/>
        </w:rPr>
        <w:t xml:space="preserve">nce costs or competition impact (OBPR ID: 25220). </w:t>
      </w:r>
    </w:p>
    <w:p w:rsidR="006A6D51" w:rsidRPr="00574F9C" w:rsidRDefault="006A6D51" w:rsidP="001D71B5">
      <w:pPr>
        <w:jc w:val="both"/>
        <w:rPr>
          <w:rStyle w:val="BookTitle"/>
          <w:b/>
          <w:i w:val="0"/>
          <w:iCs w:val="0"/>
          <w:smallCaps w:val="0"/>
          <w:spacing w:val="0"/>
          <w:szCs w:val="24"/>
        </w:rPr>
      </w:pPr>
      <w:r w:rsidRPr="00574F9C">
        <w:rPr>
          <w:rStyle w:val="BookTitle"/>
          <w:b/>
          <w:i w:val="0"/>
          <w:iCs w:val="0"/>
          <w:smallCaps w:val="0"/>
          <w:spacing w:val="0"/>
          <w:szCs w:val="24"/>
        </w:rPr>
        <w:t>Explanation of the provisions</w:t>
      </w:r>
    </w:p>
    <w:p w:rsidR="00871F28"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Section 1</w:t>
      </w:r>
      <w:r w:rsidRPr="00574F9C">
        <w:rPr>
          <w:rStyle w:val="BookTitle"/>
          <w:i w:val="0"/>
          <w:iCs w:val="0"/>
          <w:smallCaps w:val="0"/>
          <w:spacing w:val="0"/>
          <w:szCs w:val="24"/>
        </w:rPr>
        <w:t xml:space="preserve"> provides how the proposed instrument is to be cited, that is, as the </w:t>
      </w:r>
      <w:r w:rsidRPr="00574F9C">
        <w:rPr>
          <w:rStyle w:val="BookTitle"/>
          <w:iCs w:val="0"/>
          <w:smallCaps w:val="0"/>
          <w:spacing w:val="0"/>
          <w:szCs w:val="24"/>
        </w:rPr>
        <w:t>Social Security (Reasonable Excuse – Student Payments) Determination 2019</w:t>
      </w:r>
      <w:r w:rsidRPr="00574F9C">
        <w:rPr>
          <w:rStyle w:val="BookTitle"/>
          <w:i w:val="0"/>
          <w:iCs w:val="0"/>
          <w:smallCaps w:val="0"/>
          <w:spacing w:val="0"/>
          <w:szCs w:val="24"/>
        </w:rPr>
        <w:t xml:space="preserve">. </w:t>
      </w:r>
    </w:p>
    <w:p w:rsidR="00C542C9"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 xml:space="preserve">Section 2 </w:t>
      </w:r>
      <w:r w:rsidRPr="00574F9C">
        <w:rPr>
          <w:rStyle w:val="BookTitle"/>
          <w:i w:val="0"/>
          <w:iCs w:val="0"/>
          <w:smallCaps w:val="0"/>
          <w:spacing w:val="0"/>
          <w:szCs w:val="24"/>
        </w:rPr>
        <w:t xml:space="preserve">provides that the Determination commences on the day after </w:t>
      </w:r>
      <w:r w:rsidR="00D56FD0" w:rsidRPr="00574F9C">
        <w:rPr>
          <w:szCs w:val="24"/>
        </w:rPr>
        <w:t>it is registered on the Federal Register of Legislation</w:t>
      </w:r>
      <w:r w:rsidRPr="00574F9C">
        <w:rPr>
          <w:rStyle w:val="BookTitle"/>
          <w:i w:val="0"/>
          <w:iCs w:val="0"/>
          <w:smallCaps w:val="0"/>
          <w:spacing w:val="0"/>
          <w:szCs w:val="24"/>
        </w:rPr>
        <w:t>.</w:t>
      </w:r>
      <w:r w:rsidR="00DA2971" w:rsidRPr="00574F9C">
        <w:rPr>
          <w:rStyle w:val="BookTitle"/>
          <w:i w:val="0"/>
          <w:iCs w:val="0"/>
          <w:smallCaps w:val="0"/>
          <w:spacing w:val="0"/>
          <w:szCs w:val="24"/>
        </w:rPr>
        <w:t xml:space="preserve"> </w:t>
      </w:r>
    </w:p>
    <w:p w:rsidR="00C542C9"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Section 3</w:t>
      </w:r>
      <w:r w:rsidR="00167E95" w:rsidRPr="00574F9C">
        <w:rPr>
          <w:rStyle w:val="BookTitle"/>
          <w:i w:val="0"/>
          <w:iCs w:val="0"/>
          <w:smallCaps w:val="0"/>
          <w:spacing w:val="0"/>
          <w:szCs w:val="24"/>
        </w:rPr>
        <w:t xml:space="preserve"> provides that </w:t>
      </w:r>
      <w:r w:rsidR="00904934" w:rsidRPr="00574F9C">
        <w:rPr>
          <w:rStyle w:val="BookTitle"/>
          <w:i w:val="0"/>
          <w:iCs w:val="0"/>
          <w:smallCaps w:val="0"/>
          <w:spacing w:val="0"/>
          <w:szCs w:val="24"/>
        </w:rPr>
        <w:t>subsection</w:t>
      </w:r>
      <w:r w:rsidR="00004E8A">
        <w:rPr>
          <w:rStyle w:val="BookTitle"/>
          <w:i w:val="0"/>
          <w:iCs w:val="0"/>
          <w:smallCaps w:val="0"/>
          <w:spacing w:val="0"/>
          <w:szCs w:val="24"/>
        </w:rPr>
        <w:t>s</w:t>
      </w:r>
      <w:r w:rsidR="0002125B" w:rsidRPr="00574F9C">
        <w:rPr>
          <w:rStyle w:val="BookTitle"/>
          <w:i w:val="0"/>
          <w:iCs w:val="0"/>
          <w:smallCaps w:val="0"/>
          <w:spacing w:val="0"/>
          <w:szCs w:val="24"/>
        </w:rPr>
        <w:t> </w:t>
      </w:r>
      <w:r w:rsidR="00167E95" w:rsidRPr="00574F9C">
        <w:rPr>
          <w:rStyle w:val="BookTitle"/>
          <w:i w:val="0"/>
          <w:iCs w:val="0"/>
          <w:smallCaps w:val="0"/>
          <w:spacing w:val="0"/>
          <w:szCs w:val="24"/>
        </w:rPr>
        <w:t>550(2A), 550B(2A), 576(2A) and 576A(2A) of the Act</w:t>
      </w:r>
      <w:r w:rsidR="00074737">
        <w:rPr>
          <w:rStyle w:val="BookTitle"/>
          <w:i w:val="0"/>
          <w:iCs w:val="0"/>
          <w:smallCaps w:val="0"/>
          <w:spacing w:val="0"/>
          <w:szCs w:val="24"/>
        </w:rPr>
        <w:t xml:space="preserve"> authorise the</w:t>
      </w:r>
      <w:r w:rsidR="00671624">
        <w:rPr>
          <w:rStyle w:val="BookTitle"/>
          <w:i w:val="0"/>
          <w:iCs w:val="0"/>
          <w:smallCaps w:val="0"/>
          <w:spacing w:val="0"/>
          <w:szCs w:val="24"/>
        </w:rPr>
        <w:t xml:space="preserve"> Secretary to make the</w:t>
      </w:r>
      <w:r w:rsidR="00074737">
        <w:rPr>
          <w:rStyle w:val="BookTitle"/>
          <w:i w:val="0"/>
          <w:iCs w:val="0"/>
          <w:smallCaps w:val="0"/>
          <w:spacing w:val="0"/>
          <w:szCs w:val="24"/>
        </w:rPr>
        <w:t xml:space="preserve"> Determination</w:t>
      </w:r>
      <w:r w:rsidR="00ED13E1" w:rsidRPr="00574F9C">
        <w:rPr>
          <w:rStyle w:val="BookTitle"/>
          <w:i w:val="0"/>
          <w:iCs w:val="0"/>
          <w:smallCaps w:val="0"/>
          <w:spacing w:val="0"/>
          <w:szCs w:val="24"/>
        </w:rPr>
        <w:t>.</w:t>
      </w:r>
      <w:r w:rsidR="00167E95" w:rsidRPr="00574F9C">
        <w:rPr>
          <w:rStyle w:val="BookTitle"/>
          <w:i w:val="0"/>
          <w:iCs w:val="0"/>
          <w:smallCaps w:val="0"/>
          <w:spacing w:val="0"/>
          <w:szCs w:val="24"/>
        </w:rPr>
        <w:t xml:space="preserve"> </w:t>
      </w:r>
    </w:p>
    <w:p w:rsidR="00C542C9"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Section 4</w:t>
      </w:r>
      <w:r w:rsidR="00167E95" w:rsidRPr="00574F9C">
        <w:rPr>
          <w:rStyle w:val="BookTitle"/>
          <w:b/>
          <w:i w:val="0"/>
          <w:iCs w:val="0"/>
          <w:smallCaps w:val="0"/>
          <w:spacing w:val="0"/>
          <w:szCs w:val="24"/>
        </w:rPr>
        <w:t xml:space="preserve"> </w:t>
      </w:r>
      <w:r w:rsidR="00D56FD0" w:rsidRPr="00574F9C">
        <w:rPr>
          <w:szCs w:val="24"/>
        </w:rPr>
        <w:t>defines the terms that are used in the Determination</w:t>
      </w:r>
      <w:r w:rsidR="00DA2971" w:rsidRPr="00574F9C">
        <w:rPr>
          <w:szCs w:val="24"/>
        </w:rPr>
        <w:t xml:space="preserve">. </w:t>
      </w:r>
      <w:r w:rsidR="000665C7">
        <w:rPr>
          <w:szCs w:val="24"/>
        </w:rPr>
        <w:t xml:space="preserve"> </w:t>
      </w:r>
      <w:r w:rsidR="00671624">
        <w:rPr>
          <w:szCs w:val="24"/>
        </w:rPr>
        <w:t>The word ‘refugee’ is taken to</w:t>
      </w:r>
      <w:r w:rsidR="000665C7">
        <w:rPr>
          <w:szCs w:val="24"/>
        </w:rPr>
        <w:t> </w:t>
      </w:r>
      <w:r w:rsidR="00671624">
        <w:rPr>
          <w:szCs w:val="24"/>
        </w:rPr>
        <w:t xml:space="preserve">have </w:t>
      </w:r>
      <w:r w:rsidR="00671624">
        <w:t xml:space="preserve">the meaning </w:t>
      </w:r>
      <w:r w:rsidR="002D3DBD">
        <w:t>given</w:t>
      </w:r>
      <w:r w:rsidR="00671624">
        <w:t xml:space="preserve"> in subsection 7(6B) of the Act. </w:t>
      </w:r>
      <w:r w:rsidR="000665C7">
        <w:t xml:space="preserve"> </w:t>
      </w:r>
      <w:r w:rsidR="00671624">
        <w:t xml:space="preserve">A ‘community service order’ </w:t>
      </w:r>
      <w:r w:rsidR="002D3DBD">
        <w:t>is defined to mean</w:t>
      </w:r>
      <w:r w:rsidR="00671624">
        <w:t xml:space="preserve"> any community service order issued by a court under the laws of the Commonwealth, a</w:t>
      </w:r>
      <w:r w:rsidR="000665C7">
        <w:t> </w:t>
      </w:r>
      <w:r w:rsidR="00671624">
        <w:t>State or Territory.</w:t>
      </w:r>
    </w:p>
    <w:p w:rsidR="00C542C9"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Section 5</w:t>
      </w:r>
      <w:r w:rsidR="00167E95" w:rsidRPr="00574F9C">
        <w:rPr>
          <w:rStyle w:val="BookTitle"/>
          <w:b/>
          <w:i w:val="0"/>
          <w:iCs w:val="0"/>
          <w:smallCaps w:val="0"/>
          <w:spacing w:val="0"/>
          <w:szCs w:val="24"/>
        </w:rPr>
        <w:t xml:space="preserve"> </w:t>
      </w:r>
      <w:r w:rsidR="002D3DBD">
        <w:rPr>
          <w:rStyle w:val="BookTitle"/>
          <w:i w:val="0"/>
          <w:iCs w:val="0"/>
          <w:smallCaps w:val="0"/>
          <w:spacing w:val="0"/>
          <w:szCs w:val="24"/>
        </w:rPr>
        <w:t xml:space="preserve">in conjunction with </w:t>
      </w:r>
      <w:r w:rsidR="002D3DBD">
        <w:rPr>
          <w:rStyle w:val="BookTitle"/>
          <w:b/>
          <w:i w:val="0"/>
          <w:iCs w:val="0"/>
          <w:smallCaps w:val="0"/>
          <w:spacing w:val="0"/>
          <w:szCs w:val="24"/>
        </w:rPr>
        <w:t xml:space="preserve">Schedule 1 </w:t>
      </w:r>
      <w:r w:rsidR="00075626">
        <w:rPr>
          <w:rStyle w:val="BookTitle"/>
          <w:i w:val="0"/>
          <w:iCs w:val="0"/>
          <w:smallCaps w:val="0"/>
          <w:spacing w:val="0"/>
          <w:szCs w:val="24"/>
        </w:rPr>
        <w:t>operates to repeal</w:t>
      </w:r>
      <w:r w:rsidR="00167E95" w:rsidRPr="00574F9C">
        <w:rPr>
          <w:rStyle w:val="BookTitle"/>
          <w:i w:val="0"/>
          <w:iCs w:val="0"/>
          <w:smallCaps w:val="0"/>
          <w:spacing w:val="0"/>
          <w:szCs w:val="24"/>
        </w:rPr>
        <w:t xml:space="preserve"> </w:t>
      </w:r>
      <w:r w:rsidR="00075626" w:rsidRPr="00574F9C">
        <w:rPr>
          <w:rStyle w:val="BookTitle"/>
          <w:i w:val="0"/>
          <w:iCs w:val="0"/>
          <w:smallCaps w:val="0"/>
          <w:spacing w:val="0"/>
          <w:szCs w:val="24"/>
        </w:rPr>
        <w:t xml:space="preserve">the </w:t>
      </w:r>
      <w:r w:rsidR="00075626" w:rsidRPr="00574F9C">
        <w:rPr>
          <w:rStyle w:val="BookTitle"/>
          <w:iCs w:val="0"/>
          <w:smallCaps w:val="0"/>
          <w:spacing w:val="0"/>
          <w:szCs w:val="24"/>
        </w:rPr>
        <w:t>Social Security (Reasonable Excuse—Participation Payment Obligations) (DEEWR) Determination 2009 (No. 1)</w:t>
      </w:r>
      <w:r w:rsidR="002D3DBD">
        <w:rPr>
          <w:rStyle w:val="BookTitle"/>
          <w:i w:val="0"/>
          <w:iCs w:val="0"/>
          <w:smallCaps w:val="0"/>
          <w:spacing w:val="0"/>
          <w:szCs w:val="24"/>
        </w:rPr>
        <w:t>.</w:t>
      </w:r>
      <w:r w:rsidR="00075626">
        <w:rPr>
          <w:rStyle w:val="BookTitle"/>
          <w:iCs w:val="0"/>
          <w:smallCaps w:val="0"/>
          <w:spacing w:val="0"/>
          <w:szCs w:val="24"/>
        </w:rPr>
        <w:t xml:space="preserve"> </w:t>
      </w:r>
    </w:p>
    <w:p w:rsidR="00B85345" w:rsidRPr="00574F9C" w:rsidRDefault="00C542C9" w:rsidP="001D71B5">
      <w:pPr>
        <w:jc w:val="both"/>
        <w:rPr>
          <w:rStyle w:val="BookTitle"/>
          <w:i w:val="0"/>
          <w:iCs w:val="0"/>
          <w:smallCaps w:val="0"/>
          <w:spacing w:val="0"/>
          <w:szCs w:val="24"/>
        </w:rPr>
      </w:pPr>
      <w:r w:rsidRPr="00574F9C">
        <w:rPr>
          <w:rStyle w:val="BookTitle"/>
          <w:b/>
          <w:i w:val="0"/>
          <w:iCs w:val="0"/>
          <w:smallCaps w:val="0"/>
          <w:spacing w:val="0"/>
          <w:szCs w:val="24"/>
        </w:rPr>
        <w:t xml:space="preserve">Section 6 </w:t>
      </w:r>
      <w:r w:rsidR="00D9532D" w:rsidRPr="00574F9C">
        <w:rPr>
          <w:rStyle w:val="BookTitle"/>
          <w:i w:val="0"/>
          <w:iCs w:val="0"/>
          <w:smallCaps w:val="0"/>
          <w:spacing w:val="0"/>
          <w:szCs w:val="24"/>
        </w:rPr>
        <w:t xml:space="preserve">makes provision for the matters to be taken into account by the Secretary in deciding whether a person had </w:t>
      </w:r>
      <w:r w:rsidR="0069657F" w:rsidRPr="00574F9C">
        <w:rPr>
          <w:rStyle w:val="BookTitle"/>
          <w:i w:val="0"/>
          <w:iCs w:val="0"/>
          <w:smallCaps w:val="0"/>
          <w:spacing w:val="0"/>
          <w:szCs w:val="24"/>
        </w:rPr>
        <w:t xml:space="preserve">a </w:t>
      </w:r>
      <w:r w:rsidR="00D9532D" w:rsidRPr="00574F9C">
        <w:rPr>
          <w:rStyle w:val="BookTitle"/>
          <w:i w:val="0"/>
          <w:iCs w:val="0"/>
          <w:smallCaps w:val="0"/>
          <w:spacing w:val="0"/>
          <w:szCs w:val="24"/>
        </w:rPr>
        <w:t>reasonable excuse</w:t>
      </w:r>
      <w:r w:rsidR="00075626">
        <w:rPr>
          <w:rStyle w:val="BookTitle"/>
          <w:i w:val="0"/>
          <w:iCs w:val="0"/>
          <w:smallCaps w:val="0"/>
          <w:spacing w:val="0"/>
          <w:szCs w:val="24"/>
        </w:rPr>
        <w:t xml:space="preserve"> </w:t>
      </w:r>
      <w:r w:rsidR="009F20FC">
        <w:t>for committing a youth allowance participation failure or austudy participation failure</w:t>
      </w:r>
      <w:r w:rsidR="00D9532D" w:rsidRPr="00574F9C">
        <w:rPr>
          <w:rStyle w:val="BookTitle"/>
          <w:i w:val="0"/>
          <w:iCs w:val="0"/>
          <w:smallCaps w:val="0"/>
          <w:spacing w:val="0"/>
          <w:szCs w:val="24"/>
        </w:rPr>
        <w:t xml:space="preserve">. </w:t>
      </w:r>
    </w:p>
    <w:p w:rsidR="00B85345" w:rsidRPr="00574F9C" w:rsidRDefault="00B85345" w:rsidP="001D71B5">
      <w:pPr>
        <w:jc w:val="both"/>
        <w:rPr>
          <w:szCs w:val="24"/>
        </w:rPr>
      </w:pPr>
      <w:r w:rsidRPr="00574F9C">
        <w:rPr>
          <w:rStyle w:val="BookTitle"/>
          <w:i w:val="0"/>
          <w:iCs w:val="0"/>
          <w:smallCaps w:val="0"/>
          <w:spacing w:val="0"/>
          <w:szCs w:val="24"/>
        </w:rPr>
        <w:t xml:space="preserve">Subsection </w:t>
      </w:r>
      <w:r w:rsidR="009F4B6C" w:rsidRPr="00574F9C">
        <w:rPr>
          <w:rStyle w:val="BookTitle"/>
          <w:i w:val="0"/>
          <w:iCs w:val="0"/>
          <w:smallCaps w:val="0"/>
          <w:spacing w:val="0"/>
          <w:szCs w:val="24"/>
        </w:rPr>
        <w:t>6</w:t>
      </w:r>
      <w:r w:rsidRPr="00574F9C">
        <w:rPr>
          <w:rStyle w:val="BookTitle"/>
          <w:i w:val="0"/>
          <w:iCs w:val="0"/>
          <w:smallCaps w:val="0"/>
          <w:spacing w:val="0"/>
          <w:szCs w:val="24"/>
        </w:rPr>
        <w:t xml:space="preserve">(1) </w:t>
      </w:r>
      <w:r w:rsidR="00167E95" w:rsidRPr="00574F9C">
        <w:rPr>
          <w:rStyle w:val="BookTitle"/>
          <w:i w:val="0"/>
          <w:iCs w:val="0"/>
          <w:smallCaps w:val="0"/>
          <w:spacing w:val="0"/>
          <w:szCs w:val="24"/>
        </w:rPr>
        <w:t xml:space="preserve">has the effect of providing that where recipients of </w:t>
      </w:r>
      <w:r w:rsidR="00167E95" w:rsidRPr="00574F9C">
        <w:rPr>
          <w:szCs w:val="24"/>
        </w:rPr>
        <w:t xml:space="preserve">youth allowance </w:t>
      </w:r>
      <w:r w:rsidR="00F90B82" w:rsidRPr="00574F9C">
        <w:rPr>
          <w:szCs w:val="24"/>
        </w:rPr>
        <w:t xml:space="preserve">or </w:t>
      </w:r>
      <w:r w:rsidR="00167E95" w:rsidRPr="00574F9C">
        <w:rPr>
          <w:szCs w:val="24"/>
        </w:rPr>
        <w:t>aus</w:t>
      </w:r>
      <w:r w:rsidRPr="00574F9C">
        <w:rPr>
          <w:szCs w:val="24"/>
        </w:rPr>
        <w:t xml:space="preserve">tudy payment commit a participation failure, the Secretary must take into account matters listed </w:t>
      </w:r>
      <w:r w:rsidR="000665C7" w:rsidRPr="00574F9C">
        <w:rPr>
          <w:szCs w:val="24"/>
        </w:rPr>
        <w:t>in</w:t>
      </w:r>
      <w:r w:rsidR="000665C7">
        <w:rPr>
          <w:szCs w:val="24"/>
        </w:rPr>
        <w:t> </w:t>
      </w:r>
      <w:r w:rsidRPr="00574F9C">
        <w:rPr>
          <w:szCs w:val="24"/>
        </w:rPr>
        <w:t xml:space="preserve">subsection (2) in determining whether the recipient has a reasonable excuse. </w:t>
      </w:r>
    </w:p>
    <w:p w:rsidR="00B85345" w:rsidRPr="00574F9C" w:rsidRDefault="002503E1" w:rsidP="001D71B5">
      <w:pPr>
        <w:jc w:val="both"/>
        <w:rPr>
          <w:rStyle w:val="BookTitle"/>
          <w:b/>
          <w:i w:val="0"/>
          <w:iCs w:val="0"/>
          <w:smallCaps w:val="0"/>
          <w:spacing w:val="0"/>
          <w:szCs w:val="24"/>
        </w:rPr>
      </w:pPr>
      <w:r w:rsidRPr="00574F9C">
        <w:rPr>
          <w:rStyle w:val="BookTitle"/>
          <w:i w:val="0"/>
          <w:iCs w:val="0"/>
          <w:smallCaps w:val="0"/>
          <w:spacing w:val="0"/>
          <w:szCs w:val="24"/>
        </w:rPr>
        <w:t>Subsection 6</w:t>
      </w:r>
      <w:r w:rsidR="00B85345" w:rsidRPr="00574F9C">
        <w:rPr>
          <w:rStyle w:val="BookTitle"/>
          <w:i w:val="0"/>
          <w:iCs w:val="0"/>
          <w:smallCaps w:val="0"/>
          <w:spacing w:val="0"/>
          <w:szCs w:val="24"/>
        </w:rPr>
        <w:t>(2)</w:t>
      </w:r>
      <w:r w:rsidR="00B85345" w:rsidRPr="00574F9C">
        <w:rPr>
          <w:rStyle w:val="BookTitle"/>
          <w:b/>
          <w:i w:val="0"/>
          <w:iCs w:val="0"/>
          <w:smallCaps w:val="0"/>
          <w:spacing w:val="0"/>
          <w:szCs w:val="24"/>
        </w:rPr>
        <w:t xml:space="preserve"> </w:t>
      </w:r>
      <w:r w:rsidR="00B85345" w:rsidRPr="00574F9C">
        <w:rPr>
          <w:rStyle w:val="BookTitle"/>
          <w:i w:val="0"/>
          <w:iCs w:val="0"/>
          <w:smallCaps w:val="0"/>
          <w:spacing w:val="0"/>
          <w:szCs w:val="24"/>
        </w:rPr>
        <w:t>provides for a list of matters that the Secretary must have regard</w:t>
      </w:r>
      <w:r w:rsidR="00C04969" w:rsidRPr="00574F9C">
        <w:rPr>
          <w:rStyle w:val="BookTitle"/>
          <w:i w:val="0"/>
          <w:iCs w:val="0"/>
          <w:smallCaps w:val="0"/>
          <w:spacing w:val="0"/>
          <w:szCs w:val="24"/>
        </w:rPr>
        <w:t xml:space="preserve"> </w:t>
      </w:r>
      <w:r w:rsidR="000665C7" w:rsidRPr="00574F9C">
        <w:rPr>
          <w:rStyle w:val="BookTitle"/>
          <w:i w:val="0"/>
          <w:iCs w:val="0"/>
          <w:smallCaps w:val="0"/>
          <w:spacing w:val="0"/>
          <w:szCs w:val="24"/>
        </w:rPr>
        <w:t>to</w:t>
      </w:r>
      <w:r w:rsidR="000665C7">
        <w:rPr>
          <w:rStyle w:val="BookTitle"/>
          <w:i w:val="0"/>
          <w:iCs w:val="0"/>
          <w:smallCaps w:val="0"/>
          <w:spacing w:val="0"/>
          <w:szCs w:val="24"/>
        </w:rPr>
        <w:t> </w:t>
      </w:r>
      <w:r w:rsidR="000665C7" w:rsidRPr="00574F9C">
        <w:rPr>
          <w:rStyle w:val="BookTitle"/>
          <w:i w:val="0"/>
          <w:iCs w:val="0"/>
          <w:smallCaps w:val="0"/>
          <w:spacing w:val="0"/>
          <w:szCs w:val="24"/>
        </w:rPr>
        <w:t>in</w:t>
      </w:r>
      <w:r w:rsidR="000665C7">
        <w:rPr>
          <w:rStyle w:val="BookTitle"/>
          <w:i w:val="0"/>
          <w:iCs w:val="0"/>
          <w:smallCaps w:val="0"/>
          <w:spacing w:val="0"/>
          <w:szCs w:val="24"/>
        </w:rPr>
        <w:t> </w:t>
      </w:r>
      <w:r w:rsidR="00B85345" w:rsidRPr="00574F9C">
        <w:rPr>
          <w:rStyle w:val="BookTitle"/>
          <w:i w:val="0"/>
          <w:iCs w:val="0"/>
          <w:smallCaps w:val="0"/>
          <w:spacing w:val="0"/>
          <w:szCs w:val="24"/>
        </w:rPr>
        <w:t xml:space="preserve">determining whether a person had a reasonable excuse for the purposes of </w:t>
      </w:r>
      <w:r w:rsidR="000665C7" w:rsidRPr="00574F9C">
        <w:rPr>
          <w:rStyle w:val="BookTitle"/>
          <w:i w:val="0"/>
          <w:iCs w:val="0"/>
          <w:smallCaps w:val="0"/>
          <w:spacing w:val="0"/>
          <w:szCs w:val="24"/>
        </w:rPr>
        <w:t>subsection</w:t>
      </w:r>
      <w:r w:rsidR="000665C7">
        <w:rPr>
          <w:rStyle w:val="BookTitle"/>
          <w:i w:val="0"/>
          <w:iCs w:val="0"/>
          <w:smallCaps w:val="0"/>
          <w:spacing w:val="0"/>
          <w:szCs w:val="24"/>
        </w:rPr>
        <w:t> </w:t>
      </w:r>
      <w:r w:rsidR="009F4B6C" w:rsidRPr="00574F9C">
        <w:rPr>
          <w:rStyle w:val="BookTitle"/>
          <w:i w:val="0"/>
          <w:iCs w:val="0"/>
          <w:smallCaps w:val="0"/>
          <w:spacing w:val="0"/>
          <w:szCs w:val="24"/>
        </w:rPr>
        <w:t xml:space="preserve">550(2A), </w:t>
      </w:r>
      <w:r w:rsidR="00904934" w:rsidRPr="00574F9C">
        <w:rPr>
          <w:rStyle w:val="BookTitle"/>
          <w:i w:val="0"/>
          <w:iCs w:val="0"/>
          <w:smallCaps w:val="0"/>
          <w:spacing w:val="0"/>
          <w:szCs w:val="24"/>
        </w:rPr>
        <w:t xml:space="preserve">subsection </w:t>
      </w:r>
      <w:r w:rsidR="009F4B6C" w:rsidRPr="00574F9C">
        <w:rPr>
          <w:rStyle w:val="BookTitle"/>
          <w:i w:val="0"/>
          <w:iCs w:val="0"/>
          <w:smallCaps w:val="0"/>
          <w:spacing w:val="0"/>
          <w:szCs w:val="24"/>
        </w:rPr>
        <w:t xml:space="preserve">550B(2A), </w:t>
      </w:r>
      <w:r w:rsidR="00904934" w:rsidRPr="00574F9C">
        <w:rPr>
          <w:rStyle w:val="BookTitle"/>
          <w:i w:val="0"/>
          <w:iCs w:val="0"/>
          <w:smallCaps w:val="0"/>
          <w:spacing w:val="0"/>
          <w:szCs w:val="24"/>
        </w:rPr>
        <w:t xml:space="preserve">subsection </w:t>
      </w:r>
      <w:r w:rsidR="009F4B6C" w:rsidRPr="00574F9C">
        <w:rPr>
          <w:rStyle w:val="BookTitle"/>
          <w:i w:val="0"/>
          <w:iCs w:val="0"/>
          <w:smallCaps w:val="0"/>
          <w:spacing w:val="0"/>
          <w:szCs w:val="24"/>
        </w:rPr>
        <w:t xml:space="preserve">576(2A) and </w:t>
      </w:r>
      <w:r w:rsidR="00904934" w:rsidRPr="00574F9C">
        <w:rPr>
          <w:rStyle w:val="BookTitle"/>
          <w:i w:val="0"/>
          <w:iCs w:val="0"/>
          <w:smallCaps w:val="0"/>
          <w:spacing w:val="0"/>
          <w:szCs w:val="24"/>
        </w:rPr>
        <w:t xml:space="preserve">subsection </w:t>
      </w:r>
      <w:r w:rsidR="009F4B6C" w:rsidRPr="00574F9C">
        <w:rPr>
          <w:rStyle w:val="BookTitle"/>
          <w:i w:val="0"/>
          <w:iCs w:val="0"/>
          <w:smallCaps w:val="0"/>
          <w:spacing w:val="0"/>
          <w:szCs w:val="24"/>
        </w:rPr>
        <w:t xml:space="preserve">576A(2A) </w:t>
      </w:r>
      <w:r w:rsidR="000665C7" w:rsidRPr="00574F9C">
        <w:rPr>
          <w:rStyle w:val="BookTitle"/>
          <w:i w:val="0"/>
          <w:iCs w:val="0"/>
          <w:smallCaps w:val="0"/>
          <w:spacing w:val="0"/>
          <w:szCs w:val="24"/>
        </w:rPr>
        <w:t>of</w:t>
      </w:r>
      <w:r w:rsidR="000665C7">
        <w:rPr>
          <w:rStyle w:val="BookTitle"/>
          <w:i w:val="0"/>
          <w:iCs w:val="0"/>
          <w:smallCaps w:val="0"/>
          <w:spacing w:val="0"/>
          <w:szCs w:val="24"/>
        </w:rPr>
        <w:t> </w:t>
      </w:r>
      <w:r w:rsidR="009F4B6C" w:rsidRPr="00574F9C">
        <w:rPr>
          <w:rStyle w:val="BookTitle"/>
          <w:i w:val="0"/>
          <w:iCs w:val="0"/>
          <w:smallCaps w:val="0"/>
          <w:spacing w:val="0"/>
          <w:szCs w:val="24"/>
        </w:rPr>
        <w:t xml:space="preserve">the Act. </w:t>
      </w:r>
    </w:p>
    <w:p w:rsidR="00B85345" w:rsidRPr="00574F9C" w:rsidRDefault="00D9532D" w:rsidP="001D71B5">
      <w:pPr>
        <w:jc w:val="both"/>
        <w:rPr>
          <w:rStyle w:val="BookTitle"/>
          <w:b/>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 xml:space="preserve">a) provides that </w:t>
      </w:r>
      <w:r w:rsidR="000764F9" w:rsidRPr="00574F9C">
        <w:rPr>
          <w:rStyle w:val="BookTitle"/>
          <w:i w:val="0"/>
          <w:iCs w:val="0"/>
          <w:smallCaps w:val="0"/>
          <w:spacing w:val="0"/>
          <w:szCs w:val="24"/>
        </w:rPr>
        <w:t>if</w:t>
      </w:r>
      <w:r w:rsidRPr="00574F9C">
        <w:rPr>
          <w:rStyle w:val="BookTitle"/>
          <w:i w:val="0"/>
          <w:iCs w:val="0"/>
          <w:smallCaps w:val="0"/>
          <w:spacing w:val="0"/>
          <w:szCs w:val="24"/>
        </w:rPr>
        <w:t xml:space="preserve"> the person </w:t>
      </w:r>
      <w:r w:rsidR="00416B36" w:rsidRPr="00574F9C">
        <w:rPr>
          <w:rStyle w:val="BookTitle"/>
          <w:i w:val="0"/>
          <w:iCs w:val="0"/>
          <w:smallCaps w:val="0"/>
          <w:spacing w:val="0"/>
          <w:szCs w:val="24"/>
        </w:rPr>
        <w:t>did not have access to safe, secure and adequate housing, or was</w:t>
      </w:r>
      <w:r w:rsidRPr="00574F9C">
        <w:rPr>
          <w:rStyle w:val="BookTitle"/>
          <w:i w:val="0"/>
          <w:iCs w:val="0"/>
          <w:smallCaps w:val="0"/>
          <w:spacing w:val="0"/>
          <w:szCs w:val="24"/>
        </w:rPr>
        <w:t xml:space="preserve"> using emergency accommodation or </w:t>
      </w:r>
      <w:r w:rsidR="0002125B" w:rsidRPr="00574F9C">
        <w:rPr>
          <w:rStyle w:val="BookTitle"/>
          <w:i w:val="0"/>
          <w:iCs w:val="0"/>
          <w:smallCaps w:val="0"/>
          <w:spacing w:val="0"/>
          <w:szCs w:val="24"/>
        </w:rPr>
        <w:t xml:space="preserve">a </w:t>
      </w:r>
      <w:r w:rsidRPr="00574F9C">
        <w:rPr>
          <w:rStyle w:val="BookTitle"/>
          <w:i w:val="0"/>
          <w:iCs w:val="0"/>
          <w:smallCaps w:val="0"/>
          <w:spacing w:val="0"/>
          <w:szCs w:val="24"/>
        </w:rPr>
        <w:t>refuge</w:t>
      </w:r>
      <w:r w:rsidR="000764F9" w:rsidRPr="00574F9C">
        <w:rPr>
          <w:rStyle w:val="BookTitle"/>
          <w:i w:val="0"/>
          <w:iCs w:val="0"/>
          <w:smallCaps w:val="0"/>
          <w:spacing w:val="0"/>
          <w:szCs w:val="24"/>
        </w:rPr>
        <w:t>, this</w:t>
      </w:r>
      <w:r w:rsidRPr="00574F9C">
        <w:rPr>
          <w:rStyle w:val="BookTitle"/>
          <w:i w:val="0"/>
          <w:iCs w:val="0"/>
          <w:smallCaps w:val="0"/>
          <w:spacing w:val="0"/>
          <w:szCs w:val="24"/>
        </w:rPr>
        <w:t xml:space="preserve"> </w:t>
      </w:r>
      <w:r w:rsidR="00C724EC" w:rsidRPr="00574F9C">
        <w:rPr>
          <w:rStyle w:val="BookTitle"/>
          <w:i w:val="0"/>
          <w:iCs w:val="0"/>
          <w:smallCaps w:val="0"/>
          <w:spacing w:val="0"/>
          <w:szCs w:val="24"/>
        </w:rPr>
        <w:t>must be considered</w:t>
      </w:r>
      <w:r w:rsidR="00482054" w:rsidRPr="00574F9C">
        <w:rPr>
          <w:rStyle w:val="BookTitle"/>
          <w:i w:val="0"/>
          <w:iCs w:val="0"/>
          <w:smallCaps w:val="0"/>
          <w:spacing w:val="0"/>
          <w:szCs w:val="24"/>
        </w:rPr>
        <w:t xml:space="preserve"> when determining whether that person has a</w:t>
      </w:r>
      <w:r w:rsidRPr="00574F9C">
        <w:rPr>
          <w:rStyle w:val="BookTitle"/>
          <w:i w:val="0"/>
          <w:iCs w:val="0"/>
          <w:smallCaps w:val="0"/>
          <w:spacing w:val="0"/>
          <w:szCs w:val="24"/>
        </w:rPr>
        <w:t xml:space="preserve"> reasonable excuse.  </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Paragraph</w:t>
      </w:r>
      <w:r w:rsidR="00ED13E1" w:rsidRPr="00574F9C">
        <w:rPr>
          <w:rStyle w:val="BookTitle"/>
          <w:i w:val="0"/>
          <w:iCs w:val="0"/>
          <w:smallCaps w:val="0"/>
          <w:spacing w:val="0"/>
          <w:szCs w:val="24"/>
        </w:rPr>
        <w:t xml:space="preserve"> </w:t>
      </w:r>
      <w:r w:rsidR="009F4B6C" w:rsidRPr="00574F9C">
        <w:rPr>
          <w:rStyle w:val="BookTitle"/>
          <w:i w:val="0"/>
          <w:iCs w:val="0"/>
          <w:smallCaps w:val="0"/>
          <w:spacing w:val="0"/>
          <w:szCs w:val="24"/>
        </w:rPr>
        <w:t>6(2)</w:t>
      </w:r>
      <w:r w:rsidRPr="00574F9C">
        <w:rPr>
          <w:rStyle w:val="BookTitle"/>
          <w:i w:val="0"/>
          <w:iCs w:val="0"/>
          <w:smallCaps w:val="0"/>
          <w:spacing w:val="0"/>
          <w:szCs w:val="24"/>
        </w:rPr>
        <w:t>(b)</w:t>
      </w:r>
      <w:r w:rsidRPr="00574F9C">
        <w:rPr>
          <w:rStyle w:val="BookTitle"/>
          <w:b/>
          <w:i w:val="0"/>
          <w:iCs w:val="0"/>
          <w:smallCaps w:val="0"/>
          <w:spacing w:val="0"/>
          <w:szCs w:val="24"/>
        </w:rPr>
        <w:t xml:space="preserve"> </w:t>
      </w:r>
      <w:r w:rsidRPr="00574F9C">
        <w:rPr>
          <w:rStyle w:val="BookTitle"/>
          <w:i w:val="0"/>
          <w:iCs w:val="0"/>
          <w:smallCaps w:val="0"/>
          <w:spacing w:val="0"/>
          <w:szCs w:val="24"/>
        </w:rPr>
        <w:t xml:space="preserve">provides that the person’s language and literacy skills </w:t>
      </w:r>
      <w:r w:rsidR="005E2CB0" w:rsidRPr="00574F9C">
        <w:rPr>
          <w:rStyle w:val="BookTitle"/>
          <w:i w:val="0"/>
          <w:iCs w:val="0"/>
          <w:smallCaps w:val="0"/>
          <w:spacing w:val="0"/>
          <w:szCs w:val="24"/>
        </w:rPr>
        <w:t>must be considered</w:t>
      </w:r>
      <w:r w:rsidR="000764F9" w:rsidRPr="00574F9C">
        <w:rPr>
          <w:rStyle w:val="BookTitle"/>
          <w:i w:val="0"/>
          <w:iCs w:val="0"/>
          <w:smallCaps w:val="0"/>
          <w:spacing w:val="0"/>
          <w:szCs w:val="24"/>
        </w:rPr>
        <w:t xml:space="preserve"> </w:t>
      </w:r>
      <w:r w:rsidR="000665C7" w:rsidRPr="00574F9C">
        <w:rPr>
          <w:rStyle w:val="BookTitle"/>
          <w:i w:val="0"/>
          <w:iCs w:val="0"/>
          <w:smallCaps w:val="0"/>
          <w:spacing w:val="0"/>
          <w:szCs w:val="24"/>
        </w:rPr>
        <w:t>in</w:t>
      </w:r>
      <w:r w:rsidR="000665C7">
        <w:rPr>
          <w:rStyle w:val="BookTitle"/>
          <w:i w:val="0"/>
          <w:iCs w:val="0"/>
          <w:smallCaps w:val="0"/>
          <w:spacing w:val="0"/>
          <w:szCs w:val="24"/>
        </w:rPr>
        <w:t> </w:t>
      </w:r>
      <w:r w:rsidR="000764F9" w:rsidRPr="00574F9C">
        <w:rPr>
          <w:rStyle w:val="BookTitle"/>
          <w:i w:val="0"/>
          <w:iCs w:val="0"/>
          <w:smallCaps w:val="0"/>
          <w:spacing w:val="0"/>
          <w:szCs w:val="24"/>
        </w:rPr>
        <w:t>determining whether the person had a reasonable excuse</w:t>
      </w:r>
      <w:r w:rsidRPr="00574F9C">
        <w:rPr>
          <w:rStyle w:val="BookTitle"/>
          <w:i w:val="0"/>
          <w:iCs w:val="0"/>
          <w:smallCaps w:val="0"/>
          <w:spacing w:val="0"/>
          <w:szCs w:val="24"/>
        </w:rPr>
        <w:t>. </w:t>
      </w:r>
      <w:r w:rsidR="000665C7">
        <w:rPr>
          <w:rStyle w:val="BookTitle"/>
          <w:i w:val="0"/>
          <w:iCs w:val="0"/>
          <w:smallCaps w:val="0"/>
          <w:spacing w:val="0"/>
          <w:szCs w:val="24"/>
        </w:rPr>
        <w:t xml:space="preserve"> </w:t>
      </w:r>
      <w:r w:rsidRPr="00574F9C">
        <w:rPr>
          <w:rStyle w:val="BookTitle"/>
          <w:i w:val="0"/>
          <w:iCs w:val="0"/>
          <w:smallCaps w:val="0"/>
          <w:spacing w:val="0"/>
          <w:szCs w:val="24"/>
        </w:rPr>
        <w:t>For example, people with poor literacy and language skills may be faced with a situation where they have not read and understood what is required of them, which could lead to a failure to comply with the relevant sect</w:t>
      </w:r>
      <w:r w:rsidR="005E2CB0" w:rsidRPr="00574F9C">
        <w:rPr>
          <w:rStyle w:val="BookTitle"/>
          <w:i w:val="0"/>
          <w:iCs w:val="0"/>
          <w:smallCaps w:val="0"/>
          <w:spacing w:val="0"/>
          <w:szCs w:val="24"/>
        </w:rPr>
        <w:t xml:space="preserve">ions of the Act. </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 xml:space="preserve">c) provides </w:t>
      </w:r>
      <w:r w:rsidR="007B4566" w:rsidRPr="00574F9C">
        <w:rPr>
          <w:rStyle w:val="BookTitle"/>
          <w:i w:val="0"/>
          <w:iCs w:val="0"/>
          <w:smallCaps w:val="0"/>
          <w:spacing w:val="0"/>
          <w:szCs w:val="24"/>
        </w:rPr>
        <w:t>that</w:t>
      </w:r>
      <w:r w:rsidRPr="00574F9C">
        <w:rPr>
          <w:rStyle w:val="BookTitle"/>
          <w:i w:val="0"/>
          <w:iCs w:val="0"/>
          <w:smallCaps w:val="0"/>
          <w:spacing w:val="0"/>
          <w:szCs w:val="24"/>
        </w:rPr>
        <w:t xml:space="preserve"> any illness</w:t>
      </w:r>
      <w:r w:rsidR="005E2CB0" w:rsidRPr="00574F9C">
        <w:rPr>
          <w:rStyle w:val="BookTitle"/>
          <w:i w:val="0"/>
          <w:iCs w:val="0"/>
          <w:smallCaps w:val="0"/>
          <w:spacing w:val="0"/>
          <w:szCs w:val="24"/>
        </w:rPr>
        <w:t>, impairment or condition (including those that are episodic or unpredictable in nature) of the person</w:t>
      </w:r>
      <w:r w:rsidRPr="00574F9C">
        <w:rPr>
          <w:rStyle w:val="BookTitle"/>
          <w:i w:val="0"/>
          <w:iCs w:val="0"/>
          <w:smallCaps w:val="0"/>
          <w:spacing w:val="0"/>
          <w:szCs w:val="24"/>
        </w:rPr>
        <w:t xml:space="preserve"> that requires treat</w:t>
      </w:r>
      <w:r w:rsidR="005E2CB0" w:rsidRPr="00574F9C">
        <w:rPr>
          <w:rStyle w:val="BookTitle"/>
          <w:i w:val="0"/>
          <w:iCs w:val="0"/>
          <w:smallCaps w:val="0"/>
          <w:spacing w:val="0"/>
          <w:szCs w:val="24"/>
        </w:rPr>
        <w:t>ment must be taken into account when determining whether</w:t>
      </w:r>
      <w:r w:rsidR="007B4566" w:rsidRPr="00574F9C">
        <w:rPr>
          <w:rStyle w:val="BookTitle"/>
          <w:i w:val="0"/>
          <w:iCs w:val="0"/>
          <w:smallCaps w:val="0"/>
          <w:spacing w:val="0"/>
          <w:szCs w:val="24"/>
        </w:rPr>
        <w:t xml:space="preserve"> the person has a reasonable excuse. </w:t>
      </w:r>
      <w:r w:rsidR="000665C7">
        <w:rPr>
          <w:rStyle w:val="BookTitle"/>
          <w:i w:val="0"/>
          <w:iCs w:val="0"/>
          <w:smallCaps w:val="0"/>
          <w:spacing w:val="0"/>
          <w:szCs w:val="24"/>
        </w:rPr>
        <w:t xml:space="preserve"> </w:t>
      </w:r>
      <w:r w:rsidRPr="00574F9C">
        <w:rPr>
          <w:rStyle w:val="BookTitle"/>
          <w:i w:val="0"/>
          <w:iCs w:val="0"/>
          <w:smallCaps w:val="0"/>
          <w:spacing w:val="0"/>
          <w:szCs w:val="24"/>
        </w:rPr>
        <w:t>For example, because of such condition, the person may not be able to attend an appointment or interview.</w:t>
      </w:r>
    </w:p>
    <w:p w:rsidR="002503E1" w:rsidRPr="00574F9C" w:rsidRDefault="00904934" w:rsidP="001D71B5">
      <w:pPr>
        <w:jc w:val="both"/>
        <w:rPr>
          <w:rStyle w:val="BookTitle"/>
          <w:i w:val="0"/>
          <w:iCs w:val="0"/>
          <w:smallCaps w:val="0"/>
          <w:spacing w:val="0"/>
          <w:szCs w:val="24"/>
        </w:rPr>
      </w:pPr>
      <w:r w:rsidRPr="00574F9C">
        <w:rPr>
          <w:rStyle w:val="BookTitle"/>
          <w:i w:val="0"/>
          <w:iCs w:val="0"/>
          <w:smallCaps w:val="0"/>
          <w:spacing w:val="0"/>
          <w:szCs w:val="24"/>
        </w:rPr>
        <w:t>Paragraph</w:t>
      </w:r>
      <w:r w:rsidR="002503E1" w:rsidRPr="00574F9C">
        <w:rPr>
          <w:rStyle w:val="BookTitle"/>
          <w:i w:val="0"/>
          <w:iCs w:val="0"/>
          <w:smallCaps w:val="0"/>
          <w:spacing w:val="0"/>
          <w:szCs w:val="24"/>
        </w:rPr>
        <w:t xml:space="preserve">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002503E1" w:rsidRPr="00574F9C">
        <w:rPr>
          <w:rStyle w:val="BookTitle"/>
          <w:i w:val="0"/>
          <w:iCs w:val="0"/>
          <w:smallCaps w:val="0"/>
          <w:spacing w:val="0"/>
          <w:szCs w:val="24"/>
        </w:rPr>
        <w:t xml:space="preserve">d) and </w:t>
      </w:r>
      <w:r w:rsidRPr="00574F9C">
        <w:rPr>
          <w:rStyle w:val="BookTitle"/>
          <w:i w:val="0"/>
          <w:iCs w:val="0"/>
          <w:smallCaps w:val="0"/>
          <w:spacing w:val="0"/>
          <w:szCs w:val="24"/>
        </w:rPr>
        <w:t>paragraph 6(2)</w:t>
      </w:r>
      <w:r w:rsidR="002503E1" w:rsidRPr="00574F9C">
        <w:rPr>
          <w:rStyle w:val="BookTitle"/>
          <w:i w:val="0"/>
          <w:iCs w:val="0"/>
          <w:smallCaps w:val="0"/>
          <w:spacing w:val="0"/>
          <w:szCs w:val="24"/>
        </w:rPr>
        <w:t xml:space="preserve">(e) </w:t>
      </w:r>
      <w:r w:rsidR="000764F9" w:rsidRPr="00574F9C">
        <w:rPr>
          <w:rStyle w:val="BookTitle"/>
          <w:i w:val="0"/>
          <w:iCs w:val="0"/>
          <w:smallCaps w:val="0"/>
          <w:spacing w:val="0"/>
          <w:szCs w:val="24"/>
        </w:rPr>
        <w:t xml:space="preserve">provide </w:t>
      </w:r>
      <w:r w:rsidR="002503E1" w:rsidRPr="00574F9C">
        <w:rPr>
          <w:rStyle w:val="BookTitle"/>
          <w:i w:val="0"/>
          <w:iCs w:val="0"/>
          <w:smallCaps w:val="0"/>
          <w:spacing w:val="0"/>
          <w:szCs w:val="24"/>
        </w:rPr>
        <w:t xml:space="preserve">that any cognitive, neurological, psychological or psychiatric impairment or mental illness of the person </w:t>
      </w:r>
      <w:r w:rsidR="000764F9" w:rsidRPr="00574F9C">
        <w:rPr>
          <w:rStyle w:val="BookTitle"/>
          <w:i w:val="0"/>
          <w:iCs w:val="0"/>
          <w:smallCaps w:val="0"/>
          <w:spacing w:val="0"/>
          <w:szCs w:val="24"/>
        </w:rPr>
        <w:t xml:space="preserve">must </w:t>
      </w:r>
      <w:r w:rsidR="007B4566" w:rsidRPr="00574F9C">
        <w:rPr>
          <w:rStyle w:val="BookTitle"/>
          <w:i w:val="0"/>
          <w:iCs w:val="0"/>
          <w:smallCaps w:val="0"/>
          <w:spacing w:val="0"/>
          <w:szCs w:val="24"/>
        </w:rPr>
        <w:t>be</w:t>
      </w:r>
      <w:r w:rsidR="002503E1" w:rsidRPr="00574F9C">
        <w:rPr>
          <w:rStyle w:val="BookTitle"/>
          <w:i w:val="0"/>
          <w:iCs w:val="0"/>
          <w:smallCaps w:val="0"/>
          <w:spacing w:val="0"/>
          <w:szCs w:val="24"/>
        </w:rPr>
        <w:t xml:space="preserve"> taken into account</w:t>
      </w:r>
      <w:r w:rsidR="007B4566" w:rsidRPr="00574F9C">
        <w:rPr>
          <w:rStyle w:val="BookTitle"/>
          <w:i w:val="0"/>
          <w:iCs w:val="0"/>
          <w:smallCaps w:val="0"/>
          <w:spacing w:val="0"/>
          <w:szCs w:val="24"/>
        </w:rPr>
        <w:t xml:space="preserve"> when determining whether the person has a reasonable excuse</w:t>
      </w:r>
      <w:r w:rsidR="002503E1" w:rsidRPr="00574F9C">
        <w:rPr>
          <w:rStyle w:val="BookTitle"/>
          <w:i w:val="0"/>
          <w:iCs w:val="0"/>
          <w:smallCaps w:val="0"/>
          <w:spacing w:val="0"/>
          <w:szCs w:val="24"/>
        </w:rPr>
        <w:t>.</w:t>
      </w:r>
      <w:r w:rsidR="000665C7">
        <w:rPr>
          <w:rStyle w:val="BookTitle"/>
          <w:i w:val="0"/>
          <w:iCs w:val="0"/>
          <w:smallCaps w:val="0"/>
          <w:spacing w:val="0"/>
          <w:szCs w:val="24"/>
        </w:rPr>
        <w:t xml:space="preserve"> </w:t>
      </w:r>
      <w:r w:rsidR="002503E1" w:rsidRPr="00574F9C">
        <w:rPr>
          <w:rStyle w:val="BookTitle"/>
          <w:i w:val="0"/>
          <w:iCs w:val="0"/>
          <w:smallCaps w:val="0"/>
          <w:spacing w:val="0"/>
          <w:szCs w:val="24"/>
        </w:rPr>
        <w:t xml:space="preserve"> This recognises that </w:t>
      </w:r>
      <w:r w:rsidR="000665C7" w:rsidRPr="00574F9C">
        <w:rPr>
          <w:rStyle w:val="BookTitle"/>
          <w:i w:val="0"/>
          <w:iCs w:val="0"/>
          <w:smallCaps w:val="0"/>
          <w:spacing w:val="0"/>
          <w:szCs w:val="24"/>
        </w:rPr>
        <w:t>a</w:t>
      </w:r>
      <w:r w:rsidR="000665C7">
        <w:rPr>
          <w:rStyle w:val="BookTitle"/>
          <w:i w:val="0"/>
          <w:iCs w:val="0"/>
          <w:smallCaps w:val="0"/>
          <w:spacing w:val="0"/>
          <w:szCs w:val="24"/>
        </w:rPr>
        <w:t> </w:t>
      </w:r>
      <w:r w:rsidR="002503E1" w:rsidRPr="00574F9C">
        <w:rPr>
          <w:rStyle w:val="BookTitle"/>
          <w:i w:val="0"/>
          <w:iCs w:val="0"/>
          <w:smallCaps w:val="0"/>
          <w:spacing w:val="0"/>
          <w:szCs w:val="24"/>
        </w:rPr>
        <w:t xml:space="preserve">person may be unable to comply with his or her obligations </w:t>
      </w:r>
      <w:r w:rsidR="00C724EC" w:rsidRPr="00574F9C">
        <w:rPr>
          <w:rStyle w:val="BookTitle"/>
          <w:i w:val="0"/>
          <w:iCs w:val="0"/>
          <w:smallCaps w:val="0"/>
          <w:spacing w:val="0"/>
          <w:szCs w:val="24"/>
        </w:rPr>
        <w:t>because</w:t>
      </w:r>
      <w:r w:rsidR="002503E1" w:rsidRPr="00574F9C">
        <w:rPr>
          <w:rStyle w:val="BookTitle"/>
          <w:i w:val="0"/>
          <w:iCs w:val="0"/>
          <w:smallCaps w:val="0"/>
          <w:spacing w:val="0"/>
          <w:szCs w:val="24"/>
        </w:rPr>
        <w:t xml:space="preserve"> of one of these conditions. </w:t>
      </w:r>
      <w:r w:rsidR="000665C7">
        <w:rPr>
          <w:rStyle w:val="BookTitle"/>
          <w:i w:val="0"/>
          <w:iCs w:val="0"/>
          <w:smallCaps w:val="0"/>
          <w:spacing w:val="0"/>
          <w:szCs w:val="24"/>
        </w:rPr>
        <w:t xml:space="preserve"> </w:t>
      </w:r>
      <w:r w:rsidR="002503E1" w:rsidRPr="00574F9C">
        <w:rPr>
          <w:rStyle w:val="BookTitle"/>
          <w:i w:val="0"/>
          <w:iCs w:val="0"/>
          <w:smallCaps w:val="0"/>
          <w:spacing w:val="0"/>
          <w:szCs w:val="24"/>
        </w:rPr>
        <w:t xml:space="preserve">For example, a neurological impairment may make it difficult for a person </w:t>
      </w:r>
      <w:r w:rsidR="000665C7" w:rsidRPr="00574F9C">
        <w:rPr>
          <w:rStyle w:val="BookTitle"/>
          <w:i w:val="0"/>
          <w:iCs w:val="0"/>
          <w:smallCaps w:val="0"/>
          <w:spacing w:val="0"/>
          <w:szCs w:val="24"/>
        </w:rPr>
        <w:t>to</w:t>
      </w:r>
      <w:r w:rsidR="000665C7">
        <w:rPr>
          <w:rStyle w:val="BookTitle"/>
          <w:i w:val="0"/>
          <w:iCs w:val="0"/>
          <w:smallCaps w:val="0"/>
          <w:spacing w:val="0"/>
          <w:szCs w:val="24"/>
        </w:rPr>
        <w:t> </w:t>
      </w:r>
      <w:r w:rsidR="002503E1" w:rsidRPr="00574F9C">
        <w:rPr>
          <w:rStyle w:val="BookTitle"/>
          <w:i w:val="0"/>
          <w:iCs w:val="0"/>
          <w:smallCaps w:val="0"/>
          <w:spacing w:val="0"/>
          <w:szCs w:val="24"/>
        </w:rPr>
        <w:t>consistently attend appointments.</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 xml:space="preserve">f) provides that any drug or alcohol dependency of the person </w:t>
      </w:r>
      <w:r w:rsidR="007B4566" w:rsidRPr="00574F9C">
        <w:rPr>
          <w:rStyle w:val="BookTitle"/>
          <w:i w:val="0"/>
          <w:iCs w:val="0"/>
          <w:smallCaps w:val="0"/>
          <w:spacing w:val="0"/>
          <w:szCs w:val="24"/>
        </w:rPr>
        <w:t>must</w:t>
      </w:r>
      <w:r w:rsidRPr="00574F9C">
        <w:rPr>
          <w:rStyle w:val="BookTitle"/>
          <w:i w:val="0"/>
          <w:iCs w:val="0"/>
          <w:smallCaps w:val="0"/>
          <w:spacing w:val="0"/>
          <w:szCs w:val="24"/>
        </w:rPr>
        <w:t xml:space="preserve"> be </w:t>
      </w:r>
      <w:r w:rsidR="007B4566" w:rsidRPr="00574F9C">
        <w:rPr>
          <w:rStyle w:val="BookTitle"/>
          <w:i w:val="0"/>
          <w:iCs w:val="0"/>
          <w:smallCaps w:val="0"/>
          <w:spacing w:val="0"/>
          <w:szCs w:val="24"/>
        </w:rPr>
        <w:t xml:space="preserve">taken into account when determining whether the person has a reasonable excuse. </w:t>
      </w:r>
      <w:r w:rsidR="000665C7">
        <w:rPr>
          <w:rStyle w:val="BookTitle"/>
          <w:i w:val="0"/>
          <w:iCs w:val="0"/>
          <w:smallCaps w:val="0"/>
          <w:spacing w:val="0"/>
          <w:szCs w:val="24"/>
        </w:rPr>
        <w:t xml:space="preserve"> </w:t>
      </w:r>
      <w:r w:rsidRPr="00574F9C">
        <w:rPr>
          <w:rStyle w:val="BookTitle"/>
          <w:i w:val="0"/>
          <w:iCs w:val="0"/>
          <w:smallCaps w:val="0"/>
          <w:spacing w:val="0"/>
          <w:szCs w:val="24"/>
        </w:rPr>
        <w:t>This acknowledges that</w:t>
      </w:r>
      <w:r w:rsidR="00904934" w:rsidRPr="00574F9C">
        <w:rPr>
          <w:rStyle w:val="BookTitle"/>
          <w:i w:val="0"/>
          <w:iCs w:val="0"/>
          <w:smallCaps w:val="0"/>
          <w:spacing w:val="0"/>
          <w:szCs w:val="24"/>
        </w:rPr>
        <w:t xml:space="preserve"> drug or alcohol</w:t>
      </w:r>
      <w:r w:rsidRPr="00574F9C">
        <w:rPr>
          <w:rStyle w:val="BookTitle"/>
          <w:i w:val="0"/>
          <w:iCs w:val="0"/>
          <w:smallCaps w:val="0"/>
          <w:spacing w:val="0"/>
          <w:szCs w:val="24"/>
        </w:rPr>
        <w:t xml:space="preserve"> </w:t>
      </w:r>
      <w:r w:rsidR="00904934" w:rsidRPr="00574F9C">
        <w:rPr>
          <w:rStyle w:val="BookTitle"/>
          <w:i w:val="0"/>
          <w:iCs w:val="0"/>
          <w:smallCaps w:val="0"/>
          <w:spacing w:val="0"/>
          <w:szCs w:val="24"/>
        </w:rPr>
        <w:t xml:space="preserve">dependency </w:t>
      </w:r>
      <w:r w:rsidRPr="00574F9C">
        <w:rPr>
          <w:rStyle w:val="BookTitle"/>
          <w:i w:val="0"/>
          <w:iCs w:val="0"/>
          <w:smallCaps w:val="0"/>
          <w:spacing w:val="0"/>
          <w:szCs w:val="24"/>
        </w:rPr>
        <w:t xml:space="preserve">can impact the person’s everyday functioning and capacity to comply with a </w:t>
      </w:r>
      <w:r w:rsidR="007B4566" w:rsidRPr="00574F9C">
        <w:rPr>
          <w:rStyle w:val="BookTitle"/>
          <w:i w:val="0"/>
          <w:iCs w:val="0"/>
          <w:smallCaps w:val="0"/>
          <w:spacing w:val="0"/>
          <w:szCs w:val="24"/>
        </w:rPr>
        <w:t>participation requirement.</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Pr="00574F9C">
        <w:rPr>
          <w:rStyle w:val="BookTitle"/>
          <w:i w:val="0"/>
          <w:iCs w:val="0"/>
          <w:smallCaps w:val="0"/>
          <w:spacing w:val="0"/>
          <w:szCs w:val="24"/>
        </w:rPr>
        <w:t xml:space="preserve">(g) </w:t>
      </w:r>
      <w:r w:rsidR="000764F9" w:rsidRPr="00574F9C">
        <w:rPr>
          <w:rStyle w:val="BookTitle"/>
          <w:i w:val="0"/>
          <w:iCs w:val="0"/>
          <w:smallCaps w:val="0"/>
          <w:spacing w:val="0"/>
          <w:szCs w:val="24"/>
        </w:rPr>
        <w:t>provides that</w:t>
      </w:r>
      <w:r w:rsidRPr="00574F9C">
        <w:rPr>
          <w:rStyle w:val="BookTitle"/>
          <w:i w:val="0"/>
          <w:iCs w:val="0"/>
          <w:smallCaps w:val="0"/>
          <w:spacing w:val="0"/>
          <w:szCs w:val="24"/>
        </w:rPr>
        <w:t xml:space="preserve"> any unforeseen family or caring responsibilities</w:t>
      </w:r>
      <w:r w:rsidR="007B4566" w:rsidRPr="00574F9C">
        <w:rPr>
          <w:rStyle w:val="BookTitle"/>
          <w:i w:val="0"/>
          <w:iCs w:val="0"/>
          <w:smallCaps w:val="0"/>
          <w:spacing w:val="0"/>
          <w:szCs w:val="24"/>
        </w:rPr>
        <w:t xml:space="preserve"> of the person </w:t>
      </w:r>
      <w:r w:rsidR="000764F9" w:rsidRPr="00574F9C">
        <w:rPr>
          <w:rStyle w:val="BookTitle"/>
          <w:i w:val="0"/>
          <w:iCs w:val="0"/>
          <w:smallCaps w:val="0"/>
          <w:spacing w:val="0"/>
          <w:szCs w:val="24"/>
        </w:rPr>
        <w:t xml:space="preserve">must be considered </w:t>
      </w:r>
      <w:r w:rsidR="007B4566" w:rsidRPr="00574F9C">
        <w:rPr>
          <w:rStyle w:val="BookTitle"/>
          <w:i w:val="0"/>
          <w:iCs w:val="0"/>
          <w:smallCaps w:val="0"/>
          <w:spacing w:val="0"/>
          <w:szCs w:val="24"/>
        </w:rPr>
        <w:t>when determining whether the person has a reasonable excuse</w:t>
      </w:r>
      <w:r w:rsidRPr="00574F9C">
        <w:rPr>
          <w:rStyle w:val="BookTitle"/>
          <w:i w:val="0"/>
          <w:iCs w:val="0"/>
          <w:smallCaps w:val="0"/>
          <w:spacing w:val="0"/>
          <w:szCs w:val="24"/>
        </w:rPr>
        <w:t xml:space="preserve">. </w:t>
      </w:r>
      <w:r w:rsidR="000665C7">
        <w:rPr>
          <w:rStyle w:val="BookTitle"/>
          <w:i w:val="0"/>
          <w:iCs w:val="0"/>
          <w:smallCaps w:val="0"/>
          <w:spacing w:val="0"/>
          <w:szCs w:val="24"/>
        </w:rPr>
        <w:t xml:space="preserve"> </w:t>
      </w:r>
      <w:r w:rsidRPr="00574F9C">
        <w:rPr>
          <w:rStyle w:val="BookTitle"/>
          <w:i w:val="0"/>
          <w:iCs w:val="0"/>
          <w:smallCaps w:val="0"/>
          <w:spacing w:val="0"/>
          <w:szCs w:val="24"/>
        </w:rPr>
        <w:t xml:space="preserve">For example, where a person is unexpectedly required to meet a family responsibility </w:t>
      </w:r>
      <w:r w:rsidR="00D77D51" w:rsidRPr="00574F9C">
        <w:rPr>
          <w:rStyle w:val="BookTitle"/>
          <w:i w:val="0"/>
          <w:iCs w:val="0"/>
          <w:smallCaps w:val="0"/>
          <w:spacing w:val="0"/>
          <w:szCs w:val="24"/>
        </w:rPr>
        <w:t>and</w:t>
      </w:r>
      <w:r w:rsidRPr="00574F9C">
        <w:rPr>
          <w:rStyle w:val="BookTitle"/>
          <w:i w:val="0"/>
          <w:iCs w:val="0"/>
          <w:smallCaps w:val="0"/>
          <w:spacing w:val="0"/>
          <w:szCs w:val="24"/>
        </w:rPr>
        <w:t xml:space="preserve"> appropriate alternative arra</w:t>
      </w:r>
      <w:r w:rsidR="00D77D51" w:rsidRPr="00574F9C">
        <w:rPr>
          <w:rStyle w:val="BookTitle"/>
          <w:i w:val="0"/>
          <w:iCs w:val="0"/>
          <w:smallCaps w:val="0"/>
          <w:spacing w:val="0"/>
          <w:szCs w:val="24"/>
        </w:rPr>
        <w:t>ngements were unable to be made, this may impact their capacity to meet their participation requirements.</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 xml:space="preserve">h) </w:t>
      </w:r>
      <w:r w:rsidR="000764F9" w:rsidRPr="00574F9C">
        <w:rPr>
          <w:rStyle w:val="BookTitle"/>
          <w:i w:val="0"/>
          <w:iCs w:val="0"/>
          <w:smallCaps w:val="0"/>
          <w:spacing w:val="0"/>
          <w:szCs w:val="24"/>
        </w:rPr>
        <w:t xml:space="preserve">provides that if a person </w:t>
      </w:r>
      <w:r w:rsidR="00591360">
        <w:rPr>
          <w:rStyle w:val="BookTitle"/>
          <w:i w:val="0"/>
          <w:iCs w:val="0"/>
          <w:smallCaps w:val="0"/>
          <w:spacing w:val="0"/>
          <w:szCs w:val="24"/>
        </w:rPr>
        <w:t>is</w:t>
      </w:r>
      <w:r w:rsidR="000665C7">
        <w:rPr>
          <w:rStyle w:val="BookTitle"/>
          <w:i w:val="0"/>
          <w:iCs w:val="0"/>
          <w:smallCaps w:val="0"/>
          <w:spacing w:val="0"/>
          <w:szCs w:val="24"/>
        </w:rPr>
        <w:t>,</w:t>
      </w:r>
      <w:r w:rsidR="00591360">
        <w:rPr>
          <w:rStyle w:val="BookTitle"/>
          <w:i w:val="0"/>
          <w:iCs w:val="0"/>
          <w:smallCaps w:val="0"/>
          <w:spacing w:val="0"/>
          <w:szCs w:val="24"/>
        </w:rPr>
        <w:t xml:space="preserve"> or </w:t>
      </w:r>
      <w:r w:rsidR="000764F9" w:rsidRPr="00574F9C">
        <w:rPr>
          <w:rStyle w:val="BookTitle"/>
          <w:i w:val="0"/>
          <w:iCs w:val="0"/>
          <w:smallCaps w:val="0"/>
          <w:spacing w:val="0"/>
          <w:szCs w:val="24"/>
        </w:rPr>
        <w:t>was</w:t>
      </w:r>
      <w:r w:rsidR="000665C7">
        <w:rPr>
          <w:rStyle w:val="BookTitle"/>
          <w:i w:val="0"/>
          <w:iCs w:val="0"/>
          <w:smallCaps w:val="0"/>
          <w:spacing w:val="0"/>
          <w:szCs w:val="24"/>
        </w:rPr>
        <w:t>,</w:t>
      </w:r>
      <w:r w:rsidRPr="00574F9C">
        <w:rPr>
          <w:rStyle w:val="BookTitle"/>
          <w:i w:val="0"/>
          <w:iCs w:val="0"/>
          <w:smallCaps w:val="0"/>
          <w:spacing w:val="0"/>
          <w:szCs w:val="24"/>
        </w:rPr>
        <w:t xml:space="preserve"> subjected to criminal violence, including domestic violence and sexual assault</w:t>
      </w:r>
      <w:r w:rsidR="000764F9" w:rsidRPr="00574F9C">
        <w:rPr>
          <w:rStyle w:val="BookTitle"/>
          <w:i w:val="0"/>
          <w:iCs w:val="0"/>
          <w:smallCaps w:val="0"/>
          <w:spacing w:val="0"/>
          <w:szCs w:val="24"/>
        </w:rPr>
        <w:t xml:space="preserve">, this </w:t>
      </w:r>
      <w:r w:rsidR="007B4566" w:rsidRPr="00574F9C">
        <w:rPr>
          <w:rStyle w:val="BookTitle"/>
          <w:i w:val="0"/>
          <w:iCs w:val="0"/>
          <w:smallCaps w:val="0"/>
          <w:spacing w:val="0"/>
          <w:szCs w:val="24"/>
        </w:rPr>
        <w:t xml:space="preserve">must be considered when determining if the person has a </w:t>
      </w:r>
      <w:r w:rsidR="00F509DD" w:rsidRPr="00574F9C">
        <w:rPr>
          <w:rStyle w:val="BookTitle"/>
          <w:i w:val="0"/>
          <w:iCs w:val="0"/>
          <w:smallCaps w:val="0"/>
          <w:spacing w:val="0"/>
          <w:szCs w:val="24"/>
        </w:rPr>
        <w:t>reasonable excuse</w:t>
      </w:r>
      <w:r w:rsidRPr="00574F9C">
        <w:rPr>
          <w:rStyle w:val="BookTitle"/>
          <w:i w:val="0"/>
          <w:iCs w:val="0"/>
          <w:smallCaps w:val="0"/>
          <w:spacing w:val="0"/>
          <w:szCs w:val="24"/>
        </w:rPr>
        <w:t>.</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 xml:space="preserve">i) </w:t>
      </w:r>
      <w:r w:rsidR="000764F9" w:rsidRPr="00574F9C">
        <w:rPr>
          <w:rStyle w:val="BookTitle"/>
          <w:i w:val="0"/>
          <w:iCs w:val="0"/>
          <w:smallCaps w:val="0"/>
          <w:spacing w:val="0"/>
          <w:szCs w:val="24"/>
        </w:rPr>
        <w:t>provides</w:t>
      </w:r>
      <w:r w:rsidRPr="00574F9C">
        <w:rPr>
          <w:rStyle w:val="BookTitle"/>
          <w:i w:val="0"/>
          <w:iCs w:val="0"/>
          <w:smallCaps w:val="0"/>
          <w:spacing w:val="0"/>
          <w:szCs w:val="24"/>
        </w:rPr>
        <w:t xml:space="preserve"> that </w:t>
      </w:r>
      <w:r w:rsidR="000764F9" w:rsidRPr="00574F9C">
        <w:rPr>
          <w:rStyle w:val="BookTitle"/>
          <w:i w:val="0"/>
          <w:iCs w:val="0"/>
          <w:smallCaps w:val="0"/>
          <w:spacing w:val="0"/>
          <w:szCs w:val="24"/>
        </w:rPr>
        <w:t xml:space="preserve">if a person has experienced </w:t>
      </w:r>
      <w:r w:rsidRPr="00574F9C">
        <w:rPr>
          <w:rStyle w:val="BookTitle"/>
          <w:i w:val="0"/>
          <w:iCs w:val="0"/>
          <w:smallCaps w:val="0"/>
          <w:spacing w:val="0"/>
          <w:szCs w:val="24"/>
        </w:rPr>
        <w:t>the death of an immediate family member or close relative</w:t>
      </w:r>
      <w:r w:rsidR="000764F9" w:rsidRPr="00574F9C">
        <w:rPr>
          <w:rStyle w:val="BookTitle"/>
          <w:i w:val="0"/>
          <w:iCs w:val="0"/>
          <w:smallCaps w:val="0"/>
          <w:spacing w:val="0"/>
          <w:szCs w:val="24"/>
        </w:rPr>
        <w:t xml:space="preserve">, this </w:t>
      </w:r>
      <w:r w:rsidR="00D77D51" w:rsidRPr="00574F9C">
        <w:rPr>
          <w:rStyle w:val="BookTitle"/>
          <w:i w:val="0"/>
          <w:iCs w:val="0"/>
          <w:smallCaps w:val="0"/>
          <w:spacing w:val="0"/>
          <w:szCs w:val="24"/>
        </w:rPr>
        <w:t xml:space="preserve">must be considered when determining if the person had </w:t>
      </w:r>
      <w:r w:rsidR="000665C7" w:rsidRPr="00574F9C">
        <w:rPr>
          <w:rStyle w:val="BookTitle"/>
          <w:i w:val="0"/>
          <w:iCs w:val="0"/>
          <w:smallCaps w:val="0"/>
          <w:spacing w:val="0"/>
          <w:szCs w:val="24"/>
        </w:rPr>
        <w:t>a</w:t>
      </w:r>
      <w:r w:rsidR="000665C7">
        <w:t> </w:t>
      </w:r>
      <w:r w:rsidR="00D77D51" w:rsidRPr="00574F9C">
        <w:rPr>
          <w:rStyle w:val="BookTitle"/>
          <w:i w:val="0"/>
          <w:iCs w:val="0"/>
          <w:smallCaps w:val="0"/>
          <w:spacing w:val="0"/>
          <w:szCs w:val="24"/>
        </w:rPr>
        <w:t>reason</w:t>
      </w:r>
      <w:r w:rsidRPr="00574F9C">
        <w:rPr>
          <w:rStyle w:val="BookTitle"/>
          <w:i w:val="0"/>
          <w:iCs w:val="0"/>
          <w:smallCaps w:val="0"/>
          <w:spacing w:val="0"/>
          <w:szCs w:val="24"/>
        </w:rPr>
        <w:t>able excuse.</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j)</w:t>
      </w:r>
      <w:r w:rsidR="00F509DD" w:rsidRPr="00574F9C">
        <w:rPr>
          <w:rStyle w:val="BookTitle"/>
          <w:i w:val="0"/>
          <w:iCs w:val="0"/>
          <w:smallCaps w:val="0"/>
          <w:spacing w:val="0"/>
          <w:szCs w:val="24"/>
        </w:rPr>
        <w:t xml:space="preserve"> </w:t>
      </w:r>
      <w:r w:rsidR="000764F9" w:rsidRPr="00574F9C">
        <w:rPr>
          <w:rStyle w:val="BookTitle"/>
          <w:i w:val="0"/>
          <w:iCs w:val="0"/>
          <w:smallCaps w:val="0"/>
          <w:spacing w:val="0"/>
          <w:szCs w:val="24"/>
        </w:rPr>
        <w:t>provides</w:t>
      </w:r>
      <w:r w:rsidR="00F509DD" w:rsidRPr="00574F9C">
        <w:rPr>
          <w:rStyle w:val="BookTitle"/>
          <w:i w:val="0"/>
          <w:iCs w:val="0"/>
          <w:smallCaps w:val="0"/>
          <w:spacing w:val="0"/>
          <w:szCs w:val="24"/>
        </w:rPr>
        <w:t xml:space="preserve"> that for a person who</w:t>
      </w:r>
      <w:r w:rsidR="00524A76" w:rsidRPr="00574F9C">
        <w:rPr>
          <w:rStyle w:val="BookTitle"/>
          <w:i w:val="0"/>
          <w:iCs w:val="0"/>
          <w:smallCaps w:val="0"/>
          <w:spacing w:val="0"/>
          <w:szCs w:val="24"/>
        </w:rPr>
        <w:t xml:space="preserve"> i</w:t>
      </w:r>
      <w:r w:rsidR="00F509DD" w:rsidRPr="00574F9C">
        <w:rPr>
          <w:rStyle w:val="BookTitle"/>
          <w:i w:val="0"/>
          <w:iCs w:val="0"/>
          <w:smallCaps w:val="0"/>
          <w:spacing w:val="0"/>
          <w:szCs w:val="24"/>
        </w:rPr>
        <w:t>s</w:t>
      </w:r>
      <w:r w:rsidR="000665C7">
        <w:rPr>
          <w:rStyle w:val="BookTitle"/>
          <w:i w:val="0"/>
          <w:iCs w:val="0"/>
          <w:smallCaps w:val="0"/>
          <w:spacing w:val="0"/>
          <w:szCs w:val="24"/>
        </w:rPr>
        <w:t>,</w:t>
      </w:r>
      <w:r w:rsidR="00591360">
        <w:rPr>
          <w:rStyle w:val="BookTitle"/>
          <w:i w:val="0"/>
          <w:iCs w:val="0"/>
          <w:smallCaps w:val="0"/>
          <w:spacing w:val="0"/>
          <w:szCs w:val="24"/>
        </w:rPr>
        <w:t xml:space="preserve"> or was</w:t>
      </w:r>
      <w:r w:rsidR="000665C7">
        <w:rPr>
          <w:rStyle w:val="BookTitle"/>
          <w:i w:val="0"/>
          <w:iCs w:val="0"/>
          <w:smallCaps w:val="0"/>
          <w:spacing w:val="0"/>
          <w:szCs w:val="24"/>
        </w:rPr>
        <w:t>,</w:t>
      </w:r>
      <w:r w:rsidR="00F509DD" w:rsidRPr="00574F9C">
        <w:rPr>
          <w:rStyle w:val="BookTitle"/>
          <w:i w:val="0"/>
          <w:iCs w:val="0"/>
          <w:smallCaps w:val="0"/>
          <w:spacing w:val="0"/>
          <w:szCs w:val="24"/>
        </w:rPr>
        <w:t xml:space="preserve"> a member of a couple, the breakdown of that relationship may inhibit a person’s capacity to comply with a requirement and </w:t>
      </w:r>
      <w:r w:rsidR="007B4566" w:rsidRPr="00574F9C">
        <w:rPr>
          <w:rStyle w:val="BookTitle"/>
          <w:i w:val="0"/>
          <w:iCs w:val="0"/>
          <w:smallCaps w:val="0"/>
          <w:spacing w:val="0"/>
          <w:szCs w:val="24"/>
        </w:rPr>
        <w:t>must be considered when determining if the person has a reasonable excuse.</w:t>
      </w:r>
    </w:p>
    <w:p w:rsidR="002503E1" w:rsidRPr="00574F9C" w:rsidRDefault="002503E1" w:rsidP="001D71B5">
      <w:pPr>
        <w:jc w:val="both"/>
        <w:rPr>
          <w:rStyle w:val="BookTitle"/>
          <w:b/>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Pr="00574F9C">
        <w:rPr>
          <w:rStyle w:val="BookTitle"/>
          <w:i w:val="0"/>
          <w:iCs w:val="0"/>
          <w:smallCaps w:val="0"/>
          <w:spacing w:val="0"/>
          <w:szCs w:val="24"/>
        </w:rPr>
        <w:t>k)</w:t>
      </w:r>
      <w:r w:rsidR="00ED13E1" w:rsidRPr="00574F9C">
        <w:rPr>
          <w:rStyle w:val="BookTitle"/>
          <w:b/>
          <w:i w:val="0"/>
          <w:iCs w:val="0"/>
          <w:smallCaps w:val="0"/>
          <w:spacing w:val="0"/>
          <w:szCs w:val="24"/>
        </w:rPr>
        <w:t xml:space="preserve"> </w:t>
      </w:r>
      <w:r w:rsidR="003A0B52" w:rsidRPr="00574F9C">
        <w:rPr>
          <w:rStyle w:val="BookTitle"/>
          <w:i w:val="0"/>
          <w:iCs w:val="0"/>
          <w:smallCaps w:val="0"/>
          <w:spacing w:val="0"/>
          <w:szCs w:val="24"/>
        </w:rPr>
        <w:t>provides that if a person is</w:t>
      </w:r>
      <w:r w:rsidR="000665C7">
        <w:rPr>
          <w:rStyle w:val="BookTitle"/>
          <w:i w:val="0"/>
          <w:iCs w:val="0"/>
          <w:smallCaps w:val="0"/>
          <w:spacing w:val="0"/>
          <w:szCs w:val="24"/>
        </w:rPr>
        <w:t>,</w:t>
      </w:r>
      <w:r w:rsidR="00591360">
        <w:rPr>
          <w:rStyle w:val="BookTitle"/>
          <w:i w:val="0"/>
          <w:iCs w:val="0"/>
          <w:smallCaps w:val="0"/>
          <w:spacing w:val="0"/>
          <w:szCs w:val="24"/>
        </w:rPr>
        <w:t xml:space="preserve"> or was</w:t>
      </w:r>
      <w:r w:rsidR="000665C7">
        <w:rPr>
          <w:rStyle w:val="BookTitle"/>
          <w:i w:val="0"/>
          <w:iCs w:val="0"/>
          <w:smallCaps w:val="0"/>
          <w:spacing w:val="0"/>
          <w:szCs w:val="24"/>
        </w:rPr>
        <w:t>,</w:t>
      </w:r>
      <w:r w:rsidR="003A0B52" w:rsidRPr="00574F9C">
        <w:rPr>
          <w:rStyle w:val="BookTitle"/>
          <w:i w:val="0"/>
          <w:iCs w:val="0"/>
          <w:smallCaps w:val="0"/>
          <w:spacing w:val="0"/>
          <w:szCs w:val="24"/>
        </w:rPr>
        <w:t xml:space="preserve"> serving on a jury, </w:t>
      </w:r>
      <w:r w:rsidR="007B4566" w:rsidRPr="00574F9C">
        <w:rPr>
          <w:rStyle w:val="BookTitle"/>
          <w:i w:val="0"/>
          <w:iCs w:val="0"/>
          <w:smallCaps w:val="0"/>
          <w:spacing w:val="0"/>
          <w:szCs w:val="24"/>
        </w:rPr>
        <w:t>this must be taken into account</w:t>
      </w:r>
      <w:r w:rsidR="003A0B52" w:rsidRPr="00574F9C">
        <w:rPr>
          <w:rStyle w:val="BookTitle"/>
          <w:i w:val="0"/>
          <w:iCs w:val="0"/>
          <w:smallCaps w:val="0"/>
          <w:spacing w:val="0"/>
          <w:szCs w:val="24"/>
        </w:rPr>
        <w:t xml:space="preserve"> when determining whether the person has a reasonable excuse.</w:t>
      </w:r>
      <w:r w:rsidR="003A0B52" w:rsidRPr="00574F9C">
        <w:rPr>
          <w:rStyle w:val="BookTitle"/>
          <w:b/>
          <w:i w:val="0"/>
          <w:iCs w:val="0"/>
          <w:smallCaps w:val="0"/>
          <w:spacing w:val="0"/>
          <w:szCs w:val="24"/>
        </w:rPr>
        <w:t xml:space="preserve"> </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Paragraph</w:t>
      </w:r>
      <w:r w:rsidR="00ED13E1" w:rsidRPr="00574F9C">
        <w:rPr>
          <w:rStyle w:val="BookTitle"/>
          <w:i w:val="0"/>
          <w:iCs w:val="0"/>
          <w:smallCaps w:val="0"/>
          <w:spacing w:val="0"/>
          <w:szCs w:val="24"/>
        </w:rPr>
        <w:t xml:space="preserve"> </w:t>
      </w:r>
      <w:r w:rsidR="009F4B6C" w:rsidRPr="00574F9C">
        <w:rPr>
          <w:rStyle w:val="BookTitle"/>
          <w:i w:val="0"/>
          <w:iCs w:val="0"/>
          <w:smallCaps w:val="0"/>
          <w:spacing w:val="0"/>
          <w:szCs w:val="24"/>
        </w:rPr>
        <w:t>6(2)</w:t>
      </w:r>
      <w:r w:rsidRPr="00574F9C">
        <w:rPr>
          <w:rStyle w:val="BookTitle"/>
          <w:i w:val="0"/>
          <w:iCs w:val="0"/>
          <w:smallCaps w:val="0"/>
          <w:spacing w:val="0"/>
          <w:szCs w:val="24"/>
        </w:rPr>
        <w:t xml:space="preserve">(l) provides that </w:t>
      </w:r>
      <w:r w:rsidR="00D77D51" w:rsidRPr="00574F9C">
        <w:rPr>
          <w:rStyle w:val="BookTitle"/>
          <w:i w:val="0"/>
          <w:iCs w:val="0"/>
          <w:smallCaps w:val="0"/>
          <w:spacing w:val="0"/>
          <w:szCs w:val="24"/>
        </w:rPr>
        <w:t xml:space="preserve">where a person has been imprisoned (for a </w:t>
      </w:r>
      <w:r w:rsidRPr="00574F9C">
        <w:rPr>
          <w:rStyle w:val="BookTitle"/>
          <w:i w:val="0"/>
          <w:iCs w:val="0"/>
          <w:smallCaps w:val="0"/>
          <w:spacing w:val="0"/>
          <w:szCs w:val="24"/>
        </w:rPr>
        <w:t xml:space="preserve">continuous period of more than 14 days) </w:t>
      </w:r>
      <w:r w:rsidR="00D77D51" w:rsidRPr="00574F9C">
        <w:rPr>
          <w:rStyle w:val="BookTitle"/>
          <w:i w:val="0"/>
          <w:iCs w:val="0"/>
          <w:smallCaps w:val="0"/>
          <w:spacing w:val="0"/>
          <w:szCs w:val="24"/>
        </w:rPr>
        <w:t>and the relevant failure occurs not more than 28 days following that person’s release from prison, the impact of the person’s imprisonment or release from imprisonment must</w:t>
      </w:r>
      <w:r w:rsidRPr="00574F9C">
        <w:rPr>
          <w:rStyle w:val="BookTitle"/>
          <w:i w:val="0"/>
          <w:iCs w:val="0"/>
          <w:smallCaps w:val="0"/>
          <w:spacing w:val="0"/>
          <w:szCs w:val="24"/>
        </w:rPr>
        <w:t xml:space="preserve"> be considered </w:t>
      </w:r>
      <w:r w:rsidR="00FC45B4" w:rsidRPr="00574F9C">
        <w:rPr>
          <w:rStyle w:val="BookTitle"/>
          <w:i w:val="0"/>
          <w:iCs w:val="0"/>
          <w:smallCaps w:val="0"/>
          <w:spacing w:val="0"/>
          <w:szCs w:val="24"/>
        </w:rPr>
        <w:t xml:space="preserve">when </w:t>
      </w:r>
      <w:r w:rsidRPr="00574F9C">
        <w:rPr>
          <w:rStyle w:val="BookTitle"/>
          <w:i w:val="0"/>
          <w:iCs w:val="0"/>
          <w:smallCaps w:val="0"/>
          <w:spacing w:val="0"/>
          <w:szCs w:val="24"/>
        </w:rPr>
        <w:t>determining whether the person had a reasonable excuse</w:t>
      </w:r>
      <w:r w:rsidR="000764F9" w:rsidRPr="00574F9C">
        <w:rPr>
          <w:rStyle w:val="BookTitle"/>
          <w:i w:val="0"/>
          <w:iCs w:val="0"/>
          <w:smallCaps w:val="0"/>
          <w:spacing w:val="0"/>
          <w:szCs w:val="24"/>
        </w:rPr>
        <w:t>.</w:t>
      </w:r>
      <w:r w:rsidRPr="00574F9C">
        <w:rPr>
          <w:rStyle w:val="BookTitle"/>
          <w:i w:val="0"/>
          <w:iCs w:val="0"/>
          <w:smallCaps w:val="0"/>
          <w:spacing w:val="0"/>
          <w:szCs w:val="24"/>
        </w:rPr>
        <w:t xml:space="preserve"> </w:t>
      </w:r>
      <w:r w:rsidR="000665C7">
        <w:rPr>
          <w:rStyle w:val="BookTitle"/>
          <w:i w:val="0"/>
          <w:iCs w:val="0"/>
          <w:smallCaps w:val="0"/>
          <w:spacing w:val="0"/>
          <w:szCs w:val="24"/>
        </w:rPr>
        <w:t xml:space="preserve"> </w:t>
      </w:r>
      <w:r w:rsidRPr="00574F9C">
        <w:rPr>
          <w:rStyle w:val="BookTitle"/>
          <w:i w:val="0"/>
          <w:iCs w:val="0"/>
          <w:smallCaps w:val="0"/>
          <w:spacing w:val="0"/>
          <w:szCs w:val="24"/>
        </w:rPr>
        <w:t xml:space="preserve">This recognises that a person who was recently </w:t>
      </w:r>
      <w:r w:rsidR="00690E48">
        <w:rPr>
          <w:rStyle w:val="BookTitle"/>
          <w:i w:val="0"/>
          <w:iCs w:val="0"/>
          <w:smallCaps w:val="0"/>
          <w:spacing w:val="0"/>
          <w:szCs w:val="24"/>
        </w:rPr>
        <w:t xml:space="preserve">released from </w:t>
      </w:r>
      <w:r w:rsidRPr="00574F9C">
        <w:rPr>
          <w:rStyle w:val="BookTitle"/>
          <w:i w:val="0"/>
          <w:iCs w:val="0"/>
          <w:smallCaps w:val="0"/>
          <w:spacing w:val="0"/>
          <w:szCs w:val="24"/>
        </w:rPr>
        <w:t>imprison</w:t>
      </w:r>
      <w:r w:rsidR="00690E48">
        <w:rPr>
          <w:rStyle w:val="BookTitle"/>
          <w:i w:val="0"/>
          <w:iCs w:val="0"/>
          <w:smallCaps w:val="0"/>
          <w:spacing w:val="0"/>
          <w:szCs w:val="24"/>
        </w:rPr>
        <w:t>ment</w:t>
      </w:r>
      <w:r w:rsidRPr="00574F9C">
        <w:rPr>
          <w:rStyle w:val="BookTitle"/>
          <w:i w:val="0"/>
          <w:iCs w:val="0"/>
          <w:smallCaps w:val="0"/>
          <w:spacing w:val="0"/>
          <w:szCs w:val="24"/>
        </w:rPr>
        <w:t xml:space="preserve"> may undergo a period of adjustment, which could impact upon the person’s capacity to </w:t>
      </w:r>
      <w:r w:rsidR="00D77D51" w:rsidRPr="00574F9C">
        <w:rPr>
          <w:rStyle w:val="BookTitle"/>
          <w:i w:val="0"/>
          <w:iCs w:val="0"/>
          <w:smallCaps w:val="0"/>
          <w:spacing w:val="0"/>
          <w:szCs w:val="24"/>
        </w:rPr>
        <w:t xml:space="preserve">meet their participation requirements. </w:t>
      </w:r>
    </w:p>
    <w:p w:rsidR="002503E1" w:rsidRPr="00574F9C" w:rsidRDefault="002503E1" w:rsidP="001D71B5">
      <w:pPr>
        <w:jc w:val="both"/>
        <w:rPr>
          <w:rStyle w:val="BookTitle"/>
          <w:b/>
          <w:i w:val="0"/>
          <w:iCs w:val="0"/>
          <w:smallCaps w:val="0"/>
          <w:spacing w:val="0"/>
          <w:szCs w:val="24"/>
          <w:highlight w:val="yellow"/>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00904934" w:rsidRPr="00574F9C">
        <w:rPr>
          <w:rStyle w:val="BookTitle"/>
          <w:i w:val="0"/>
          <w:iCs w:val="0"/>
          <w:smallCaps w:val="0"/>
          <w:spacing w:val="0"/>
          <w:szCs w:val="24"/>
        </w:rPr>
        <w:t>m</w:t>
      </w:r>
      <w:r w:rsidR="00E53553" w:rsidRPr="00574F9C">
        <w:rPr>
          <w:rStyle w:val="BookTitle"/>
          <w:i w:val="0"/>
          <w:iCs w:val="0"/>
          <w:smallCaps w:val="0"/>
          <w:spacing w:val="0"/>
          <w:szCs w:val="24"/>
        </w:rPr>
        <w:t>)</w:t>
      </w:r>
      <w:r w:rsidR="0051152A" w:rsidRPr="00574F9C">
        <w:rPr>
          <w:rStyle w:val="BookTitle"/>
          <w:i w:val="0"/>
          <w:iCs w:val="0"/>
          <w:smallCaps w:val="0"/>
          <w:spacing w:val="0"/>
          <w:szCs w:val="24"/>
        </w:rPr>
        <w:t xml:space="preserve"> </w:t>
      </w:r>
      <w:r w:rsidR="00ED13E1" w:rsidRPr="00574F9C">
        <w:rPr>
          <w:rStyle w:val="BookTitle"/>
          <w:i w:val="0"/>
          <w:iCs w:val="0"/>
          <w:smallCaps w:val="0"/>
          <w:spacing w:val="0"/>
          <w:szCs w:val="24"/>
        </w:rPr>
        <w:t>provides that if a person is</w:t>
      </w:r>
      <w:r w:rsidR="000665C7">
        <w:rPr>
          <w:rStyle w:val="BookTitle"/>
          <w:i w:val="0"/>
          <w:iCs w:val="0"/>
          <w:smallCaps w:val="0"/>
          <w:spacing w:val="0"/>
          <w:szCs w:val="24"/>
        </w:rPr>
        <w:t>,</w:t>
      </w:r>
      <w:r w:rsidR="00ED13E1" w:rsidRPr="00574F9C">
        <w:rPr>
          <w:rStyle w:val="BookTitle"/>
          <w:i w:val="0"/>
          <w:iCs w:val="0"/>
          <w:smallCaps w:val="0"/>
          <w:spacing w:val="0"/>
          <w:szCs w:val="24"/>
        </w:rPr>
        <w:t xml:space="preserve"> </w:t>
      </w:r>
      <w:r w:rsidR="00591360">
        <w:rPr>
          <w:rStyle w:val="BookTitle"/>
          <w:i w:val="0"/>
          <w:iCs w:val="0"/>
          <w:smallCaps w:val="0"/>
          <w:spacing w:val="0"/>
          <w:szCs w:val="24"/>
        </w:rPr>
        <w:t>or was</w:t>
      </w:r>
      <w:r w:rsidR="000665C7">
        <w:rPr>
          <w:rStyle w:val="BookTitle"/>
          <w:i w:val="0"/>
          <w:iCs w:val="0"/>
          <w:smallCaps w:val="0"/>
          <w:spacing w:val="0"/>
          <w:szCs w:val="24"/>
        </w:rPr>
        <w:t>,</w:t>
      </w:r>
      <w:r w:rsidR="00591360">
        <w:rPr>
          <w:rStyle w:val="BookTitle"/>
          <w:i w:val="0"/>
          <w:iCs w:val="0"/>
          <w:smallCaps w:val="0"/>
          <w:spacing w:val="0"/>
          <w:szCs w:val="24"/>
        </w:rPr>
        <w:t xml:space="preserve"> </w:t>
      </w:r>
      <w:r w:rsidR="00ED13E1" w:rsidRPr="00574F9C">
        <w:rPr>
          <w:rStyle w:val="BookTitle"/>
          <w:i w:val="0"/>
          <w:iCs w:val="0"/>
          <w:smallCaps w:val="0"/>
          <w:spacing w:val="0"/>
          <w:szCs w:val="24"/>
        </w:rPr>
        <w:t xml:space="preserve">refugee </w:t>
      </w:r>
      <w:r w:rsidR="00074737">
        <w:rPr>
          <w:rStyle w:val="BookTitle"/>
          <w:i w:val="0"/>
          <w:iCs w:val="0"/>
          <w:smallCaps w:val="0"/>
          <w:spacing w:val="0"/>
          <w:szCs w:val="24"/>
        </w:rPr>
        <w:t>(</w:t>
      </w:r>
      <w:r w:rsidR="00ED13E1" w:rsidRPr="00574F9C">
        <w:rPr>
          <w:rStyle w:val="BookTitle"/>
          <w:i w:val="0"/>
          <w:iCs w:val="0"/>
          <w:smallCaps w:val="0"/>
          <w:spacing w:val="0"/>
          <w:szCs w:val="24"/>
        </w:rPr>
        <w:t>as defined in subsection 7(6B) of the Act</w:t>
      </w:r>
      <w:r w:rsidR="00074737">
        <w:rPr>
          <w:rStyle w:val="BookTitle"/>
          <w:i w:val="0"/>
          <w:iCs w:val="0"/>
          <w:smallCaps w:val="0"/>
          <w:spacing w:val="0"/>
          <w:szCs w:val="24"/>
        </w:rPr>
        <w:t>)</w:t>
      </w:r>
      <w:r w:rsidR="00ED13E1" w:rsidRPr="00574F9C">
        <w:rPr>
          <w:rStyle w:val="BookTitle"/>
          <w:i w:val="0"/>
          <w:iCs w:val="0"/>
          <w:smallCaps w:val="0"/>
          <w:spacing w:val="0"/>
          <w:szCs w:val="24"/>
        </w:rPr>
        <w:t xml:space="preserve">, this </w:t>
      </w:r>
      <w:r w:rsidR="00FC45B4" w:rsidRPr="00574F9C">
        <w:rPr>
          <w:rStyle w:val="BookTitle"/>
          <w:i w:val="0"/>
          <w:iCs w:val="0"/>
          <w:smallCaps w:val="0"/>
          <w:spacing w:val="0"/>
          <w:szCs w:val="24"/>
        </w:rPr>
        <w:t xml:space="preserve">must be considered when determining whether the person has </w:t>
      </w:r>
      <w:r w:rsidR="00ED13E1" w:rsidRPr="00574F9C">
        <w:rPr>
          <w:rStyle w:val="BookTitle"/>
          <w:i w:val="0"/>
          <w:iCs w:val="0"/>
          <w:smallCaps w:val="0"/>
          <w:spacing w:val="0"/>
          <w:szCs w:val="24"/>
        </w:rPr>
        <w:t xml:space="preserve">a reasonable excuse. </w:t>
      </w:r>
    </w:p>
    <w:p w:rsidR="002503E1" w:rsidRPr="00574F9C" w:rsidRDefault="002503E1" w:rsidP="001D71B5">
      <w:pPr>
        <w:jc w:val="both"/>
        <w:rPr>
          <w:rStyle w:val="BookTitle"/>
          <w:i w:val="0"/>
          <w:iCs w:val="0"/>
          <w:smallCaps w:val="0"/>
          <w:spacing w:val="0"/>
          <w:szCs w:val="24"/>
        </w:rPr>
      </w:pPr>
      <w:r w:rsidRPr="00574F9C">
        <w:rPr>
          <w:rStyle w:val="BookTitle"/>
          <w:i w:val="0"/>
          <w:iCs w:val="0"/>
          <w:smallCaps w:val="0"/>
          <w:spacing w:val="0"/>
          <w:szCs w:val="24"/>
        </w:rPr>
        <w:t xml:space="preserve">Paragraph </w:t>
      </w:r>
      <w:r w:rsidR="009F4B6C" w:rsidRPr="00574F9C">
        <w:rPr>
          <w:rStyle w:val="BookTitle"/>
          <w:i w:val="0"/>
          <w:iCs w:val="0"/>
          <w:smallCaps w:val="0"/>
          <w:spacing w:val="0"/>
          <w:szCs w:val="24"/>
        </w:rPr>
        <w:t>6(2)</w:t>
      </w:r>
      <w:r w:rsidR="00ED13E1" w:rsidRPr="00574F9C">
        <w:rPr>
          <w:rStyle w:val="BookTitle"/>
          <w:i w:val="0"/>
          <w:iCs w:val="0"/>
          <w:smallCaps w:val="0"/>
          <w:spacing w:val="0"/>
          <w:szCs w:val="24"/>
        </w:rPr>
        <w:t>(</w:t>
      </w:r>
      <w:r w:rsidR="00904934" w:rsidRPr="00574F9C">
        <w:rPr>
          <w:rStyle w:val="BookTitle"/>
          <w:i w:val="0"/>
          <w:iCs w:val="0"/>
          <w:smallCaps w:val="0"/>
          <w:spacing w:val="0"/>
          <w:szCs w:val="24"/>
        </w:rPr>
        <w:t>n</w:t>
      </w:r>
      <w:r w:rsidRPr="00574F9C">
        <w:rPr>
          <w:rStyle w:val="BookTitle"/>
          <w:i w:val="0"/>
          <w:iCs w:val="0"/>
          <w:smallCaps w:val="0"/>
          <w:spacing w:val="0"/>
          <w:szCs w:val="24"/>
        </w:rPr>
        <w:t>)</w:t>
      </w:r>
      <w:r w:rsidR="00ED13E1" w:rsidRPr="00574F9C">
        <w:rPr>
          <w:rStyle w:val="BookTitle"/>
          <w:i w:val="0"/>
          <w:iCs w:val="0"/>
          <w:smallCaps w:val="0"/>
          <w:spacing w:val="0"/>
          <w:szCs w:val="24"/>
        </w:rPr>
        <w:t xml:space="preserve"> provides that if a person is</w:t>
      </w:r>
      <w:r w:rsidR="000665C7">
        <w:rPr>
          <w:rStyle w:val="BookTitle"/>
          <w:i w:val="0"/>
          <w:iCs w:val="0"/>
          <w:smallCaps w:val="0"/>
          <w:spacing w:val="0"/>
          <w:szCs w:val="24"/>
        </w:rPr>
        <w:t>,</w:t>
      </w:r>
      <w:r w:rsidR="00ED13E1" w:rsidRPr="00574F9C">
        <w:rPr>
          <w:rStyle w:val="BookTitle"/>
          <w:i w:val="0"/>
          <w:iCs w:val="0"/>
          <w:smallCaps w:val="0"/>
          <w:spacing w:val="0"/>
          <w:szCs w:val="24"/>
        </w:rPr>
        <w:t xml:space="preserve"> </w:t>
      </w:r>
      <w:r w:rsidR="00591360">
        <w:rPr>
          <w:rStyle w:val="BookTitle"/>
          <w:i w:val="0"/>
          <w:iCs w:val="0"/>
          <w:smallCaps w:val="0"/>
          <w:spacing w:val="0"/>
          <w:szCs w:val="24"/>
        </w:rPr>
        <w:t>or was</w:t>
      </w:r>
      <w:r w:rsidR="000665C7">
        <w:rPr>
          <w:rStyle w:val="BookTitle"/>
          <w:i w:val="0"/>
          <w:iCs w:val="0"/>
          <w:smallCaps w:val="0"/>
          <w:spacing w:val="0"/>
          <w:szCs w:val="24"/>
        </w:rPr>
        <w:t>,</w:t>
      </w:r>
      <w:r w:rsidR="00591360">
        <w:rPr>
          <w:rStyle w:val="BookTitle"/>
          <w:i w:val="0"/>
          <w:iCs w:val="0"/>
          <w:smallCaps w:val="0"/>
          <w:spacing w:val="0"/>
          <w:szCs w:val="24"/>
        </w:rPr>
        <w:t xml:space="preserve"> </w:t>
      </w:r>
      <w:r w:rsidR="00ED13E1" w:rsidRPr="00574F9C">
        <w:rPr>
          <w:rStyle w:val="BookTitle"/>
          <w:i w:val="0"/>
          <w:iCs w:val="0"/>
          <w:smallCaps w:val="0"/>
          <w:spacing w:val="0"/>
          <w:szCs w:val="24"/>
        </w:rPr>
        <w:t xml:space="preserve">subject to a </w:t>
      </w:r>
      <w:r w:rsidR="00074737">
        <w:rPr>
          <w:rStyle w:val="BookTitle"/>
          <w:i w:val="0"/>
          <w:iCs w:val="0"/>
          <w:smallCaps w:val="0"/>
          <w:spacing w:val="0"/>
          <w:szCs w:val="24"/>
        </w:rPr>
        <w:t>c</w:t>
      </w:r>
      <w:r w:rsidR="00ED13E1" w:rsidRPr="00574F9C">
        <w:rPr>
          <w:rStyle w:val="BookTitle"/>
          <w:i w:val="0"/>
          <w:iCs w:val="0"/>
          <w:smallCaps w:val="0"/>
          <w:spacing w:val="0"/>
          <w:szCs w:val="24"/>
        </w:rPr>
        <w:t xml:space="preserve">ommunity </w:t>
      </w:r>
      <w:r w:rsidR="00074737">
        <w:rPr>
          <w:rStyle w:val="BookTitle"/>
          <w:i w:val="0"/>
          <w:iCs w:val="0"/>
          <w:smallCaps w:val="0"/>
          <w:spacing w:val="0"/>
          <w:szCs w:val="24"/>
        </w:rPr>
        <w:t>s</w:t>
      </w:r>
      <w:r w:rsidR="00ED13E1" w:rsidRPr="00574F9C">
        <w:rPr>
          <w:rStyle w:val="BookTitle"/>
          <w:i w:val="0"/>
          <w:iCs w:val="0"/>
          <w:smallCaps w:val="0"/>
          <w:spacing w:val="0"/>
          <w:szCs w:val="24"/>
        </w:rPr>
        <w:t xml:space="preserve">ervice </w:t>
      </w:r>
      <w:r w:rsidR="00074737">
        <w:rPr>
          <w:rStyle w:val="BookTitle"/>
          <w:i w:val="0"/>
          <w:iCs w:val="0"/>
          <w:smallCaps w:val="0"/>
          <w:spacing w:val="0"/>
          <w:szCs w:val="24"/>
        </w:rPr>
        <w:t>o</w:t>
      </w:r>
      <w:r w:rsidR="00ED13E1" w:rsidRPr="00574F9C">
        <w:rPr>
          <w:rStyle w:val="BookTitle"/>
          <w:i w:val="0"/>
          <w:iCs w:val="0"/>
          <w:smallCaps w:val="0"/>
          <w:spacing w:val="0"/>
          <w:szCs w:val="24"/>
        </w:rPr>
        <w:t xml:space="preserve">rder requiring the person to perform more than 20 hours of community service per week in each week the order has effect, this </w:t>
      </w:r>
      <w:r w:rsidR="00FC45B4" w:rsidRPr="00574F9C">
        <w:rPr>
          <w:rStyle w:val="BookTitle"/>
          <w:i w:val="0"/>
          <w:iCs w:val="0"/>
          <w:smallCaps w:val="0"/>
          <w:spacing w:val="0"/>
          <w:szCs w:val="24"/>
        </w:rPr>
        <w:t xml:space="preserve">must </w:t>
      </w:r>
      <w:r w:rsidR="00ED13E1" w:rsidRPr="00574F9C">
        <w:rPr>
          <w:rStyle w:val="BookTitle"/>
          <w:i w:val="0"/>
          <w:iCs w:val="0"/>
          <w:smallCaps w:val="0"/>
          <w:spacing w:val="0"/>
          <w:szCs w:val="24"/>
        </w:rPr>
        <w:t xml:space="preserve">be considered when determining whether the person has </w:t>
      </w:r>
      <w:r w:rsidR="000665C7" w:rsidRPr="00574F9C">
        <w:rPr>
          <w:rStyle w:val="BookTitle"/>
          <w:i w:val="0"/>
          <w:iCs w:val="0"/>
          <w:smallCaps w:val="0"/>
          <w:spacing w:val="0"/>
          <w:szCs w:val="24"/>
        </w:rPr>
        <w:t>a</w:t>
      </w:r>
      <w:r w:rsidR="000665C7">
        <w:rPr>
          <w:rStyle w:val="BookTitle"/>
          <w:i w:val="0"/>
          <w:iCs w:val="0"/>
          <w:smallCaps w:val="0"/>
          <w:spacing w:val="0"/>
          <w:szCs w:val="24"/>
        </w:rPr>
        <w:t> </w:t>
      </w:r>
      <w:r w:rsidR="00ED13E1" w:rsidRPr="00574F9C">
        <w:rPr>
          <w:rStyle w:val="BookTitle"/>
          <w:i w:val="0"/>
          <w:iCs w:val="0"/>
          <w:smallCaps w:val="0"/>
          <w:spacing w:val="0"/>
          <w:szCs w:val="24"/>
        </w:rPr>
        <w:t xml:space="preserve">reasonable excuse.  </w:t>
      </w:r>
    </w:p>
    <w:p w:rsidR="002503E1" w:rsidRPr="00574F9C" w:rsidRDefault="002503E1" w:rsidP="001D71B5">
      <w:pPr>
        <w:jc w:val="both"/>
        <w:rPr>
          <w:rStyle w:val="BookTitle"/>
          <w:b/>
          <w:i w:val="0"/>
          <w:iCs w:val="0"/>
          <w:smallCaps w:val="0"/>
          <w:spacing w:val="0"/>
          <w:szCs w:val="24"/>
        </w:rPr>
      </w:pPr>
      <w:r w:rsidRPr="00574F9C">
        <w:rPr>
          <w:rStyle w:val="BookTitle"/>
          <w:i w:val="0"/>
          <w:iCs w:val="0"/>
          <w:smallCaps w:val="0"/>
          <w:spacing w:val="0"/>
          <w:szCs w:val="24"/>
        </w:rPr>
        <w:t>Subsection 6(3)</w:t>
      </w:r>
      <w:r w:rsidR="00F509DD" w:rsidRPr="00574F9C">
        <w:rPr>
          <w:rStyle w:val="BookTitle"/>
          <w:b/>
          <w:i w:val="0"/>
          <w:iCs w:val="0"/>
          <w:smallCaps w:val="0"/>
          <w:spacing w:val="0"/>
          <w:szCs w:val="24"/>
        </w:rPr>
        <w:t xml:space="preserve"> </w:t>
      </w:r>
      <w:r w:rsidR="00F509DD" w:rsidRPr="00574F9C">
        <w:rPr>
          <w:rStyle w:val="BookTitle"/>
          <w:i w:val="0"/>
          <w:iCs w:val="0"/>
          <w:smallCaps w:val="0"/>
          <w:spacing w:val="0"/>
          <w:szCs w:val="24"/>
        </w:rPr>
        <w:t>has the effect of ensuring that the matters</w:t>
      </w:r>
      <w:r w:rsidR="00482054" w:rsidRPr="00574F9C">
        <w:rPr>
          <w:rStyle w:val="BookTitle"/>
          <w:i w:val="0"/>
          <w:iCs w:val="0"/>
          <w:smallCaps w:val="0"/>
          <w:spacing w:val="0"/>
          <w:szCs w:val="24"/>
        </w:rPr>
        <w:t xml:space="preserve"> that are listed in </w:t>
      </w:r>
      <w:r w:rsidR="00943E52" w:rsidRPr="00574F9C">
        <w:rPr>
          <w:rStyle w:val="BookTitle"/>
          <w:i w:val="0"/>
          <w:iCs w:val="0"/>
          <w:smallCaps w:val="0"/>
          <w:spacing w:val="0"/>
          <w:szCs w:val="24"/>
        </w:rPr>
        <w:t>subsection </w:t>
      </w:r>
      <w:r w:rsidR="00482054" w:rsidRPr="00574F9C">
        <w:rPr>
          <w:rStyle w:val="BookTitle"/>
          <w:i w:val="0"/>
          <w:iCs w:val="0"/>
          <w:smallCaps w:val="0"/>
          <w:spacing w:val="0"/>
          <w:szCs w:val="24"/>
        </w:rPr>
        <w:t>6</w:t>
      </w:r>
      <w:r w:rsidR="00F509DD" w:rsidRPr="00574F9C">
        <w:rPr>
          <w:rStyle w:val="BookTitle"/>
          <w:i w:val="0"/>
          <w:iCs w:val="0"/>
          <w:smallCaps w:val="0"/>
          <w:spacing w:val="0"/>
          <w:szCs w:val="24"/>
        </w:rPr>
        <w:t>(2) must only be taken into account where the Secretary is satisfied that the matter had a significant effect on the perso</w:t>
      </w:r>
      <w:r w:rsidR="003A0B52" w:rsidRPr="00574F9C">
        <w:rPr>
          <w:rStyle w:val="BookTitle"/>
          <w:i w:val="0"/>
          <w:iCs w:val="0"/>
          <w:smallCaps w:val="0"/>
          <w:spacing w:val="0"/>
          <w:szCs w:val="24"/>
        </w:rPr>
        <w:t xml:space="preserve">n’s capacity to comply with the obligation, or the provision of the Act, </w:t>
      </w:r>
      <w:r w:rsidR="000665C7" w:rsidRPr="00574F9C">
        <w:rPr>
          <w:rStyle w:val="BookTitle"/>
          <w:i w:val="0"/>
          <w:iCs w:val="0"/>
          <w:smallCaps w:val="0"/>
          <w:spacing w:val="0"/>
          <w:szCs w:val="24"/>
        </w:rPr>
        <w:t>to</w:t>
      </w:r>
      <w:r w:rsidR="000665C7">
        <w:rPr>
          <w:rStyle w:val="BookTitle"/>
          <w:i w:val="0"/>
          <w:iCs w:val="0"/>
          <w:smallCaps w:val="0"/>
          <w:spacing w:val="0"/>
          <w:szCs w:val="24"/>
        </w:rPr>
        <w:t> </w:t>
      </w:r>
      <w:r w:rsidR="003A0B52" w:rsidRPr="00574F9C">
        <w:rPr>
          <w:rStyle w:val="BookTitle"/>
          <w:i w:val="0"/>
          <w:iCs w:val="0"/>
          <w:smallCaps w:val="0"/>
          <w:spacing w:val="0"/>
          <w:szCs w:val="24"/>
        </w:rPr>
        <w:t xml:space="preserve">which the failure relates. </w:t>
      </w:r>
      <w:r w:rsidR="00482054" w:rsidRPr="00574F9C">
        <w:rPr>
          <w:rStyle w:val="BookTitle"/>
          <w:i w:val="0"/>
          <w:iCs w:val="0"/>
          <w:smallCaps w:val="0"/>
          <w:spacing w:val="0"/>
          <w:szCs w:val="24"/>
        </w:rPr>
        <w:t xml:space="preserve"> </w:t>
      </w:r>
    </w:p>
    <w:p w:rsidR="002503E1" w:rsidRPr="00574F9C" w:rsidRDefault="002503E1" w:rsidP="001D71B5">
      <w:pPr>
        <w:jc w:val="both"/>
        <w:rPr>
          <w:rStyle w:val="BookTitle"/>
          <w:b/>
          <w:i w:val="0"/>
          <w:iCs w:val="0"/>
          <w:smallCaps w:val="0"/>
          <w:spacing w:val="0"/>
          <w:szCs w:val="24"/>
        </w:rPr>
      </w:pPr>
      <w:r w:rsidRPr="00574F9C">
        <w:rPr>
          <w:rStyle w:val="BookTitle"/>
          <w:i w:val="0"/>
          <w:iCs w:val="0"/>
          <w:smallCaps w:val="0"/>
          <w:spacing w:val="0"/>
          <w:szCs w:val="24"/>
        </w:rPr>
        <w:t>Subsection 6(4)</w:t>
      </w:r>
      <w:r w:rsidR="00F509DD" w:rsidRPr="00574F9C">
        <w:rPr>
          <w:rStyle w:val="BookTitle"/>
          <w:b/>
          <w:i w:val="0"/>
          <w:iCs w:val="0"/>
          <w:smallCaps w:val="0"/>
          <w:spacing w:val="0"/>
          <w:szCs w:val="24"/>
        </w:rPr>
        <w:t xml:space="preserve"> </w:t>
      </w:r>
      <w:r w:rsidR="00F509DD" w:rsidRPr="00574F9C">
        <w:rPr>
          <w:rStyle w:val="BookTitle"/>
          <w:i w:val="0"/>
          <w:iCs w:val="0"/>
          <w:smallCaps w:val="0"/>
          <w:spacing w:val="0"/>
          <w:szCs w:val="24"/>
        </w:rPr>
        <w:t>sets out, non-exclusively, circumstances under which a person is</w:t>
      </w:r>
      <w:r w:rsidR="0026721C">
        <w:rPr>
          <w:rStyle w:val="BookTitle"/>
          <w:i w:val="0"/>
          <w:iCs w:val="0"/>
          <w:smallCaps w:val="0"/>
          <w:spacing w:val="0"/>
          <w:szCs w:val="24"/>
        </w:rPr>
        <w:t xml:space="preserve"> </w:t>
      </w:r>
      <w:r w:rsidR="00F509DD" w:rsidRPr="00574F9C">
        <w:rPr>
          <w:rStyle w:val="BookTitle"/>
          <w:i w:val="0"/>
          <w:iCs w:val="0"/>
          <w:smallCaps w:val="0"/>
          <w:spacing w:val="0"/>
          <w:szCs w:val="24"/>
        </w:rPr>
        <w:t xml:space="preserve">taken to </w:t>
      </w:r>
      <w:r w:rsidR="00D73699" w:rsidRPr="00574F9C">
        <w:rPr>
          <w:rStyle w:val="BookTitle"/>
          <w:i w:val="0"/>
          <w:iCs w:val="0"/>
          <w:smallCaps w:val="0"/>
          <w:spacing w:val="0"/>
          <w:szCs w:val="24"/>
        </w:rPr>
        <w:t xml:space="preserve">not </w:t>
      </w:r>
      <w:r w:rsidR="00F509DD" w:rsidRPr="00574F9C">
        <w:rPr>
          <w:rStyle w:val="BookTitle"/>
          <w:i w:val="0"/>
          <w:iCs w:val="0"/>
          <w:smallCaps w:val="0"/>
          <w:spacing w:val="0"/>
          <w:szCs w:val="24"/>
        </w:rPr>
        <w:t xml:space="preserve">have access to safe, secure and adequate housing. </w:t>
      </w:r>
      <w:r w:rsidR="000665C7">
        <w:rPr>
          <w:rStyle w:val="BookTitle"/>
          <w:i w:val="0"/>
          <w:iCs w:val="0"/>
          <w:smallCaps w:val="0"/>
          <w:spacing w:val="0"/>
          <w:szCs w:val="24"/>
        </w:rPr>
        <w:t xml:space="preserve"> </w:t>
      </w:r>
      <w:r w:rsidR="00F509DD" w:rsidRPr="00574F9C">
        <w:rPr>
          <w:rStyle w:val="BookTitle"/>
          <w:i w:val="0"/>
          <w:iCs w:val="0"/>
          <w:smallCaps w:val="0"/>
          <w:spacing w:val="0"/>
          <w:szCs w:val="24"/>
        </w:rPr>
        <w:t xml:space="preserve">This definition is derived from the </w:t>
      </w:r>
      <w:r w:rsidR="00F509DD" w:rsidRPr="00574F9C">
        <w:rPr>
          <w:rStyle w:val="BookTitle"/>
          <w:iCs w:val="0"/>
          <w:smallCaps w:val="0"/>
          <w:spacing w:val="0"/>
          <w:szCs w:val="24"/>
        </w:rPr>
        <w:t>Supported Accommodation Assistance Act 1994</w:t>
      </w:r>
      <w:r w:rsidR="00F509DD" w:rsidRPr="00574F9C">
        <w:rPr>
          <w:rStyle w:val="BookTitle"/>
          <w:i w:val="0"/>
          <w:iCs w:val="0"/>
          <w:smallCaps w:val="0"/>
          <w:spacing w:val="0"/>
          <w:szCs w:val="24"/>
        </w:rPr>
        <w:t xml:space="preserve">, and is intended to encompass the particular characteristics or incidents of a person’s accommodation that may adversely affect them </w:t>
      </w:r>
      <w:r w:rsidR="000665C7" w:rsidRPr="00574F9C">
        <w:rPr>
          <w:rStyle w:val="BookTitle"/>
          <w:i w:val="0"/>
          <w:iCs w:val="0"/>
          <w:smallCaps w:val="0"/>
          <w:spacing w:val="0"/>
          <w:szCs w:val="24"/>
        </w:rPr>
        <w:t>or</w:t>
      </w:r>
      <w:r w:rsidR="000665C7">
        <w:rPr>
          <w:rStyle w:val="BookTitle"/>
          <w:i w:val="0"/>
          <w:iCs w:val="0"/>
          <w:smallCaps w:val="0"/>
          <w:spacing w:val="0"/>
          <w:szCs w:val="24"/>
        </w:rPr>
        <w:t> </w:t>
      </w:r>
      <w:r w:rsidR="00F509DD" w:rsidRPr="00574F9C">
        <w:rPr>
          <w:rStyle w:val="BookTitle"/>
          <w:i w:val="0"/>
          <w:iCs w:val="0"/>
          <w:smallCaps w:val="0"/>
          <w:spacing w:val="0"/>
          <w:szCs w:val="24"/>
        </w:rPr>
        <w:t xml:space="preserve">place them at risk. </w:t>
      </w:r>
    </w:p>
    <w:p w:rsidR="00C37944" w:rsidRPr="00574F9C" w:rsidRDefault="00C37944" w:rsidP="001D71B5">
      <w:pPr>
        <w:jc w:val="both"/>
        <w:rPr>
          <w:i/>
          <w:szCs w:val="24"/>
        </w:rPr>
      </w:pPr>
      <w:bookmarkStart w:id="0" w:name="_Toc290210739"/>
      <w:r w:rsidRPr="00574F9C">
        <w:rPr>
          <w:szCs w:val="24"/>
        </w:rPr>
        <w:br w:type="page"/>
      </w:r>
    </w:p>
    <w:p w:rsidR="00F1588B" w:rsidRPr="00574F9C" w:rsidRDefault="00F1588B" w:rsidP="00F1588B">
      <w:pPr>
        <w:spacing w:before="360" w:after="120"/>
        <w:jc w:val="center"/>
        <w:rPr>
          <w:b/>
          <w:szCs w:val="24"/>
        </w:rPr>
      </w:pPr>
      <w:r w:rsidRPr="00574F9C">
        <w:rPr>
          <w:b/>
          <w:szCs w:val="24"/>
        </w:rPr>
        <w:t>Statement of Compatibility with Human Rights</w:t>
      </w:r>
    </w:p>
    <w:p w:rsidR="00F1588B" w:rsidRPr="00574F9C" w:rsidRDefault="00F1588B" w:rsidP="00F1588B">
      <w:pPr>
        <w:spacing w:before="120" w:after="120"/>
        <w:jc w:val="center"/>
        <w:rPr>
          <w:szCs w:val="24"/>
        </w:rPr>
      </w:pPr>
      <w:r w:rsidRPr="00574F9C">
        <w:rPr>
          <w:i/>
          <w:szCs w:val="24"/>
        </w:rPr>
        <w:t>Prepared in accordance with Part 3 of the Human Rights (Parliamentary Scrutiny) Act 2011</w:t>
      </w:r>
    </w:p>
    <w:p w:rsidR="00F1588B" w:rsidRPr="00574F9C" w:rsidRDefault="00F1588B" w:rsidP="00F1588B">
      <w:pPr>
        <w:spacing w:before="120" w:after="120"/>
        <w:jc w:val="center"/>
        <w:rPr>
          <w:szCs w:val="24"/>
        </w:rPr>
      </w:pPr>
    </w:p>
    <w:p w:rsidR="00F1588B" w:rsidRPr="00574F9C" w:rsidRDefault="00F1588B" w:rsidP="00F1588B">
      <w:pPr>
        <w:spacing w:before="0"/>
        <w:ind w:right="91"/>
        <w:jc w:val="center"/>
        <w:rPr>
          <w:b/>
          <w:i/>
          <w:szCs w:val="24"/>
        </w:rPr>
      </w:pPr>
      <w:r w:rsidRPr="00574F9C">
        <w:rPr>
          <w:b/>
          <w:i/>
          <w:szCs w:val="24"/>
        </w:rPr>
        <w:t>Social Security (Reasonable Excuse – Student Payments) Determination 2019</w:t>
      </w:r>
    </w:p>
    <w:p w:rsidR="00F1588B" w:rsidRPr="00451842" w:rsidRDefault="00F1588B" w:rsidP="002E0183">
      <w:pPr>
        <w:spacing w:before="120" w:after="120"/>
        <w:jc w:val="center"/>
        <w:rPr>
          <w:szCs w:val="24"/>
        </w:rPr>
      </w:pPr>
    </w:p>
    <w:p w:rsidR="00F1588B" w:rsidRPr="00574F9C" w:rsidRDefault="00F1588B" w:rsidP="00F1588B">
      <w:pPr>
        <w:spacing w:before="120" w:after="120"/>
        <w:jc w:val="center"/>
        <w:rPr>
          <w:szCs w:val="24"/>
        </w:rPr>
      </w:pPr>
      <w:r w:rsidRPr="00574F9C">
        <w:rPr>
          <w:szCs w:val="24"/>
        </w:rPr>
        <w:t xml:space="preserve">This Determination is compatible with the human rights and freedoms recognised or declared in the international instruments listed in section 3 of the </w:t>
      </w:r>
      <w:r w:rsidRPr="00574F9C">
        <w:rPr>
          <w:i/>
          <w:szCs w:val="24"/>
        </w:rPr>
        <w:t>Human Rights (Parliamentary Scrutiny) Act 2011</w:t>
      </w:r>
      <w:r w:rsidRPr="00574F9C">
        <w:rPr>
          <w:szCs w:val="24"/>
        </w:rPr>
        <w:t>.</w:t>
      </w:r>
    </w:p>
    <w:p w:rsidR="00F1588B" w:rsidRPr="00574F9C" w:rsidRDefault="00F1588B" w:rsidP="00F1588B">
      <w:pPr>
        <w:spacing w:after="120"/>
        <w:jc w:val="both"/>
        <w:rPr>
          <w:b/>
          <w:szCs w:val="24"/>
        </w:rPr>
      </w:pPr>
      <w:r w:rsidRPr="00574F9C">
        <w:rPr>
          <w:b/>
          <w:szCs w:val="24"/>
        </w:rPr>
        <w:t>Overview of the legislative instrument</w:t>
      </w:r>
    </w:p>
    <w:p w:rsidR="00F1588B" w:rsidRPr="00574F9C" w:rsidRDefault="00F1588B" w:rsidP="00344831">
      <w:pPr>
        <w:spacing w:before="120"/>
        <w:jc w:val="both"/>
        <w:rPr>
          <w:rStyle w:val="BookTitle"/>
          <w:rFonts w:eastAsiaTheme="majorEastAsia"/>
          <w:i w:val="0"/>
          <w:iCs w:val="0"/>
          <w:smallCaps w:val="0"/>
        </w:rPr>
      </w:pPr>
      <w:r w:rsidRPr="00574F9C">
        <w:rPr>
          <w:szCs w:val="24"/>
        </w:rPr>
        <w:t xml:space="preserve">The </w:t>
      </w:r>
      <w:r w:rsidRPr="00574F9C">
        <w:rPr>
          <w:i/>
          <w:iCs/>
          <w:szCs w:val="24"/>
        </w:rPr>
        <w:t>Social Security (Reasonable Excuse - Student Payments) Determination 2019</w:t>
      </w:r>
      <w:r w:rsidRPr="00574F9C">
        <w:rPr>
          <w:szCs w:val="24"/>
        </w:rPr>
        <w:t xml:space="preserve"> (the Determination) is made by the Secretary of the Department of Social Services (the Secretary) under subsection</w:t>
      </w:r>
      <w:r w:rsidR="00004E8A">
        <w:rPr>
          <w:szCs w:val="24"/>
        </w:rPr>
        <w:t>s</w:t>
      </w:r>
      <w:r w:rsidRPr="00574F9C">
        <w:rPr>
          <w:szCs w:val="24"/>
        </w:rPr>
        <w:t xml:space="preserve"> </w:t>
      </w:r>
      <w:r w:rsidR="00344831" w:rsidRPr="00574F9C">
        <w:rPr>
          <w:rStyle w:val="BookTitle"/>
          <w:rFonts w:eastAsiaTheme="majorEastAsia"/>
          <w:i w:val="0"/>
          <w:smallCaps w:val="0"/>
          <w:szCs w:val="24"/>
        </w:rPr>
        <w:t xml:space="preserve">550(2A), </w:t>
      </w:r>
      <w:r w:rsidRPr="00574F9C">
        <w:rPr>
          <w:rStyle w:val="BookTitle"/>
          <w:rFonts w:eastAsiaTheme="majorEastAsia"/>
          <w:i w:val="0"/>
          <w:smallCaps w:val="0"/>
          <w:szCs w:val="24"/>
        </w:rPr>
        <w:t xml:space="preserve">550B(2A), 576(2A) and 576A(2A) of the </w:t>
      </w:r>
      <w:r w:rsidRPr="00574F9C">
        <w:rPr>
          <w:rStyle w:val="BookTitle"/>
          <w:rFonts w:eastAsiaTheme="majorEastAsia"/>
          <w:smallCaps w:val="0"/>
          <w:szCs w:val="24"/>
        </w:rPr>
        <w:t>Social Security Act 1991</w:t>
      </w:r>
      <w:r w:rsidRPr="00574F9C">
        <w:rPr>
          <w:rStyle w:val="BookTitle"/>
          <w:rFonts w:eastAsiaTheme="majorEastAsia"/>
          <w:i w:val="0"/>
          <w:smallCaps w:val="0"/>
          <w:szCs w:val="24"/>
        </w:rPr>
        <w:t xml:space="preserve"> (the Act).</w:t>
      </w:r>
    </w:p>
    <w:p w:rsidR="00F1588B" w:rsidRPr="00574F9C" w:rsidRDefault="00F1588B" w:rsidP="00344831">
      <w:pPr>
        <w:shd w:val="clear" w:color="auto" w:fill="FFFFFF"/>
        <w:spacing w:before="0"/>
        <w:rPr>
          <w:rFonts w:eastAsiaTheme="majorEastAsia"/>
          <w:lang w:val="en-US"/>
        </w:rPr>
      </w:pPr>
      <w:r w:rsidRPr="00574F9C">
        <w:rPr>
          <w:szCs w:val="24"/>
        </w:rPr>
        <w:t> </w:t>
      </w:r>
    </w:p>
    <w:p w:rsidR="00344831" w:rsidRPr="00574F9C" w:rsidRDefault="00344831" w:rsidP="00344831">
      <w:pPr>
        <w:spacing w:before="120"/>
        <w:jc w:val="both"/>
        <w:rPr>
          <w:rStyle w:val="BookTitle"/>
          <w:rFonts w:eastAsiaTheme="majorEastAsia"/>
          <w:i w:val="0"/>
          <w:smallCaps w:val="0"/>
          <w:szCs w:val="24"/>
        </w:rPr>
      </w:pPr>
      <w:r w:rsidRPr="00574F9C">
        <w:rPr>
          <w:rStyle w:val="BookTitle"/>
          <w:rFonts w:eastAsiaTheme="majorEastAsia"/>
          <w:i w:val="0"/>
          <w:smallCaps w:val="0"/>
          <w:szCs w:val="24"/>
        </w:rPr>
        <w:t xml:space="preserve">The purpose of the Determination is to specify matters that the Secretary must take into account in deciding whether a person has a reasonable excuse for committing </w:t>
      </w:r>
      <w:r w:rsidR="000665C7" w:rsidRPr="00574F9C">
        <w:rPr>
          <w:rStyle w:val="BookTitle"/>
          <w:rFonts w:eastAsiaTheme="majorEastAsia"/>
          <w:i w:val="0"/>
          <w:smallCaps w:val="0"/>
          <w:szCs w:val="24"/>
        </w:rPr>
        <w:t>a</w:t>
      </w:r>
      <w:r w:rsidR="000665C7">
        <w:rPr>
          <w:rStyle w:val="BookTitle"/>
          <w:rFonts w:eastAsiaTheme="majorEastAsia"/>
          <w:i w:val="0"/>
          <w:smallCaps w:val="0"/>
          <w:szCs w:val="24"/>
        </w:rPr>
        <w:t> </w:t>
      </w:r>
      <w:r w:rsidRPr="00574F9C">
        <w:rPr>
          <w:rStyle w:val="BookTitle"/>
          <w:rFonts w:eastAsiaTheme="majorEastAsia"/>
          <w:i w:val="0"/>
          <w:smallCaps w:val="0"/>
          <w:szCs w:val="24"/>
        </w:rPr>
        <w:t xml:space="preserve">participation failure in regard to youth allowance (if the person is undertaking full-time study) or austudy. </w:t>
      </w:r>
      <w:r w:rsidR="000665C7">
        <w:rPr>
          <w:rStyle w:val="BookTitle"/>
          <w:rFonts w:eastAsiaTheme="majorEastAsia"/>
          <w:i w:val="0"/>
          <w:smallCaps w:val="0"/>
          <w:szCs w:val="24"/>
        </w:rPr>
        <w:t xml:space="preserve"> </w:t>
      </w:r>
      <w:r w:rsidRPr="00574F9C">
        <w:rPr>
          <w:rStyle w:val="BookTitle"/>
          <w:rFonts w:eastAsiaTheme="majorEastAsia"/>
          <w:i w:val="0"/>
          <w:smallCaps w:val="0"/>
          <w:szCs w:val="24"/>
        </w:rPr>
        <w:t>Where a youth allowance or austudy recipient fails to meet their participation obligations under th</w:t>
      </w:r>
      <w:r w:rsidR="00DA3666" w:rsidRPr="00574F9C">
        <w:rPr>
          <w:rStyle w:val="BookTitle"/>
          <w:rFonts w:eastAsiaTheme="majorEastAsia"/>
          <w:i w:val="0"/>
          <w:smallCaps w:val="0"/>
          <w:szCs w:val="24"/>
        </w:rPr>
        <w:t>e Act</w:t>
      </w:r>
      <w:r w:rsidRPr="00574F9C">
        <w:rPr>
          <w:rStyle w:val="BookTitle"/>
          <w:rFonts w:eastAsiaTheme="majorEastAsia"/>
          <w:i w:val="0"/>
          <w:smallCaps w:val="0"/>
          <w:szCs w:val="24"/>
        </w:rPr>
        <w:t xml:space="preserve">, their payment may be cancelled or suspended. </w:t>
      </w:r>
      <w:r w:rsidR="000665C7">
        <w:rPr>
          <w:rStyle w:val="BookTitle"/>
          <w:rFonts w:eastAsiaTheme="majorEastAsia"/>
          <w:i w:val="0"/>
          <w:smallCaps w:val="0"/>
          <w:szCs w:val="24"/>
        </w:rPr>
        <w:t xml:space="preserve"> </w:t>
      </w:r>
      <w:r w:rsidRPr="00574F9C">
        <w:rPr>
          <w:rStyle w:val="BookTitle"/>
          <w:rFonts w:eastAsiaTheme="majorEastAsia"/>
          <w:i w:val="0"/>
          <w:smallCaps w:val="0"/>
          <w:szCs w:val="24"/>
        </w:rPr>
        <w:t xml:space="preserve">However, they will continue to qualify for payment if </w:t>
      </w:r>
      <w:r w:rsidR="00DA3666" w:rsidRPr="00574F9C">
        <w:rPr>
          <w:rStyle w:val="BookTitle"/>
          <w:rFonts w:eastAsiaTheme="majorEastAsia"/>
          <w:i w:val="0"/>
          <w:smallCaps w:val="0"/>
          <w:szCs w:val="24"/>
        </w:rPr>
        <w:t xml:space="preserve">the </w:t>
      </w:r>
      <w:r w:rsidRPr="00574F9C">
        <w:rPr>
          <w:rStyle w:val="BookTitle"/>
          <w:rFonts w:eastAsiaTheme="majorEastAsia"/>
          <w:i w:val="0"/>
          <w:smallCaps w:val="0"/>
          <w:szCs w:val="24"/>
        </w:rPr>
        <w:t xml:space="preserve">Secretary </w:t>
      </w:r>
      <w:r w:rsidR="00DA3666" w:rsidRPr="00574F9C">
        <w:rPr>
          <w:rStyle w:val="BookTitle"/>
          <w:rFonts w:eastAsiaTheme="majorEastAsia"/>
          <w:i w:val="0"/>
          <w:smallCaps w:val="0"/>
          <w:szCs w:val="24"/>
        </w:rPr>
        <w:t xml:space="preserve">is satisfied </w:t>
      </w:r>
      <w:r w:rsidRPr="00574F9C">
        <w:rPr>
          <w:rStyle w:val="BookTitle"/>
          <w:rFonts w:eastAsiaTheme="majorEastAsia"/>
          <w:i w:val="0"/>
          <w:smallCaps w:val="0"/>
          <w:szCs w:val="24"/>
        </w:rPr>
        <w:t xml:space="preserve">that they have a reasonable excuse for the failure and, where required, </w:t>
      </w:r>
      <w:r w:rsidR="00DA3666" w:rsidRPr="00574F9C">
        <w:rPr>
          <w:rStyle w:val="BookTitle"/>
          <w:rFonts w:eastAsiaTheme="majorEastAsia"/>
          <w:i w:val="0"/>
          <w:smallCaps w:val="0"/>
          <w:szCs w:val="24"/>
        </w:rPr>
        <w:t>have given</w:t>
      </w:r>
      <w:r w:rsidRPr="00574F9C">
        <w:rPr>
          <w:rStyle w:val="BookTitle"/>
          <w:rFonts w:eastAsiaTheme="majorEastAsia"/>
          <w:i w:val="0"/>
          <w:smallCaps w:val="0"/>
          <w:szCs w:val="24"/>
        </w:rPr>
        <w:t xml:space="preserve"> notice of the excuse. </w:t>
      </w:r>
      <w:r w:rsidR="006B7021">
        <w:rPr>
          <w:rStyle w:val="BookTitle"/>
          <w:rFonts w:eastAsiaTheme="majorEastAsia"/>
          <w:i w:val="0"/>
          <w:smallCaps w:val="0"/>
          <w:szCs w:val="24"/>
        </w:rPr>
        <w:t xml:space="preserve"> The matters specified in the Determination are not exhaustive as the Secretary may also take other matters into account under subsections 550(2B), 550B(2B), 576(2B) and 576A(2B) of the Act.</w:t>
      </w:r>
    </w:p>
    <w:p w:rsidR="00F1588B" w:rsidRPr="00574F9C" w:rsidRDefault="00F1588B" w:rsidP="00344831">
      <w:pPr>
        <w:shd w:val="clear" w:color="auto" w:fill="FFFFFF"/>
        <w:spacing w:before="100" w:beforeAutospacing="1" w:after="100" w:afterAutospacing="1"/>
        <w:jc w:val="both"/>
        <w:rPr>
          <w:rFonts w:eastAsiaTheme="majorEastAsia"/>
        </w:rPr>
      </w:pPr>
      <w:r w:rsidRPr="00574F9C">
        <w:rPr>
          <w:szCs w:val="24"/>
        </w:rPr>
        <w:t xml:space="preserve">The Determination repeals and replaces the </w:t>
      </w:r>
      <w:r w:rsidRPr="00574F9C">
        <w:rPr>
          <w:i/>
          <w:iCs/>
          <w:szCs w:val="24"/>
        </w:rPr>
        <w:t xml:space="preserve">Social Security (Reasonable Excuse — Participation Payment Obligations) (DEEWR) Determination 2009 (No. 1) </w:t>
      </w:r>
      <w:r w:rsidRPr="00574F9C">
        <w:rPr>
          <w:iCs/>
          <w:szCs w:val="24"/>
        </w:rPr>
        <w:t>(the 2009 Determination), which was due to sunset on 1 October 2019</w:t>
      </w:r>
      <w:r w:rsidRPr="00574F9C">
        <w:rPr>
          <w:szCs w:val="24"/>
        </w:rPr>
        <w:t xml:space="preserve">.  </w:t>
      </w:r>
    </w:p>
    <w:p w:rsidR="00F1588B" w:rsidRPr="00574F9C" w:rsidRDefault="00F1588B" w:rsidP="00344831">
      <w:pPr>
        <w:spacing w:before="120" w:after="120"/>
        <w:jc w:val="both"/>
        <w:rPr>
          <w:b/>
          <w:szCs w:val="24"/>
        </w:rPr>
      </w:pPr>
      <w:r w:rsidRPr="00574F9C">
        <w:rPr>
          <w:b/>
          <w:szCs w:val="24"/>
        </w:rPr>
        <w:t>Human rights implications</w:t>
      </w:r>
    </w:p>
    <w:p w:rsidR="00F1588B" w:rsidRPr="00574F9C" w:rsidRDefault="00F1588B" w:rsidP="00F1588B">
      <w:pPr>
        <w:shd w:val="clear" w:color="auto" w:fill="FFFFFF"/>
        <w:spacing w:before="100" w:beforeAutospacing="1" w:after="100" w:afterAutospacing="1"/>
      </w:pPr>
      <w:r w:rsidRPr="00574F9C">
        <w:t>The Determination engages the right to social security and the right to education.</w:t>
      </w:r>
    </w:p>
    <w:p w:rsidR="00F1588B" w:rsidRPr="00574F9C" w:rsidRDefault="00F1588B" w:rsidP="00F1588B">
      <w:pPr>
        <w:spacing w:after="240"/>
        <w:jc w:val="both"/>
        <w:rPr>
          <w:b/>
          <w:u w:val="single"/>
        </w:rPr>
      </w:pPr>
      <w:r w:rsidRPr="00574F9C">
        <w:rPr>
          <w:b/>
          <w:u w:val="single"/>
        </w:rPr>
        <w:t xml:space="preserve">Right to social security </w:t>
      </w:r>
    </w:p>
    <w:p w:rsidR="00F1588B" w:rsidRPr="00574F9C" w:rsidRDefault="00F1588B" w:rsidP="00F1588B">
      <w:pPr>
        <w:spacing w:after="240"/>
        <w:jc w:val="both"/>
      </w:pPr>
      <w:r w:rsidRPr="00574F9C">
        <w:t xml:space="preserve">Article 9 of the </w:t>
      </w:r>
      <w:r w:rsidRPr="00574F9C">
        <w:rPr>
          <w:i/>
          <w:iCs/>
        </w:rPr>
        <w:t>International Covenant on Economic, Social and Cultural Rights</w:t>
      </w:r>
      <w:r w:rsidRPr="00574F9C">
        <w:t xml:space="preserve"> (ICESCR) recognises the right of everyone to social security.</w:t>
      </w:r>
    </w:p>
    <w:p w:rsidR="00F1588B" w:rsidRPr="00574F9C" w:rsidRDefault="00F1588B" w:rsidP="00F1588B">
      <w:pPr>
        <w:spacing w:before="120" w:after="120"/>
        <w:jc w:val="both"/>
        <w:rPr>
          <w:szCs w:val="24"/>
          <w:lang w:val="en-US"/>
        </w:rPr>
      </w:pPr>
      <w:r w:rsidRPr="00574F9C">
        <w:rPr>
          <w:szCs w:val="24"/>
          <w:lang w:val="en-US"/>
        </w:rPr>
        <w:t xml:space="preserve">The right to social security requires that a system be established under domestic law, and that public authorities must take responsibility for the effective administration of the system. </w:t>
      </w:r>
      <w:r w:rsidR="000665C7">
        <w:rPr>
          <w:szCs w:val="24"/>
          <w:lang w:val="en-US"/>
        </w:rPr>
        <w:t xml:space="preserve"> </w:t>
      </w:r>
      <w:r w:rsidRPr="00574F9C">
        <w:rPr>
          <w:szCs w:val="24"/>
          <w:lang w:val="en-US"/>
        </w:rPr>
        <w:t>The social security system must provide a minimum essential level of benefits to all individuals and families that will enable them to cover essential living costs.</w:t>
      </w:r>
    </w:p>
    <w:p w:rsidR="00B9627E" w:rsidRDefault="00B9627E" w:rsidP="00F1588B">
      <w:pPr>
        <w:spacing w:before="120" w:after="120"/>
        <w:jc w:val="both"/>
        <w:rPr>
          <w:szCs w:val="24"/>
          <w:lang w:val="en-US"/>
        </w:rPr>
        <w:sectPr w:rsidR="00B9627E">
          <w:pgSz w:w="11906" w:h="16838"/>
          <w:pgMar w:top="1440" w:right="1440" w:bottom="1440" w:left="1440" w:header="708" w:footer="708" w:gutter="0"/>
          <w:cols w:space="708"/>
          <w:docGrid w:linePitch="360"/>
        </w:sectPr>
      </w:pPr>
    </w:p>
    <w:p w:rsidR="00F1588B" w:rsidRPr="00574F9C" w:rsidRDefault="00F1588B" w:rsidP="00F1588B">
      <w:pPr>
        <w:spacing w:before="120" w:after="120"/>
        <w:jc w:val="both"/>
        <w:rPr>
          <w:szCs w:val="24"/>
          <w:lang w:val="en-US"/>
        </w:rPr>
      </w:pPr>
      <w:r w:rsidRPr="00574F9C">
        <w:rPr>
          <w:szCs w:val="24"/>
          <w:lang w:val="en-US"/>
        </w:rPr>
        <w:t xml:space="preserve">Article 4 of ICESCR provides that countries may limit the rights to social security in a way determined by law only in so far as this may be compatible with the nature of the rights contained within the ICESCR and solely for the purpose of promoting the general welfare </w:t>
      </w:r>
      <w:r w:rsidR="000665C7" w:rsidRPr="00574F9C">
        <w:rPr>
          <w:szCs w:val="24"/>
          <w:lang w:val="en-US"/>
        </w:rPr>
        <w:t>in</w:t>
      </w:r>
      <w:r w:rsidR="000665C7">
        <w:rPr>
          <w:szCs w:val="24"/>
          <w:lang w:val="en-US"/>
        </w:rPr>
        <w:t> </w:t>
      </w:r>
      <w:r w:rsidR="000665C7" w:rsidRPr="00574F9C">
        <w:rPr>
          <w:szCs w:val="24"/>
          <w:lang w:val="en-US"/>
        </w:rPr>
        <w:t>a</w:t>
      </w:r>
      <w:r w:rsidR="000665C7">
        <w:rPr>
          <w:szCs w:val="24"/>
          <w:lang w:val="en-US"/>
        </w:rPr>
        <w:t> </w:t>
      </w:r>
      <w:r w:rsidRPr="00574F9C">
        <w:rPr>
          <w:szCs w:val="24"/>
          <w:lang w:val="en-US"/>
        </w:rPr>
        <w:t xml:space="preserve">democratic society. </w:t>
      </w:r>
      <w:r w:rsidR="000665C7">
        <w:rPr>
          <w:szCs w:val="24"/>
          <w:lang w:val="en-US"/>
        </w:rPr>
        <w:t xml:space="preserve"> </w:t>
      </w:r>
      <w:r w:rsidRPr="00574F9C">
        <w:rPr>
          <w:szCs w:val="24"/>
          <w:lang w:val="en-US"/>
        </w:rPr>
        <w:t>Such a limitation must be proportionate to the objective to be achieved.</w:t>
      </w:r>
    </w:p>
    <w:p w:rsidR="00F1588B" w:rsidRPr="00574F9C" w:rsidRDefault="00F1588B" w:rsidP="00F1588B">
      <w:pPr>
        <w:spacing w:before="120" w:after="120"/>
        <w:jc w:val="both"/>
        <w:rPr>
          <w:szCs w:val="24"/>
          <w:lang w:val="en-US"/>
        </w:rPr>
      </w:pPr>
      <w:r w:rsidRPr="00574F9C">
        <w:rPr>
          <w:szCs w:val="24"/>
          <w:lang w:val="en-US"/>
        </w:rPr>
        <w:t>This Determination</w:t>
      </w:r>
      <w:r w:rsidR="006B7021">
        <w:rPr>
          <w:szCs w:val="24"/>
          <w:lang w:val="en-US"/>
        </w:rPr>
        <w:t>, may in some circumstances,</w:t>
      </w:r>
      <w:r w:rsidRPr="00574F9C">
        <w:rPr>
          <w:szCs w:val="24"/>
          <w:lang w:val="en-US"/>
        </w:rPr>
        <w:t xml:space="preserve"> increase access to social security for students who have a reasonable excuse for not meeting study requirements. </w:t>
      </w:r>
      <w:r w:rsidR="000665C7">
        <w:rPr>
          <w:szCs w:val="24"/>
          <w:lang w:val="en-US"/>
        </w:rPr>
        <w:t xml:space="preserve"> </w:t>
      </w:r>
      <w:r w:rsidRPr="00574F9C">
        <w:rPr>
          <w:szCs w:val="24"/>
          <w:lang w:val="en-US"/>
        </w:rPr>
        <w:t>It does this by providing a list of matters the Secretary must take into account when determining whether a person in the affected cohort has a reasonable excuse for not meeting participation requirements.</w:t>
      </w:r>
      <w:r w:rsidR="006B7021">
        <w:rPr>
          <w:szCs w:val="24"/>
          <w:lang w:val="en-US"/>
        </w:rPr>
        <w:t xml:space="preserve">  However, the Determination does not limit the Secretary’s power to review a decision.</w:t>
      </w:r>
    </w:p>
    <w:p w:rsidR="00F1588B" w:rsidRPr="00574F9C" w:rsidRDefault="00F1588B" w:rsidP="00F1588B">
      <w:pPr>
        <w:spacing w:before="120" w:after="120"/>
        <w:jc w:val="both"/>
        <w:rPr>
          <w:szCs w:val="24"/>
          <w:lang w:val="en-US"/>
        </w:rPr>
      </w:pPr>
      <w:r w:rsidRPr="00574F9C">
        <w:rPr>
          <w:szCs w:val="24"/>
          <w:lang w:val="en-US"/>
        </w:rPr>
        <w:t>In the absence of this determination (not limited by other determinations or legislation), students in receipt of youth allowance or austudy who do not meet the study requirements for one of the reasons listed, may be ineligible for student payments.</w:t>
      </w:r>
    </w:p>
    <w:p w:rsidR="00F1588B" w:rsidRPr="00574F9C" w:rsidRDefault="00F1588B" w:rsidP="00F1588B">
      <w:pPr>
        <w:spacing w:after="240"/>
        <w:jc w:val="both"/>
        <w:rPr>
          <w:b/>
          <w:u w:val="single"/>
        </w:rPr>
      </w:pPr>
      <w:r w:rsidRPr="00574F9C">
        <w:rPr>
          <w:b/>
          <w:u w:val="single"/>
        </w:rPr>
        <w:t>Right to education</w:t>
      </w:r>
    </w:p>
    <w:p w:rsidR="00F1588B" w:rsidRPr="00574F9C" w:rsidRDefault="00F1588B" w:rsidP="00F1588B">
      <w:pPr>
        <w:spacing w:before="120" w:after="120"/>
        <w:jc w:val="both"/>
        <w:rPr>
          <w:szCs w:val="24"/>
          <w:lang w:val="en-US"/>
        </w:rPr>
      </w:pPr>
      <w:r w:rsidRPr="00574F9C">
        <w:rPr>
          <w:szCs w:val="24"/>
          <w:lang w:val="en-US"/>
        </w:rPr>
        <w:t xml:space="preserve">Article 13 of the ICESCR recognises the right of everyone to education. It provides that education shall be directed to the full development of the human personality and the sense </w:t>
      </w:r>
      <w:r w:rsidR="000665C7" w:rsidRPr="00574F9C">
        <w:rPr>
          <w:szCs w:val="24"/>
          <w:lang w:val="en-US"/>
        </w:rPr>
        <w:t>of</w:t>
      </w:r>
      <w:r w:rsidR="000665C7">
        <w:rPr>
          <w:szCs w:val="24"/>
          <w:lang w:val="en-US"/>
        </w:rPr>
        <w:t> </w:t>
      </w:r>
      <w:r w:rsidRPr="00574F9C">
        <w:rPr>
          <w:szCs w:val="24"/>
          <w:lang w:val="en-US"/>
        </w:rPr>
        <w:t>its dignity, and shall strengthen the respect for human rights and fundamental freedoms, and that higher education shall be made equally accessible to all, on the basis of capacity, by every appropriate means.</w:t>
      </w:r>
    </w:p>
    <w:p w:rsidR="00F1588B" w:rsidRPr="00574F9C" w:rsidRDefault="00F1588B" w:rsidP="00F1588B">
      <w:pPr>
        <w:spacing w:before="120" w:after="120"/>
        <w:jc w:val="both"/>
        <w:rPr>
          <w:szCs w:val="24"/>
          <w:lang w:val="en-US"/>
        </w:rPr>
      </w:pPr>
      <w:r w:rsidRPr="00574F9C">
        <w:rPr>
          <w:szCs w:val="24"/>
          <w:lang w:val="en-US"/>
        </w:rPr>
        <w:t xml:space="preserve">This Determination enhances the right to education for youth allowance (students) and austudy recipients by allowing continued access to student payments while recipients are temporarily unable to meet study requirements. </w:t>
      </w:r>
      <w:r w:rsidR="000665C7">
        <w:rPr>
          <w:szCs w:val="24"/>
          <w:lang w:val="en-US"/>
        </w:rPr>
        <w:t xml:space="preserve"> </w:t>
      </w:r>
      <w:r w:rsidRPr="00574F9C">
        <w:rPr>
          <w:szCs w:val="24"/>
          <w:lang w:val="en-US"/>
        </w:rPr>
        <w:t>Allowing students who are temporarily unable to study, but intend to return to study, to remain in receipt of student payments, will assist those students to access and continue education.</w:t>
      </w:r>
    </w:p>
    <w:p w:rsidR="00F1588B" w:rsidRPr="00574F9C" w:rsidRDefault="00F1588B" w:rsidP="00F1588B">
      <w:pPr>
        <w:spacing w:after="240"/>
        <w:jc w:val="both"/>
        <w:rPr>
          <w:b/>
          <w:u w:val="single"/>
        </w:rPr>
      </w:pPr>
      <w:r w:rsidRPr="00574F9C">
        <w:rPr>
          <w:b/>
          <w:u w:val="single"/>
        </w:rPr>
        <w:t>Conclusion</w:t>
      </w:r>
    </w:p>
    <w:p w:rsidR="00F1588B" w:rsidRPr="00574F9C" w:rsidRDefault="00F1588B" w:rsidP="00F1588B">
      <w:pPr>
        <w:spacing w:before="120" w:after="120"/>
        <w:jc w:val="both"/>
        <w:rPr>
          <w:szCs w:val="24"/>
          <w:lang w:val="en-US"/>
        </w:rPr>
      </w:pPr>
      <w:r w:rsidRPr="00574F9C">
        <w:rPr>
          <w:szCs w:val="24"/>
        </w:rPr>
        <w:t xml:space="preserve">The Determination is compatible with human rights as it does not engage any of the applicable rights or freedoms. </w:t>
      </w:r>
      <w:r w:rsidR="000665C7">
        <w:rPr>
          <w:szCs w:val="24"/>
        </w:rPr>
        <w:t xml:space="preserve"> </w:t>
      </w:r>
      <w:r w:rsidRPr="00574F9C">
        <w:rPr>
          <w:szCs w:val="24"/>
        </w:rPr>
        <w:t>T</w:t>
      </w:r>
      <w:r w:rsidRPr="00574F9C">
        <w:rPr>
          <w:szCs w:val="24"/>
          <w:lang w:val="en-US"/>
        </w:rPr>
        <w:t xml:space="preserve">he Determination promotes access to social security and enhances the right to education. </w:t>
      </w:r>
      <w:r w:rsidR="000665C7">
        <w:rPr>
          <w:szCs w:val="24"/>
          <w:lang w:val="en-US"/>
        </w:rPr>
        <w:t xml:space="preserve"> </w:t>
      </w:r>
      <w:r w:rsidRPr="00574F9C">
        <w:rPr>
          <w:szCs w:val="24"/>
          <w:lang w:val="en-US"/>
        </w:rPr>
        <w:t xml:space="preserve">To the extent a human rights obligation is engaged or limited, the impact </w:t>
      </w:r>
      <w:r w:rsidR="000665C7" w:rsidRPr="00574F9C">
        <w:rPr>
          <w:szCs w:val="24"/>
          <w:lang w:val="en-US"/>
        </w:rPr>
        <w:t>is</w:t>
      </w:r>
      <w:r w:rsidR="000665C7">
        <w:rPr>
          <w:szCs w:val="24"/>
          <w:lang w:val="en-US"/>
        </w:rPr>
        <w:t> </w:t>
      </w:r>
      <w:r w:rsidRPr="00574F9C">
        <w:rPr>
          <w:szCs w:val="24"/>
          <w:lang w:val="en-US"/>
        </w:rPr>
        <w:t>for a legitimate objective, and is reasonable, necessary and proportionate as outlined above.</w:t>
      </w:r>
    </w:p>
    <w:p w:rsidR="00F1588B" w:rsidRPr="00574F9C" w:rsidRDefault="00F1588B" w:rsidP="00F1588B">
      <w:pPr>
        <w:spacing w:before="120" w:after="120"/>
        <w:jc w:val="both"/>
        <w:rPr>
          <w:szCs w:val="24"/>
          <w:lang w:val="en-US"/>
        </w:rPr>
      </w:pPr>
      <w:r w:rsidRPr="00574F9C">
        <w:rPr>
          <w:szCs w:val="24"/>
          <w:lang w:val="en-US"/>
        </w:rPr>
        <w:t>By providing a list of matters to be considered by the Secretary when a recipient of youth allowance (who is undertaking full-time study) and austudy does not meet participation requirements, more students will be able to continue to access social security to support their education.</w:t>
      </w:r>
    </w:p>
    <w:p w:rsidR="00F1588B" w:rsidRPr="00574F9C" w:rsidRDefault="00F1588B" w:rsidP="00F1588B">
      <w:pPr>
        <w:spacing w:before="120" w:after="120"/>
        <w:jc w:val="both"/>
        <w:rPr>
          <w:szCs w:val="24"/>
        </w:rPr>
      </w:pPr>
    </w:p>
    <w:p w:rsidR="00F1588B" w:rsidRPr="00574F9C" w:rsidRDefault="00F1588B" w:rsidP="00F1588B">
      <w:pPr>
        <w:spacing w:before="0" w:after="200" w:line="276" w:lineRule="auto"/>
        <w:jc w:val="both"/>
        <w:rPr>
          <w:rStyle w:val="BookTitle"/>
          <w:rFonts w:eastAsiaTheme="majorEastAsia"/>
          <w:b/>
          <w:bCs/>
          <w:i w:val="0"/>
          <w:iCs w:val="0"/>
        </w:rPr>
      </w:pPr>
    </w:p>
    <w:bookmarkEnd w:id="0"/>
    <w:p w:rsidR="00837A1B" w:rsidRPr="00574F9C" w:rsidRDefault="00837A1B" w:rsidP="001D71B5">
      <w:pPr>
        <w:spacing w:before="0" w:after="200" w:line="276" w:lineRule="auto"/>
        <w:rPr>
          <w:rStyle w:val="BookTitle"/>
          <w:rFonts w:eastAsiaTheme="majorEastAsia"/>
          <w:b/>
          <w:bCs/>
          <w:i w:val="0"/>
          <w:iCs w:val="0"/>
          <w:smallCaps w:val="0"/>
          <w:spacing w:val="0"/>
          <w:szCs w:val="24"/>
        </w:rPr>
      </w:pPr>
    </w:p>
    <w:p w:rsidR="0026578D" w:rsidRPr="000B63BD" w:rsidRDefault="0026578D" w:rsidP="0026578D">
      <w:pPr>
        <w:spacing w:before="120" w:after="120"/>
        <w:jc w:val="center"/>
        <w:rPr>
          <w:rStyle w:val="BookTitle"/>
          <w:rFonts w:eastAsiaTheme="majorEastAsia"/>
          <w:b/>
          <w:bCs/>
          <w:i w:val="0"/>
          <w:iCs w:val="0"/>
          <w:smallCaps w:val="0"/>
          <w:spacing w:val="0"/>
          <w:szCs w:val="24"/>
        </w:rPr>
      </w:pPr>
      <w:r w:rsidRPr="0081366D">
        <w:rPr>
          <w:b/>
          <w:bCs/>
          <w:szCs w:val="24"/>
        </w:rPr>
        <w:t>Kathryn Campbell</w:t>
      </w:r>
      <w:r>
        <w:rPr>
          <w:b/>
          <w:bCs/>
          <w:szCs w:val="24"/>
        </w:rPr>
        <w:t xml:space="preserve"> AO CSC</w:t>
      </w:r>
      <w:r w:rsidRPr="0081366D">
        <w:rPr>
          <w:b/>
          <w:bCs/>
          <w:szCs w:val="24"/>
        </w:rPr>
        <w:t xml:space="preserve">, Secretary </w:t>
      </w:r>
      <w:r w:rsidR="00004E8A">
        <w:rPr>
          <w:b/>
          <w:bCs/>
          <w:szCs w:val="24"/>
        </w:rPr>
        <w:t>of</w:t>
      </w:r>
      <w:r w:rsidR="00004E8A" w:rsidRPr="0081366D">
        <w:rPr>
          <w:b/>
          <w:bCs/>
          <w:szCs w:val="24"/>
        </w:rPr>
        <w:t xml:space="preserve"> </w:t>
      </w:r>
      <w:r w:rsidRPr="0081366D">
        <w:rPr>
          <w:b/>
          <w:bCs/>
          <w:szCs w:val="24"/>
        </w:rPr>
        <w:t>the Department of Social Services</w:t>
      </w:r>
    </w:p>
    <w:p w:rsidR="00837A1B" w:rsidRPr="0026578D" w:rsidRDefault="00837A1B" w:rsidP="0026578D">
      <w:pPr>
        <w:spacing w:before="0" w:after="200" w:line="276" w:lineRule="auto"/>
        <w:jc w:val="center"/>
        <w:rPr>
          <w:rStyle w:val="BookTitle"/>
          <w:rFonts w:eastAsiaTheme="majorEastAsia"/>
          <w:b/>
          <w:bCs/>
          <w:i w:val="0"/>
          <w:iCs w:val="0"/>
          <w:smallCaps w:val="0"/>
          <w:spacing w:val="0"/>
          <w:szCs w:val="24"/>
        </w:rPr>
      </w:pPr>
    </w:p>
    <w:sectPr w:rsidR="00837A1B" w:rsidRPr="00265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61" w:rsidRDefault="004D6761" w:rsidP="00AD1645">
      <w:pPr>
        <w:spacing w:before="0"/>
      </w:pPr>
      <w:r>
        <w:separator/>
      </w:r>
    </w:p>
  </w:endnote>
  <w:endnote w:type="continuationSeparator" w:id="0">
    <w:p w:rsidR="004D6761" w:rsidRDefault="004D676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61" w:rsidRDefault="004D6761" w:rsidP="00AD1645">
      <w:pPr>
        <w:spacing w:before="0"/>
      </w:pPr>
      <w:r>
        <w:separator/>
      </w:r>
    </w:p>
  </w:footnote>
  <w:footnote w:type="continuationSeparator" w:id="0">
    <w:p w:rsidR="004D6761" w:rsidRDefault="004D676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C3F3C"/>
    <w:multiLevelType w:val="hybridMultilevel"/>
    <w:tmpl w:val="AE3EF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FB74588"/>
    <w:multiLevelType w:val="hybridMultilevel"/>
    <w:tmpl w:val="67A494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0B6277"/>
    <w:multiLevelType w:val="hybridMultilevel"/>
    <w:tmpl w:val="CDC484D2"/>
    <w:lvl w:ilvl="0" w:tplc="40C66630">
      <w:numFmt w:val="bullet"/>
      <w:lvlText w:val="·"/>
      <w:lvlJc w:val="left"/>
      <w:pPr>
        <w:ind w:left="975" w:hanging="61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38E0179"/>
    <w:multiLevelType w:val="hybridMultilevel"/>
    <w:tmpl w:val="4218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A8733F"/>
    <w:multiLevelType w:val="hybridMultilevel"/>
    <w:tmpl w:val="36084854"/>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3"/>
  </w:num>
  <w:num w:numId="6">
    <w:abstractNumId w:val="1"/>
  </w:num>
  <w:num w:numId="7">
    <w:abstractNumId w:val="10"/>
  </w:num>
  <w:num w:numId="8">
    <w:abstractNumId w:val="15"/>
  </w:num>
  <w:num w:numId="9">
    <w:abstractNumId w:val="7"/>
  </w:num>
  <w:num w:numId="10">
    <w:abstractNumId w:val="17"/>
  </w:num>
  <w:num w:numId="11">
    <w:abstractNumId w:val="3"/>
  </w:num>
  <w:num w:numId="12">
    <w:abstractNumId w:val="5"/>
  </w:num>
  <w:num w:numId="13">
    <w:abstractNumId w:val="0"/>
  </w:num>
  <w:num w:numId="14">
    <w:abstractNumId w:val="9"/>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1"/>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4E8A"/>
    <w:rsid w:val="0000668E"/>
    <w:rsid w:val="00010640"/>
    <w:rsid w:val="000210BC"/>
    <w:rsid w:val="0002125B"/>
    <w:rsid w:val="00021ED2"/>
    <w:rsid w:val="00030B79"/>
    <w:rsid w:val="00031D0B"/>
    <w:rsid w:val="000358F2"/>
    <w:rsid w:val="00041114"/>
    <w:rsid w:val="00043B6D"/>
    <w:rsid w:val="00045BF2"/>
    <w:rsid w:val="00051C3F"/>
    <w:rsid w:val="000665C7"/>
    <w:rsid w:val="00066DAE"/>
    <w:rsid w:val="00074737"/>
    <w:rsid w:val="00074C1A"/>
    <w:rsid w:val="00075626"/>
    <w:rsid w:val="000760DC"/>
    <w:rsid w:val="000764F9"/>
    <w:rsid w:val="000766C0"/>
    <w:rsid w:val="00083770"/>
    <w:rsid w:val="000844AF"/>
    <w:rsid w:val="00084B46"/>
    <w:rsid w:val="00085730"/>
    <w:rsid w:val="0009309C"/>
    <w:rsid w:val="00096B8D"/>
    <w:rsid w:val="000A3595"/>
    <w:rsid w:val="000A772F"/>
    <w:rsid w:val="000B4130"/>
    <w:rsid w:val="000C2DDB"/>
    <w:rsid w:val="000C3D0B"/>
    <w:rsid w:val="000C5204"/>
    <w:rsid w:val="000D15B2"/>
    <w:rsid w:val="000D365F"/>
    <w:rsid w:val="000D639D"/>
    <w:rsid w:val="000E02A0"/>
    <w:rsid w:val="000E3915"/>
    <w:rsid w:val="001065D4"/>
    <w:rsid w:val="001113DD"/>
    <w:rsid w:val="00114902"/>
    <w:rsid w:val="0011719D"/>
    <w:rsid w:val="00126429"/>
    <w:rsid w:val="001310C6"/>
    <w:rsid w:val="00140359"/>
    <w:rsid w:val="001502F9"/>
    <w:rsid w:val="0015134A"/>
    <w:rsid w:val="00152472"/>
    <w:rsid w:val="00156AFA"/>
    <w:rsid w:val="00163809"/>
    <w:rsid w:val="0016653C"/>
    <w:rsid w:val="00167E95"/>
    <w:rsid w:val="00175BC6"/>
    <w:rsid w:val="00191AEC"/>
    <w:rsid w:val="001920F3"/>
    <w:rsid w:val="00192242"/>
    <w:rsid w:val="0019660C"/>
    <w:rsid w:val="001A737C"/>
    <w:rsid w:val="001B5379"/>
    <w:rsid w:val="001C64F9"/>
    <w:rsid w:val="001D69AF"/>
    <w:rsid w:val="001D71B5"/>
    <w:rsid w:val="001E5B72"/>
    <w:rsid w:val="001E5D12"/>
    <w:rsid w:val="001E630D"/>
    <w:rsid w:val="001E7422"/>
    <w:rsid w:val="001F4805"/>
    <w:rsid w:val="001F4E3C"/>
    <w:rsid w:val="002154EE"/>
    <w:rsid w:val="00224887"/>
    <w:rsid w:val="002329E1"/>
    <w:rsid w:val="002334D9"/>
    <w:rsid w:val="00234F9E"/>
    <w:rsid w:val="0024465E"/>
    <w:rsid w:val="0024760C"/>
    <w:rsid w:val="002503E1"/>
    <w:rsid w:val="002533F0"/>
    <w:rsid w:val="002642C7"/>
    <w:rsid w:val="00264C31"/>
    <w:rsid w:val="0026578D"/>
    <w:rsid w:val="0026721C"/>
    <w:rsid w:val="002741BD"/>
    <w:rsid w:val="00274CAF"/>
    <w:rsid w:val="0027564F"/>
    <w:rsid w:val="00276D06"/>
    <w:rsid w:val="00276F09"/>
    <w:rsid w:val="00280B63"/>
    <w:rsid w:val="002810A5"/>
    <w:rsid w:val="00283079"/>
    <w:rsid w:val="002926E3"/>
    <w:rsid w:val="002A0E63"/>
    <w:rsid w:val="002A14DB"/>
    <w:rsid w:val="002A2A71"/>
    <w:rsid w:val="002A523B"/>
    <w:rsid w:val="002A6007"/>
    <w:rsid w:val="002A63EA"/>
    <w:rsid w:val="002B0175"/>
    <w:rsid w:val="002C0F57"/>
    <w:rsid w:val="002C1403"/>
    <w:rsid w:val="002C1938"/>
    <w:rsid w:val="002C2252"/>
    <w:rsid w:val="002C6177"/>
    <w:rsid w:val="002D0F1C"/>
    <w:rsid w:val="002D35D8"/>
    <w:rsid w:val="002D3DBD"/>
    <w:rsid w:val="002D4522"/>
    <w:rsid w:val="002E0183"/>
    <w:rsid w:val="002E0BB1"/>
    <w:rsid w:val="002E45E2"/>
    <w:rsid w:val="00300D8B"/>
    <w:rsid w:val="003119FD"/>
    <w:rsid w:val="0033349E"/>
    <w:rsid w:val="00334F9D"/>
    <w:rsid w:val="00337065"/>
    <w:rsid w:val="003430FC"/>
    <w:rsid w:val="003434E2"/>
    <w:rsid w:val="00344831"/>
    <w:rsid w:val="00345FFE"/>
    <w:rsid w:val="0035378F"/>
    <w:rsid w:val="003606C5"/>
    <w:rsid w:val="00365424"/>
    <w:rsid w:val="00372E56"/>
    <w:rsid w:val="00374A77"/>
    <w:rsid w:val="00380666"/>
    <w:rsid w:val="00387D89"/>
    <w:rsid w:val="00392EB6"/>
    <w:rsid w:val="00393D4E"/>
    <w:rsid w:val="00394743"/>
    <w:rsid w:val="003A04AD"/>
    <w:rsid w:val="003A0B52"/>
    <w:rsid w:val="003B2BB8"/>
    <w:rsid w:val="003B44E1"/>
    <w:rsid w:val="003C3368"/>
    <w:rsid w:val="003C54B6"/>
    <w:rsid w:val="003D34FF"/>
    <w:rsid w:val="003D71F6"/>
    <w:rsid w:val="003E1784"/>
    <w:rsid w:val="00400273"/>
    <w:rsid w:val="00416B36"/>
    <w:rsid w:val="00420387"/>
    <w:rsid w:val="0042132E"/>
    <w:rsid w:val="00446D6C"/>
    <w:rsid w:val="00451842"/>
    <w:rsid w:val="0045240C"/>
    <w:rsid w:val="00453FC9"/>
    <w:rsid w:val="00454405"/>
    <w:rsid w:val="00456FBD"/>
    <w:rsid w:val="00457792"/>
    <w:rsid w:val="00460361"/>
    <w:rsid w:val="004646E1"/>
    <w:rsid w:val="00470C3D"/>
    <w:rsid w:val="004726FF"/>
    <w:rsid w:val="004814F1"/>
    <w:rsid w:val="00481940"/>
    <w:rsid w:val="00482054"/>
    <w:rsid w:val="00482411"/>
    <w:rsid w:val="004956ED"/>
    <w:rsid w:val="0049646F"/>
    <w:rsid w:val="00497272"/>
    <w:rsid w:val="00497768"/>
    <w:rsid w:val="004A0C19"/>
    <w:rsid w:val="004A126A"/>
    <w:rsid w:val="004A24AF"/>
    <w:rsid w:val="004A74E7"/>
    <w:rsid w:val="004B3147"/>
    <w:rsid w:val="004B389E"/>
    <w:rsid w:val="004B54CA"/>
    <w:rsid w:val="004C163F"/>
    <w:rsid w:val="004D2B42"/>
    <w:rsid w:val="004D336A"/>
    <w:rsid w:val="004D6761"/>
    <w:rsid w:val="004E3A61"/>
    <w:rsid w:val="004E5CBF"/>
    <w:rsid w:val="004F1CD0"/>
    <w:rsid w:val="004F264A"/>
    <w:rsid w:val="004F5308"/>
    <w:rsid w:val="004F69ED"/>
    <w:rsid w:val="00511520"/>
    <w:rsid w:val="0051152A"/>
    <w:rsid w:val="00524A76"/>
    <w:rsid w:val="00527238"/>
    <w:rsid w:val="005332C8"/>
    <w:rsid w:val="00533C8D"/>
    <w:rsid w:val="00540BD8"/>
    <w:rsid w:val="0055503B"/>
    <w:rsid w:val="00562CBC"/>
    <w:rsid w:val="00566538"/>
    <w:rsid w:val="00566BF6"/>
    <w:rsid w:val="00570884"/>
    <w:rsid w:val="00574F9C"/>
    <w:rsid w:val="00576330"/>
    <w:rsid w:val="0057641C"/>
    <w:rsid w:val="005766D2"/>
    <w:rsid w:val="005821FE"/>
    <w:rsid w:val="00587ED1"/>
    <w:rsid w:val="00591360"/>
    <w:rsid w:val="00591D1A"/>
    <w:rsid w:val="00592458"/>
    <w:rsid w:val="00594251"/>
    <w:rsid w:val="005C390A"/>
    <w:rsid w:val="005C3AA9"/>
    <w:rsid w:val="005C54B4"/>
    <w:rsid w:val="005C78B2"/>
    <w:rsid w:val="005D2F0C"/>
    <w:rsid w:val="005D642D"/>
    <w:rsid w:val="005E2CB0"/>
    <w:rsid w:val="005E4167"/>
    <w:rsid w:val="005E4362"/>
    <w:rsid w:val="005E4607"/>
    <w:rsid w:val="005E7B26"/>
    <w:rsid w:val="005F41C9"/>
    <w:rsid w:val="005F5E17"/>
    <w:rsid w:val="00601841"/>
    <w:rsid w:val="00604447"/>
    <w:rsid w:val="00614C63"/>
    <w:rsid w:val="00620404"/>
    <w:rsid w:val="00622668"/>
    <w:rsid w:val="00622B71"/>
    <w:rsid w:val="00622D63"/>
    <w:rsid w:val="00624E34"/>
    <w:rsid w:val="00632F44"/>
    <w:rsid w:val="006402A6"/>
    <w:rsid w:val="006407D3"/>
    <w:rsid w:val="0064167D"/>
    <w:rsid w:val="00650B9C"/>
    <w:rsid w:val="00650C1C"/>
    <w:rsid w:val="006546B7"/>
    <w:rsid w:val="00657242"/>
    <w:rsid w:val="006643AB"/>
    <w:rsid w:val="0067070B"/>
    <w:rsid w:val="00671624"/>
    <w:rsid w:val="00675C05"/>
    <w:rsid w:val="00681C7F"/>
    <w:rsid w:val="00683FF5"/>
    <w:rsid w:val="006856A0"/>
    <w:rsid w:val="00687351"/>
    <w:rsid w:val="00690E48"/>
    <w:rsid w:val="0069657F"/>
    <w:rsid w:val="00696FCA"/>
    <w:rsid w:val="006A1F70"/>
    <w:rsid w:val="006A4CE7"/>
    <w:rsid w:val="006A5D55"/>
    <w:rsid w:val="006A6D51"/>
    <w:rsid w:val="006B7021"/>
    <w:rsid w:val="006C5E5E"/>
    <w:rsid w:val="006C7648"/>
    <w:rsid w:val="006D2276"/>
    <w:rsid w:val="006D7E0F"/>
    <w:rsid w:val="006E1B19"/>
    <w:rsid w:val="006F0769"/>
    <w:rsid w:val="00701486"/>
    <w:rsid w:val="00717A9D"/>
    <w:rsid w:val="00720E42"/>
    <w:rsid w:val="0073766B"/>
    <w:rsid w:val="00745B23"/>
    <w:rsid w:val="00762A05"/>
    <w:rsid w:val="00771003"/>
    <w:rsid w:val="00772FAD"/>
    <w:rsid w:val="0077461F"/>
    <w:rsid w:val="0078126B"/>
    <w:rsid w:val="0078276E"/>
    <w:rsid w:val="00785261"/>
    <w:rsid w:val="007907A8"/>
    <w:rsid w:val="007938F3"/>
    <w:rsid w:val="0079557B"/>
    <w:rsid w:val="007A53DD"/>
    <w:rsid w:val="007B0256"/>
    <w:rsid w:val="007B4566"/>
    <w:rsid w:val="007B69DD"/>
    <w:rsid w:val="007C335D"/>
    <w:rsid w:val="007C4060"/>
    <w:rsid w:val="007C5234"/>
    <w:rsid w:val="007D6273"/>
    <w:rsid w:val="007E4300"/>
    <w:rsid w:val="007E4FAD"/>
    <w:rsid w:val="007E5363"/>
    <w:rsid w:val="007F44F6"/>
    <w:rsid w:val="00807CD7"/>
    <w:rsid w:val="00816CFA"/>
    <w:rsid w:val="00824B19"/>
    <w:rsid w:val="0083135C"/>
    <w:rsid w:val="00837A1B"/>
    <w:rsid w:val="00841C22"/>
    <w:rsid w:val="00860BE9"/>
    <w:rsid w:val="008669B7"/>
    <w:rsid w:val="008707FE"/>
    <w:rsid w:val="00871F28"/>
    <w:rsid w:val="008761FF"/>
    <w:rsid w:val="00880E92"/>
    <w:rsid w:val="008954BF"/>
    <w:rsid w:val="00896466"/>
    <w:rsid w:val="008A46E1"/>
    <w:rsid w:val="008B026E"/>
    <w:rsid w:val="008B1AA5"/>
    <w:rsid w:val="008B4CF1"/>
    <w:rsid w:val="008C2017"/>
    <w:rsid w:val="008D2D41"/>
    <w:rsid w:val="008D2FC2"/>
    <w:rsid w:val="008D59CA"/>
    <w:rsid w:val="008D68B6"/>
    <w:rsid w:val="008D7A97"/>
    <w:rsid w:val="008E1D0E"/>
    <w:rsid w:val="008E320A"/>
    <w:rsid w:val="008F5702"/>
    <w:rsid w:val="0090001F"/>
    <w:rsid w:val="00904934"/>
    <w:rsid w:val="0090702B"/>
    <w:rsid w:val="009140F6"/>
    <w:rsid w:val="00915A96"/>
    <w:rsid w:val="009225F0"/>
    <w:rsid w:val="00925633"/>
    <w:rsid w:val="00927EA0"/>
    <w:rsid w:val="00930624"/>
    <w:rsid w:val="00932E80"/>
    <w:rsid w:val="009332B3"/>
    <w:rsid w:val="00935A03"/>
    <w:rsid w:val="009426E4"/>
    <w:rsid w:val="00943E52"/>
    <w:rsid w:val="00946730"/>
    <w:rsid w:val="00950ACB"/>
    <w:rsid w:val="0095196E"/>
    <w:rsid w:val="00956519"/>
    <w:rsid w:val="0096221C"/>
    <w:rsid w:val="00966756"/>
    <w:rsid w:val="00966F79"/>
    <w:rsid w:val="00970C88"/>
    <w:rsid w:val="009748C5"/>
    <w:rsid w:val="0097732C"/>
    <w:rsid w:val="00985038"/>
    <w:rsid w:val="0099649B"/>
    <w:rsid w:val="009A3860"/>
    <w:rsid w:val="009A4EAB"/>
    <w:rsid w:val="009A5D3E"/>
    <w:rsid w:val="009B71A9"/>
    <w:rsid w:val="009C63A9"/>
    <w:rsid w:val="009C63B6"/>
    <w:rsid w:val="009D1BE5"/>
    <w:rsid w:val="009F20FC"/>
    <w:rsid w:val="009F3C43"/>
    <w:rsid w:val="009F4B6C"/>
    <w:rsid w:val="00A06B72"/>
    <w:rsid w:val="00A27E85"/>
    <w:rsid w:val="00A32B2F"/>
    <w:rsid w:val="00A375D4"/>
    <w:rsid w:val="00A37984"/>
    <w:rsid w:val="00A42690"/>
    <w:rsid w:val="00A4616D"/>
    <w:rsid w:val="00A53EFF"/>
    <w:rsid w:val="00A6045B"/>
    <w:rsid w:val="00A63D74"/>
    <w:rsid w:val="00A66DD0"/>
    <w:rsid w:val="00A67F2D"/>
    <w:rsid w:val="00A719D2"/>
    <w:rsid w:val="00A763EC"/>
    <w:rsid w:val="00A8767B"/>
    <w:rsid w:val="00A94C22"/>
    <w:rsid w:val="00AA0F80"/>
    <w:rsid w:val="00AA37AC"/>
    <w:rsid w:val="00AA45C6"/>
    <w:rsid w:val="00AA51E7"/>
    <w:rsid w:val="00AB32F1"/>
    <w:rsid w:val="00AB7356"/>
    <w:rsid w:val="00AC271F"/>
    <w:rsid w:val="00AC635D"/>
    <w:rsid w:val="00AD1347"/>
    <w:rsid w:val="00AD1645"/>
    <w:rsid w:val="00AD69FE"/>
    <w:rsid w:val="00AE11F6"/>
    <w:rsid w:val="00AE3176"/>
    <w:rsid w:val="00AF0E6A"/>
    <w:rsid w:val="00B01538"/>
    <w:rsid w:val="00B04EB0"/>
    <w:rsid w:val="00B261D9"/>
    <w:rsid w:val="00B30BF5"/>
    <w:rsid w:val="00B33E33"/>
    <w:rsid w:val="00B376E6"/>
    <w:rsid w:val="00B467D3"/>
    <w:rsid w:val="00B50943"/>
    <w:rsid w:val="00B52B87"/>
    <w:rsid w:val="00B54C30"/>
    <w:rsid w:val="00B57278"/>
    <w:rsid w:val="00B63E1D"/>
    <w:rsid w:val="00B6472A"/>
    <w:rsid w:val="00B73680"/>
    <w:rsid w:val="00B74531"/>
    <w:rsid w:val="00B777D9"/>
    <w:rsid w:val="00B821A0"/>
    <w:rsid w:val="00B85345"/>
    <w:rsid w:val="00B87061"/>
    <w:rsid w:val="00B9627E"/>
    <w:rsid w:val="00BA2DB9"/>
    <w:rsid w:val="00BA50E5"/>
    <w:rsid w:val="00BB0D37"/>
    <w:rsid w:val="00BC35F6"/>
    <w:rsid w:val="00BC76EB"/>
    <w:rsid w:val="00BD25AE"/>
    <w:rsid w:val="00BD7E9D"/>
    <w:rsid w:val="00BE56A0"/>
    <w:rsid w:val="00BE7148"/>
    <w:rsid w:val="00BF2FB3"/>
    <w:rsid w:val="00C04969"/>
    <w:rsid w:val="00C06E47"/>
    <w:rsid w:val="00C21121"/>
    <w:rsid w:val="00C21C68"/>
    <w:rsid w:val="00C2733D"/>
    <w:rsid w:val="00C3204C"/>
    <w:rsid w:val="00C3470C"/>
    <w:rsid w:val="00C37944"/>
    <w:rsid w:val="00C37BA8"/>
    <w:rsid w:val="00C4511C"/>
    <w:rsid w:val="00C455A2"/>
    <w:rsid w:val="00C542C9"/>
    <w:rsid w:val="00C559BF"/>
    <w:rsid w:val="00C66825"/>
    <w:rsid w:val="00C66CFA"/>
    <w:rsid w:val="00C7238E"/>
    <w:rsid w:val="00C724EC"/>
    <w:rsid w:val="00C76F98"/>
    <w:rsid w:val="00C77B41"/>
    <w:rsid w:val="00C81B04"/>
    <w:rsid w:val="00CA33B2"/>
    <w:rsid w:val="00CA3D78"/>
    <w:rsid w:val="00CA43C4"/>
    <w:rsid w:val="00CA6F15"/>
    <w:rsid w:val="00CB344C"/>
    <w:rsid w:val="00CB42CE"/>
    <w:rsid w:val="00CB57EE"/>
    <w:rsid w:val="00CC7EC4"/>
    <w:rsid w:val="00CD0DDB"/>
    <w:rsid w:val="00CE1802"/>
    <w:rsid w:val="00CF0527"/>
    <w:rsid w:val="00D076EE"/>
    <w:rsid w:val="00D1706F"/>
    <w:rsid w:val="00D2075E"/>
    <w:rsid w:val="00D21D83"/>
    <w:rsid w:val="00D243C5"/>
    <w:rsid w:val="00D3071D"/>
    <w:rsid w:val="00D31C51"/>
    <w:rsid w:val="00D34747"/>
    <w:rsid w:val="00D367AA"/>
    <w:rsid w:val="00D37C2C"/>
    <w:rsid w:val="00D459E0"/>
    <w:rsid w:val="00D520A1"/>
    <w:rsid w:val="00D56FD0"/>
    <w:rsid w:val="00D61C4B"/>
    <w:rsid w:val="00D708CA"/>
    <w:rsid w:val="00D72F4B"/>
    <w:rsid w:val="00D73699"/>
    <w:rsid w:val="00D77D51"/>
    <w:rsid w:val="00D849AE"/>
    <w:rsid w:val="00D9532D"/>
    <w:rsid w:val="00DA0D6C"/>
    <w:rsid w:val="00DA2971"/>
    <w:rsid w:val="00DA2E97"/>
    <w:rsid w:val="00DA3666"/>
    <w:rsid w:val="00DB6E7A"/>
    <w:rsid w:val="00DC765C"/>
    <w:rsid w:val="00DD3BC1"/>
    <w:rsid w:val="00DE0717"/>
    <w:rsid w:val="00DE3A1F"/>
    <w:rsid w:val="00E01E71"/>
    <w:rsid w:val="00E027AF"/>
    <w:rsid w:val="00E15CFF"/>
    <w:rsid w:val="00E230ED"/>
    <w:rsid w:val="00E23C53"/>
    <w:rsid w:val="00E245FD"/>
    <w:rsid w:val="00E25CAE"/>
    <w:rsid w:val="00E32139"/>
    <w:rsid w:val="00E40B3A"/>
    <w:rsid w:val="00E42918"/>
    <w:rsid w:val="00E44FD4"/>
    <w:rsid w:val="00E53553"/>
    <w:rsid w:val="00E708B1"/>
    <w:rsid w:val="00E72DC6"/>
    <w:rsid w:val="00E745BB"/>
    <w:rsid w:val="00E7675B"/>
    <w:rsid w:val="00E87016"/>
    <w:rsid w:val="00E907A4"/>
    <w:rsid w:val="00E9738E"/>
    <w:rsid w:val="00EA16F9"/>
    <w:rsid w:val="00EA2DDC"/>
    <w:rsid w:val="00EA3666"/>
    <w:rsid w:val="00EA677D"/>
    <w:rsid w:val="00EA6829"/>
    <w:rsid w:val="00EA74F1"/>
    <w:rsid w:val="00EA76C2"/>
    <w:rsid w:val="00EB51BC"/>
    <w:rsid w:val="00EC0C59"/>
    <w:rsid w:val="00EC25F5"/>
    <w:rsid w:val="00EC47F6"/>
    <w:rsid w:val="00ED13E1"/>
    <w:rsid w:val="00ED1D5E"/>
    <w:rsid w:val="00ED6613"/>
    <w:rsid w:val="00EE2764"/>
    <w:rsid w:val="00EF54F0"/>
    <w:rsid w:val="00F0576D"/>
    <w:rsid w:val="00F108ED"/>
    <w:rsid w:val="00F1588B"/>
    <w:rsid w:val="00F227A4"/>
    <w:rsid w:val="00F328DA"/>
    <w:rsid w:val="00F35271"/>
    <w:rsid w:val="00F35580"/>
    <w:rsid w:val="00F502A9"/>
    <w:rsid w:val="00F509DD"/>
    <w:rsid w:val="00F52853"/>
    <w:rsid w:val="00F535C2"/>
    <w:rsid w:val="00F6031C"/>
    <w:rsid w:val="00F61A88"/>
    <w:rsid w:val="00F754A3"/>
    <w:rsid w:val="00F90B82"/>
    <w:rsid w:val="00F925B9"/>
    <w:rsid w:val="00F955EC"/>
    <w:rsid w:val="00FA2773"/>
    <w:rsid w:val="00FA6F53"/>
    <w:rsid w:val="00FA7196"/>
    <w:rsid w:val="00FB030F"/>
    <w:rsid w:val="00FB3705"/>
    <w:rsid w:val="00FC125C"/>
    <w:rsid w:val="00FC45B4"/>
    <w:rsid w:val="00FC5A17"/>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BB35"/>
  <w15:docId w15:val="{1EF9128E-11A9-4DAC-80A0-1F467267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styleId="Revision">
    <w:name w:val="Revision"/>
    <w:hidden/>
    <w:uiPriority w:val="99"/>
    <w:semiHidden/>
    <w:rsid w:val="00657242"/>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578">
      <w:bodyDiv w:val="1"/>
      <w:marLeft w:val="0"/>
      <w:marRight w:val="0"/>
      <w:marTop w:val="0"/>
      <w:marBottom w:val="0"/>
      <w:divBdr>
        <w:top w:val="none" w:sz="0" w:space="0" w:color="auto"/>
        <w:left w:val="none" w:sz="0" w:space="0" w:color="auto"/>
        <w:bottom w:val="none" w:sz="0" w:space="0" w:color="auto"/>
        <w:right w:val="none" w:sz="0" w:space="0" w:color="auto"/>
      </w:divBdr>
    </w:div>
    <w:div w:id="125242743">
      <w:bodyDiv w:val="1"/>
      <w:marLeft w:val="0"/>
      <w:marRight w:val="0"/>
      <w:marTop w:val="0"/>
      <w:marBottom w:val="0"/>
      <w:divBdr>
        <w:top w:val="none" w:sz="0" w:space="0" w:color="auto"/>
        <w:left w:val="none" w:sz="0" w:space="0" w:color="auto"/>
        <w:bottom w:val="none" w:sz="0" w:space="0" w:color="auto"/>
        <w:right w:val="none" w:sz="0" w:space="0" w:color="auto"/>
      </w:divBdr>
    </w:div>
    <w:div w:id="462969508">
      <w:bodyDiv w:val="1"/>
      <w:marLeft w:val="0"/>
      <w:marRight w:val="0"/>
      <w:marTop w:val="0"/>
      <w:marBottom w:val="0"/>
      <w:divBdr>
        <w:top w:val="none" w:sz="0" w:space="0" w:color="auto"/>
        <w:left w:val="none" w:sz="0" w:space="0" w:color="auto"/>
        <w:bottom w:val="none" w:sz="0" w:space="0" w:color="auto"/>
        <w:right w:val="none" w:sz="0" w:space="0" w:color="auto"/>
      </w:divBdr>
      <w:divsChild>
        <w:div w:id="622809725">
          <w:marLeft w:val="0"/>
          <w:marRight w:val="0"/>
          <w:marTop w:val="0"/>
          <w:marBottom w:val="0"/>
          <w:divBdr>
            <w:top w:val="none" w:sz="0" w:space="0" w:color="auto"/>
            <w:left w:val="none" w:sz="0" w:space="0" w:color="auto"/>
            <w:bottom w:val="none" w:sz="0" w:space="0" w:color="auto"/>
            <w:right w:val="none" w:sz="0" w:space="0" w:color="auto"/>
          </w:divBdr>
          <w:divsChild>
            <w:div w:id="14236387">
              <w:marLeft w:val="0"/>
              <w:marRight w:val="0"/>
              <w:marTop w:val="0"/>
              <w:marBottom w:val="0"/>
              <w:divBdr>
                <w:top w:val="none" w:sz="0" w:space="0" w:color="auto"/>
                <w:left w:val="none" w:sz="0" w:space="0" w:color="auto"/>
                <w:bottom w:val="none" w:sz="0" w:space="0" w:color="auto"/>
                <w:right w:val="none" w:sz="0" w:space="0" w:color="auto"/>
              </w:divBdr>
              <w:divsChild>
                <w:div w:id="1779449160">
                  <w:marLeft w:val="0"/>
                  <w:marRight w:val="0"/>
                  <w:marTop w:val="0"/>
                  <w:marBottom w:val="0"/>
                  <w:divBdr>
                    <w:top w:val="none" w:sz="0" w:space="0" w:color="auto"/>
                    <w:left w:val="none" w:sz="0" w:space="0" w:color="auto"/>
                    <w:bottom w:val="none" w:sz="0" w:space="0" w:color="auto"/>
                    <w:right w:val="none" w:sz="0" w:space="0" w:color="auto"/>
                  </w:divBdr>
                  <w:divsChild>
                    <w:div w:id="882640792">
                      <w:marLeft w:val="0"/>
                      <w:marRight w:val="0"/>
                      <w:marTop w:val="0"/>
                      <w:marBottom w:val="0"/>
                      <w:divBdr>
                        <w:top w:val="none" w:sz="0" w:space="0" w:color="auto"/>
                        <w:left w:val="none" w:sz="0" w:space="0" w:color="auto"/>
                        <w:bottom w:val="none" w:sz="0" w:space="0" w:color="auto"/>
                        <w:right w:val="none" w:sz="0" w:space="0" w:color="auto"/>
                      </w:divBdr>
                      <w:divsChild>
                        <w:div w:id="691305449">
                          <w:marLeft w:val="0"/>
                          <w:marRight w:val="0"/>
                          <w:marTop w:val="0"/>
                          <w:marBottom w:val="0"/>
                          <w:divBdr>
                            <w:top w:val="none" w:sz="0" w:space="0" w:color="auto"/>
                            <w:left w:val="none" w:sz="0" w:space="0" w:color="auto"/>
                            <w:bottom w:val="none" w:sz="0" w:space="0" w:color="auto"/>
                            <w:right w:val="none" w:sz="0" w:space="0" w:color="auto"/>
                          </w:divBdr>
                          <w:divsChild>
                            <w:div w:id="1617105972">
                              <w:marLeft w:val="0"/>
                              <w:marRight w:val="0"/>
                              <w:marTop w:val="0"/>
                              <w:marBottom w:val="0"/>
                              <w:divBdr>
                                <w:top w:val="none" w:sz="0" w:space="0" w:color="auto"/>
                                <w:left w:val="none" w:sz="0" w:space="0" w:color="auto"/>
                                <w:bottom w:val="none" w:sz="0" w:space="0" w:color="auto"/>
                                <w:right w:val="none" w:sz="0" w:space="0" w:color="auto"/>
                              </w:divBdr>
                              <w:divsChild>
                                <w:div w:id="1676805159">
                                  <w:marLeft w:val="0"/>
                                  <w:marRight w:val="0"/>
                                  <w:marTop w:val="0"/>
                                  <w:marBottom w:val="0"/>
                                  <w:divBdr>
                                    <w:top w:val="none" w:sz="0" w:space="0" w:color="auto"/>
                                    <w:left w:val="none" w:sz="0" w:space="0" w:color="auto"/>
                                    <w:bottom w:val="none" w:sz="0" w:space="0" w:color="auto"/>
                                    <w:right w:val="none" w:sz="0" w:space="0" w:color="auto"/>
                                  </w:divBdr>
                                  <w:divsChild>
                                    <w:div w:id="1010062661">
                                      <w:marLeft w:val="0"/>
                                      <w:marRight w:val="0"/>
                                      <w:marTop w:val="0"/>
                                      <w:marBottom w:val="0"/>
                                      <w:divBdr>
                                        <w:top w:val="none" w:sz="0" w:space="0" w:color="auto"/>
                                        <w:left w:val="none" w:sz="0" w:space="0" w:color="auto"/>
                                        <w:bottom w:val="none" w:sz="0" w:space="0" w:color="auto"/>
                                        <w:right w:val="none" w:sz="0" w:space="0" w:color="auto"/>
                                      </w:divBdr>
                                      <w:divsChild>
                                        <w:div w:id="1616516903">
                                          <w:marLeft w:val="0"/>
                                          <w:marRight w:val="0"/>
                                          <w:marTop w:val="0"/>
                                          <w:marBottom w:val="0"/>
                                          <w:divBdr>
                                            <w:top w:val="none" w:sz="0" w:space="0" w:color="auto"/>
                                            <w:left w:val="none" w:sz="0" w:space="0" w:color="auto"/>
                                            <w:bottom w:val="none" w:sz="0" w:space="0" w:color="auto"/>
                                            <w:right w:val="none" w:sz="0" w:space="0" w:color="auto"/>
                                          </w:divBdr>
                                          <w:divsChild>
                                            <w:div w:id="380906898">
                                              <w:marLeft w:val="0"/>
                                              <w:marRight w:val="0"/>
                                              <w:marTop w:val="0"/>
                                              <w:marBottom w:val="0"/>
                                              <w:divBdr>
                                                <w:top w:val="none" w:sz="0" w:space="0" w:color="auto"/>
                                                <w:left w:val="none" w:sz="0" w:space="0" w:color="auto"/>
                                                <w:bottom w:val="none" w:sz="0" w:space="0" w:color="auto"/>
                                                <w:right w:val="none" w:sz="0" w:space="0" w:color="auto"/>
                                              </w:divBdr>
                                              <w:divsChild>
                                                <w:div w:id="977875468">
                                                  <w:marLeft w:val="0"/>
                                                  <w:marRight w:val="0"/>
                                                  <w:marTop w:val="0"/>
                                                  <w:marBottom w:val="0"/>
                                                  <w:divBdr>
                                                    <w:top w:val="none" w:sz="0" w:space="0" w:color="auto"/>
                                                    <w:left w:val="none" w:sz="0" w:space="0" w:color="auto"/>
                                                    <w:bottom w:val="none" w:sz="0" w:space="0" w:color="auto"/>
                                                    <w:right w:val="none" w:sz="0" w:space="0" w:color="auto"/>
                                                  </w:divBdr>
                                                  <w:divsChild>
                                                    <w:div w:id="436221030">
                                                      <w:marLeft w:val="0"/>
                                                      <w:marRight w:val="0"/>
                                                      <w:marTop w:val="0"/>
                                                      <w:marBottom w:val="0"/>
                                                      <w:divBdr>
                                                        <w:top w:val="none" w:sz="0" w:space="0" w:color="auto"/>
                                                        <w:left w:val="none" w:sz="0" w:space="0" w:color="auto"/>
                                                        <w:bottom w:val="none" w:sz="0" w:space="0" w:color="auto"/>
                                                        <w:right w:val="none" w:sz="0" w:space="0" w:color="auto"/>
                                                      </w:divBdr>
                                                      <w:divsChild>
                                                        <w:div w:id="16276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132593">
      <w:bodyDiv w:val="1"/>
      <w:marLeft w:val="0"/>
      <w:marRight w:val="0"/>
      <w:marTop w:val="0"/>
      <w:marBottom w:val="0"/>
      <w:divBdr>
        <w:top w:val="none" w:sz="0" w:space="0" w:color="auto"/>
        <w:left w:val="none" w:sz="0" w:space="0" w:color="auto"/>
        <w:bottom w:val="none" w:sz="0" w:space="0" w:color="auto"/>
        <w:right w:val="none" w:sz="0" w:space="0" w:color="auto"/>
      </w:divBdr>
      <w:divsChild>
        <w:div w:id="1790120411">
          <w:marLeft w:val="0"/>
          <w:marRight w:val="0"/>
          <w:marTop w:val="0"/>
          <w:marBottom w:val="0"/>
          <w:divBdr>
            <w:top w:val="none" w:sz="0" w:space="0" w:color="auto"/>
            <w:left w:val="none" w:sz="0" w:space="0" w:color="auto"/>
            <w:bottom w:val="none" w:sz="0" w:space="0" w:color="auto"/>
            <w:right w:val="none" w:sz="0" w:space="0" w:color="auto"/>
          </w:divBdr>
          <w:divsChild>
            <w:div w:id="1851480480">
              <w:marLeft w:val="0"/>
              <w:marRight w:val="0"/>
              <w:marTop w:val="0"/>
              <w:marBottom w:val="0"/>
              <w:divBdr>
                <w:top w:val="none" w:sz="0" w:space="0" w:color="auto"/>
                <w:left w:val="none" w:sz="0" w:space="0" w:color="auto"/>
                <w:bottom w:val="none" w:sz="0" w:space="0" w:color="auto"/>
                <w:right w:val="none" w:sz="0" w:space="0" w:color="auto"/>
              </w:divBdr>
              <w:divsChild>
                <w:div w:id="427701211">
                  <w:marLeft w:val="0"/>
                  <w:marRight w:val="0"/>
                  <w:marTop w:val="0"/>
                  <w:marBottom w:val="0"/>
                  <w:divBdr>
                    <w:top w:val="none" w:sz="0" w:space="0" w:color="auto"/>
                    <w:left w:val="none" w:sz="0" w:space="0" w:color="auto"/>
                    <w:bottom w:val="none" w:sz="0" w:space="0" w:color="auto"/>
                    <w:right w:val="none" w:sz="0" w:space="0" w:color="auto"/>
                  </w:divBdr>
                  <w:divsChild>
                    <w:div w:id="2000383084">
                      <w:marLeft w:val="0"/>
                      <w:marRight w:val="0"/>
                      <w:marTop w:val="0"/>
                      <w:marBottom w:val="0"/>
                      <w:divBdr>
                        <w:top w:val="none" w:sz="0" w:space="0" w:color="auto"/>
                        <w:left w:val="none" w:sz="0" w:space="0" w:color="auto"/>
                        <w:bottom w:val="none" w:sz="0" w:space="0" w:color="auto"/>
                        <w:right w:val="none" w:sz="0" w:space="0" w:color="auto"/>
                      </w:divBdr>
                      <w:divsChild>
                        <w:div w:id="1898320970">
                          <w:marLeft w:val="0"/>
                          <w:marRight w:val="0"/>
                          <w:marTop w:val="0"/>
                          <w:marBottom w:val="0"/>
                          <w:divBdr>
                            <w:top w:val="none" w:sz="0" w:space="0" w:color="auto"/>
                            <w:left w:val="none" w:sz="0" w:space="0" w:color="auto"/>
                            <w:bottom w:val="none" w:sz="0" w:space="0" w:color="auto"/>
                            <w:right w:val="none" w:sz="0" w:space="0" w:color="auto"/>
                          </w:divBdr>
                          <w:divsChild>
                            <w:div w:id="877090445">
                              <w:marLeft w:val="0"/>
                              <w:marRight w:val="0"/>
                              <w:marTop w:val="0"/>
                              <w:marBottom w:val="0"/>
                              <w:divBdr>
                                <w:top w:val="none" w:sz="0" w:space="0" w:color="auto"/>
                                <w:left w:val="none" w:sz="0" w:space="0" w:color="auto"/>
                                <w:bottom w:val="none" w:sz="0" w:space="0" w:color="auto"/>
                                <w:right w:val="none" w:sz="0" w:space="0" w:color="auto"/>
                              </w:divBdr>
                              <w:divsChild>
                                <w:div w:id="1456486822">
                                  <w:marLeft w:val="0"/>
                                  <w:marRight w:val="0"/>
                                  <w:marTop w:val="0"/>
                                  <w:marBottom w:val="0"/>
                                  <w:divBdr>
                                    <w:top w:val="none" w:sz="0" w:space="0" w:color="auto"/>
                                    <w:left w:val="none" w:sz="0" w:space="0" w:color="auto"/>
                                    <w:bottom w:val="none" w:sz="0" w:space="0" w:color="auto"/>
                                    <w:right w:val="none" w:sz="0" w:space="0" w:color="auto"/>
                                  </w:divBdr>
                                  <w:divsChild>
                                    <w:div w:id="1651054412">
                                      <w:marLeft w:val="0"/>
                                      <w:marRight w:val="0"/>
                                      <w:marTop w:val="0"/>
                                      <w:marBottom w:val="0"/>
                                      <w:divBdr>
                                        <w:top w:val="none" w:sz="0" w:space="0" w:color="auto"/>
                                        <w:left w:val="none" w:sz="0" w:space="0" w:color="auto"/>
                                        <w:bottom w:val="none" w:sz="0" w:space="0" w:color="auto"/>
                                        <w:right w:val="none" w:sz="0" w:space="0" w:color="auto"/>
                                      </w:divBdr>
                                      <w:divsChild>
                                        <w:div w:id="925572781">
                                          <w:marLeft w:val="0"/>
                                          <w:marRight w:val="0"/>
                                          <w:marTop w:val="0"/>
                                          <w:marBottom w:val="0"/>
                                          <w:divBdr>
                                            <w:top w:val="none" w:sz="0" w:space="0" w:color="auto"/>
                                            <w:left w:val="none" w:sz="0" w:space="0" w:color="auto"/>
                                            <w:bottom w:val="none" w:sz="0" w:space="0" w:color="auto"/>
                                            <w:right w:val="none" w:sz="0" w:space="0" w:color="auto"/>
                                          </w:divBdr>
                                          <w:divsChild>
                                            <w:div w:id="406809415">
                                              <w:marLeft w:val="0"/>
                                              <w:marRight w:val="0"/>
                                              <w:marTop w:val="0"/>
                                              <w:marBottom w:val="0"/>
                                              <w:divBdr>
                                                <w:top w:val="none" w:sz="0" w:space="0" w:color="auto"/>
                                                <w:left w:val="none" w:sz="0" w:space="0" w:color="auto"/>
                                                <w:bottom w:val="none" w:sz="0" w:space="0" w:color="auto"/>
                                                <w:right w:val="none" w:sz="0" w:space="0" w:color="auto"/>
                                              </w:divBdr>
                                              <w:divsChild>
                                                <w:div w:id="2095318888">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31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6675039">
      <w:bodyDiv w:val="1"/>
      <w:marLeft w:val="0"/>
      <w:marRight w:val="0"/>
      <w:marTop w:val="0"/>
      <w:marBottom w:val="0"/>
      <w:divBdr>
        <w:top w:val="none" w:sz="0" w:space="0" w:color="auto"/>
        <w:left w:val="none" w:sz="0" w:space="0" w:color="auto"/>
        <w:bottom w:val="none" w:sz="0" w:space="0" w:color="auto"/>
        <w:right w:val="none" w:sz="0" w:space="0" w:color="auto"/>
      </w:divBdr>
    </w:div>
    <w:div w:id="846752115">
      <w:bodyDiv w:val="1"/>
      <w:marLeft w:val="0"/>
      <w:marRight w:val="0"/>
      <w:marTop w:val="0"/>
      <w:marBottom w:val="0"/>
      <w:divBdr>
        <w:top w:val="none" w:sz="0" w:space="0" w:color="auto"/>
        <w:left w:val="none" w:sz="0" w:space="0" w:color="auto"/>
        <w:bottom w:val="none" w:sz="0" w:space="0" w:color="auto"/>
        <w:right w:val="none" w:sz="0" w:space="0" w:color="auto"/>
      </w:divBdr>
      <w:divsChild>
        <w:div w:id="2123569889">
          <w:marLeft w:val="0"/>
          <w:marRight w:val="0"/>
          <w:marTop w:val="0"/>
          <w:marBottom w:val="0"/>
          <w:divBdr>
            <w:top w:val="none" w:sz="0" w:space="0" w:color="auto"/>
            <w:left w:val="none" w:sz="0" w:space="0" w:color="auto"/>
            <w:bottom w:val="none" w:sz="0" w:space="0" w:color="auto"/>
            <w:right w:val="none" w:sz="0" w:space="0" w:color="auto"/>
          </w:divBdr>
          <w:divsChild>
            <w:div w:id="477655258">
              <w:marLeft w:val="0"/>
              <w:marRight w:val="0"/>
              <w:marTop w:val="0"/>
              <w:marBottom w:val="0"/>
              <w:divBdr>
                <w:top w:val="none" w:sz="0" w:space="0" w:color="auto"/>
                <w:left w:val="none" w:sz="0" w:space="0" w:color="auto"/>
                <w:bottom w:val="none" w:sz="0" w:space="0" w:color="auto"/>
                <w:right w:val="none" w:sz="0" w:space="0" w:color="auto"/>
              </w:divBdr>
              <w:divsChild>
                <w:div w:id="330762865">
                  <w:marLeft w:val="0"/>
                  <w:marRight w:val="0"/>
                  <w:marTop w:val="0"/>
                  <w:marBottom w:val="0"/>
                  <w:divBdr>
                    <w:top w:val="none" w:sz="0" w:space="0" w:color="auto"/>
                    <w:left w:val="none" w:sz="0" w:space="0" w:color="auto"/>
                    <w:bottom w:val="none" w:sz="0" w:space="0" w:color="auto"/>
                    <w:right w:val="none" w:sz="0" w:space="0" w:color="auto"/>
                  </w:divBdr>
                  <w:divsChild>
                    <w:div w:id="687368610">
                      <w:marLeft w:val="0"/>
                      <w:marRight w:val="0"/>
                      <w:marTop w:val="0"/>
                      <w:marBottom w:val="0"/>
                      <w:divBdr>
                        <w:top w:val="none" w:sz="0" w:space="0" w:color="auto"/>
                        <w:left w:val="none" w:sz="0" w:space="0" w:color="auto"/>
                        <w:bottom w:val="none" w:sz="0" w:space="0" w:color="auto"/>
                        <w:right w:val="none" w:sz="0" w:space="0" w:color="auto"/>
                      </w:divBdr>
                      <w:divsChild>
                        <w:div w:id="1748840943">
                          <w:marLeft w:val="0"/>
                          <w:marRight w:val="0"/>
                          <w:marTop w:val="0"/>
                          <w:marBottom w:val="0"/>
                          <w:divBdr>
                            <w:top w:val="none" w:sz="0" w:space="0" w:color="auto"/>
                            <w:left w:val="none" w:sz="0" w:space="0" w:color="auto"/>
                            <w:bottom w:val="none" w:sz="0" w:space="0" w:color="auto"/>
                            <w:right w:val="none" w:sz="0" w:space="0" w:color="auto"/>
                          </w:divBdr>
                          <w:divsChild>
                            <w:div w:id="790243807">
                              <w:marLeft w:val="0"/>
                              <w:marRight w:val="0"/>
                              <w:marTop w:val="0"/>
                              <w:marBottom w:val="0"/>
                              <w:divBdr>
                                <w:top w:val="none" w:sz="0" w:space="0" w:color="auto"/>
                                <w:left w:val="none" w:sz="0" w:space="0" w:color="auto"/>
                                <w:bottom w:val="none" w:sz="0" w:space="0" w:color="auto"/>
                                <w:right w:val="none" w:sz="0" w:space="0" w:color="auto"/>
                              </w:divBdr>
                              <w:divsChild>
                                <w:div w:id="1374380227">
                                  <w:marLeft w:val="0"/>
                                  <w:marRight w:val="0"/>
                                  <w:marTop w:val="0"/>
                                  <w:marBottom w:val="0"/>
                                  <w:divBdr>
                                    <w:top w:val="none" w:sz="0" w:space="0" w:color="auto"/>
                                    <w:left w:val="none" w:sz="0" w:space="0" w:color="auto"/>
                                    <w:bottom w:val="none" w:sz="0" w:space="0" w:color="auto"/>
                                    <w:right w:val="none" w:sz="0" w:space="0" w:color="auto"/>
                                  </w:divBdr>
                                  <w:divsChild>
                                    <w:div w:id="1312178386">
                                      <w:marLeft w:val="0"/>
                                      <w:marRight w:val="0"/>
                                      <w:marTop w:val="0"/>
                                      <w:marBottom w:val="0"/>
                                      <w:divBdr>
                                        <w:top w:val="none" w:sz="0" w:space="0" w:color="auto"/>
                                        <w:left w:val="none" w:sz="0" w:space="0" w:color="auto"/>
                                        <w:bottom w:val="none" w:sz="0" w:space="0" w:color="auto"/>
                                        <w:right w:val="none" w:sz="0" w:space="0" w:color="auto"/>
                                      </w:divBdr>
                                      <w:divsChild>
                                        <w:div w:id="97799639">
                                          <w:marLeft w:val="0"/>
                                          <w:marRight w:val="0"/>
                                          <w:marTop w:val="0"/>
                                          <w:marBottom w:val="0"/>
                                          <w:divBdr>
                                            <w:top w:val="none" w:sz="0" w:space="0" w:color="auto"/>
                                            <w:left w:val="none" w:sz="0" w:space="0" w:color="auto"/>
                                            <w:bottom w:val="none" w:sz="0" w:space="0" w:color="auto"/>
                                            <w:right w:val="none" w:sz="0" w:space="0" w:color="auto"/>
                                          </w:divBdr>
                                          <w:divsChild>
                                            <w:div w:id="374820696">
                                              <w:marLeft w:val="0"/>
                                              <w:marRight w:val="0"/>
                                              <w:marTop w:val="0"/>
                                              <w:marBottom w:val="0"/>
                                              <w:divBdr>
                                                <w:top w:val="none" w:sz="0" w:space="0" w:color="auto"/>
                                                <w:left w:val="none" w:sz="0" w:space="0" w:color="auto"/>
                                                <w:bottom w:val="none" w:sz="0" w:space="0" w:color="auto"/>
                                                <w:right w:val="none" w:sz="0" w:space="0" w:color="auto"/>
                                              </w:divBdr>
                                              <w:divsChild>
                                                <w:div w:id="1203906890">
                                                  <w:marLeft w:val="0"/>
                                                  <w:marRight w:val="0"/>
                                                  <w:marTop w:val="0"/>
                                                  <w:marBottom w:val="0"/>
                                                  <w:divBdr>
                                                    <w:top w:val="none" w:sz="0" w:space="0" w:color="auto"/>
                                                    <w:left w:val="none" w:sz="0" w:space="0" w:color="auto"/>
                                                    <w:bottom w:val="none" w:sz="0" w:space="0" w:color="auto"/>
                                                    <w:right w:val="none" w:sz="0" w:space="0" w:color="auto"/>
                                                  </w:divBdr>
                                                  <w:divsChild>
                                                    <w:div w:id="2062634732">
                                                      <w:marLeft w:val="0"/>
                                                      <w:marRight w:val="0"/>
                                                      <w:marTop w:val="0"/>
                                                      <w:marBottom w:val="0"/>
                                                      <w:divBdr>
                                                        <w:top w:val="none" w:sz="0" w:space="0" w:color="auto"/>
                                                        <w:left w:val="none" w:sz="0" w:space="0" w:color="auto"/>
                                                        <w:bottom w:val="none" w:sz="0" w:space="0" w:color="auto"/>
                                                        <w:right w:val="none" w:sz="0" w:space="0" w:color="auto"/>
                                                      </w:divBdr>
                                                      <w:divsChild>
                                                        <w:div w:id="17507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6017099">
      <w:bodyDiv w:val="1"/>
      <w:marLeft w:val="0"/>
      <w:marRight w:val="0"/>
      <w:marTop w:val="0"/>
      <w:marBottom w:val="0"/>
      <w:divBdr>
        <w:top w:val="none" w:sz="0" w:space="0" w:color="auto"/>
        <w:left w:val="none" w:sz="0" w:space="0" w:color="auto"/>
        <w:bottom w:val="none" w:sz="0" w:space="0" w:color="auto"/>
        <w:right w:val="none" w:sz="0" w:space="0" w:color="auto"/>
      </w:divBdr>
    </w:div>
    <w:div w:id="963341961">
      <w:bodyDiv w:val="1"/>
      <w:marLeft w:val="0"/>
      <w:marRight w:val="0"/>
      <w:marTop w:val="0"/>
      <w:marBottom w:val="0"/>
      <w:divBdr>
        <w:top w:val="none" w:sz="0" w:space="0" w:color="auto"/>
        <w:left w:val="none" w:sz="0" w:space="0" w:color="auto"/>
        <w:bottom w:val="none" w:sz="0" w:space="0" w:color="auto"/>
        <w:right w:val="none" w:sz="0" w:space="0" w:color="auto"/>
      </w:divBdr>
    </w:div>
    <w:div w:id="1233002885">
      <w:bodyDiv w:val="1"/>
      <w:marLeft w:val="0"/>
      <w:marRight w:val="0"/>
      <w:marTop w:val="0"/>
      <w:marBottom w:val="0"/>
      <w:divBdr>
        <w:top w:val="none" w:sz="0" w:space="0" w:color="auto"/>
        <w:left w:val="none" w:sz="0" w:space="0" w:color="auto"/>
        <w:bottom w:val="none" w:sz="0" w:space="0" w:color="auto"/>
        <w:right w:val="none" w:sz="0" w:space="0" w:color="auto"/>
      </w:divBdr>
      <w:divsChild>
        <w:div w:id="992877682">
          <w:marLeft w:val="0"/>
          <w:marRight w:val="0"/>
          <w:marTop w:val="0"/>
          <w:marBottom w:val="0"/>
          <w:divBdr>
            <w:top w:val="none" w:sz="0" w:space="0" w:color="auto"/>
            <w:left w:val="none" w:sz="0" w:space="0" w:color="auto"/>
            <w:bottom w:val="none" w:sz="0" w:space="0" w:color="auto"/>
            <w:right w:val="none" w:sz="0" w:space="0" w:color="auto"/>
          </w:divBdr>
          <w:divsChild>
            <w:div w:id="950165422">
              <w:marLeft w:val="0"/>
              <w:marRight w:val="0"/>
              <w:marTop w:val="0"/>
              <w:marBottom w:val="0"/>
              <w:divBdr>
                <w:top w:val="none" w:sz="0" w:space="0" w:color="auto"/>
                <w:left w:val="none" w:sz="0" w:space="0" w:color="auto"/>
                <w:bottom w:val="none" w:sz="0" w:space="0" w:color="auto"/>
                <w:right w:val="none" w:sz="0" w:space="0" w:color="auto"/>
              </w:divBdr>
              <w:divsChild>
                <w:div w:id="557325359">
                  <w:marLeft w:val="0"/>
                  <w:marRight w:val="0"/>
                  <w:marTop w:val="0"/>
                  <w:marBottom w:val="0"/>
                  <w:divBdr>
                    <w:top w:val="none" w:sz="0" w:space="0" w:color="auto"/>
                    <w:left w:val="none" w:sz="0" w:space="0" w:color="auto"/>
                    <w:bottom w:val="none" w:sz="0" w:space="0" w:color="auto"/>
                    <w:right w:val="none" w:sz="0" w:space="0" w:color="auto"/>
                  </w:divBdr>
                  <w:divsChild>
                    <w:div w:id="2014795136">
                      <w:marLeft w:val="0"/>
                      <w:marRight w:val="0"/>
                      <w:marTop w:val="0"/>
                      <w:marBottom w:val="0"/>
                      <w:divBdr>
                        <w:top w:val="none" w:sz="0" w:space="0" w:color="auto"/>
                        <w:left w:val="none" w:sz="0" w:space="0" w:color="auto"/>
                        <w:bottom w:val="none" w:sz="0" w:space="0" w:color="auto"/>
                        <w:right w:val="none" w:sz="0" w:space="0" w:color="auto"/>
                      </w:divBdr>
                      <w:divsChild>
                        <w:div w:id="1316372841">
                          <w:marLeft w:val="0"/>
                          <w:marRight w:val="0"/>
                          <w:marTop w:val="0"/>
                          <w:marBottom w:val="0"/>
                          <w:divBdr>
                            <w:top w:val="none" w:sz="0" w:space="0" w:color="auto"/>
                            <w:left w:val="none" w:sz="0" w:space="0" w:color="auto"/>
                            <w:bottom w:val="none" w:sz="0" w:space="0" w:color="auto"/>
                            <w:right w:val="none" w:sz="0" w:space="0" w:color="auto"/>
                          </w:divBdr>
                          <w:divsChild>
                            <w:div w:id="1570923739">
                              <w:marLeft w:val="0"/>
                              <w:marRight w:val="0"/>
                              <w:marTop w:val="0"/>
                              <w:marBottom w:val="0"/>
                              <w:divBdr>
                                <w:top w:val="none" w:sz="0" w:space="0" w:color="auto"/>
                                <w:left w:val="none" w:sz="0" w:space="0" w:color="auto"/>
                                <w:bottom w:val="none" w:sz="0" w:space="0" w:color="auto"/>
                                <w:right w:val="none" w:sz="0" w:space="0" w:color="auto"/>
                              </w:divBdr>
                              <w:divsChild>
                                <w:div w:id="1058430731">
                                  <w:marLeft w:val="0"/>
                                  <w:marRight w:val="0"/>
                                  <w:marTop w:val="0"/>
                                  <w:marBottom w:val="0"/>
                                  <w:divBdr>
                                    <w:top w:val="none" w:sz="0" w:space="0" w:color="auto"/>
                                    <w:left w:val="none" w:sz="0" w:space="0" w:color="auto"/>
                                    <w:bottom w:val="none" w:sz="0" w:space="0" w:color="auto"/>
                                    <w:right w:val="none" w:sz="0" w:space="0" w:color="auto"/>
                                  </w:divBdr>
                                  <w:divsChild>
                                    <w:div w:id="311718785">
                                      <w:marLeft w:val="0"/>
                                      <w:marRight w:val="0"/>
                                      <w:marTop w:val="0"/>
                                      <w:marBottom w:val="0"/>
                                      <w:divBdr>
                                        <w:top w:val="none" w:sz="0" w:space="0" w:color="auto"/>
                                        <w:left w:val="none" w:sz="0" w:space="0" w:color="auto"/>
                                        <w:bottom w:val="none" w:sz="0" w:space="0" w:color="auto"/>
                                        <w:right w:val="none" w:sz="0" w:space="0" w:color="auto"/>
                                      </w:divBdr>
                                      <w:divsChild>
                                        <w:div w:id="1079836756">
                                          <w:marLeft w:val="0"/>
                                          <w:marRight w:val="0"/>
                                          <w:marTop w:val="0"/>
                                          <w:marBottom w:val="0"/>
                                          <w:divBdr>
                                            <w:top w:val="none" w:sz="0" w:space="0" w:color="auto"/>
                                            <w:left w:val="none" w:sz="0" w:space="0" w:color="auto"/>
                                            <w:bottom w:val="none" w:sz="0" w:space="0" w:color="auto"/>
                                            <w:right w:val="none" w:sz="0" w:space="0" w:color="auto"/>
                                          </w:divBdr>
                                          <w:divsChild>
                                            <w:div w:id="463426728">
                                              <w:marLeft w:val="0"/>
                                              <w:marRight w:val="0"/>
                                              <w:marTop w:val="0"/>
                                              <w:marBottom w:val="0"/>
                                              <w:divBdr>
                                                <w:top w:val="none" w:sz="0" w:space="0" w:color="auto"/>
                                                <w:left w:val="none" w:sz="0" w:space="0" w:color="auto"/>
                                                <w:bottom w:val="none" w:sz="0" w:space="0" w:color="auto"/>
                                                <w:right w:val="none" w:sz="0" w:space="0" w:color="auto"/>
                                              </w:divBdr>
                                              <w:divsChild>
                                                <w:div w:id="1365130585">
                                                  <w:marLeft w:val="0"/>
                                                  <w:marRight w:val="0"/>
                                                  <w:marTop w:val="0"/>
                                                  <w:marBottom w:val="0"/>
                                                  <w:divBdr>
                                                    <w:top w:val="none" w:sz="0" w:space="0" w:color="auto"/>
                                                    <w:left w:val="none" w:sz="0" w:space="0" w:color="auto"/>
                                                    <w:bottom w:val="none" w:sz="0" w:space="0" w:color="auto"/>
                                                    <w:right w:val="none" w:sz="0" w:space="0" w:color="auto"/>
                                                  </w:divBdr>
                                                  <w:divsChild>
                                                    <w:div w:id="1245643975">
                                                      <w:marLeft w:val="0"/>
                                                      <w:marRight w:val="0"/>
                                                      <w:marTop w:val="0"/>
                                                      <w:marBottom w:val="0"/>
                                                      <w:divBdr>
                                                        <w:top w:val="none" w:sz="0" w:space="0" w:color="auto"/>
                                                        <w:left w:val="none" w:sz="0" w:space="0" w:color="auto"/>
                                                        <w:bottom w:val="none" w:sz="0" w:space="0" w:color="auto"/>
                                                        <w:right w:val="none" w:sz="0" w:space="0" w:color="auto"/>
                                                      </w:divBdr>
                                                      <w:divsChild>
                                                        <w:div w:id="9196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923584">
      <w:bodyDiv w:val="1"/>
      <w:marLeft w:val="0"/>
      <w:marRight w:val="0"/>
      <w:marTop w:val="0"/>
      <w:marBottom w:val="0"/>
      <w:divBdr>
        <w:top w:val="none" w:sz="0" w:space="0" w:color="auto"/>
        <w:left w:val="none" w:sz="0" w:space="0" w:color="auto"/>
        <w:bottom w:val="none" w:sz="0" w:space="0" w:color="auto"/>
        <w:right w:val="none" w:sz="0" w:space="0" w:color="auto"/>
      </w:divBdr>
      <w:divsChild>
        <w:div w:id="1942645449">
          <w:marLeft w:val="0"/>
          <w:marRight w:val="0"/>
          <w:marTop w:val="0"/>
          <w:marBottom w:val="0"/>
          <w:divBdr>
            <w:top w:val="none" w:sz="0" w:space="0" w:color="auto"/>
            <w:left w:val="none" w:sz="0" w:space="0" w:color="auto"/>
            <w:bottom w:val="none" w:sz="0" w:space="0" w:color="auto"/>
            <w:right w:val="none" w:sz="0" w:space="0" w:color="auto"/>
          </w:divBdr>
          <w:divsChild>
            <w:div w:id="619918059">
              <w:marLeft w:val="0"/>
              <w:marRight w:val="0"/>
              <w:marTop w:val="0"/>
              <w:marBottom w:val="0"/>
              <w:divBdr>
                <w:top w:val="none" w:sz="0" w:space="0" w:color="auto"/>
                <w:left w:val="none" w:sz="0" w:space="0" w:color="auto"/>
                <w:bottom w:val="none" w:sz="0" w:space="0" w:color="auto"/>
                <w:right w:val="none" w:sz="0" w:space="0" w:color="auto"/>
              </w:divBdr>
              <w:divsChild>
                <w:div w:id="1035157352">
                  <w:marLeft w:val="0"/>
                  <w:marRight w:val="0"/>
                  <w:marTop w:val="0"/>
                  <w:marBottom w:val="0"/>
                  <w:divBdr>
                    <w:top w:val="none" w:sz="0" w:space="0" w:color="auto"/>
                    <w:left w:val="none" w:sz="0" w:space="0" w:color="auto"/>
                    <w:bottom w:val="none" w:sz="0" w:space="0" w:color="auto"/>
                    <w:right w:val="none" w:sz="0" w:space="0" w:color="auto"/>
                  </w:divBdr>
                  <w:divsChild>
                    <w:div w:id="1414429583">
                      <w:marLeft w:val="0"/>
                      <w:marRight w:val="0"/>
                      <w:marTop w:val="0"/>
                      <w:marBottom w:val="0"/>
                      <w:divBdr>
                        <w:top w:val="none" w:sz="0" w:space="0" w:color="auto"/>
                        <w:left w:val="none" w:sz="0" w:space="0" w:color="auto"/>
                        <w:bottom w:val="none" w:sz="0" w:space="0" w:color="auto"/>
                        <w:right w:val="none" w:sz="0" w:space="0" w:color="auto"/>
                      </w:divBdr>
                      <w:divsChild>
                        <w:div w:id="1614631640">
                          <w:marLeft w:val="0"/>
                          <w:marRight w:val="0"/>
                          <w:marTop w:val="0"/>
                          <w:marBottom w:val="0"/>
                          <w:divBdr>
                            <w:top w:val="none" w:sz="0" w:space="0" w:color="auto"/>
                            <w:left w:val="none" w:sz="0" w:space="0" w:color="auto"/>
                            <w:bottom w:val="none" w:sz="0" w:space="0" w:color="auto"/>
                            <w:right w:val="none" w:sz="0" w:space="0" w:color="auto"/>
                          </w:divBdr>
                          <w:divsChild>
                            <w:div w:id="1262643416">
                              <w:marLeft w:val="0"/>
                              <w:marRight w:val="0"/>
                              <w:marTop w:val="0"/>
                              <w:marBottom w:val="0"/>
                              <w:divBdr>
                                <w:top w:val="none" w:sz="0" w:space="0" w:color="auto"/>
                                <w:left w:val="none" w:sz="0" w:space="0" w:color="auto"/>
                                <w:bottom w:val="none" w:sz="0" w:space="0" w:color="auto"/>
                                <w:right w:val="none" w:sz="0" w:space="0" w:color="auto"/>
                              </w:divBdr>
                              <w:divsChild>
                                <w:div w:id="513955327">
                                  <w:marLeft w:val="0"/>
                                  <w:marRight w:val="0"/>
                                  <w:marTop w:val="0"/>
                                  <w:marBottom w:val="0"/>
                                  <w:divBdr>
                                    <w:top w:val="none" w:sz="0" w:space="0" w:color="auto"/>
                                    <w:left w:val="none" w:sz="0" w:space="0" w:color="auto"/>
                                    <w:bottom w:val="none" w:sz="0" w:space="0" w:color="auto"/>
                                    <w:right w:val="none" w:sz="0" w:space="0" w:color="auto"/>
                                  </w:divBdr>
                                  <w:divsChild>
                                    <w:div w:id="1020425088">
                                      <w:marLeft w:val="0"/>
                                      <w:marRight w:val="0"/>
                                      <w:marTop w:val="0"/>
                                      <w:marBottom w:val="0"/>
                                      <w:divBdr>
                                        <w:top w:val="none" w:sz="0" w:space="0" w:color="auto"/>
                                        <w:left w:val="none" w:sz="0" w:space="0" w:color="auto"/>
                                        <w:bottom w:val="none" w:sz="0" w:space="0" w:color="auto"/>
                                        <w:right w:val="none" w:sz="0" w:space="0" w:color="auto"/>
                                      </w:divBdr>
                                      <w:divsChild>
                                        <w:div w:id="1560508870">
                                          <w:marLeft w:val="0"/>
                                          <w:marRight w:val="0"/>
                                          <w:marTop w:val="0"/>
                                          <w:marBottom w:val="0"/>
                                          <w:divBdr>
                                            <w:top w:val="none" w:sz="0" w:space="0" w:color="auto"/>
                                            <w:left w:val="none" w:sz="0" w:space="0" w:color="auto"/>
                                            <w:bottom w:val="none" w:sz="0" w:space="0" w:color="auto"/>
                                            <w:right w:val="none" w:sz="0" w:space="0" w:color="auto"/>
                                          </w:divBdr>
                                          <w:divsChild>
                                            <w:div w:id="1819226711">
                                              <w:marLeft w:val="0"/>
                                              <w:marRight w:val="0"/>
                                              <w:marTop w:val="0"/>
                                              <w:marBottom w:val="0"/>
                                              <w:divBdr>
                                                <w:top w:val="none" w:sz="0" w:space="0" w:color="auto"/>
                                                <w:left w:val="none" w:sz="0" w:space="0" w:color="auto"/>
                                                <w:bottom w:val="none" w:sz="0" w:space="0" w:color="auto"/>
                                                <w:right w:val="none" w:sz="0" w:space="0" w:color="auto"/>
                                              </w:divBdr>
                                              <w:divsChild>
                                                <w:div w:id="1911771061">
                                                  <w:marLeft w:val="0"/>
                                                  <w:marRight w:val="0"/>
                                                  <w:marTop w:val="0"/>
                                                  <w:marBottom w:val="0"/>
                                                  <w:divBdr>
                                                    <w:top w:val="none" w:sz="0" w:space="0" w:color="auto"/>
                                                    <w:left w:val="none" w:sz="0" w:space="0" w:color="auto"/>
                                                    <w:bottom w:val="none" w:sz="0" w:space="0" w:color="auto"/>
                                                    <w:right w:val="none" w:sz="0" w:space="0" w:color="auto"/>
                                                  </w:divBdr>
                                                  <w:divsChild>
                                                    <w:div w:id="503514549">
                                                      <w:marLeft w:val="0"/>
                                                      <w:marRight w:val="0"/>
                                                      <w:marTop w:val="0"/>
                                                      <w:marBottom w:val="0"/>
                                                      <w:divBdr>
                                                        <w:top w:val="none" w:sz="0" w:space="0" w:color="auto"/>
                                                        <w:left w:val="none" w:sz="0" w:space="0" w:color="auto"/>
                                                        <w:bottom w:val="none" w:sz="0" w:space="0" w:color="auto"/>
                                                        <w:right w:val="none" w:sz="0" w:space="0" w:color="auto"/>
                                                      </w:divBdr>
                                                      <w:divsChild>
                                                        <w:div w:id="19533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188381">
      <w:bodyDiv w:val="1"/>
      <w:marLeft w:val="0"/>
      <w:marRight w:val="0"/>
      <w:marTop w:val="0"/>
      <w:marBottom w:val="0"/>
      <w:divBdr>
        <w:top w:val="none" w:sz="0" w:space="0" w:color="auto"/>
        <w:left w:val="none" w:sz="0" w:space="0" w:color="auto"/>
        <w:bottom w:val="none" w:sz="0" w:space="0" w:color="auto"/>
        <w:right w:val="none" w:sz="0" w:space="0" w:color="auto"/>
      </w:divBdr>
      <w:divsChild>
        <w:div w:id="239600486">
          <w:marLeft w:val="0"/>
          <w:marRight w:val="0"/>
          <w:marTop w:val="0"/>
          <w:marBottom w:val="0"/>
          <w:divBdr>
            <w:top w:val="none" w:sz="0" w:space="0" w:color="auto"/>
            <w:left w:val="none" w:sz="0" w:space="0" w:color="auto"/>
            <w:bottom w:val="none" w:sz="0" w:space="0" w:color="auto"/>
            <w:right w:val="none" w:sz="0" w:space="0" w:color="auto"/>
          </w:divBdr>
          <w:divsChild>
            <w:div w:id="425812776">
              <w:marLeft w:val="0"/>
              <w:marRight w:val="0"/>
              <w:marTop w:val="0"/>
              <w:marBottom w:val="0"/>
              <w:divBdr>
                <w:top w:val="none" w:sz="0" w:space="0" w:color="auto"/>
                <w:left w:val="none" w:sz="0" w:space="0" w:color="auto"/>
                <w:bottom w:val="none" w:sz="0" w:space="0" w:color="auto"/>
                <w:right w:val="none" w:sz="0" w:space="0" w:color="auto"/>
              </w:divBdr>
              <w:divsChild>
                <w:div w:id="1416823408">
                  <w:marLeft w:val="0"/>
                  <w:marRight w:val="0"/>
                  <w:marTop w:val="0"/>
                  <w:marBottom w:val="0"/>
                  <w:divBdr>
                    <w:top w:val="none" w:sz="0" w:space="0" w:color="auto"/>
                    <w:left w:val="none" w:sz="0" w:space="0" w:color="auto"/>
                    <w:bottom w:val="none" w:sz="0" w:space="0" w:color="auto"/>
                    <w:right w:val="none" w:sz="0" w:space="0" w:color="auto"/>
                  </w:divBdr>
                  <w:divsChild>
                    <w:div w:id="266281184">
                      <w:marLeft w:val="0"/>
                      <w:marRight w:val="0"/>
                      <w:marTop w:val="0"/>
                      <w:marBottom w:val="0"/>
                      <w:divBdr>
                        <w:top w:val="none" w:sz="0" w:space="0" w:color="auto"/>
                        <w:left w:val="none" w:sz="0" w:space="0" w:color="auto"/>
                        <w:bottom w:val="none" w:sz="0" w:space="0" w:color="auto"/>
                        <w:right w:val="none" w:sz="0" w:space="0" w:color="auto"/>
                      </w:divBdr>
                      <w:divsChild>
                        <w:div w:id="1892306159">
                          <w:marLeft w:val="0"/>
                          <w:marRight w:val="0"/>
                          <w:marTop w:val="0"/>
                          <w:marBottom w:val="0"/>
                          <w:divBdr>
                            <w:top w:val="none" w:sz="0" w:space="0" w:color="auto"/>
                            <w:left w:val="none" w:sz="0" w:space="0" w:color="auto"/>
                            <w:bottom w:val="none" w:sz="0" w:space="0" w:color="auto"/>
                            <w:right w:val="none" w:sz="0" w:space="0" w:color="auto"/>
                          </w:divBdr>
                          <w:divsChild>
                            <w:div w:id="2046589717">
                              <w:marLeft w:val="0"/>
                              <w:marRight w:val="0"/>
                              <w:marTop w:val="0"/>
                              <w:marBottom w:val="0"/>
                              <w:divBdr>
                                <w:top w:val="none" w:sz="0" w:space="0" w:color="auto"/>
                                <w:left w:val="none" w:sz="0" w:space="0" w:color="auto"/>
                                <w:bottom w:val="none" w:sz="0" w:space="0" w:color="auto"/>
                                <w:right w:val="none" w:sz="0" w:space="0" w:color="auto"/>
                              </w:divBdr>
                              <w:divsChild>
                                <w:div w:id="581641675">
                                  <w:marLeft w:val="0"/>
                                  <w:marRight w:val="0"/>
                                  <w:marTop w:val="0"/>
                                  <w:marBottom w:val="0"/>
                                  <w:divBdr>
                                    <w:top w:val="none" w:sz="0" w:space="0" w:color="auto"/>
                                    <w:left w:val="none" w:sz="0" w:space="0" w:color="auto"/>
                                    <w:bottom w:val="none" w:sz="0" w:space="0" w:color="auto"/>
                                    <w:right w:val="none" w:sz="0" w:space="0" w:color="auto"/>
                                  </w:divBdr>
                                  <w:divsChild>
                                    <w:div w:id="2074887711">
                                      <w:marLeft w:val="0"/>
                                      <w:marRight w:val="0"/>
                                      <w:marTop w:val="0"/>
                                      <w:marBottom w:val="0"/>
                                      <w:divBdr>
                                        <w:top w:val="none" w:sz="0" w:space="0" w:color="auto"/>
                                        <w:left w:val="none" w:sz="0" w:space="0" w:color="auto"/>
                                        <w:bottom w:val="none" w:sz="0" w:space="0" w:color="auto"/>
                                        <w:right w:val="none" w:sz="0" w:space="0" w:color="auto"/>
                                      </w:divBdr>
                                      <w:divsChild>
                                        <w:div w:id="1690596947">
                                          <w:marLeft w:val="0"/>
                                          <w:marRight w:val="0"/>
                                          <w:marTop w:val="0"/>
                                          <w:marBottom w:val="0"/>
                                          <w:divBdr>
                                            <w:top w:val="none" w:sz="0" w:space="0" w:color="auto"/>
                                            <w:left w:val="none" w:sz="0" w:space="0" w:color="auto"/>
                                            <w:bottom w:val="none" w:sz="0" w:space="0" w:color="auto"/>
                                            <w:right w:val="none" w:sz="0" w:space="0" w:color="auto"/>
                                          </w:divBdr>
                                          <w:divsChild>
                                            <w:div w:id="874468110">
                                              <w:marLeft w:val="0"/>
                                              <w:marRight w:val="0"/>
                                              <w:marTop w:val="0"/>
                                              <w:marBottom w:val="0"/>
                                              <w:divBdr>
                                                <w:top w:val="none" w:sz="0" w:space="0" w:color="auto"/>
                                                <w:left w:val="none" w:sz="0" w:space="0" w:color="auto"/>
                                                <w:bottom w:val="none" w:sz="0" w:space="0" w:color="auto"/>
                                                <w:right w:val="none" w:sz="0" w:space="0" w:color="auto"/>
                                              </w:divBdr>
                                              <w:divsChild>
                                                <w:div w:id="974869261">
                                                  <w:marLeft w:val="0"/>
                                                  <w:marRight w:val="0"/>
                                                  <w:marTop w:val="0"/>
                                                  <w:marBottom w:val="0"/>
                                                  <w:divBdr>
                                                    <w:top w:val="none" w:sz="0" w:space="0" w:color="auto"/>
                                                    <w:left w:val="none" w:sz="0" w:space="0" w:color="auto"/>
                                                    <w:bottom w:val="none" w:sz="0" w:space="0" w:color="auto"/>
                                                    <w:right w:val="none" w:sz="0" w:space="0" w:color="auto"/>
                                                  </w:divBdr>
                                                  <w:divsChild>
                                                    <w:div w:id="1010257326">
                                                      <w:marLeft w:val="0"/>
                                                      <w:marRight w:val="0"/>
                                                      <w:marTop w:val="0"/>
                                                      <w:marBottom w:val="0"/>
                                                      <w:divBdr>
                                                        <w:top w:val="none" w:sz="0" w:space="0" w:color="auto"/>
                                                        <w:left w:val="none" w:sz="0" w:space="0" w:color="auto"/>
                                                        <w:bottom w:val="none" w:sz="0" w:space="0" w:color="auto"/>
                                                        <w:right w:val="none" w:sz="0" w:space="0" w:color="auto"/>
                                                      </w:divBdr>
                                                      <w:divsChild>
                                                        <w:div w:id="685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0C44BDD-5CF9-409F-96B6-60347E0FF2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965F82160561409E7C2A13F97AED70" ma:contentTypeVersion="" ma:contentTypeDescription="PDMS Document Site Content Type" ma:contentTypeScope="" ma:versionID="d6f77bb1c2e5937a44e3a3a168718991">
  <xsd:schema xmlns:xsd="http://www.w3.org/2001/XMLSchema" xmlns:xs="http://www.w3.org/2001/XMLSchema" xmlns:p="http://schemas.microsoft.com/office/2006/metadata/properties" xmlns:ns2="00C44BDD-5CF9-409F-96B6-60347E0FF254" targetNamespace="http://schemas.microsoft.com/office/2006/metadata/properties" ma:root="true" ma:fieldsID="d96d6cc64144b3bdabb3057c7e8b0f8e" ns2:_="">
    <xsd:import namespace="00C44BDD-5CF9-409F-96B6-60347E0FF2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4BDD-5CF9-409F-96B6-60347E0FF2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7756-63D8-422A-B432-D849F2AB54DE}">
  <ds:schemaRefs>
    <ds:schemaRef ds:uri="http://schemas.microsoft.com/sharepoint/v3/contenttype/forms"/>
  </ds:schemaRefs>
</ds:datastoreItem>
</file>

<file path=customXml/itemProps2.xml><?xml version="1.0" encoding="utf-8"?>
<ds:datastoreItem xmlns:ds="http://schemas.openxmlformats.org/officeDocument/2006/customXml" ds:itemID="{4741CF3B-E3E8-4468-B86E-203D2C2F107C}">
  <ds:schemaRefs>
    <ds:schemaRef ds:uri="http://schemas.microsoft.com/office/2006/metadata/properties"/>
    <ds:schemaRef ds:uri="http://schemas.microsoft.com/office/infopath/2007/PartnerControls"/>
    <ds:schemaRef ds:uri="00C44BDD-5CF9-409F-96B6-60347E0FF254"/>
  </ds:schemaRefs>
</ds:datastoreItem>
</file>

<file path=customXml/itemProps3.xml><?xml version="1.0" encoding="utf-8"?>
<ds:datastoreItem xmlns:ds="http://schemas.openxmlformats.org/officeDocument/2006/customXml" ds:itemID="{DCBF732D-0CBA-47EC-8DD5-E77DCE89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4BDD-5CF9-409F-96B6-60347E0FF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F72EB-71ED-4834-A0A2-86747735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PROWSE, Andrew</cp:lastModifiedBy>
  <cp:revision>18</cp:revision>
  <cp:lastPrinted>2019-09-10T02:23:00Z</cp:lastPrinted>
  <dcterms:created xsi:type="dcterms:W3CDTF">2019-08-05T01:43:00Z</dcterms:created>
  <dcterms:modified xsi:type="dcterms:W3CDTF">2019-09-10T02:30:00Z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0x010100266966F133664895A6EE3632470D45F50041965F82160561409E7C2A13F97AED70</vt:lpwstr>
  </property>
</Properties>
</file>