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FD127" w14:textId="77777777" w:rsidR="00715914" w:rsidRPr="00F61B09" w:rsidRDefault="00D255DF" w:rsidP="00850F56">
      <w:pPr>
        <w:spacing w:after="600"/>
        <w:rPr>
          <w:sz w:val="28"/>
        </w:rPr>
      </w:pPr>
      <w:bookmarkStart w:id="0" w:name="_GoBack"/>
      <w:bookmarkEnd w:id="0"/>
      <w:r>
        <w:rPr>
          <w:noProof/>
          <w:lang w:eastAsia="en-AU"/>
        </w:rPr>
        <w:drawing>
          <wp:inline distT="0" distB="0" distL="0" distR="0" wp14:anchorId="474A1DBC" wp14:editId="01639D74">
            <wp:extent cx="5270500" cy="741680"/>
            <wp:effectExtent l="0" t="0" r="6350" b="1270"/>
            <wp:docPr id="1"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0500" cy="741680"/>
                    </a:xfrm>
                    <a:prstGeom prst="rect">
                      <a:avLst/>
                    </a:prstGeom>
                    <a:noFill/>
                    <a:ln>
                      <a:noFill/>
                    </a:ln>
                  </pic:spPr>
                </pic:pic>
              </a:graphicData>
            </a:graphic>
          </wp:inline>
        </w:drawing>
      </w:r>
    </w:p>
    <w:p w14:paraId="28077918" w14:textId="7CC99171" w:rsidR="00243EC0" w:rsidRPr="00243EC0" w:rsidRDefault="00C149D2" w:rsidP="00B16067">
      <w:pPr>
        <w:pStyle w:val="LI-Title"/>
        <w:pBdr>
          <w:bottom w:val="single" w:sz="4" w:space="1" w:color="auto"/>
        </w:pBdr>
      </w:pPr>
      <w:r w:rsidRPr="00C149D2">
        <w:t>ASIC Corporations (</w:t>
      </w:r>
      <w:r w:rsidR="007039B3">
        <w:t>Amendment</w:t>
      </w:r>
      <w:r w:rsidRPr="00C149D2">
        <w:t xml:space="preserve">) Instrument </w:t>
      </w:r>
      <w:r w:rsidR="00F56DE4">
        <w:t>2019/</w:t>
      </w:r>
      <w:r w:rsidR="00145DD2">
        <w:t>958</w:t>
      </w:r>
      <w:r w:rsidR="004E3F1B">
        <w:t xml:space="preserve"> </w:t>
      </w:r>
    </w:p>
    <w:p w14:paraId="41BD62D6" w14:textId="74025819" w:rsidR="00F171A1" w:rsidRPr="00AC3E7B" w:rsidRDefault="00F171A1" w:rsidP="00005446">
      <w:pPr>
        <w:pStyle w:val="LI-Fronttext"/>
        <w:rPr>
          <w:sz w:val="24"/>
          <w:szCs w:val="24"/>
        </w:rPr>
      </w:pPr>
      <w:r w:rsidRPr="00BB5C17">
        <w:rPr>
          <w:sz w:val="24"/>
          <w:szCs w:val="24"/>
        </w:rPr>
        <w:t xml:space="preserve">I, </w:t>
      </w:r>
      <w:r w:rsidR="00134E31">
        <w:rPr>
          <w:sz w:val="24"/>
          <w:szCs w:val="24"/>
        </w:rPr>
        <w:t>Nathan Bourne</w:t>
      </w:r>
      <w:r w:rsidR="00C0544A" w:rsidRPr="00AC3E7B">
        <w:rPr>
          <w:sz w:val="24"/>
          <w:szCs w:val="24"/>
        </w:rPr>
        <w:t>, delegate of the Australian Securities and Investments Commission</w:t>
      </w:r>
      <w:r w:rsidRPr="00AC3E7B">
        <w:rPr>
          <w:sz w:val="24"/>
          <w:szCs w:val="24"/>
        </w:rPr>
        <w:t xml:space="preserve">, make the following </w:t>
      </w:r>
      <w:r w:rsidR="008C0F29" w:rsidRPr="00AC3E7B">
        <w:rPr>
          <w:sz w:val="24"/>
          <w:szCs w:val="24"/>
        </w:rPr>
        <w:t>legislative instrument</w:t>
      </w:r>
      <w:r w:rsidRPr="00AC3E7B">
        <w:rPr>
          <w:sz w:val="24"/>
          <w:szCs w:val="24"/>
        </w:rPr>
        <w:t>.</w:t>
      </w:r>
    </w:p>
    <w:p w14:paraId="198592C5" w14:textId="77777777" w:rsidR="003A2A48" w:rsidRPr="00AC3E7B" w:rsidRDefault="003A2A48" w:rsidP="00005446">
      <w:pPr>
        <w:pStyle w:val="LI-Fronttext"/>
      </w:pPr>
    </w:p>
    <w:p w14:paraId="345C600A" w14:textId="4CDA966E" w:rsidR="006554FF" w:rsidRDefault="00F171A1" w:rsidP="00005446">
      <w:pPr>
        <w:pStyle w:val="LI-Fronttext"/>
        <w:rPr>
          <w:sz w:val="24"/>
          <w:szCs w:val="24"/>
        </w:rPr>
      </w:pPr>
      <w:r w:rsidRPr="00AC3E7B">
        <w:rPr>
          <w:sz w:val="24"/>
          <w:szCs w:val="24"/>
        </w:rPr>
        <w:t>Date</w:t>
      </w:r>
      <w:r w:rsidR="00C149D2">
        <w:rPr>
          <w:sz w:val="24"/>
          <w:szCs w:val="24"/>
        </w:rPr>
        <w:t>d</w:t>
      </w:r>
      <w:bookmarkStart w:id="1" w:name="BKCheck15B_1"/>
      <w:bookmarkEnd w:id="1"/>
      <w:r w:rsidR="00347872">
        <w:rPr>
          <w:sz w:val="24"/>
          <w:szCs w:val="24"/>
        </w:rPr>
        <w:t xml:space="preserve"> </w:t>
      </w:r>
      <w:r w:rsidR="00134E31">
        <w:rPr>
          <w:sz w:val="24"/>
          <w:szCs w:val="24"/>
        </w:rPr>
        <w:t>1</w:t>
      </w:r>
      <w:r w:rsidR="000B2FE3">
        <w:rPr>
          <w:sz w:val="24"/>
          <w:szCs w:val="24"/>
        </w:rPr>
        <w:t xml:space="preserve"> </w:t>
      </w:r>
      <w:r w:rsidR="00134E31">
        <w:rPr>
          <w:sz w:val="24"/>
          <w:szCs w:val="24"/>
        </w:rPr>
        <w:t>October</w:t>
      </w:r>
      <w:r w:rsidR="00E661DB" w:rsidRPr="000F6D40">
        <w:rPr>
          <w:sz w:val="24"/>
          <w:szCs w:val="24"/>
        </w:rPr>
        <w:t xml:space="preserve"> </w:t>
      </w:r>
      <w:r w:rsidR="008B76F9" w:rsidRPr="000F6D40">
        <w:rPr>
          <w:sz w:val="24"/>
          <w:szCs w:val="24"/>
        </w:rPr>
        <w:t>201</w:t>
      </w:r>
      <w:r w:rsidR="005A75FD">
        <w:rPr>
          <w:sz w:val="24"/>
          <w:szCs w:val="24"/>
        </w:rPr>
        <w:t>9</w:t>
      </w:r>
    </w:p>
    <w:p w14:paraId="56DD3C9E" w14:textId="77777777" w:rsidR="00934C45" w:rsidRDefault="00934C45" w:rsidP="00934C45">
      <w:pPr>
        <w:rPr>
          <w:rFonts w:ascii="Tms Rmn" w:hAnsi="Tms Rmn"/>
          <w:noProof/>
          <w:sz w:val="24"/>
          <w:szCs w:val="24"/>
          <w:lang w:eastAsia="en-AU"/>
        </w:rPr>
      </w:pPr>
    </w:p>
    <w:p w14:paraId="006B6334" w14:textId="77777777" w:rsidR="008221DC" w:rsidRPr="00934C45" w:rsidRDefault="008221DC" w:rsidP="00934C45">
      <w:pPr>
        <w:rPr>
          <w:lang w:eastAsia="en-AU"/>
        </w:rPr>
      </w:pPr>
    </w:p>
    <w:p w14:paraId="6C2CC741" w14:textId="77777777" w:rsidR="00D74852" w:rsidRDefault="00D74852" w:rsidP="00730186">
      <w:pPr>
        <w:pStyle w:val="LI-Fronttext"/>
        <w:pBdr>
          <w:bottom w:val="single" w:sz="4" w:space="1" w:color="auto"/>
        </w:pBdr>
        <w:rPr>
          <w:sz w:val="24"/>
          <w:szCs w:val="24"/>
        </w:rPr>
      </w:pPr>
    </w:p>
    <w:p w14:paraId="32C96149" w14:textId="4C1F69DB" w:rsidR="00C149D2" w:rsidRDefault="00134E31" w:rsidP="00730186">
      <w:pPr>
        <w:pStyle w:val="LI-Fronttext"/>
        <w:pBdr>
          <w:bottom w:val="single" w:sz="4" w:space="1" w:color="auto"/>
        </w:pBdr>
        <w:rPr>
          <w:sz w:val="24"/>
          <w:szCs w:val="24"/>
        </w:rPr>
      </w:pPr>
      <w:r>
        <w:rPr>
          <w:sz w:val="24"/>
          <w:szCs w:val="24"/>
        </w:rPr>
        <w:t>Nathan Bourne</w:t>
      </w:r>
    </w:p>
    <w:p w14:paraId="72A60B7A" w14:textId="77777777" w:rsidR="00715914" w:rsidRPr="008439C8" w:rsidRDefault="00715914" w:rsidP="00715914">
      <w:pPr>
        <w:pStyle w:val="Header"/>
        <w:tabs>
          <w:tab w:val="clear" w:pos="4150"/>
          <w:tab w:val="clear" w:pos="8307"/>
        </w:tabs>
        <w:rPr>
          <w:i/>
        </w:rPr>
      </w:pPr>
    </w:p>
    <w:p w14:paraId="67134A7B" w14:textId="77777777" w:rsidR="00715914" w:rsidRPr="008439C8" w:rsidRDefault="00715914" w:rsidP="00715914">
      <w:pPr>
        <w:sectPr w:rsidR="00715914" w:rsidRPr="008439C8" w:rsidSect="008945E0">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titlePg/>
          <w:docGrid w:linePitch="360"/>
        </w:sectPr>
      </w:pPr>
    </w:p>
    <w:p w14:paraId="6A1D3C5A" w14:textId="77777777" w:rsidR="00F67BCA" w:rsidRPr="00F61B09" w:rsidRDefault="00715914" w:rsidP="00E2168B">
      <w:pPr>
        <w:spacing w:before="280" w:after="240"/>
        <w:rPr>
          <w:sz w:val="36"/>
        </w:rPr>
      </w:pPr>
      <w:r w:rsidRPr="006E5320">
        <w:rPr>
          <w:b/>
          <w:sz w:val="32"/>
          <w:szCs w:val="32"/>
        </w:rPr>
        <w:lastRenderedPageBreak/>
        <w:t>Contents</w:t>
      </w:r>
    </w:p>
    <w:bookmarkStart w:id="2" w:name="BKCheck15B_2"/>
    <w:bookmarkEnd w:id="2"/>
    <w:p w14:paraId="667CF8B0" w14:textId="7837E191" w:rsidR="00726207" w:rsidRDefault="003708CA">
      <w:pPr>
        <w:pStyle w:val="TOC1"/>
        <w:rPr>
          <w:rFonts w:asciiTheme="minorHAnsi" w:eastAsiaTheme="minorEastAsia" w:hAnsiTheme="minorHAnsi" w:cstheme="minorBidi"/>
          <w:b w:val="0"/>
          <w:noProof/>
          <w:kern w:val="0"/>
          <w:sz w:val="22"/>
          <w:szCs w:val="22"/>
        </w:rPr>
      </w:pPr>
      <w:r>
        <w:rPr>
          <w:sz w:val="28"/>
        </w:rPr>
        <w:fldChar w:fldCharType="begin"/>
      </w:r>
      <w:r>
        <w:rPr>
          <w:sz w:val="28"/>
        </w:rPr>
        <w:instrText xml:space="preserve"> TOC \h \z \t "LI - Heading 1,1,LI - Heading 2,2" </w:instrText>
      </w:r>
      <w:r>
        <w:rPr>
          <w:sz w:val="28"/>
        </w:rPr>
        <w:fldChar w:fldCharType="separate"/>
      </w:r>
      <w:hyperlink w:anchor="_Toc1484432" w:history="1">
        <w:r w:rsidR="00726207" w:rsidRPr="00C47CF8">
          <w:rPr>
            <w:rStyle w:val="Hyperlink"/>
            <w:noProof/>
          </w:rPr>
          <w:t>Part 1—Preliminary</w:t>
        </w:r>
        <w:r w:rsidR="00726207">
          <w:rPr>
            <w:noProof/>
            <w:webHidden/>
          </w:rPr>
          <w:tab/>
        </w:r>
        <w:r w:rsidR="00726207">
          <w:rPr>
            <w:noProof/>
            <w:webHidden/>
          </w:rPr>
          <w:fldChar w:fldCharType="begin"/>
        </w:r>
        <w:r w:rsidR="00726207">
          <w:rPr>
            <w:noProof/>
            <w:webHidden/>
          </w:rPr>
          <w:instrText xml:space="preserve"> PAGEREF _Toc1484432 \h </w:instrText>
        </w:r>
        <w:r w:rsidR="00726207">
          <w:rPr>
            <w:noProof/>
            <w:webHidden/>
          </w:rPr>
        </w:r>
        <w:r w:rsidR="00726207">
          <w:rPr>
            <w:noProof/>
            <w:webHidden/>
          </w:rPr>
          <w:fldChar w:fldCharType="separate"/>
        </w:r>
        <w:r w:rsidR="00245B7B">
          <w:rPr>
            <w:noProof/>
            <w:webHidden/>
          </w:rPr>
          <w:t>3</w:t>
        </w:r>
        <w:r w:rsidR="00726207">
          <w:rPr>
            <w:noProof/>
            <w:webHidden/>
          </w:rPr>
          <w:fldChar w:fldCharType="end"/>
        </w:r>
      </w:hyperlink>
    </w:p>
    <w:p w14:paraId="635D62EF" w14:textId="2BB81000" w:rsidR="00726207" w:rsidRDefault="009E1049">
      <w:pPr>
        <w:pStyle w:val="TOC2"/>
        <w:tabs>
          <w:tab w:val="left" w:pos="1474"/>
        </w:tabs>
        <w:rPr>
          <w:rFonts w:asciiTheme="minorHAnsi" w:eastAsiaTheme="minorEastAsia" w:hAnsiTheme="minorHAnsi" w:cstheme="minorBidi"/>
          <w:noProof/>
          <w:kern w:val="0"/>
          <w:sz w:val="22"/>
          <w:szCs w:val="22"/>
        </w:rPr>
      </w:pPr>
      <w:hyperlink w:anchor="_Toc1484433" w:history="1">
        <w:r w:rsidR="00726207" w:rsidRPr="00C47CF8">
          <w:rPr>
            <w:rStyle w:val="Hyperlink"/>
            <w:noProof/>
          </w:rPr>
          <w:t>1</w:t>
        </w:r>
        <w:r w:rsidR="00726207">
          <w:rPr>
            <w:rFonts w:asciiTheme="minorHAnsi" w:eastAsiaTheme="minorEastAsia" w:hAnsiTheme="minorHAnsi" w:cstheme="minorBidi"/>
            <w:noProof/>
            <w:kern w:val="0"/>
            <w:sz w:val="22"/>
            <w:szCs w:val="22"/>
          </w:rPr>
          <w:tab/>
        </w:r>
        <w:r w:rsidR="00726207" w:rsidRPr="00C47CF8">
          <w:rPr>
            <w:rStyle w:val="Hyperlink"/>
            <w:noProof/>
          </w:rPr>
          <w:t>Name of legislative instrument</w:t>
        </w:r>
        <w:r w:rsidR="00726207">
          <w:rPr>
            <w:noProof/>
            <w:webHidden/>
          </w:rPr>
          <w:tab/>
        </w:r>
        <w:r w:rsidR="00726207">
          <w:rPr>
            <w:noProof/>
            <w:webHidden/>
          </w:rPr>
          <w:fldChar w:fldCharType="begin"/>
        </w:r>
        <w:r w:rsidR="00726207">
          <w:rPr>
            <w:noProof/>
            <w:webHidden/>
          </w:rPr>
          <w:instrText xml:space="preserve"> PAGEREF _Toc1484433 \h </w:instrText>
        </w:r>
        <w:r w:rsidR="00726207">
          <w:rPr>
            <w:noProof/>
            <w:webHidden/>
          </w:rPr>
        </w:r>
        <w:r w:rsidR="00726207">
          <w:rPr>
            <w:noProof/>
            <w:webHidden/>
          </w:rPr>
          <w:fldChar w:fldCharType="separate"/>
        </w:r>
        <w:r w:rsidR="00245B7B">
          <w:rPr>
            <w:noProof/>
            <w:webHidden/>
          </w:rPr>
          <w:t>3</w:t>
        </w:r>
        <w:r w:rsidR="00726207">
          <w:rPr>
            <w:noProof/>
            <w:webHidden/>
          </w:rPr>
          <w:fldChar w:fldCharType="end"/>
        </w:r>
      </w:hyperlink>
    </w:p>
    <w:p w14:paraId="10A9535A" w14:textId="7E1A9202" w:rsidR="00726207" w:rsidRDefault="009E1049">
      <w:pPr>
        <w:pStyle w:val="TOC2"/>
        <w:tabs>
          <w:tab w:val="left" w:pos="1474"/>
        </w:tabs>
        <w:rPr>
          <w:rFonts w:asciiTheme="minorHAnsi" w:eastAsiaTheme="minorEastAsia" w:hAnsiTheme="minorHAnsi" w:cstheme="minorBidi"/>
          <w:noProof/>
          <w:kern w:val="0"/>
          <w:sz w:val="22"/>
          <w:szCs w:val="22"/>
        </w:rPr>
      </w:pPr>
      <w:hyperlink w:anchor="_Toc1484434" w:history="1">
        <w:r w:rsidR="00726207" w:rsidRPr="00C47CF8">
          <w:rPr>
            <w:rStyle w:val="Hyperlink"/>
            <w:noProof/>
          </w:rPr>
          <w:t>2</w:t>
        </w:r>
        <w:r w:rsidR="00726207">
          <w:rPr>
            <w:rFonts w:asciiTheme="minorHAnsi" w:eastAsiaTheme="minorEastAsia" w:hAnsiTheme="minorHAnsi" w:cstheme="minorBidi"/>
            <w:noProof/>
            <w:kern w:val="0"/>
            <w:sz w:val="22"/>
            <w:szCs w:val="22"/>
          </w:rPr>
          <w:tab/>
        </w:r>
        <w:r w:rsidR="00726207" w:rsidRPr="00C47CF8">
          <w:rPr>
            <w:rStyle w:val="Hyperlink"/>
            <w:noProof/>
          </w:rPr>
          <w:t>Commencement</w:t>
        </w:r>
        <w:r w:rsidR="00726207">
          <w:rPr>
            <w:noProof/>
            <w:webHidden/>
          </w:rPr>
          <w:tab/>
        </w:r>
        <w:r w:rsidR="00726207">
          <w:rPr>
            <w:noProof/>
            <w:webHidden/>
          </w:rPr>
          <w:fldChar w:fldCharType="begin"/>
        </w:r>
        <w:r w:rsidR="00726207">
          <w:rPr>
            <w:noProof/>
            <w:webHidden/>
          </w:rPr>
          <w:instrText xml:space="preserve"> PAGEREF _Toc1484434 \h </w:instrText>
        </w:r>
        <w:r w:rsidR="00726207">
          <w:rPr>
            <w:noProof/>
            <w:webHidden/>
          </w:rPr>
        </w:r>
        <w:r w:rsidR="00726207">
          <w:rPr>
            <w:noProof/>
            <w:webHidden/>
          </w:rPr>
          <w:fldChar w:fldCharType="separate"/>
        </w:r>
        <w:r w:rsidR="00245B7B">
          <w:rPr>
            <w:noProof/>
            <w:webHidden/>
          </w:rPr>
          <w:t>3</w:t>
        </w:r>
        <w:r w:rsidR="00726207">
          <w:rPr>
            <w:noProof/>
            <w:webHidden/>
          </w:rPr>
          <w:fldChar w:fldCharType="end"/>
        </w:r>
      </w:hyperlink>
    </w:p>
    <w:p w14:paraId="4AEF6615" w14:textId="7513AFBA" w:rsidR="00726207" w:rsidRDefault="009E1049">
      <w:pPr>
        <w:pStyle w:val="TOC2"/>
        <w:tabs>
          <w:tab w:val="left" w:pos="1474"/>
        </w:tabs>
        <w:rPr>
          <w:rFonts w:asciiTheme="minorHAnsi" w:eastAsiaTheme="minorEastAsia" w:hAnsiTheme="minorHAnsi" w:cstheme="minorBidi"/>
          <w:noProof/>
          <w:kern w:val="0"/>
          <w:sz w:val="22"/>
          <w:szCs w:val="22"/>
        </w:rPr>
      </w:pPr>
      <w:hyperlink w:anchor="_Toc1484435" w:history="1">
        <w:r w:rsidR="00726207" w:rsidRPr="00C47CF8">
          <w:rPr>
            <w:rStyle w:val="Hyperlink"/>
            <w:noProof/>
          </w:rPr>
          <w:t>3</w:t>
        </w:r>
        <w:r w:rsidR="00726207">
          <w:rPr>
            <w:rFonts w:asciiTheme="minorHAnsi" w:eastAsiaTheme="minorEastAsia" w:hAnsiTheme="minorHAnsi" w:cstheme="minorBidi"/>
            <w:noProof/>
            <w:kern w:val="0"/>
            <w:sz w:val="22"/>
            <w:szCs w:val="22"/>
          </w:rPr>
          <w:tab/>
        </w:r>
        <w:r w:rsidR="00726207" w:rsidRPr="00C47CF8">
          <w:rPr>
            <w:rStyle w:val="Hyperlink"/>
            <w:noProof/>
          </w:rPr>
          <w:t>Authority</w:t>
        </w:r>
        <w:r w:rsidR="00726207">
          <w:rPr>
            <w:noProof/>
            <w:webHidden/>
          </w:rPr>
          <w:tab/>
        </w:r>
        <w:r w:rsidR="00726207">
          <w:rPr>
            <w:noProof/>
            <w:webHidden/>
          </w:rPr>
          <w:fldChar w:fldCharType="begin"/>
        </w:r>
        <w:r w:rsidR="00726207">
          <w:rPr>
            <w:noProof/>
            <w:webHidden/>
          </w:rPr>
          <w:instrText xml:space="preserve"> PAGEREF _Toc1484435 \h </w:instrText>
        </w:r>
        <w:r w:rsidR="00726207">
          <w:rPr>
            <w:noProof/>
            <w:webHidden/>
          </w:rPr>
        </w:r>
        <w:r w:rsidR="00726207">
          <w:rPr>
            <w:noProof/>
            <w:webHidden/>
          </w:rPr>
          <w:fldChar w:fldCharType="separate"/>
        </w:r>
        <w:r w:rsidR="00245B7B">
          <w:rPr>
            <w:noProof/>
            <w:webHidden/>
          </w:rPr>
          <w:t>3</w:t>
        </w:r>
        <w:r w:rsidR="00726207">
          <w:rPr>
            <w:noProof/>
            <w:webHidden/>
          </w:rPr>
          <w:fldChar w:fldCharType="end"/>
        </w:r>
      </w:hyperlink>
    </w:p>
    <w:p w14:paraId="5D2C0AEB" w14:textId="0F5A8C8A" w:rsidR="00726207" w:rsidRDefault="009E1049">
      <w:pPr>
        <w:pStyle w:val="TOC2"/>
        <w:tabs>
          <w:tab w:val="left" w:pos="1474"/>
        </w:tabs>
        <w:rPr>
          <w:rFonts w:asciiTheme="minorHAnsi" w:eastAsiaTheme="minorEastAsia" w:hAnsiTheme="minorHAnsi" w:cstheme="minorBidi"/>
          <w:noProof/>
          <w:kern w:val="0"/>
          <w:sz w:val="22"/>
          <w:szCs w:val="22"/>
        </w:rPr>
      </w:pPr>
      <w:hyperlink w:anchor="_Toc1484436" w:history="1">
        <w:r w:rsidR="00726207" w:rsidRPr="00C47CF8">
          <w:rPr>
            <w:rStyle w:val="Hyperlink"/>
            <w:noProof/>
          </w:rPr>
          <w:t>4</w:t>
        </w:r>
        <w:r w:rsidR="00726207">
          <w:rPr>
            <w:rFonts w:asciiTheme="minorHAnsi" w:eastAsiaTheme="minorEastAsia" w:hAnsiTheme="minorHAnsi" w:cstheme="minorBidi"/>
            <w:noProof/>
            <w:kern w:val="0"/>
            <w:sz w:val="22"/>
            <w:szCs w:val="22"/>
          </w:rPr>
          <w:tab/>
        </w:r>
        <w:r w:rsidR="00726207" w:rsidRPr="00C47CF8">
          <w:rPr>
            <w:rStyle w:val="Hyperlink"/>
            <w:noProof/>
          </w:rPr>
          <w:t>Schedule</w:t>
        </w:r>
        <w:r w:rsidR="00726207">
          <w:rPr>
            <w:noProof/>
            <w:webHidden/>
          </w:rPr>
          <w:tab/>
        </w:r>
        <w:r w:rsidR="00726207">
          <w:rPr>
            <w:noProof/>
            <w:webHidden/>
          </w:rPr>
          <w:fldChar w:fldCharType="begin"/>
        </w:r>
        <w:r w:rsidR="00726207">
          <w:rPr>
            <w:noProof/>
            <w:webHidden/>
          </w:rPr>
          <w:instrText xml:space="preserve"> PAGEREF _Toc1484436 \h </w:instrText>
        </w:r>
        <w:r w:rsidR="00726207">
          <w:rPr>
            <w:noProof/>
            <w:webHidden/>
          </w:rPr>
        </w:r>
        <w:r w:rsidR="00726207">
          <w:rPr>
            <w:noProof/>
            <w:webHidden/>
          </w:rPr>
          <w:fldChar w:fldCharType="separate"/>
        </w:r>
        <w:r w:rsidR="00245B7B">
          <w:rPr>
            <w:noProof/>
            <w:webHidden/>
          </w:rPr>
          <w:t>3</w:t>
        </w:r>
        <w:r w:rsidR="00726207">
          <w:rPr>
            <w:noProof/>
            <w:webHidden/>
          </w:rPr>
          <w:fldChar w:fldCharType="end"/>
        </w:r>
      </w:hyperlink>
    </w:p>
    <w:p w14:paraId="7DABCAA9" w14:textId="47FE65BF" w:rsidR="00726207" w:rsidRDefault="009E1049">
      <w:pPr>
        <w:pStyle w:val="TOC1"/>
        <w:rPr>
          <w:rFonts w:asciiTheme="minorHAnsi" w:eastAsiaTheme="minorEastAsia" w:hAnsiTheme="minorHAnsi" w:cstheme="minorBidi"/>
          <w:b w:val="0"/>
          <w:noProof/>
          <w:kern w:val="0"/>
          <w:sz w:val="22"/>
          <w:szCs w:val="22"/>
        </w:rPr>
      </w:pPr>
      <w:hyperlink w:anchor="_Toc1484437" w:history="1">
        <w:r w:rsidR="00726207" w:rsidRPr="00C47CF8">
          <w:rPr>
            <w:rStyle w:val="Hyperlink"/>
            <w:noProof/>
          </w:rPr>
          <w:t>Schedule 1—Amendments</w:t>
        </w:r>
        <w:r w:rsidR="00726207">
          <w:rPr>
            <w:noProof/>
            <w:webHidden/>
          </w:rPr>
          <w:tab/>
        </w:r>
        <w:r w:rsidR="00726207">
          <w:rPr>
            <w:noProof/>
            <w:webHidden/>
          </w:rPr>
          <w:fldChar w:fldCharType="begin"/>
        </w:r>
        <w:r w:rsidR="00726207">
          <w:rPr>
            <w:noProof/>
            <w:webHidden/>
          </w:rPr>
          <w:instrText xml:space="preserve"> PAGEREF _Toc1484437 \h </w:instrText>
        </w:r>
        <w:r w:rsidR="00726207">
          <w:rPr>
            <w:noProof/>
            <w:webHidden/>
          </w:rPr>
        </w:r>
        <w:r w:rsidR="00726207">
          <w:rPr>
            <w:noProof/>
            <w:webHidden/>
          </w:rPr>
          <w:fldChar w:fldCharType="separate"/>
        </w:r>
        <w:r w:rsidR="00245B7B">
          <w:rPr>
            <w:noProof/>
            <w:webHidden/>
          </w:rPr>
          <w:t>4</w:t>
        </w:r>
        <w:r w:rsidR="00726207">
          <w:rPr>
            <w:noProof/>
            <w:webHidden/>
          </w:rPr>
          <w:fldChar w:fldCharType="end"/>
        </w:r>
      </w:hyperlink>
    </w:p>
    <w:p w14:paraId="428AA7CF" w14:textId="53B2A182" w:rsidR="00726207" w:rsidRDefault="009E1049">
      <w:pPr>
        <w:pStyle w:val="TOC2"/>
        <w:rPr>
          <w:rFonts w:asciiTheme="minorHAnsi" w:eastAsiaTheme="minorEastAsia" w:hAnsiTheme="minorHAnsi" w:cstheme="minorBidi"/>
          <w:noProof/>
          <w:kern w:val="0"/>
          <w:sz w:val="22"/>
          <w:szCs w:val="22"/>
        </w:rPr>
      </w:pPr>
      <w:hyperlink w:anchor="_Toc1484438" w:history="1">
        <w:r w:rsidR="00726207" w:rsidRPr="00C47CF8">
          <w:rPr>
            <w:rStyle w:val="Hyperlink"/>
            <w:noProof/>
          </w:rPr>
          <w:t>ASIC Corporations (Derivative Transaction Reporting Exemption) Instrument 2015/844</w:t>
        </w:r>
        <w:r w:rsidR="00726207">
          <w:rPr>
            <w:noProof/>
            <w:webHidden/>
          </w:rPr>
          <w:tab/>
        </w:r>
        <w:r w:rsidR="00726207">
          <w:rPr>
            <w:noProof/>
            <w:webHidden/>
          </w:rPr>
          <w:fldChar w:fldCharType="begin"/>
        </w:r>
        <w:r w:rsidR="00726207">
          <w:rPr>
            <w:noProof/>
            <w:webHidden/>
          </w:rPr>
          <w:instrText xml:space="preserve"> PAGEREF _Toc1484438 \h </w:instrText>
        </w:r>
        <w:r w:rsidR="00726207">
          <w:rPr>
            <w:noProof/>
            <w:webHidden/>
          </w:rPr>
        </w:r>
        <w:r w:rsidR="00726207">
          <w:rPr>
            <w:noProof/>
            <w:webHidden/>
          </w:rPr>
          <w:fldChar w:fldCharType="separate"/>
        </w:r>
        <w:r w:rsidR="00245B7B">
          <w:rPr>
            <w:noProof/>
            <w:webHidden/>
          </w:rPr>
          <w:t>4</w:t>
        </w:r>
        <w:r w:rsidR="00726207">
          <w:rPr>
            <w:noProof/>
            <w:webHidden/>
          </w:rPr>
          <w:fldChar w:fldCharType="end"/>
        </w:r>
      </w:hyperlink>
    </w:p>
    <w:p w14:paraId="379D797D" w14:textId="2818D367" w:rsidR="00670EA1" w:rsidRPr="00F61B09" w:rsidRDefault="003708CA" w:rsidP="00715914">
      <w:r>
        <w:rPr>
          <w:rFonts w:eastAsia="Times New Roman"/>
          <w:kern w:val="28"/>
          <w:sz w:val="28"/>
          <w:lang w:eastAsia="en-AU"/>
        </w:rPr>
        <w:fldChar w:fldCharType="end"/>
      </w:r>
    </w:p>
    <w:p w14:paraId="2F4A8169" w14:textId="77777777" w:rsidR="00670EA1" w:rsidRPr="00F61B09" w:rsidRDefault="00670EA1" w:rsidP="00715914">
      <w:pPr>
        <w:sectPr w:rsidR="00670EA1" w:rsidRPr="00F61B09" w:rsidSect="00F4215A">
          <w:headerReference w:type="even" r:id="rId18"/>
          <w:headerReference w:type="default" r:id="rId19"/>
          <w:footerReference w:type="even" r:id="rId20"/>
          <w:footerReference w:type="default" r:id="rId21"/>
          <w:headerReference w:type="first" r:id="rId22"/>
          <w:pgSz w:w="11907" w:h="16839"/>
          <w:pgMar w:top="1098" w:right="1797" w:bottom="1440" w:left="1797" w:header="720" w:footer="709" w:gutter="0"/>
          <w:pgNumType w:fmt="lowerRoman"/>
          <w:cols w:space="708"/>
          <w:docGrid w:linePitch="360"/>
        </w:sectPr>
      </w:pPr>
    </w:p>
    <w:p w14:paraId="58535A2E" w14:textId="77777777" w:rsidR="00FA31DE" w:rsidRPr="00F61B09" w:rsidRDefault="00FA31DE" w:rsidP="006554FF">
      <w:pPr>
        <w:pStyle w:val="LI-Heading1"/>
      </w:pPr>
      <w:bookmarkStart w:id="3" w:name="BK_S3P1L1C1"/>
      <w:bookmarkStart w:id="4" w:name="_Toc1484432"/>
      <w:bookmarkEnd w:id="3"/>
      <w:r w:rsidRPr="006554FF">
        <w:lastRenderedPageBreak/>
        <w:t>Part</w:t>
      </w:r>
      <w:r w:rsidR="00F61B09" w:rsidRPr="006554FF">
        <w:t> </w:t>
      </w:r>
      <w:r w:rsidRPr="006E5320">
        <w:t>1</w:t>
      </w:r>
      <w:r w:rsidRPr="00F61B09">
        <w:t>—</w:t>
      </w:r>
      <w:r w:rsidRPr="00005446">
        <w:t>Preliminary</w:t>
      </w:r>
      <w:bookmarkEnd w:id="4"/>
    </w:p>
    <w:p w14:paraId="10B78A07" w14:textId="77777777" w:rsidR="00FA31DE" w:rsidRDefault="00FA31DE" w:rsidP="00C11452">
      <w:pPr>
        <w:pStyle w:val="LI-Heading2"/>
        <w:rPr>
          <w:szCs w:val="24"/>
        </w:rPr>
      </w:pPr>
      <w:bookmarkStart w:id="5" w:name="_Toc1484433"/>
      <w:r w:rsidRPr="008C0F29">
        <w:rPr>
          <w:szCs w:val="24"/>
        </w:rPr>
        <w:t>1</w:t>
      </w:r>
      <w:r w:rsidR="00FC3EB8">
        <w:rPr>
          <w:szCs w:val="24"/>
        </w:rPr>
        <w:tab/>
      </w:r>
      <w:r w:rsidRPr="008C0F29">
        <w:rPr>
          <w:szCs w:val="24"/>
        </w:rPr>
        <w:t xml:space="preserve">Name of </w:t>
      </w:r>
      <w:r w:rsidR="008C0F29" w:rsidRPr="008C0F29">
        <w:rPr>
          <w:szCs w:val="24"/>
        </w:rPr>
        <w:t>legislative instrument</w:t>
      </w:r>
      <w:bookmarkEnd w:id="5"/>
    </w:p>
    <w:p w14:paraId="6C36F6EC" w14:textId="5F140CB7" w:rsidR="00FA31DE" w:rsidRPr="00F34D33" w:rsidRDefault="00C149D2" w:rsidP="00BA2950">
      <w:pPr>
        <w:pStyle w:val="LI-BodyTextUnnumbered"/>
        <w:rPr>
          <w:szCs w:val="24"/>
        </w:rPr>
      </w:pPr>
      <w:r w:rsidRPr="00C149D2">
        <w:rPr>
          <w:szCs w:val="24"/>
        </w:rPr>
        <w:t xml:space="preserve">This is the </w:t>
      </w:r>
      <w:r w:rsidRPr="00C149D2">
        <w:rPr>
          <w:i/>
          <w:szCs w:val="24"/>
        </w:rPr>
        <w:t>ASIC Corporations (</w:t>
      </w:r>
      <w:r w:rsidR="007039B3">
        <w:rPr>
          <w:i/>
          <w:szCs w:val="24"/>
        </w:rPr>
        <w:t>Amendment</w:t>
      </w:r>
      <w:r w:rsidR="00F64ED1">
        <w:rPr>
          <w:i/>
          <w:szCs w:val="24"/>
        </w:rPr>
        <w:t>)</w:t>
      </w:r>
      <w:r w:rsidRPr="00C149D2">
        <w:rPr>
          <w:i/>
          <w:szCs w:val="24"/>
        </w:rPr>
        <w:t xml:space="preserve"> Instrument </w:t>
      </w:r>
      <w:r w:rsidR="00F56DE4" w:rsidRPr="000B09F9">
        <w:rPr>
          <w:i/>
        </w:rPr>
        <w:t>2019/</w:t>
      </w:r>
      <w:r w:rsidR="00145DD2">
        <w:rPr>
          <w:i/>
        </w:rPr>
        <w:t>0958</w:t>
      </w:r>
      <w:r w:rsidR="00F34D33">
        <w:rPr>
          <w:szCs w:val="24"/>
        </w:rPr>
        <w:t>.</w:t>
      </w:r>
    </w:p>
    <w:p w14:paraId="13ABA769" w14:textId="77777777" w:rsidR="00FA31DE" w:rsidRPr="008C0F29" w:rsidRDefault="00FA31DE" w:rsidP="00C11452">
      <w:pPr>
        <w:pStyle w:val="LI-Heading2"/>
        <w:rPr>
          <w:szCs w:val="24"/>
        </w:rPr>
      </w:pPr>
      <w:bookmarkStart w:id="6" w:name="_Toc1484434"/>
      <w:r w:rsidRPr="008C0F29">
        <w:rPr>
          <w:szCs w:val="24"/>
        </w:rPr>
        <w:t>2</w:t>
      </w:r>
      <w:r w:rsidR="00FC3EB8">
        <w:rPr>
          <w:szCs w:val="24"/>
        </w:rPr>
        <w:tab/>
      </w:r>
      <w:r w:rsidRPr="008C0F29">
        <w:rPr>
          <w:szCs w:val="24"/>
        </w:rPr>
        <w:t>Commencement</w:t>
      </w:r>
      <w:bookmarkEnd w:id="6"/>
    </w:p>
    <w:p w14:paraId="4C0C8A1B" w14:textId="59119C53" w:rsidR="0060352E" w:rsidRPr="003C4B2F" w:rsidRDefault="0060352E" w:rsidP="008E531C">
      <w:pPr>
        <w:pStyle w:val="LI-BodyTextUnnumbered"/>
      </w:pPr>
      <w:r w:rsidRPr="00504B0C">
        <w:t xml:space="preserve">This instrument commences on </w:t>
      </w:r>
      <w:r w:rsidR="003C4B2F" w:rsidRPr="00504B0C">
        <w:t>1 October 2019</w:t>
      </w:r>
      <w:r w:rsidR="007836C3" w:rsidRPr="00504B0C">
        <w:t>.</w:t>
      </w:r>
    </w:p>
    <w:p w14:paraId="7220D623" w14:textId="29860D81" w:rsidR="00FA31DE" w:rsidRDefault="00FA31DE" w:rsidP="00BA2950">
      <w:pPr>
        <w:pStyle w:val="LI-BodyTextNote"/>
      </w:pPr>
      <w:r w:rsidRPr="00F61B09">
        <w:t>Note:</w:t>
      </w:r>
      <w:r w:rsidRPr="00F61B09">
        <w:tab/>
      </w:r>
      <w:r w:rsidR="007836C3">
        <w:t xml:space="preserve">This instrument will be registered on the Federal Register of </w:t>
      </w:r>
      <w:r w:rsidR="00C43738">
        <w:t>Legislation</w:t>
      </w:r>
      <w:r w:rsidR="007836C3">
        <w:t xml:space="preserve">. </w:t>
      </w:r>
      <w:r w:rsidR="004823C0">
        <w:t xml:space="preserve">The register </w:t>
      </w:r>
      <w:r w:rsidR="004823C0" w:rsidRPr="00572BB1">
        <w:t xml:space="preserve">may </w:t>
      </w:r>
      <w:r w:rsidR="004823C0">
        <w:t xml:space="preserve">be accessed at </w:t>
      </w:r>
      <w:hyperlink r:id="rId23" w:history="1">
        <w:r w:rsidR="00132B7B" w:rsidRPr="00B16067">
          <w:rPr>
            <w:rStyle w:val="Hyperlink"/>
          </w:rPr>
          <w:t>www.comlaw.gov.au</w:t>
        </w:r>
      </w:hyperlink>
      <w:r w:rsidR="004823C0">
        <w:t>.</w:t>
      </w:r>
    </w:p>
    <w:p w14:paraId="70C3F99E" w14:textId="77777777" w:rsidR="00FA31DE" w:rsidRPr="008C0F29" w:rsidRDefault="00FA31DE" w:rsidP="00EC4757">
      <w:pPr>
        <w:pStyle w:val="LI-Heading2"/>
        <w:spacing w:before="240"/>
        <w:rPr>
          <w:szCs w:val="24"/>
        </w:rPr>
      </w:pPr>
      <w:bookmarkStart w:id="7" w:name="_Toc1484435"/>
      <w:r w:rsidRPr="008C0F29">
        <w:rPr>
          <w:szCs w:val="24"/>
        </w:rPr>
        <w:t>3</w:t>
      </w:r>
      <w:r w:rsidR="00FC3EB8">
        <w:rPr>
          <w:szCs w:val="24"/>
        </w:rPr>
        <w:tab/>
      </w:r>
      <w:r w:rsidRPr="008C0F29">
        <w:rPr>
          <w:szCs w:val="24"/>
        </w:rPr>
        <w:t>Authority</w:t>
      </w:r>
      <w:bookmarkEnd w:id="7"/>
    </w:p>
    <w:p w14:paraId="294C1ACF" w14:textId="77777777" w:rsidR="00FA31DE" w:rsidRPr="008C0F29" w:rsidRDefault="00FA31DE" w:rsidP="00EC4757">
      <w:pPr>
        <w:pStyle w:val="LI-BodyTextUnnumbered"/>
        <w:rPr>
          <w:szCs w:val="24"/>
        </w:rPr>
      </w:pPr>
      <w:r w:rsidRPr="008C0F29">
        <w:rPr>
          <w:szCs w:val="24"/>
        </w:rPr>
        <w:t xml:space="preserve">This </w:t>
      </w:r>
      <w:r w:rsidR="008C0F29" w:rsidRPr="008C0F29">
        <w:rPr>
          <w:szCs w:val="24"/>
        </w:rPr>
        <w:t xml:space="preserve">instrument </w:t>
      </w:r>
      <w:r w:rsidRPr="008C0F29">
        <w:rPr>
          <w:szCs w:val="24"/>
        </w:rPr>
        <w:t xml:space="preserve">is made under </w:t>
      </w:r>
      <w:r w:rsidR="00C149D2" w:rsidRPr="00C149D2">
        <w:rPr>
          <w:szCs w:val="24"/>
        </w:rPr>
        <w:t xml:space="preserve">paragraph 907D(2)(a) of the </w:t>
      </w:r>
      <w:r w:rsidR="00C149D2" w:rsidRPr="00C149D2">
        <w:rPr>
          <w:i/>
          <w:szCs w:val="24"/>
        </w:rPr>
        <w:t>Corporations Act 2001</w:t>
      </w:r>
      <w:r w:rsidR="00C149D2" w:rsidRPr="00C149D2">
        <w:rPr>
          <w:szCs w:val="24"/>
        </w:rPr>
        <w:t>.</w:t>
      </w:r>
    </w:p>
    <w:p w14:paraId="67AD4D24" w14:textId="77777777" w:rsidR="00FA31DE" w:rsidRPr="00BB5C17" w:rsidRDefault="008C0F29" w:rsidP="00EC4757">
      <w:pPr>
        <w:pStyle w:val="LI-Heading2"/>
        <w:spacing w:before="240"/>
        <w:rPr>
          <w:szCs w:val="24"/>
        </w:rPr>
      </w:pPr>
      <w:bookmarkStart w:id="8" w:name="_Toc1484436"/>
      <w:r w:rsidRPr="00BB5C17">
        <w:rPr>
          <w:szCs w:val="24"/>
        </w:rPr>
        <w:t>4</w:t>
      </w:r>
      <w:r w:rsidR="00FC3EB8">
        <w:rPr>
          <w:szCs w:val="24"/>
        </w:rPr>
        <w:tab/>
      </w:r>
      <w:r w:rsidR="009B69D4">
        <w:rPr>
          <w:szCs w:val="24"/>
        </w:rPr>
        <w:t>Schedule</w:t>
      </w:r>
      <w:bookmarkEnd w:id="8"/>
    </w:p>
    <w:p w14:paraId="7E754507" w14:textId="77777777" w:rsidR="001159DA" w:rsidRDefault="001159DA" w:rsidP="00305AA3">
      <w:pPr>
        <w:pStyle w:val="LI-BodyTextNumbered"/>
        <w:ind w:firstLine="0"/>
      </w:pPr>
      <w:r>
        <w:t>The instrument specified in Schedule 1 to this instrument is amended as set out in Schedule 1</w:t>
      </w:r>
      <w:r w:rsidR="001506AC">
        <w:t xml:space="preserve">. </w:t>
      </w:r>
    </w:p>
    <w:p w14:paraId="73E60D68" w14:textId="77777777" w:rsidR="0087000E" w:rsidRDefault="0087000E" w:rsidP="008E531C">
      <w:pPr>
        <w:pStyle w:val="LI-BodyTextNumbered"/>
      </w:pPr>
    </w:p>
    <w:p w14:paraId="5B9D5653" w14:textId="77777777" w:rsidR="008E531C" w:rsidRDefault="008E531C" w:rsidP="008E531C">
      <w:pPr>
        <w:pStyle w:val="LI-BodyTextNumbered"/>
      </w:pPr>
    </w:p>
    <w:p w14:paraId="3E059E9F" w14:textId="77777777" w:rsidR="00C149D2" w:rsidRPr="005C1C22" w:rsidRDefault="00C149D2" w:rsidP="00C149D2">
      <w:pPr>
        <w:pStyle w:val="LI-Heading2"/>
        <w:spacing w:before="240"/>
        <w:rPr>
          <w:i/>
        </w:rPr>
      </w:pPr>
    </w:p>
    <w:p w14:paraId="78A305E3" w14:textId="77777777" w:rsidR="005C1C22" w:rsidRDefault="005C1C22" w:rsidP="005C1C22">
      <w:pPr>
        <w:pStyle w:val="LI-BodyTextUnnumbered"/>
        <w:ind w:left="1701" w:hanging="567"/>
        <w:sectPr w:rsidR="005C1C22" w:rsidSect="007D230B">
          <w:headerReference w:type="even" r:id="rId24"/>
          <w:headerReference w:type="default" r:id="rId25"/>
          <w:footerReference w:type="even" r:id="rId26"/>
          <w:headerReference w:type="first" r:id="rId27"/>
          <w:footerReference w:type="first" r:id="rId28"/>
          <w:pgSz w:w="11907" w:h="16839" w:code="9"/>
          <w:pgMar w:top="1534" w:right="1797" w:bottom="1440" w:left="1797" w:header="720" w:footer="709" w:gutter="0"/>
          <w:cols w:space="708"/>
          <w:docGrid w:linePitch="360"/>
        </w:sectPr>
      </w:pPr>
    </w:p>
    <w:p w14:paraId="2125C449" w14:textId="77777777" w:rsidR="00FA31DE" w:rsidRPr="00F61B09" w:rsidRDefault="009B69D4" w:rsidP="006554FF">
      <w:pPr>
        <w:pStyle w:val="LI-Heading1"/>
      </w:pPr>
      <w:bookmarkStart w:id="9" w:name="_Toc1484437"/>
      <w:r>
        <w:lastRenderedPageBreak/>
        <w:t>Schedule 1</w:t>
      </w:r>
      <w:r w:rsidR="00FA31DE" w:rsidRPr="00F61B09">
        <w:t>—</w:t>
      </w:r>
      <w:r w:rsidR="008E290E">
        <w:t>Amendment</w:t>
      </w:r>
      <w:r w:rsidR="00102307">
        <w:t>s</w:t>
      </w:r>
      <w:bookmarkEnd w:id="9"/>
    </w:p>
    <w:p w14:paraId="1D107860" w14:textId="039D5050" w:rsidR="00FA0F44" w:rsidRDefault="00C149D2" w:rsidP="00E301C8">
      <w:pPr>
        <w:pStyle w:val="LI-Heading2"/>
        <w:ind w:left="0" w:firstLine="0"/>
      </w:pPr>
      <w:bookmarkStart w:id="10" w:name="_Toc1484438"/>
      <w:r w:rsidRPr="00C149D2">
        <w:rPr>
          <w:sz w:val="28"/>
          <w:szCs w:val="28"/>
        </w:rPr>
        <w:t xml:space="preserve">ASIC </w:t>
      </w:r>
      <w:r w:rsidR="0067167D">
        <w:rPr>
          <w:sz w:val="28"/>
          <w:szCs w:val="28"/>
        </w:rPr>
        <w:t xml:space="preserve">Corporations (Derivative Transaction Reporting Exemption) </w:t>
      </w:r>
      <w:r w:rsidR="0067167D" w:rsidRPr="00E301C8">
        <w:rPr>
          <w:sz w:val="28"/>
          <w:szCs w:val="28"/>
        </w:rPr>
        <w:t xml:space="preserve">Instrument </w:t>
      </w:r>
      <w:r w:rsidR="005A75FD" w:rsidRPr="00E301C8">
        <w:rPr>
          <w:sz w:val="28"/>
          <w:szCs w:val="28"/>
        </w:rPr>
        <w:t>201</w:t>
      </w:r>
      <w:r w:rsidR="00710198" w:rsidRPr="00E301C8">
        <w:rPr>
          <w:sz w:val="28"/>
          <w:szCs w:val="28"/>
        </w:rPr>
        <w:t>5</w:t>
      </w:r>
      <w:r w:rsidR="005A75FD" w:rsidRPr="00E301C8">
        <w:rPr>
          <w:sz w:val="28"/>
          <w:szCs w:val="28"/>
        </w:rPr>
        <w:t>/</w:t>
      </w:r>
      <w:r w:rsidR="00710198" w:rsidRPr="00E301C8">
        <w:rPr>
          <w:sz w:val="28"/>
          <w:szCs w:val="28"/>
        </w:rPr>
        <w:t>844</w:t>
      </w:r>
      <w:bookmarkStart w:id="11" w:name="_Hlk524508651"/>
      <w:bookmarkEnd w:id="10"/>
    </w:p>
    <w:p w14:paraId="31C72CD1" w14:textId="77777777" w:rsidR="00580984" w:rsidRDefault="00580984" w:rsidP="00580984">
      <w:pPr>
        <w:pStyle w:val="LI-BodyTextNumbered"/>
        <w:ind w:left="567"/>
        <w:rPr>
          <w:b/>
        </w:rPr>
      </w:pPr>
      <w:bookmarkStart w:id="12" w:name="_Toc430266123"/>
      <w:r>
        <w:rPr>
          <w:b/>
        </w:rPr>
        <w:t>1</w:t>
      </w:r>
      <w:r>
        <w:rPr>
          <w:b/>
        </w:rPr>
        <w:tab/>
        <w:t>After subsection 6(1)</w:t>
      </w:r>
    </w:p>
    <w:p w14:paraId="410F1123" w14:textId="42177940" w:rsidR="00580984" w:rsidRDefault="00580984" w:rsidP="00580984">
      <w:pPr>
        <w:pStyle w:val="LI-BodyTextNumbered"/>
      </w:pPr>
      <w:r>
        <w:t>(1A)</w:t>
      </w:r>
      <w:r>
        <w:tab/>
        <w:t xml:space="preserve">From </w:t>
      </w:r>
      <w:r w:rsidRPr="00341F04">
        <w:t xml:space="preserve">the </w:t>
      </w:r>
      <w:r w:rsidR="00076690">
        <w:t xml:space="preserve">day </w:t>
      </w:r>
      <w:r w:rsidR="000F5D49">
        <w:t>after</w:t>
      </w:r>
      <w:r w:rsidR="00076690">
        <w:t xml:space="preserve"> the </w:t>
      </w:r>
      <w:r w:rsidRPr="00341F04">
        <w:t>Exemption End Date</w:t>
      </w:r>
      <w:r>
        <w:t xml:space="preserve">, a Reporting Entity does not have to comply with Rule 2.2.1 of the Rules to the extent that: </w:t>
      </w:r>
    </w:p>
    <w:p w14:paraId="7A1142EE" w14:textId="77777777" w:rsidR="00580984" w:rsidRDefault="00580984" w:rsidP="00580984">
      <w:pPr>
        <w:pStyle w:val="LI-BodyTextNumbered"/>
        <w:ind w:left="1701"/>
      </w:pPr>
      <w:r>
        <w:t>(a)</w:t>
      </w:r>
      <w:r>
        <w:tab/>
        <w:t xml:space="preserve">Rule 2.2.1 requires the Reporting Entity to report Entity Information about an entity (the </w:t>
      </w:r>
      <w:r w:rsidRPr="00A8485E">
        <w:rPr>
          <w:b/>
          <w:i/>
        </w:rPr>
        <w:t>Relevant Entity</w:t>
      </w:r>
      <w:r>
        <w:t>) in relation to a Reportable Transaction or a Reportable Position to a Trade Repository;</w:t>
      </w:r>
    </w:p>
    <w:p w14:paraId="03418ECA" w14:textId="77A9E06A" w:rsidR="00580984" w:rsidRDefault="00580984" w:rsidP="00580984">
      <w:pPr>
        <w:pStyle w:val="LI-BodyTextNumbered"/>
        <w:ind w:left="1701"/>
      </w:pPr>
      <w:r>
        <w:t>(b)</w:t>
      </w:r>
      <w:r>
        <w:tab/>
        <w:t xml:space="preserve">the Reportable Transaction or Reportable Position relates to an OTC Derivative </w:t>
      </w:r>
      <w:proofErr w:type="gramStart"/>
      <w:r>
        <w:t>entered into</w:t>
      </w:r>
      <w:proofErr w:type="gramEnd"/>
      <w:r>
        <w:t xml:space="preserve"> on or before the Exemption End Date</w:t>
      </w:r>
      <w:r w:rsidR="006C35FB">
        <w:t>;</w:t>
      </w:r>
      <w:r>
        <w:t xml:space="preserve"> and</w:t>
      </w:r>
    </w:p>
    <w:p w14:paraId="050F8546" w14:textId="77777777" w:rsidR="00580984" w:rsidRDefault="00580984" w:rsidP="00580984">
      <w:pPr>
        <w:pStyle w:val="LI-BodyTextNumbered"/>
        <w:ind w:left="1701"/>
      </w:pPr>
      <w:r>
        <w:t>(c)</w:t>
      </w:r>
      <w:r>
        <w:tab/>
        <w:t>the Entity Information is not available for the Relevant Entity.</w:t>
      </w:r>
    </w:p>
    <w:p w14:paraId="3F787026" w14:textId="218910A2" w:rsidR="00580984" w:rsidRDefault="00580984" w:rsidP="00580984">
      <w:pPr>
        <w:pStyle w:val="LI-BodyTextNumbered"/>
      </w:pPr>
      <w:r>
        <w:t>(1B)</w:t>
      </w:r>
      <w:r>
        <w:tab/>
      </w:r>
      <w:r w:rsidR="00076690">
        <w:t xml:space="preserve">From </w:t>
      </w:r>
      <w:r w:rsidR="00076690" w:rsidRPr="00341F04">
        <w:t xml:space="preserve">the </w:t>
      </w:r>
      <w:r w:rsidR="00076690">
        <w:t xml:space="preserve">day </w:t>
      </w:r>
      <w:r w:rsidR="000F5D49">
        <w:t>after</w:t>
      </w:r>
      <w:r w:rsidR="00076690">
        <w:t xml:space="preserve"> the </w:t>
      </w:r>
      <w:r w:rsidRPr="00341F04">
        <w:t>Exemption End Date</w:t>
      </w:r>
      <w:r>
        <w:t xml:space="preserve">, a Reporting Entity does not have to comply with Rule 2.2.1 of the Rules to the extent that: </w:t>
      </w:r>
    </w:p>
    <w:p w14:paraId="0A73489A" w14:textId="77777777" w:rsidR="00580984" w:rsidRDefault="00580984" w:rsidP="00580984">
      <w:pPr>
        <w:pStyle w:val="LI-BodyTextNumbered"/>
        <w:ind w:left="1701"/>
      </w:pPr>
      <w:r>
        <w:t>(a)</w:t>
      </w:r>
      <w:r>
        <w:tab/>
        <w:t>Rule 2.2.1 requires the Reporting Entity to report Entity Information about an entity (</w:t>
      </w:r>
      <w:r w:rsidRPr="00DA4981">
        <w:rPr>
          <w:b/>
          <w:i/>
        </w:rPr>
        <w:t>Relevant Entity</w:t>
      </w:r>
      <w:r>
        <w:t xml:space="preserve">) in relation to a Reportable Transaction or Reportable Position to a Trade Repository; </w:t>
      </w:r>
    </w:p>
    <w:p w14:paraId="03B4E83B" w14:textId="77777777" w:rsidR="00580984" w:rsidRDefault="00580984" w:rsidP="00580984">
      <w:pPr>
        <w:pStyle w:val="LI-BodyTextNumbered"/>
        <w:ind w:left="1701"/>
      </w:pPr>
      <w:r>
        <w:t>(b)</w:t>
      </w:r>
      <w:r>
        <w:tab/>
        <w:t xml:space="preserve">the Relevant Entity is not a Reporting Entity referred to in column 2 of Table S1.1 of the Rules; </w:t>
      </w:r>
    </w:p>
    <w:p w14:paraId="4E3DE052" w14:textId="79CCF5BF" w:rsidR="00580984" w:rsidRDefault="00580984" w:rsidP="00580984">
      <w:pPr>
        <w:pStyle w:val="LI-BodyTextNumbered"/>
        <w:ind w:left="1701"/>
      </w:pPr>
      <w:r>
        <w:t>(c)</w:t>
      </w:r>
      <w:r>
        <w:tab/>
        <w:t xml:space="preserve">the Reportable Transaction or Reportable Position relates to an OTC Derivative </w:t>
      </w:r>
      <w:proofErr w:type="gramStart"/>
      <w:r>
        <w:t>entered into</w:t>
      </w:r>
      <w:proofErr w:type="gramEnd"/>
      <w:r>
        <w:t xml:space="preserve"> after the Exemption End Date; and</w:t>
      </w:r>
    </w:p>
    <w:p w14:paraId="36D38F2B" w14:textId="77777777" w:rsidR="00580984" w:rsidRDefault="00580984" w:rsidP="00580984">
      <w:pPr>
        <w:pStyle w:val="LI-BodyTextNumbered"/>
        <w:ind w:left="1701"/>
      </w:pPr>
      <w:r>
        <w:t>(d)</w:t>
      </w:r>
      <w:r>
        <w:tab/>
        <w:t>the Entity Information is not available for the Relevant Entity.</w:t>
      </w:r>
    </w:p>
    <w:p w14:paraId="6D28353E" w14:textId="77777777" w:rsidR="00580984" w:rsidRDefault="00580984" w:rsidP="00580984">
      <w:pPr>
        <w:pStyle w:val="LI-BodyTextNumbered"/>
        <w:ind w:left="567"/>
        <w:rPr>
          <w:b/>
        </w:rPr>
      </w:pPr>
      <w:r>
        <w:rPr>
          <w:b/>
        </w:rPr>
        <w:t>2</w:t>
      </w:r>
      <w:r>
        <w:rPr>
          <w:b/>
        </w:rPr>
        <w:tab/>
        <w:t>Subsection 6(1A)</w:t>
      </w:r>
    </w:p>
    <w:p w14:paraId="3A8F7672" w14:textId="77777777" w:rsidR="00580984" w:rsidRDefault="00580984" w:rsidP="00580984">
      <w:pPr>
        <w:pStyle w:val="LI-BodyTextNumbered"/>
        <w:ind w:left="567" w:firstLine="0"/>
        <w:rPr>
          <w:bCs/>
        </w:rPr>
      </w:pPr>
      <w:r>
        <w:rPr>
          <w:bCs/>
        </w:rPr>
        <w:t>Renumber as subsection 6(1C)</w:t>
      </w:r>
    </w:p>
    <w:p w14:paraId="2CBFD50C" w14:textId="77777777" w:rsidR="00580984" w:rsidRDefault="00580984" w:rsidP="00580984">
      <w:pPr>
        <w:pStyle w:val="LI-BodyTextNumbered"/>
        <w:ind w:left="567" w:firstLine="0"/>
        <w:rPr>
          <w:bCs/>
        </w:rPr>
      </w:pPr>
      <w:r>
        <w:rPr>
          <w:bCs/>
        </w:rPr>
        <w:t>Omit “subsection (1)”, substitute “</w:t>
      </w:r>
      <w:r>
        <w:t>subsections (1), (1A) and (1B)</w:t>
      </w:r>
      <w:r>
        <w:rPr>
          <w:bCs/>
        </w:rPr>
        <w:t>”.</w:t>
      </w:r>
    </w:p>
    <w:p w14:paraId="565CFAD6" w14:textId="77777777" w:rsidR="00580984" w:rsidRDefault="00580984" w:rsidP="00580984">
      <w:pPr>
        <w:pStyle w:val="LI-BodyTextNumbered"/>
        <w:ind w:left="567"/>
        <w:rPr>
          <w:b/>
        </w:rPr>
      </w:pPr>
      <w:bookmarkStart w:id="13" w:name="_Hlk20400808"/>
      <w:r>
        <w:rPr>
          <w:b/>
        </w:rPr>
        <w:t>3</w:t>
      </w:r>
      <w:r>
        <w:rPr>
          <w:b/>
        </w:rPr>
        <w:tab/>
        <w:t>Subsection 6(2)</w:t>
      </w:r>
    </w:p>
    <w:p w14:paraId="480FB68A" w14:textId="77777777" w:rsidR="00580984" w:rsidRDefault="00580984" w:rsidP="00580984">
      <w:pPr>
        <w:pStyle w:val="LI-BodyTextNumbered"/>
        <w:ind w:left="567" w:firstLine="0"/>
        <w:rPr>
          <w:bCs/>
        </w:rPr>
      </w:pPr>
      <w:r>
        <w:rPr>
          <w:bCs/>
        </w:rPr>
        <w:t>Omit “</w:t>
      </w:r>
      <w:r w:rsidRPr="008A0864">
        <w:rPr>
          <w:bCs/>
        </w:rPr>
        <w:t>The exemption in subsection (1)</w:t>
      </w:r>
      <w:r>
        <w:rPr>
          <w:bCs/>
        </w:rPr>
        <w:t xml:space="preserve"> applies”, substitute “</w:t>
      </w:r>
      <w:r>
        <w:t>The exemptions in subsections (1), (1A) and (1B) apply</w:t>
      </w:r>
      <w:r>
        <w:rPr>
          <w:bCs/>
        </w:rPr>
        <w:t>”.</w:t>
      </w:r>
    </w:p>
    <w:bookmarkEnd w:id="13"/>
    <w:p w14:paraId="66778623" w14:textId="77777777" w:rsidR="00580984" w:rsidRDefault="00580984" w:rsidP="00580984">
      <w:pPr>
        <w:pStyle w:val="LI-BodyTextNumbered"/>
        <w:ind w:left="567"/>
        <w:rPr>
          <w:b/>
        </w:rPr>
      </w:pPr>
      <w:r>
        <w:rPr>
          <w:b/>
        </w:rPr>
        <w:t>4</w:t>
      </w:r>
      <w:r>
        <w:rPr>
          <w:b/>
        </w:rPr>
        <w:tab/>
        <w:t>Subsection 6(3)</w:t>
      </w:r>
    </w:p>
    <w:p w14:paraId="1261E474" w14:textId="77777777" w:rsidR="00580984" w:rsidRDefault="00580984" w:rsidP="00580984">
      <w:pPr>
        <w:pStyle w:val="LI-BodyTextNumbered"/>
        <w:ind w:left="567" w:firstLine="0"/>
      </w:pPr>
      <w:r>
        <w:rPr>
          <w:bCs/>
        </w:rPr>
        <w:t>Omit “The”, substitute “</w:t>
      </w:r>
      <w:r>
        <w:t>It is a condition of the exemptions in subsections (1) and (1A) that the”.</w:t>
      </w:r>
    </w:p>
    <w:p w14:paraId="5085F3A8" w14:textId="77777777" w:rsidR="00580984" w:rsidRDefault="00580984" w:rsidP="00580984">
      <w:pPr>
        <w:pStyle w:val="LI-BodyTextNumbered"/>
        <w:ind w:left="567"/>
        <w:rPr>
          <w:b/>
        </w:rPr>
      </w:pPr>
      <w:r>
        <w:rPr>
          <w:b/>
        </w:rPr>
        <w:lastRenderedPageBreak/>
        <w:t>5</w:t>
      </w:r>
      <w:r>
        <w:rPr>
          <w:b/>
        </w:rPr>
        <w:tab/>
        <w:t>After subsection 6(3)</w:t>
      </w:r>
    </w:p>
    <w:p w14:paraId="3DE152BE" w14:textId="77777777" w:rsidR="00580984" w:rsidRPr="00C75918" w:rsidRDefault="00580984" w:rsidP="00580984">
      <w:pPr>
        <w:pStyle w:val="LI-BodyTextNumbered"/>
        <w:ind w:left="567" w:firstLine="0"/>
        <w:rPr>
          <w:bCs/>
        </w:rPr>
      </w:pPr>
      <w:r>
        <w:rPr>
          <w:bCs/>
        </w:rPr>
        <w:t>I</w:t>
      </w:r>
      <w:r w:rsidRPr="00C75918">
        <w:rPr>
          <w:bCs/>
        </w:rPr>
        <w:t>nsert</w:t>
      </w:r>
      <w:r>
        <w:rPr>
          <w:bCs/>
        </w:rPr>
        <w:t>:</w:t>
      </w:r>
    </w:p>
    <w:p w14:paraId="3EF7C513" w14:textId="73AAB63D" w:rsidR="00BB22D3" w:rsidRDefault="00BB22D3" w:rsidP="00BB22D3">
      <w:pPr>
        <w:pStyle w:val="LI-BodyTextNumbered"/>
      </w:pPr>
      <w:r>
        <w:t>(3A)</w:t>
      </w:r>
      <w:r>
        <w:tab/>
        <w:t>It is a condition of the exemption in subsection (1B) that the Reporting Entity must use its best efforts to obtain the Entity Information as soon as reasonably practicable, including by maintaining and following documented procedures for</w:t>
      </w:r>
      <w:r w:rsidRPr="000902EA">
        <w:t xml:space="preserve"> </w:t>
      </w:r>
      <w:r>
        <w:t>one or both of the following:</w:t>
      </w:r>
    </w:p>
    <w:p w14:paraId="4250319C" w14:textId="77777777" w:rsidR="00BB22D3" w:rsidRDefault="00BB22D3" w:rsidP="00BB22D3">
      <w:pPr>
        <w:pStyle w:val="LI-BodyTextParaa"/>
      </w:pPr>
      <w:bookmarkStart w:id="14" w:name="_Hlk20741535"/>
      <w:r>
        <w:t>(a)</w:t>
      </w:r>
      <w:r>
        <w:tab/>
      </w:r>
      <w:bookmarkEnd w:id="14"/>
      <w:r>
        <w:t xml:space="preserve">requiring the Relevant Entity to: </w:t>
      </w:r>
    </w:p>
    <w:p w14:paraId="198C00FF" w14:textId="62BE08A4" w:rsidR="00BB22D3" w:rsidRDefault="00BB22D3" w:rsidP="00BB22D3">
      <w:pPr>
        <w:pStyle w:val="LI-BodyTextSubparai"/>
      </w:pPr>
      <w:r>
        <w:t>(</w:t>
      </w:r>
      <w:proofErr w:type="spellStart"/>
      <w:r>
        <w:t>i</w:t>
      </w:r>
      <w:proofErr w:type="spellEnd"/>
      <w:r>
        <w:t>)</w:t>
      </w:r>
      <w:r>
        <w:tab/>
        <w:t>apply for the issue of Entity Information</w:t>
      </w:r>
      <w:r w:rsidRPr="00174D44">
        <w:t xml:space="preserve"> </w:t>
      </w:r>
      <w:r>
        <w:t xml:space="preserve">within </w:t>
      </w:r>
      <w:r w:rsidR="009E5C72">
        <w:t>2</w:t>
      </w:r>
      <w:r>
        <w:t xml:space="preserve"> Business Day</w:t>
      </w:r>
      <w:r w:rsidR="009E5C72">
        <w:t>s</w:t>
      </w:r>
      <w:r>
        <w:t xml:space="preserve"> after the requirement to report the Entity Information arises, unless an application for the issue of Entity Information in relation to the Relevant Entity has already been made; and</w:t>
      </w:r>
    </w:p>
    <w:p w14:paraId="2B0EE984" w14:textId="3F6DEDCE" w:rsidR="00BB22D3" w:rsidRDefault="00BB22D3" w:rsidP="00BB22D3">
      <w:pPr>
        <w:pStyle w:val="LI-BodyTextSubparai"/>
      </w:pPr>
      <w:r>
        <w:t>(ii)</w:t>
      </w:r>
      <w:r>
        <w:tab/>
        <w:t xml:space="preserve">provide the Entity Information to the Reporting Entity as soon as reasonably practical after it is issued to the Relevant Entity; </w:t>
      </w:r>
      <w:r w:rsidR="00627DB8">
        <w:t>or</w:t>
      </w:r>
    </w:p>
    <w:p w14:paraId="76212D3D" w14:textId="52204EE0" w:rsidR="00BB22D3" w:rsidRDefault="009E5C72" w:rsidP="009E5C72">
      <w:pPr>
        <w:pStyle w:val="LI-BodyTextParaa"/>
      </w:pPr>
      <w:r>
        <w:t>(</w:t>
      </w:r>
      <w:r w:rsidR="002B6C90">
        <w:t>b</w:t>
      </w:r>
      <w:r>
        <w:t>)</w:t>
      </w:r>
      <w:r>
        <w:tab/>
      </w:r>
      <w:r w:rsidR="00BB22D3">
        <w:t>apply for the issue of Entity Information</w:t>
      </w:r>
      <w:r w:rsidR="00BB22D3" w:rsidRPr="00174D44">
        <w:t xml:space="preserve"> </w:t>
      </w:r>
      <w:r w:rsidR="00BB22D3">
        <w:t xml:space="preserve">on behalf of the Relevant Entity within </w:t>
      </w:r>
      <w:r>
        <w:t>2</w:t>
      </w:r>
      <w:r w:rsidR="00BB22D3">
        <w:t xml:space="preserve"> Business Day</w:t>
      </w:r>
      <w:r>
        <w:t>s</w:t>
      </w:r>
      <w:r w:rsidR="00BB22D3">
        <w:t xml:space="preserve"> after the requirement to report the Entity Information arises, unless an application for the issue of Entity Information in relation to the Relevant Entity has already been made.</w:t>
      </w:r>
    </w:p>
    <w:p w14:paraId="62F02D19" w14:textId="1A2D68ED" w:rsidR="009258B5" w:rsidRDefault="00C55D69" w:rsidP="009258B5">
      <w:pPr>
        <w:pStyle w:val="LI-BodyTextNumbered"/>
        <w:ind w:left="567"/>
        <w:rPr>
          <w:b/>
        </w:rPr>
      </w:pPr>
      <w:r>
        <w:rPr>
          <w:b/>
        </w:rPr>
        <w:t>6</w:t>
      </w:r>
      <w:r w:rsidR="009258B5">
        <w:rPr>
          <w:b/>
        </w:rPr>
        <w:tab/>
        <w:t>Subsection 6(5)</w:t>
      </w:r>
    </w:p>
    <w:p w14:paraId="32FF04E1" w14:textId="5D9480C0" w:rsidR="009258B5" w:rsidRDefault="009258B5" w:rsidP="009258B5">
      <w:pPr>
        <w:pStyle w:val="LI-BodyTextNumbered"/>
        <w:ind w:left="567" w:firstLine="0"/>
        <w:rPr>
          <w:bCs/>
        </w:rPr>
      </w:pPr>
      <w:r>
        <w:rPr>
          <w:bCs/>
        </w:rPr>
        <w:t>Omit “subsections (3) and (4)”, substitute “</w:t>
      </w:r>
      <w:r w:rsidR="007B04AA">
        <w:t>subsection (3) or (3A) (as applicable) and subsection (4)</w:t>
      </w:r>
      <w:r>
        <w:rPr>
          <w:bCs/>
        </w:rPr>
        <w:t>”.</w:t>
      </w:r>
    </w:p>
    <w:p w14:paraId="2A83F0A3" w14:textId="7DA5BC72" w:rsidR="006C0935" w:rsidRDefault="006C0935" w:rsidP="006C0935">
      <w:pPr>
        <w:pStyle w:val="LI-BodyTextNumbered"/>
        <w:ind w:left="567"/>
        <w:rPr>
          <w:b/>
        </w:rPr>
      </w:pPr>
      <w:r>
        <w:rPr>
          <w:b/>
        </w:rPr>
        <w:t>7</w:t>
      </w:r>
      <w:r>
        <w:rPr>
          <w:b/>
        </w:rPr>
        <w:tab/>
        <w:t>After subsection 6(6)</w:t>
      </w:r>
    </w:p>
    <w:p w14:paraId="09AB1A5F" w14:textId="0CFB6F2A" w:rsidR="006C0935" w:rsidRDefault="006C0935" w:rsidP="009258B5">
      <w:pPr>
        <w:pStyle w:val="LI-BodyTextNumbered"/>
        <w:ind w:left="567" w:firstLine="0"/>
        <w:rPr>
          <w:bCs/>
        </w:rPr>
      </w:pPr>
      <w:r>
        <w:rPr>
          <w:bCs/>
        </w:rPr>
        <w:t>Insert:</w:t>
      </w:r>
    </w:p>
    <w:p w14:paraId="05933EF0" w14:textId="77777777" w:rsidR="006C0935" w:rsidRPr="001F3155" w:rsidRDefault="006C0935" w:rsidP="006C0935">
      <w:pPr>
        <w:pStyle w:val="LI-BodyTextNumbered"/>
        <w:rPr>
          <w:i/>
        </w:rPr>
      </w:pPr>
      <w:r w:rsidRPr="001F3155">
        <w:rPr>
          <w:i/>
        </w:rPr>
        <w:t>Exclusion</w:t>
      </w:r>
    </w:p>
    <w:p w14:paraId="7CE232AF" w14:textId="77777777" w:rsidR="006C0935" w:rsidRDefault="006C0935" w:rsidP="006C0935">
      <w:pPr>
        <w:pStyle w:val="LI-BodyTextNumbered"/>
      </w:pPr>
      <w:r>
        <w:t>(7)</w:t>
      </w:r>
      <w:r>
        <w:tab/>
        <w:t xml:space="preserve">The exemption in subsection (1B) ceases to apply in relation to a Reporting Entity and a Relevant Entity if: </w:t>
      </w:r>
    </w:p>
    <w:p w14:paraId="0CBF57F1" w14:textId="68900C94" w:rsidR="006C0935" w:rsidRDefault="006C0935" w:rsidP="006C0935">
      <w:pPr>
        <w:pStyle w:val="LI-BodyTextNumbered"/>
        <w:numPr>
          <w:ilvl w:val="0"/>
          <w:numId w:val="23"/>
        </w:numPr>
      </w:pPr>
      <w:r>
        <w:t xml:space="preserve">Rule 2.2.1 requires the Reporting Entity to report Entity Information in relation to the Relevant Entity after the Exemption End Date in relation to an OTC Derivative </w:t>
      </w:r>
      <w:proofErr w:type="gramStart"/>
      <w:r>
        <w:t>entered into</w:t>
      </w:r>
      <w:proofErr w:type="gramEnd"/>
      <w:r>
        <w:t xml:space="preserve"> after the Exemption End Date; and</w:t>
      </w:r>
    </w:p>
    <w:p w14:paraId="239D6F7A" w14:textId="11DCABF7" w:rsidR="006C0935" w:rsidRDefault="006C0935" w:rsidP="006C0935">
      <w:pPr>
        <w:pStyle w:val="LI-BodyTextNumbered"/>
        <w:numPr>
          <w:ilvl w:val="0"/>
          <w:numId w:val="23"/>
        </w:numPr>
      </w:pPr>
      <w:r>
        <w:t xml:space="preserve">an application for the issue of Entity Information in relation to the Relevant Entity has not been made </w:t>
      </w:r>
      <w:r w:rsidR="00B82DAA">
        <w:t xml:space="preserve">within 2 </w:t>
      </w:r>
      <w:r w:rsidR="0037077E">
        <w:t xml:space="preserve">Business </w:t>
      </w:r>
      <w:r>
        <w:t>Day</w:t>
      </w:r>
      <w:r w:rsidR="0037077E">
        <w:t>s</w:t>
      </w:r>
      <w:r>
        <w:t xml:space="preserve"> after the requirement to report the Entity Information arises.</w:t>
      </w:r>
    </w:p>
    <w:p w14:paraId="217E1B0D" w14:textId="3FC81C3A" w:rsidR="00BB0030" w:rsidRDefault="00B130B6" w:rsidP="00BB0030">
      <w:pPr>
        <w:pStyle w:val="LI-BodyTextNumbered"/>
        <w:ind w:left="567"/>
        <w:rPr>
          <w:b/>
        </w:rPr>
      </w:pPr>
      <w:r>
        <w:rPr>
          <w:b/>
        </w:rPr>
        <w:t>8</w:t>
      </w:r>
      <w:r w:rsidR="00BB0030">
        <w:rPr>
          <w:b/>
        </w:rPr>
        <w:tab/>
        <w:t>After section 6</w:t>
      </w:r>
    </w:p>
    <w:p w14:paraId="475C0D7B" w14:textId="77777777" w:rsidR="00C55D69" w:rsidRPr="005D3D41" w:rsidRDefault="00C55D69" w:rsidP="00BB0030">
      <w:pPr>
        <w:pStyle w:val="LI-Heading2"/>
        <w:ind w:left="1134"/>
      </w:pPr>
      <w:r>
        <w:lastRenderedPageBreak/>
        <w:t>6A</w:t>
      </w:r>
      <w:r>
        <w:tab/>
        <w:t>Exemption 2A (Reference Entity Information)</w:t>
      </w:r>
    </w:p>
    <w:p w14:paraId="317E0139" w14:textId="77777777" w:rsidR="00C55D69" w:rsidRDefault="00C55D69" w:rsidP="00BB0030">
      <w:pPr>
        <w:pStyle w:val="LI-Heading3"/>
        <w:ind w:left="1134"/>
        <w:rPr>
          <w:sz w:val="24"/>
          <w:szCs w:val="24"/>
        </w:rPr>
      </w:pPr>
      <w:r>
        <w:rPr>
          <w:sz w:val="24"/>
          <w:szCs w:val="24"/>
        </w:rPr>
        <w:t>Relief</w:t>
      </w:r>
    </w:p>
    <w:p w14:paraId="4A01C3DE" w14:textId="1C9D1503" w:rsidR="00C55D69" w:rsidRDefault="00C55D69" w:rsidP="00BB0030">
      <w:pPr>
        <w:pStyle w:val="LI-BodyTextNumbered"/>
        <w:ind w:left="1701"/>
      </w:pPr>
      <w:r>
        <w:t>(1)</w:t>
      </w:r>
      <w:r>
        <w:tab/>
        <w:t>A Reporting Entity does not have to comply with Rule 2.2.1 of the Rules to the extent that Rule 2.2.1 requires the Reporting Entity to report the information in paragraph (a) of item 5 of Table S2.1(3) in the Rules (</w:t>
      </w:r>
      <w:r w:rsidRPr="00D7714C">
        <w:rPr>
          <w:b/>
          <w:i/>
        </w:rPr>
        <w:t>Reference Entity Information</w:t>
      </w:r>
      <w:r>
        <w:t>) about an entity (</w:t>
      </w:r>
      <w:r w:rsidRPr="00DA4981">
        <w:rPr>
          <w:b/>
          <w:i/>
        </w:rPr>
        <w:t>Re</w:t>
      </w:r>
      <w:r>
        <w:rPr>
          <w:b/>
          <w:i/>
        </w:rPr>
        <w:t>ference</w:t>
      </w:r>
      <w:r w:rsidRPr="00DA4981">
        <w:rPr>
          <w:b/>
          <w:i/>
        </w:rPr>
        <w:t xml:space="preserve"> Entity</w:t>
      </w:r>
      <w:r>
        <w:t xml:space="preserve">) in relation to a Reportable Transaction or Reportable Position </w:t>
      </w:r>
      <w:r w:rsidR="00E41025">
        <w:t>t</w:t>
      </w:r>
      <w:r>
        <w:t>o a Trade Repository.</w:t>
      </w:r>
    </w:p>
    <w:p w14:paraId="18DFF8B7" w14:textId="77777777" w:rsidR="00F86339" w:rsidRPr="001F3155" w:rsidRDefault="00F86339" w:rsidP="00F86339">
      <w:pPr>
        <w:pStyle w:val="LI-BodyTextNumbered"/>
        <w:ind w:left="1701"/>
        <w:rPr>
          <w:i/>
        </w:rPr>
      </w:pPr>
      <w:r w:rsidRPr="001F3155">
        <w:rPr>
          <w:i/>
        </w:rPr>
        <w:t>Where relief applies</w:t>
      </w:r>
    </w:p>
    <w:p w14:paraId="6355369B" w14:textId="77777777" w:rsidR="00F86339" w:rsidRDefault="00F86339" w:rsidP="00F86339">
      <w:pPr>
        <w:pStyle w:val="LI-BodyTextNumbered"/>
        <w:ind w:left="1701"/>
      </w:pPr>
      <w:r>
        <w:t>(2)</w:t>
      </w:r>
      <w:r>
        <w:tab/>
        <w:t>The exemption in subsection (1) applies where:</w:t>
      </w:r>
    </w:p>
    <w:p w14:paraId="571CC601" w14:textId="7ED2EAFA" w:rsidR="00F86339" w:rsidRDefault="00F86339" w:rsidP="00F86339">
      <w:pPr>
        <w:pStyle w:val="LI-BodyTextNumbered"/>
        <w:ind w:left="2268"/>
      </w:pPr>
      <w:r>
        <w:t>(a)</w:t>
      </w:r>
      <w:r>
        <w:tab/>
        <w:t>the Reportable Transaction or Reportable Position relates to an OTC Derivative that is a credit default swap</w:t>
      </w:r>
      <w:r w:rsidR="009E5C72">
        <w:t xml:space="preserve"> or a total return swap</w:t>
      </w:r>
      <w:r>
        <w:t>; and</w:t>
      </w:r>
    </w:p>
    <w:p w14:paraId="05E4EB36" w14:textId="77777777" w:rsidR="00F86339" w:rsidRDefault="00F86339" w:rsidP="00F86339">
      <w:pPr>
        <w:pStyle w:val="LI-BodyTextNumbered"/>
        <w:ind w:left="2268"/>
      </w:pPr>
      <w:r>
        <w:t>(b)</w:t>
      </w:r>
      <w:r>
        <w:tab/>
        <w:t xml:space="preserve">the Reporting Entity reports to the Trade Repository the CDS </w:t>
      </w:r>
      <w:r w:rsidRPr="00251797">
        <w:t>Reference Entity</w:t>
      </w:r>
      <w:r>
        <w:t xml:space="preserve"> Database code (also known as a “RED code”) issued by </w:t>
      </w:r>
      <w:r w:rsidRPr="00251797">
        <w:t xml:space="preserve">IHS Markit </w:t>
      </w:r>
      <w:r>
        <w:t>for the Reference Entity.</w:t>
      </w:r>
    </w:p>
    <w:p w14:paraId="587FF3B4" w14:textId="77777777" w:rsidR="00C55D69" w:rsidRPr="005D3D41" w:rsidRDefault="00C55D69" w:rsidP="00BB0030">
      <w:pPr>
        <w:pStyle w:val="LI-Heading2"/>
        <w:ind w:left="1134"/>
      </w:pPr>
      <w:r>
        <w:t>6B</w:t>
      </w:r>
      <w:r>
        <w:tab/>
        <w:t>Exemption 2B (Joint Counterparties)</w:t>
      </w:r>
    </w:p>
    <w:p w14:paraId="3FB53282" w14:textId="77777777" w:rsidR="00C55D69" w:rsidRDefault="00C55D69" w:rsidP="00BB0030">
      <w:pPr>
        <w:pStyle w:val="LI-Heading3"/>
        <w:ind w:left="1134"/>
        <w:rPr>
          <w:sz w:val="24"/>
          <w:szCs w:val="24"/>
        </w:rPr>
      </w:pPr>
      <w:r>
        <w:rPr>
          <w:sz w:val="24"/>
          <w:szCs w:val="24"/>
        </w:rPr>
        <w:t>Relief</w:t>
      </w:r>
    </w:p>
    <w:p w14:paraId="255F7135" w14:textId="77777777" w:rsidR="00C55D69" w:rsidRDefault="00C55D69" w:rsidP="00BB0030">
      <w:pPr>
        <w:pStyle w:val="LI-BodyTextNumbered"/>
        <w:ind w:left="1701"/>
      </w:pPr>
      <w:r>
        <w:t>(1)</w:t>
      </w:r>
      <w:r>
        <w:tab/>
        <w:t>A Reporting Entity does not have to comply with Rule 2.2.1 of the Rules to the extent that.</w:t>
      </w:r>
    </w:p>
    <w:p w14:paraId="5986B8C6" w14:textId="5DF43E06" w:rsidR="00C55D69" w:rsidRDefault="00C55D69" w:rsidP="00BB0030">
      <w:pPr>
        <w:pStyle w:val="LI-BodyTextNumbered"/>
        <w:ind w:left="2268"/>
      </w:pPr>
      <w:r>
        <w:t>(a)</w:t>
      </w:r>
      <w:r>
        <w:tab/>
        <w:t>Rule 2.2.1 requires the Reporting Entity to report Entity Information about an entity (</w:t>
      </w:r>
      <w:r w:rsidRPr="003D2BBC">
        <w:rPr>
          <w:b/>
          <w:i/>
        </w:rPr>
        <w:t>Relevant Entity</w:t>
      </w:r>
      <w:r>
        <w:t>) in relation to a Reportable Transaction or a Reportable Position to a Trade Repository;</w:t>
      </w:r>
    </w:p>
    <w:p w14:paraId="206B5873" w14:textId="620C09B8" w:rsidR="00C55D69" w:rsidRDefault="00C55D69" w:rsidP="00BB0030">
      <w:pPr>
        <w:pStyle w:val="LI-BodyTextNumbered"/>
        <w:ind w:left="2268"/>
      </w:pPr>
      <w:r>
        <w:t>(b)</w:t>
      </w:r>
      <w:r>
        <w:tab/>
        <w:t xml:space="preserve">the Relevant Entity is comprised of two or more </w:t>
      </w:r>
      <w:r w:rsidR="00E57B0F">
        <w:t>counterparties</w:t>
      </w:r>
      <w:r>
        <w:t xml:space="preserve"> that entered into the OTC Derivative the subject of the Reportable Transaction or Reportable Position as joint or joint and several counterparties</w:t>
      </w:r>
      <w:r w:rsidR="00627DB8">
        <w:t>;</w:t>
      </w:r>
      <w:r>
        <w:t xml:space="preserve"> and</w:t>
      </w:r>
    </w:p>
    <w:p w14:paraId="512D096B" w14:textId="77777777" w:rsidR="00C55D69" w:rsidRDefault="00C55D69" w:rsidP="00BB0030">
      <w:pPr>
        <w:pStyle w:val="LI-BodyTextNumbered"/>
        <w:ind w:left="2268"/>
      </w:pPr>
      <w:r>
        <w:t>(c)</w:t>
      </w:r>
      <w:r>
        <w:tab/>
        <w:t>Entity Information is not available for the Relevant Entity.</w:t>
      </w:r>
    </w:p>
    <w:p w14:paraId="47CF3F50" w14:textId="77777777" w:rsidR="00C55D69" w:rsidRPr="001F3155" w:rsidRDefault="00C55D69" w:rsidP="00BB0030">
      <w:pPr>
        <w:pStyle w:val="LI-BodyTextNumbered"/>
        <w:ind w:left="1701"/>
        <w:rPr>
          <w:i/>
        </w:rPr>
      </w:pPr>
      <w:r w:rsidRPr="001F3155">
        <w:rPr>
          <w:i/>
        </w:rPr>
        <w:t>Where relief applies</w:t>
      </w:r>
    </w:p>
    <w:p w14:paraId="74BCBA0C" w14:textId="2024DE3E" w:rsidR="00C55D69" w:rsidRDefault="00C55D69" w:rsidP="00BB0030">
      <w:pPr>
        <w:pStyle w:val="LI-BodyTextNumbered"/>
        <w:ind w:left="1701"/>
      </w:pPr>
      <w:r>
        <w:t>(2)</w:t>
      </w:r>
      <w:r>
        <w:tab/>
        <w:t>The exemption in subsection (1) applies where the Reporting Entity reports to the Trade Repository</w:t>
      </w:r>
      <w:r w:rsidRPr="002C1EF1">
        <w:t xml:space="preserve"> </w:t>
      </w:r>
      <w:r>
        <w:t>the internal entity identifier for the Relevant Entity used by the Reporting Entity.</w:t>
      </w:r>
    </w:p>
    <w:p w14:paraId="2E8B9095" w14:textId="77777777" w:rsidR="00D81485" w:rsidRPr="001A608F" w:rsidRDefault="00D81485" w:rsidP="00D81485">
      <w:pPr>
        <w:pStyle w:val="LI-BodyTextNumbered"/>
        <w:ind w:left="1701"/>
        <w:rPr>
          <w:i/>
        </w:rPr>
      </w:pPr>
      <w:r w:rsidRPr="001A608F">
        <w:rPr>
          <w:i/>
        </w:rPr>
        <w:t>Conditions</w:t>
      </w:r>
    </w:p>
    <w:p w14:paraId="3B367953" w14:textId="0FA584DA" w:rsidR="00D81485" w:rsidRPr="001A608F" w:rsidRDefault="00D81485" w:rsidP="00D81485">
      <w:pPr>
        <w:pStyle w:val="LI-BodyTextNumbered"/>
        <w:ind w:left="1701"/>
      </w:pPr>
      <w:r w:rsidRPr="001A608F">
        <w:lastRenderedPageBreak/>
        <w:t>(3)</w:t>
      </w:r>
      <w:r w:rsidRPr="001A608F">
        <w:tab/>
        <w:t>The Reporting Entity must maintain records</w:t>
      </w:r>
      <w:r w:rsidR="003C650E" w:rsidRPr="001A608F">
        <w:t xml:space="preserve"> of the </w:t>
      </w:r>
      <w:r w:rsidR="00585A96">
        <w:t>counterparties</w:t>
      </w:r>
      <w:r w:rsidR="00585A96" w:rsidRPr="001A608F">
        <w:t xml:space="preserve"> </w:t>
      </w:r>
      <w:r w:rsidR="003C650E" w:rsidRPr="001A608F">
        <w:t xml:space="preserve">that comprise the joint or joint and several counterparties to the OTC Derivative, and must be able to link those </w:t>
      </w:r>
      <w:r w:rsidR="00585A96">
        <w:t>counterparties</w:t>
      </w:r>
      <w:r w:rsidR="00585A96" w:rsidRPr="001A608F">
        <w:t xml:space="preserve"> </w:t>
      </w:r>
      <w:r w:rsidR="003C650E" w:rsidRPr="001A608F">
        <w:t xml:space="preserve">to the </w:t>
      </w:r>
      <w:r w:rsidRPr="001A608F">
        <w:t xml:space="preserve">internal </w:t>
      </w:r>
      <w:r w:rsidR="0050358C" w:rsidRPr="001A608F">
        <w:t xml:space="preserve">entity </w:t>
      </w:r>
      <w:r w:rsidRPr="001A608F">
        <w:t>identifier</w:t>
      </w:r>
      <w:r w:rsidR="003C650E" w:rsidRPr="001A608F">
        <w:t xml:space="preserve"> reported by the Reporting Entity to the Trade Repository.</w:t>
      </w:r>
    </w:p>
    <w:p w14:paraId="33D92CC9" w14:textId="36293355" w:rsidR="00D81485" w:rsidRPr="001A608F" w:rsidRDefault="00D81485" w:rsidP="00D81485">
      <w:pPr>
        <w:pStyle w:val="LI-BodyTextNumbered"/>
        <w:ind w:left="1701"/>
      </w:pPr>
      <w:r w:rsidRPr="001A608F">
        <w:t>(4)</w:t>
      </w:r>
      <w:r w:rsidRPr="001A608F">
        <w:tab/>
        <w:t>The Reporting Entity must, on written request by ASIC, provide ASIC with a written statement reporting on the Reporting Entity’s compliance with the condition in subsection (3) during the period specified in the request.</w:t>
      </w:r>
    </w:p>
    <w:p w14:paraId="1885E75D" w14:textId="5BE64DE0" w:rsidR="003C650E" w:rsidRPr="001A608F" w:rsidRDefault="003C650E" w:rsidP="003C650E">
      <w:pPr>
        <w:pStyle w:val="LI-BodyTextNumbered"/>
        <w:ind w:left="1701"/>
      </w:pPr>
      <w:r w:rsidRPr="001A608F">
        <w:t>(5)</w:t>
      </w:r>
      <w:r w:rsidRPr="001A608F">
        <w:tab/>
        <w:t xml:space="preserve">The Reporting Entity must, on written request by ASIC, provide ASIC with a written statement identifying the </w:t>
      </w:r>
      <w:r w:rsidR="00585A96">
        <w:t>counterparties</w:t>
      </w:r>
      <w:r w:rsidR="00585A96" w:rsidRPr="001A608F">
        <w:t xml:space="preserve"> </w:t>
      </w:r>
      <w:r w:rsidRPr="001A608F">
        <w:t>that comprise the joint or joint and several counterparties</w:t>
      </w:r>
      <w:r w:rsidR="00AD39CF" w:rsidRPr="001A608F">
        <w:t xml:space="preserve"> that are</w:t>
      </w:r>
      <w:r w:rsidRPr="001A608F">
        <w:t xml:space="preserve"> linked to an internal entity identifier</w:t>
      </w:r>
      <w:r w:rsidR="00AD39CF" w:rsidRPr="001A608F">
        <w:t xml:space="preserve"> that</w:t>
      </w:r>
      <w:r w:rsidRPr="001A608F">
        <w:t xml:space="preserve"> has been reported by the Reporting Entity to the Trade Repository.</w:t>
      </w:r>
    </w:p>
    <w:p w14:paraId="416EABA4" w14:textId="5094A052" w:rsidR="00D81485" w:rsidRDefault="00D81485" w:rsidP="00D81485">
      <w:pPr>
        <w:pStyle w:val="LI-BodyTextNumbered"/>
        <w:ind w:left="1701"/>
      </w:pPr>
      <w:r w:rsidRPr="001A608F">
        <w:t>(</w:t>
      </w:r>
      <w:r w:rsidR="00124730" w:rsidRPr="001A608F">
        <w:t>6</w:t>
      </w:r>
      <w:r w:rsidRPr="001A608F">
        <w:t>)</w:t>
      </w:r>
      <w:r w:rsidRPr="001A608F">
        <w:tab/>
        <w:t xml:space="preserve">The Reporting Entity must provide </w:t>
      </w:r>
      <w:r w:rsidR="008E0910" w:rsidRPr="001A608F">
        <w:t>a written</w:t>
      </w:r>
      <w:r w:rsidRPr="001A608F">
        <w:t xml:space="preserve"> statement under subsection (4) </w:t>
      </w:r>
      <w:r w:rsidR="00124730" w:rsidRPr="001A608F">
        <w:t xml:space="preserve">or (5) </w:t>
      </w:r>
      <w:r w:rsidRPr="001A608F">
        <w:t>within the time specified in the written request by ASIC or, if no time is specified, within a reasonable time.</w:t>
      </w:r>
    </w:p>
    <w:p w14:paraId="340CCB5F" w14:textId="7A90B18D" w:rsidR="007556B1" w:rsidRDefault="007556B1" w:rsidP="002269E1">
      <w:pPr>
        <w:pStyle w:val="LI-BodyTextNumbered"/>
        <w:ind w:left="567"/>
        <w:rPr>
          <w:b/>
        </w:rPr>
      </w:pPr>
    </w:p>
    <w:p w14:paraId="1BF878EB" w14:textId="7E0DEF30" w:rsidR="00393F6C" w:rsidRDefault="00393F6C" w:rsidP="00393F6C">
      <w:pPr>
        <w:pStyle w:val="LI-BodyTextNumbered"/>
        <w:tabs>
          <w:tab w:val="left" w:pos="1591"/>
        </w:tabs>
        <w:ind w:left="567"/>
        <w:rPr>
          <w:b/>
        </w:rPr>
      </w:pPr>
      <w:r>
        <w:rPr>
          <w:b/>
        </w:rPr>
        <w:tab/>
      </w:r>
      <w:r>
        <w:rPr>
          <w:b/>
        </w:rPr>
        <w:tab/>
      </w:r>
    </w:p>
    <w:p w14:paraId="57368798" w14:textId="0B057020" w:rsidR="00393F6C" w:rsidRDefault="00393F6C" w:rsidP="002269E1">
      <w:pPr>
        <w:pStyle w:val="LI-BodyTextNumbered"/>
        <w:ind w:left="567"/>
        <w:rPr>
          <w:b/>
        </w:rPr>
      </w:pPr>
    </w:p>
    <w:bookmarkEnd w:id="12"/>
    <w:p w14:paraId="6EA6A04B" w14:textId="561358E5" w:rsidR="00873411" w:rsidRDefault="00873411" w:rsidP="009F1170">
      <w:pPr>
        <w:pStyle w:val="LI-BodyTextNumbered"/>
        <w:ind w:left="567"/>
        <w:rPr>
          <w:bCs/>
        </w:rPr>
      </w:pPr>
    </w:p>
    <w:p w14:paraId="69647A0A" w14:textId="70A62FFC" w:rsidR="00AB17DE" w:rsidRPr="00AB17DE" w:rsidRDefault="00B854E3" w:rsidP="00F006E8">
      <w:pPr>
        <w:pStyle w:val="LI-BodyTextNumbered"/>
        <w:ind w:left="567"/>
      </w:pPr>
      <w:r>
        <w:rPr>
          <w:bCs/>
        </w:rPr>
        <w:tab/>
      </w:r>
      <w:bookmarkEnd w:id="11"/>
    </w:p>
    <w:sectPr w:rsidR="00AB17DE" w:rsidRPr="00AB17DE" w:rsidSect="0040053F">
      <w:headerReference w:type="even" r:id="rId29"/>
      <w:headerReference w:type="default" r:id="rId30"/>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C22EC" w14:textId="77777777" w:rsidR="005811EE" w:rsidRDefault="005811EE" w:rsidP="00715914">
      <w:pPr>
        <w:spacing w:line="240" w:lineRule="auto"/>
      </w:pPr>
      <w:r>
        <w:separator/>
      </w:r>
    </w:p>
  </w:endnote>
  <w:endnote w:type="continuationSeparator" w:id="0">
    <w:p w14:paraId="285ABEED" w14:textId="77777777" w:rsidR="005811EE" w:rsidRDefault="005811EE" w:rsidP="00715914">
      <w:pPr>
        <w:spacing w:line="240" w:lineRule="auto"/>
      </w:pPr>
      <w:r>
        <w:continuationSeparator/>
      </w:r>
    </w:p>
  </w:endnote>
  <w:endnote w:type="continuationNotice" w:id="1">
    <w:p w14:paraId="158F2878" w14:textId="77777777" w:rsidR="005811EE" w:rsidRDefault="005811E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313"/>
    </w:tblGrid>
    <w:tr w:rsidR="005811EE" w:rsidRPr="00081794" w14:paraId="5E6892D2" w14:textId="77777777" w:rsidTr="00081794">
      <w:tc>
        <w:tcPr>
          <w:tcW w:w="8472" w:type="dxa"/>
          <w:shd w:val="clear" w:color="auto" w:fill="auto"/>
        </w:tcPr>
        <w:p w14:paraId="5068C55E" w14:textId="77777777" w:rsidR="005811EE" w:rsidRPr="00081794" w:rsidRDefault="005811EE" w:rsidP="00081794">
          <w:pPr>
            <w:jc w:val="right"/>
            <w:rPr>
              <w:sz w:val="18"/>
            </w:rPr>
          </w:pPr>
          <w:r>
            <w:rPr>
              <w:noProof/>
              <w:lang w:eastAsia="en-AU"/>
            </w:rPr>
            <mc:AlternateContent>
              <mc:Choice Requires="wps">
                <w:drawing>
                  <wp:anchor distT="0" distB="0" distL="114300" distR="114300" simplePos="0" relativeHeight="251658243" behindDoc="1" locked="0" layoutInCell="1" allowOverlap="1" wp14:anchorId="2CE6A248" wp14:editId="26EC7229">
                    <wp:simplePos x="0" y="0"/>
                    <wp:positionH relativeFrom="column">
                      <wp:align>center</wp:align>
                    </wp:positionH>
                    <wp:positionV relativeFrom="page">
                      <wp:posOffset>10079990</wp:posOffset>
                    </wp:positionV>
                    <wp:extent cx="4410075" cy="400050"/>
                    <wp:effectExtent l="0" t="0" r="952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FA41AE2" w14:textId="4A461AA3" w:rsidR="005811EE" w:rsidRPr="00284719" w:rsidRDefault="005811EE"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6A248"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E19RTcHAwAAygYAAA4AAAAAAAAAAAAAAAAALgIAAGRycy9lMm9Eb2Mu&#10;eG1sUEsBAi0AFAAGAAgAAAAhADwCUpLfAAAACgEAAA8AAAAAAAAAAAAAAAAAYQUAAGRycy9kb3du&#10;cmV2LnhtbFBLBQYAAAAABAAEAPMAAABtBgAAAAA=&#10;" stroked="f">
                    <v:stroke joinstyle="round"/>
                    <v:path arrowok="t"/>
                    <v:textbox>
                      <w:txbxContent>
                        <w:p w14:paraId="0FA41AE2" w14:textId="4A461AA3" w:rsidR="005811EE" w:rsidRPr="00284719" w:rsidRDefault="005811EE"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081794">
            <w:rPr>
              <w:i/>
              <w:noProof/>
              <w:sz w:val="18"/>
            </w:rPr>
            <w:t>I14KE197.v07.docx</w:t>
          </w:r>
          <w:r w:rsidRPr="00081794">
            <w:rPr>
              <w:i/>
              <w:sz w:val="18"/>
            </w:rPr>
            <w:t xml:space="preserve"> </w:t>
          </w:r>
          <w:r w:rsidRPr="00081794">
            <w:rPr>
              <w:i/>
              <w:noProof/>
              <w:sz w:val="18"/>
            </w:rPr>
            <w:t>25/6/2014 3:37 PM</w:t>
          </w:r>
        </w:p>
      </w:tc>
    </w:tr>
  </w:tbl>
  <w:p w14:paraId="6CD55CCD" w14:textId="77777777" w:rsidR="005811EE" w:rsidRPr="007500C8" w:rsidRDefault="005811EE"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6F8E1" w14:textId="77777777" w:rsidR="005811EE" w:rsidRDefault="005811EE" w:rsidP="007500C8">
    <w:pPr>
      <w:pStyle w:val="Footer"/>
    </w:pPr>
    <w:r>
      <w:rPr>
        <w:noProof/>
      </w:rPr>
      <mc:AlternateContent>
        <mc:Choice Requires="wps">
          <w:drawing>
            <wp:anchor distT="0" distB="0" distL="114300" distR="114300" simplePos="0" relativeHeight="251658242" behindDoc="1" locked="0" layoutInCell="1" allowOverlap="1" wp14:anchorId="57E445BE" wp14:editId="6B54625D">
              <wp:simplePos x="0" y="0"/>
              <wp:positionH relativeFrom="column">
                <wp:align>center</wp:align>
              </wp:positionH>
              <wp:positionV relativeFrom="page">
                <wp:posOffset>10079990</wp:posOffset>
              </wp:positionV>
              <wp:extent cx="4410075" cy="400050"/>
              <wp:effectExtent l="0" t="0" r="952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9C094E3" w14:textId="77777777" w:rsidR="005811EE" w:rsidRPr="00284719" w:rsidRDefault="005811EE"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445BE"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gkBw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BaJmCQHAwAAygYAAA4AAAAAAAAAAAAAAAAALgIAAGRycy9lMm9Eb2Mu&#10;eG1sUEsBAi0AFAAGAAgAAAAhADwCUpLfAAAACgEAAA8AAAAAAAAAAAAAAAAAYQUAAGRycy9kb3du&#10;cmV2LnhtbFBLBQYAAAAABAAEAPMAAABtBgAAAAA=&#10;" stroked="f">
              <v:stroke joinstyle="round"/>
              <v:path arrowok="t"/>
              <v:textbox>
                <w:txbxContent>
                  <w:p w14:paraId="39C094E3" w14:textId="77777777" w:rsidR="005811EE" w:rsidRPr="00284719" w:rsidRDefault="005811EE"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5811EE" w:rsidRPr="00081794" w14:paraId="2923C8DA" w14:textId="77777777" w:rsidTr="00081794">
      <w:tc>
        <w:tcPr>
          <w:tcW w:w="8472" w:type="dxa"/>
          <w:shd w:val="clear" w:color="auto" w:fill="auto"/>
        </w:tcPr>
        <w:p w14:paraId="3F3681F1" w14:textId="77777777" w:rsidR="005811EE" w:rsidRPr="00081794" w:rsidRDefault="005811EE" w:rsidP="00102CA6">
          <w:pPr>
            <w:rPr>
              <w:sz w:val="18"/>
            </w:rPr>
          </w:pPr>
        </w:p>
      </w:tc>
    </w:tr>
  </w:tbl>
  <w:p w14:paraId="5CDD25EA" w14:textId="77777777" w:rsidR="005811EE" w:rsidRPr="007500C8" w:rsidRDefault="005811EE"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4C5FD" w14:textId="77777777" w:rsidR="005811EE" w:rsidRPr="00ED79B6" w:rsidRDefault="005811EE"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F15B" w14:textId="77777777" w:rsidR="005811EE" w:rsidRPr="00E2168B" w:rsidRDefault="005811EE" w:rsidP="00E2168B">
    <w:pPr>
      <w:pStyle w:val="LI-Footer"/>
    </w:pPr>
    <w:r w:rsidRPr="00A52B0F">
      <w:fldChar w:fldCharType="begin"/>
    </w:r>
    <w:r w:rsidRPr="00A52B0F">
      <w:instrText xml:space="preserve"> PAGE  \* Arabic  \* MERGEFORMAT </w:instrText>
    </w:r>
    <w:r w:rsidRPr="00A52B0F">
      <w:fldChar w:fldCharType="separate"/>
    </w:r>
    <w:r>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2503A" w14:textId="77777777" w:rsidR="005811EE" w:rsidRPr="00E33C1C" w:rsidRDefault="005811EE" w:rsidP="00243EC0">
    <w:pPr>
      <w:pStyle w:val="LI-Footer"/>
      <w:rPr>
        <w:sz w:val="16"/>
        <w:szCs w:val="16"/>
      </w:rPr>
    </w:pPr>
    <w:r w:rsidRPr="00A52B0F">
      <w:tab/>
    </w:r>
    <w:r>
      <w:t xml:space="preserve">Page </w:t>
    </w:r>
    <w:r w:rsidRPr="00A52B0F">
      <w:fldChar w:fldCharType="begin"/>
    </w:r>
    <w:r w:rsidRPr="00A52B0F">
      <w:instrText xml:space="preserve"> PAGE  \* Arabic  \* MERGEFORMAT </w:instrText>
    </w:r>
    <w:r w:rsidRPr="00A52B0F">
      <w:fldChar w:fldCharType="separate"/>
    </w:r>
    <w:r>
      <w:rPr>
        <w:noProof/>
      </w:rPr>
      <w:t>4</w:t>
    </w:r>
    <w:r w:rsidRPr="00A52B0F">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AB916" w14:textId="77777777" w:rsidR="005811EE" w:rsidRPr="00243EC0" w:rsidRDefault="005811EE" w:rsidP="00E2168B">
    <w:pPr>
      <w:pStyle w:val="LI-Footer"/>
    </w:pPr>
    <w:r w:rsidRPr="00A52B0F">
      <w:fldChar w:fldCharType="begin"/>
    </w:r>
    <w:r w:rsidRPr="00A52B0F">
      <w:instrText xml:space="preserve"> PAGE  \* Arabic  \* MERGEFORMAT </w:instrText>
    </w:r>
    <w:r w:rsidRPr="00A52B0F">
      <w:fldChar w:fldCharType="separate"/>
    </w:r>
    <w:r>
      <w:rPr>
        <w:noProof/>
      </w:rPr>
      <w:t>4</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A4797" w14:textId="77777777" w:rsidR="005811EE" w:rsidRPr="00E33C1C" w:rsidRDefault="005811EE"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7"/>
      <w:gridCol w:w="699"/>
    </w:tblGrid>
    <w:tr w:rsidR="005811EE" w:rsidRPr="00081794" w14:paraId="4126B33F" w14:textId="77777777" w:rsidTr="00081794">
      <w:tc>
        <w:tcPr>
          <w:tcW w:w="1384" w:type="dxa"/>
          <w:tcBorders>
            <w:top w:val="nil"/>
            <w:left w:val="nil"/>
            <w:bottom w:val="nil"/>
            <w:right w:val="nil"/>
          </w:tcBorders>
          <w:shd w:val="clear" w:color="auto" w:fill="auto"/>
        </w:tcPr>
        <w:p w14:paraId="44B90EB2" w14:textId="77777777" w:rsidR="005811EE" w:rsidRPr="00081794" w:rsidRDefault="005811EE" w:rsidP="00081794">
          <w:pPr>
            <w:spacing w:line="0" w:lineRule="atLeast"/>
            <w:rPr>
              <w:sz w:val="18"/>
            </w:rPr>
          </w:pPr>
        </w:p>
      </w:tc>
      <w:tc>
        <w:tcPr>
          <w:tcW w:w="6379" w:type="dxa"/>
          <w:tcBorders>
            <w:top w:val="nil"/>
            <w:left w:val="nil"/>
            <w:bottom w:val="nil"/>
            <w:right w:val="nil"/>
          </w:tcBorders>
          <w:shd w:val="clear" w:color="auto" w:fill="auto"/>
        </w:tcPr>
        <w:p w14:paraId="0A75AE44" w14:textId="17EB539F" w:rsidR="005811EE" w:rsidRPr="00081794" w:rsidRDefault="005811EE" w:rsidP="00081794">
          <w:pPr>
            <w:spacing w:line="0" w:lineRule="atLeast"/>
            <w:jc w:val="center"/>
            <w:rPr>
              <w:sz w:val="18"/>
            </w:rPr>
          </w:pPr>
          <w:r w:rsidRPr="00081794">
            <w:rPr>
              <w:i/>
              <w:sz w:val="18"/>
            </w:rPr>
            <w:fldChar w:fldCharType="begin"/>
          </w:r>
          <w:r w:rsidRPr="00081794">
            <w:rPr>
              <w:i/>
              <w:sz w:val="18"/>
            </w:rPr>
            <w:instrText xml:space="preserve"> DOCPROPERTY ShortT </w:instrText>
          </w:r>
          <w:r w:rsidRPr="00081794">
            <w:rPr>
              <w:i/>
              <w:sz w:val="18"/>
            </w:rPr>
            <w:fldChar w:fldCharType="separate"/>
          </w:r>
          <w:r>
            <w:rPr>
              <w:i/>
              <w:sz w:val="18"/>
            </w:rPr>
            <w:t>Australian Securities and Investments Commission Class Order 13/1050</w:t>
          </w:r>
          <w:r w:rsidRPr="00081794">
            <w:rPr>
              <w:i/>
              <w:sz w:val="18"/>
            </w:rPr>
            <w:fldChar w:fldCharType="end"/>
          </w:r>
        </w:p>
      </w:tc>
      <w:tc>
        <w:tcPr>
          <w:tcW w:w="709" w:type="dxa"/>
          <w:tcBorders>
            <w:top w:val="nil"/>
            <w:left w:val="nil"/>
            <w:bottom w:val="nil"/>
            <w:right w:val="nil"/>
          </w:tcBorders>
          <w:shd w:val="clear" w:color="auto" w:fill="auto"/>
        </w:tcPr>
        <w:p w14:paraId="5FAB13E2" w14:textId="77777777" w:rsidR="005811EE" w:rsidRPr="00081794" w:rsidRDefault="005811EE" w:rsidP="00081794">
          <w:pPr>
            <w:spacing w:line="0" w:lineRule="atLeast"/>
            <w:jc w:val="right"/>
            <w:rPr>
              <w:sz w:val="18"/>
            </w:rPr>
          </w:pPr>
          <w:r w:rsidRPr="00081794">
            <w:rPr>
              <w:i/>
              <w:sz w:val="18"/>
            </w:rPr>
            <w:fldChar w:fldCharType="begin"/>
          </w:r>
          <w:r w:rsidRPr="00081794">
            <w:rPr>
              <w:i/>
              <w:sz w:val="18"/>
            </w:rPr>
            <w:instrText xml:space="preserve"> PAGE </w:instrText>
          </w:r>
          <w:r w:rsidRPr="00081794">
            <w:rPr>
              <w:i/>
              <w:sz w:val="18"/>
            </w:rPr>
            <w:fldChar w:fldCharType="separate"/>
          </w:r>
          <w:r w:rsidRPr="00081794">
            <w:rPr>
              <w:i/>
              <w:noProof/>
              <w:sz w:val="18"/>
            </w:rPr>
            <w:t>4</w:t>
          </w:r>
          <w:r w:rsidRPr="00081794">
            <w:rPr>
              <w:i/>
              <w:sz w:val="18"/>
            </w:rPr>
            <w:fldChar w:fldCharType="end"/>
          </w:r>
        </w:p>
      </w:tc>
    </w:tr>
    <w:tr w:rsidR="005811EE" w:rsidRPr="00081794" w14:paraId="07D85D78" w14:textId="77777777" w:rsidTr="000817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04B7522E" w14:textId="77777777" w:rsidR="005811EE" w:rsidRPr="00081794" w:rsidRDefault="005811EE" w:rsidP="00102CA6">
          <w:pPr>
            <w:rPr>
              <w:sz w:val="18"/>
            </w:rPr>
          </w:pPr>
          <w:r w:rsidRPr="00081794">
            <w:rPr>
              <w:i/>
              <w:noProof/>
              <w:sz w:val="18"/>
            </w:rPr>
            <w:t>I14KE197.v01.docx</w:t>
          </w:r>
          <w:r w:rsidRPr="00081794">
            <w:rPr>
              <w:i/>
              <w:sz w:val="18"/>
            </w:rPr>
            <w:t xml:space="preserve"> </w:t>
          </w:r>
          <w:r w:rsidRPr="00081794">
            <w:rPr>
              <w:i/>
              <w:noProof/>
              <w:sz w:val="18"/>
            </w:rPr>
            <w:t>13/6/2014 3:07 PM</w:t>
          </w:r>
        </w:p>
      </w:tc>
    </w:tr>
  </w:tbl>
  <w:p w14:paraId="12868543" w14:textId="77777777" w:rsidR="005811EE" w:rsidRPr="00ED79B6" w:rsidRDefault="005811EE"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AE914" w14:textId="77777777" w:rsidR="005811EE" w:rsidRDefault="005811EE" w:rsidP="00715914">
      <w:pPr>
        <w:spacing w:line="240" w:lineRule="auto"/>
      </w:pPr>
      <w:r>
        <w:separator/>
      </w:r>
    </w:p>
  </w:footnote>
  <w:footnote w:type="continuationSeparator" w:id="0">
    <w:p w14:paraId="0EA2674F" w14:textId="77777777" w:rsidR="005811EE" w:rsidRDefault="005811EE" w:rsidP="00715914">
      <w:pPr>
        <w:spacing w:line="240" w:lineRule="auto"/>
      </w:pPr>
      <w:r>
        <w:continuationSeparator/>
      </w:r>
    </w:p>
  </w:footnote>
  <w:footnote w:type="continuationNotice" w:id="1">
    <w:p w14:paraId="528F01F6" w14:textId="77777777" w:rsidR="005811EE" w:rsidRDefault="005811E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E0F50" w14:textId="77777777" w:rsidR="005811EE" w:rsidRPr="005F1388" w:rsidRDefault="005811EE" w:rsidP="00715914">
    <w:pPr>
      <w:pStyle w:val="Header"/>
      <w:tabs>
        <w:tab w:val="clear" w:pos="4150"/>
        <w:tab w:val="clear" w:pos="8307"/>
      </w:tabs>
    </w:pPr>
    <w:r>
      <w:rPr>
        <w:noProof/>
      </w:rPr>
      <mc:AlternateContent>
        <mc:Choice Requires="wps">
          <w:drawing>
            <wp:anchor distT="0" distB="0" distL="114300" distR="114300" simplePos="0" relativeHeight="251658241" behindDoc="1" locked="0" layoutInCell="1" allowOverlap="1" wp14:anchorId="35C0D14D" wp14:editId="412A4BDE">
              <wp:simplePos x="0" y="0"/>
              <wp:positionH relativeFrom="column">
                <wp:align>center</wp:align>
              </wp:positionH>
              <wp:positionV relativeFrom="page">
                <wp:posOffset>143510</wp:posOffset>
              </wp:positionV>
              <wp:extent cx="4410075" cy="40005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1F4E698C" w14:textId="21FEAF4B" w:rsidR="005811EE" w:rsidRPr="00284719" w:rsidRDefault="005811EE"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C0D14D"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uh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y+mLoQMDAADDBgAADgAAAAAAAAAAAAAAAAAuAgAAZHJzL2Uyb0RvYy54bWxQSwEC&#10;LQAUAAYACAAAACEA5grfutwAAAAGAQAADwAAAAAAAAAAAAAAAABdBQAAZHJzL2Rvd25yZXYueG1s&#10;UEsFBgAAAAAEAAQA8wAAAGYGAAAAAA==&#10;" stroked="f">
              <v:stroke joinstyle="round"/>
              <v:path arrowok="t"/>
              <v:textbox>
                <w:txbxContent>
                  <w:p w14:paraId="1F4E698C" w14:textId="21FEAF4B" w:rsidR="005811EE" w:rsidRPr="00284719" w:rsidRDefault="005811EE"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4E9C3" w14:textId="77777777" w:rsidR="005811EE" w:rsidRPr="00243EC0" w:rsidRDefault="005811EE"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647" w:type="dxa"/>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521"/>
      <w:gridCol w:w="2126"/>
    </w:tblGrid>
    <w:tr w:rsidR="005811EE" w:rsidRPr="00E40FF8" w14:paraId="14217D31" w14:textId="77777777" w:rsidTr="00934E68">
      <w:tc>
        <w:tcPr>
          <w:tcW w:w="6521" w:type="dxa"/>
          <w:shd w:val="clear" w:color="auto" w:fill="auto"/>
        </w:tcPr>
        <w:p w14:paraId="243FA457" w14:textId="5982E8A1" w:rsidR="005811EE" w:rsidRDefault="005811EE" w:rsidP="003D4555">
          <w:pPr>
            <w:pStyle w:val="LI-Header"/>
            <w:pBdr>
              <w:bottom w:val="none" w:sz="0" w:space="0" w:color="auto"/>
            </w:pBdr>
            <w:jc w:val="left"/>
          </w:pPr>
          <w:r>
            <w:t>ASIC Corporations (Amendment) Instrument 2019/958</w:t>
          </w:r>
        </w:p>
      </w:tc>
      <w:tc>
        <w:tcPr>
          <w:tcW w:w="2126" w:type="dxa"/>
          <w:shd w:val="clear" w:color="auto" w:fill="auto"/>
        </w:tcPr>
        <w:p w14:paraId="38905534" w14:textId="5A618628" w:rsidR="005811EE" w:rsidRDefault="005811EE" w:rsidP="00934E68">
          <w:pPr>
            <w:pStyle w:val="LI-Header"/>
            <w:pBdr>
              <w:bottom w:val="none" w:sz="0" w:space="0" w:color="auto"/>
            </w:pBdr>
            <w:ind w:left="143"/>
            <w:jc w:val="left"/>
          </w:pPr>
          <w:r>
            <w:rPr>
              <w:noProof/>
            </w:rPr>
            <w:fldChar w:fldCharType="begin"/>
          </w:r>
          <w:r>
            <w:rPr>
              <w:noProof/>
            </w:rPr>
            <w:instrText xml:space="preserve"> STYLEREF  "LI - Heading 1" </w:instrText>
          </w:r>
          <w:r>
            <w:rPr>
              <w:noProof/>
            </w:rPr>
            <w:fldChar w:fldCharType="separate"/>
          </w:r>
          <w:r w:rsidR="009E1049">
            <w:rPr>
              <w:noProof/>
            </w:rPr>
            <w:t>Schedule 1—Amendments</w:t>
          </w:r>
          <w:r>
            <w:rPr>
              <w:noProof/>
            </w:rPr>
            <w:fldChar w:fldCharType="end"/>
          </w:r>
        </w:p>
      </w:tc>
    </w:tr>
  </w:tbl>
  <w:p w14:paraId="63CC7759" w14:textId="5737C4D6" w:rsidR="005811EE" w:rsidRPr="00F4215A" w:rsidRDefault="005811EE" w:rsidP="00F42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30611" w14:textId="77777777" w:rsidR="005811EE" w:rsidRPr="005F1388" w:rsidRDefault="005811EE" w:rsidP="00715914">
    <w:pPr>
      <w:pStyle w:val="Header"/>
      <w:tabs>
        <w:tab w:val="clear" w:pos="4150"/>
        <w:tab w:val="clear" w:pos="8307"/>
      </w:tabs>
    </w:pPr>
    <w:r>
      <w:rPr>
        <w:noProof/>
      </w:rPr>
      <mc:AlternateContent>
        <mc:Choice Requires="wps">
          <w:drawing>
            <wp:anchor distT="0" distB="0" distL="114300" distR="114300" simplePos="0" relativeHeight="251658240" behindDoc="1" locked="0" layoutInCell="1" allowOverlap="1" wp14:anchorId="0EAD55C6" wp14:editId="2AC04367">
              <wp:simplePos x="0" y="0"/>
              <wp:positionH relativeFrom="column">
                <wp:align>center</wp:align>
              </wp:positionH>
              <wp:positionV relativeFrom="page">
                <wp:posOffset>143510</wp:posOffset>
              </wp:positionV>
              <wp:extent cx="4410075" cy="400050"/>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60E529A" w14:textId="77777777" w:rsidR="005811EE" w:rsidRPr="00284719" w:rsidRDefault="005811EE"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D55C6" id="_x0000_t202" coordsize="21600,21600" o:spt="202" path="m,l,21600r21600,l21600,xe">
              <v:stroke joinstyle="miter"/>
              <v:path gradientshapeok="t" o:connecttype="rect"/>
            </v:shapetype>
            <v:shape id="Text Box 14" o:spid="_x0000_s1027"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K8Bg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AmSSvAYDAADKBgAADgAAAAAAAAAAAAAAAAAuAgAAZHJzL2Uyb0RvYy54bWxQ&#10;SwECLQAUAAYACAAAACEA5grfutwAAAAGAQAADwAAAAAAAAAAAAAAAABgBQAAZHJzL2Rvd25yZXYu&#10;eG1sUEsFBgAAAAAEAAQA8wAAAGkGAAAAAA==&#10;" stroked="f">
              <v:stroke joinstyle="round"/>
              <v:path arrowok="t"/>
              <v:textbox>
                <w:txbxContent>
                  <w:p w14:paraId="460E529A" w14:textId="77777777" w:rsidR="005811EE" w:rsidRPr="00284719" w:rsidRDefault="005811EE"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24253" w14:textId="48D6B12B" w:rsidR="005811EE" w:rsidRPr="005F1388" w:rsidRDefault="005811EE"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D6F86" w14:textId="77777777" w:rsidR="005811EE" w:rsidRDefault="005811EE"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5811EE" w:rsidRPr="00E40FF8" w14:paraId="0C051E51" w14:textId="77777777" w:rsidTr="00BF75C9">
      <w:tc>
        <w:tcPr>
          <w:tcW w:w="6804" w:type="dxa"/>
          <w:shd w:val="clear" w:color="auto" w:fill="auto"/>
        </w:tcPr>
        <w:p w14:paraId="1611D22F" w14:textId="25D79B0F" w:rsidR="005811EE" w:rsidRDefault="005811EE" w:rsidP="004373F6">
          <w:pPr>
            <w:pStyle w:val="LI-Header"/>
            <w:pBdr>
              <w:bottom w:val="none" w:sz="0" w:space="0" w:color="auto"/>
            </w:pBdr>
            <w:jc w:val="left"/>
          </w:pPr>
          <w:r>
            <w:t xml:space="preserve">ASIC Corporations (Amendment) Instrument 2019/958 </w:t>
          </w:r>
        </w:p>
      </w:tc>
      <w:tc>
        <w:tcPr>
          <w:tcW w:w="1509" w:type="dxa"/>
          <w:shd w:val="clear" w:color="auto" w:fill="auto"/>
        </w:tcPr>
        <w:p w14:paraId="44B9191C" w14:textId="77777777" w:rsidR="005811EE" w:rsidRDefault="005811EE" w:rsidP="00E40FF8">
          <w:pPr>
            <w:pStyle w:val="LI-Header"/>
            <w:pBdr>
              <w:bottom w:val="none" w:sz="0" w:space="0" w:color="auto"/>
            </w:pBdr>
          </w:pPr>
        </w:p>
      </w:tc>
    </w:tr>
  </w:tbl>
  <w:p w14:paraId="3B68C66B" w14:textId="77777777" w:rsidR="005811EE" w:rsidRPr="008945E0" w:rsidRDefault="005811EE"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0C82E" w14:textId="77777777" w:rsidR="005811EE" w:rsidRPr="00ED79B6" w:rsidRDefault="005811E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EA198" w14:textId="77777777" w:rsidR="005811EE" w:rsidRPr="00243EC0" w:rsidRDefault="005811EE"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2—Exemption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5811EE" w14:paraId="340E1ACA" w14:textId="77777777" w:rsidTr="00BF75C9">
      <w:tc>
        <w:tcPr>
          <w:tcW w:w="6804" w:type="dxa"/>
          <w:shd w:val="clear" w:color="auto" w:fill="auto"/>
        </w:tcPr>
        <w:p w14:paraId="26043580" w14:textId="2E2743BD" w:rsidR="005811EE" w:rsidRDefault="005811EE" w:rsidP="004373F6">
          <w:pPr>
            <w:pStyle w:val="LI-Header"/>
            <w:pBdr>
              <w:bottom w:val="none" w:sz="0" w:space="0" w:color="auto"/>
            </w:pBdr>
            <w:jc w:val="left"/>
          </w:pPr>
          <w:r>
            <w:t>ASIC Corporations (Amendment) Instrument 2019/958</w:t>
          </w:r>
        </w:p>
      </w:tc>
      <w:tc>
        <w:tcPr>
          <w:tcW w:w="1509" w:type="dxa"/>
          <w:shd w:val="clear" w:color="auto" w:fill="auto"/>
        </w:tcPr>
        <w:p w14:paraId="0A8539FB" w14:textId="6C4725BF" w:rsidR="005811EE" w:rsidRDefault="005811EE" w:rsidP="00E40FF8">
          <w:pPr>
            <w:pStyle w:val="LI-Header"/>
            <w:pBdr>
              <w:bottom w:val="none" w:sz="0" w:space="0" w:color="auto"/>
            </w:pBdr>
          </w:pPr>
          <w:r>
            <w:rPr>
              <w:noProof/>
            </w:rPr>
            <w:fldChar w:fldCharType="begin"/>
          </w:r>
          <w:r>
            <w:rPr>
              <w:noProof/>
            </w:rPr>
            <w:instrText xml:space="preserve"> STYLEREF  "LI - Heading 1" </w:instrText>
          </w:r>
          <w:r>
            <w:rPr>
              <w:noProof/>
            </w:rPr>
            <w:fldChar w:fldCharType="separate"/>
          </w:r>
          <w:r w:rsidR="009E1049">
            <w:rPr>
              <w:noProof/>
            </w:rPr>
            <w:t>Part 1—Preliminary</w:t>
          </w:r>
          <w:r>
            <w:rPr>
              <w:noProof/>
            </w:rPr>
            <w:fldChar w:fldCharType="end"/>
          </w:r>
        </w:p>
      </w:tc>
    </w:tr>
  </w:tbl>
  <w:p w14:paraId="1C269199" w14:textId="77777777" w:rsidR="005811EE" w:rsidRPr="00F4215A" w:rsidRDefault="005811EE" w:rsidP="00F421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30214" w14:textId="77777777" w:rsidR="005811EE" w:rsidRPr="007A1328" w:rsidRDefault="005811EE"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214BD0"/>
    <w:multiLevelType w:val="hybridMultilevel"/>
    <w:tmpl w:val="FC6EA584"/>
    <w:lvl w:ilvl="0" w:tplc="FD7AD81A">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6D4BA1"/>
    <w:multiLevelType w:val="hybridMultilevel"/>
    <w:tmpl w:val="FD983BA4"/>
    <w:lvl w:ilvl="0" w:tplc="8C423822">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9B5315E"/>
    <w:multiLevelType w:val="hybridMultilevel"/>
    <w:tmpl w:val="2E70D862"/>
    <w:lvl w:ilvl="0" w:tplc="0C090017">
      <w:start w:val="1"/>
      <w:numFmt w:val="lowerLetter"/>
      <w:lvlText w:val="%1)"/>
      <w:lvlJc w:val="left"/>
      <w:pPr>
        <w:ind w:left="1287" w:hanging="360"/>
      </w:pPr>
    </w:lvl>
    <w:lvl w:ilvl="1" w:tplc="3BDAA02C">
      <w:start w:val="1"/>
      <w:numFmt w:val="lowerRoman"/>
      <w:lvlText w:val="(%2)"/>
      <w:lvlJc w:val="left"/>
      <w:pPr>
        <w:ind w:left="2007" w:hanging="360"/>
      </w:pPr>
      <w:rPr>
        <w:rFonts w:hint="default"/>
      </w:r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38B36567"/>
    <w:multiLevelType w:val="hybridMultilevel"/>
    <w:tmpl w:val="4D3E97C8"/>
    <w:lvl w:ilvl="0" w:tplc="E5EC2FF6">
      <w:start w:val="1"/>
      <w:numFmt w:val="lowerLetter"/>
      <w:lvlText w:val="(%1)"/>
      <w:lvlJc w:val="left"/>
      <w:pPr>
        <w:ind w:left="2271" w:hanging="57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A8132A"/>
    <w:multiLevelType w:val="hybridMultilevel"/>
    <w:tmpl w:val="AA2011FA"/>
    <w:lvl w:ilvl="0" w:tplc="0E5C27D0">
      <w:start w:val="1"/>
      <w:numFmt w:val="lowerLetter"/>
      <w:lvlText w:val="(%1)"/>
      <w:lvlJc w:val="left"/>
      <w:pPr>
        <w:ind w:left="1689" w:hanging="555"/>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9" w15:restartNumberingAfterBreak="0">
    <w:nsid w:val="67D8102C"/>
    <w:multiLevelType w:val="hybridMultilevel"/>
    <w:tmpl w:val="1ECE4B9E"/>
    <w:lvl w:ilvl="0" w:tplc="E8DA8170">
      <w:start w:val="1"/>
      <w:numFmt w:val="lowerLetter"/>
      <w:lvlText w:val="(%1)"/>
      <w:lvlJc w:val="left"/>
      <w:pPr>
        <w:ind w:left="1689" w:hanging="555"/>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 w15:restartNumberingAfterBreak="0">
    <w:nsid w:val="71ED5CDD"/>
    <w:multiLevelType w:val="hybridMultilevel"/>
    <w:tmpl w:val="3724B388"/>
    <w:lvl w:ilvl="0" w:tplc="87787A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6F13F0A"/>
    <w:multiLevelType w:val="hybridMultilevel"/>
    <w:tmpl w:val="2B5A70DA"/>
    <w:lvl w:ilvl="0" w:tplc="B1E8BD18">
      <w:start w:val="1"/>
      <w:numFmt w:val="lowerRoman"/>
      <w:lvlText w:val="(%1)"/>
      <w:lvlJc w:val="right"/>
      <w:pPr>
        <w:ind w:left="2421" w:hanging="360"/>
      </w:pPr>
      <w:rPr>
        <w:rFonts w:hint="default"/>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22" w15:restartNumberingAfterBreak="0">
    <w:nsid w:val="7839623B"/>
    <w:multiLevelType w:val="hybridMultilevel"/>
    <w:tmpl w:val="6F7C74B4"/>
    <w:lvl w:ilvl="0" w:tplc="5C6AAA8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2"/>
  </w:num>
  <w:num w:numId="14">
    <w:abstractNumId w:val="17"/>
  </w:num>
  <w:num w:numId="15">
    <w:abstractNumId w:val="11"/>
  </w:num>
  <w:num w:numId="16">
    <w:abstractNumId w:val="22"/>
  </w:num>
  <w:num w:numId="17">
    <w:abstractNumId w:val="20"/>
  </w:num>
  <w:num w:numId="18">
    <w:abstractNumId w:val="13"/>
  </w:num>
  <w:num w:numId="19">
    <w:abstractNumId w:val="14"/>
  </w:num>
  <w:num w:numId="20">
    <w:abstractNumId w:val="21"/>
  </w:num>
  <w:num w:numId="21">
    <w:abstractNumId w:val="15"/>
  </w:num>
  <w:num w:numId="22">
    <w:abstractNumId w:val="1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attachedTemplate r:id="rId1"/>
  <w:stylePaneSortMethod w:val="0000"/>
  <w:doNotTrackFormatting/>
  <w:defaultTabStop w:val="720"/>
  <w:drawingGridHorizontalSpacing w:val="110"/>
  <w:displayHorizont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1A1"/>
    <w:rsid w:val="00004470"/>
    <w:rsid w:val="00005446"/>
    <w:rsid w:val="00005F87"/>
    <w:rsid w:val="00007233"/>
    <w:rsid w:val="000136AF"/>
    <w:rsid w:val="00013B8D"/>
    <w:rsid w:val="00023D53"/>
    <w:rsid w:val="00024B3E"/>
    <w:rsid w:val="00024E2B"/>
    <w:rsid w:val="000437C1"/>
    <w:rsid w:val="0005365D"/>
    <w:rsid w:val="000614BF"/>
    <w:rsid w:val="0006250C"/>
    <w:rsid w:val="00076690"/>
    <w:rsid w:val="0007762A"/>
    <w:rsid w:val="00081794"/>
    <w:rsid w:val="000835A5"/>
    <w:rsid w:val="000A0D6F"/>
    <w:rsid w:val="000A1152"/>
    <w:rsid w:val="000A142F"/>
    <w:rsid w:val="000A6C39"/>
    <w:rsid w:val="000B09F9"/>
    <w:rsid w:val="000B2FE3"/>
    <w:rsid w:val="000B58FA"/>
    <w:rsid w:val="000C1383"/>
    <w:rsid w:val="000C4FFB"/>
    <w:rsid w:val="000C55A0"/>
    <w:rsid w:val="000D05EF"/>
    <w:rsid w:val="000E2261"/>
    <w:rsid w:val="000E3C2E"/>
    <w:rsid w:val="000F0C7B"/>
    <w:rsid w:val="000F1671"/>
    <w:rsid w:val="000F1CD2"/>
    <w:rsid w:val="000F21C1"/>
    <w:rsid w:val="000F4C7D"/>
    <w:rsid w:val="000F5D49"/>
    <w:rsid w:val="000F6D40"/>
    <w:rsid w:val="000F73B7"/>
    <w:rsid w:val="000F7746"/>
    <w:rsid w:val="00101F32"/>
    <w:rsid w:val="00102307"/>
    <w:rsid w:val="00102CA6"/>
    <w:rsid w:val="00102ED7"/>
    <w:rsid w:val="00103E9A"/>
    <w:rsid w:val="0010745C"/>
    <w:rsid w:val="00111163"/>
    <w:rsid w:val="001159DA"/>
    <w:rsid w:val="00120985"/>
    <w:rsid w:val="00124730"/>
    <w:rsid w:val="0012599B"/>
    <w:rsid w:val="001276CD"/>
    <w:rsid w:val="001302BA"/>
    <w:rsid w:val="00132B7B"/>
    <w:rsid w:val="00132CEB"/>
    <w:rsid w:val="00134E31"/>
    <w:rsid w:val="0013772C"/>
    <w:rsid w:val="00142B62"/>
    <w:rsid w:val="00145DD2"/>
    <w:rsid w:val="001506AC"/>
    <w:rsid w:val="00151638"/>
    <w:rsid w:val="00157B8B"/>
    <w:rsid w:val="0016018B"/>
    <w:rsid w:val="00162992"/>
    <w:rsid w:val="00166C2F"/>
    <w:rsid w:val="001708D0"/>
    <w:rsid w:val="001715A3"/>
    <w:rsid w:val="00171A6E"/>
    <w:rsid w:val="001809D7"/>
    <w:rsid w:val="001850D6"/>
    <w:rsid w:val="001909DD"/>
    <w:rsid w:val="001939E1"/>
    <w:rsid w:val="00194C3E"/>
    <w:rsid w:val="00195382"/>
    <w:rsid w:val="00195A58"/>
    <w:rsid w:val="00195BD4"/>
    <w:rsid w:val="001A568A"/>
    <w:rsid w:val="001A608F"/>
    <w:rsid w:val="001B154B"/>
    <w:rsid w:val="001C21CE"/>
    <w:rsid w:val="001C4FBE"/>
    <w:rsid w:val="001C61C5"/>
    <w:rsid w:val="001C69C4"/>
    <w:rsid w:val="001C7CD5"/>
    <w:rsid w:val="001D37EF"/>
    <w:rsid w:val="001E0BF5"/>
    <w:rsid w:val="001E3590"/>
    <w:rsid w:val="001E7407"/>
    <w:rsid w:val="001F1B34"/>
    <w:rsid w:val="001F5655"/>
    <w:rsid w:val="001F5D5E"/>
    <w:rsid w:val="001F6219"/>
    <w:rsid w:val="001F6CD4"/>
    <w:rsid w:val="00206C4D"/>
    <w:rsid w:val="002102F3"/>
    <w:rsid w:val="0021053C"/>
    <w:rsid w:val="00215AF1"/>
    <w:rsid w:val="002269E1"/>
    <w:rsid w:val="00230F15"/>
    <w:rsid w:val="002321E8"/>
    <w:rsid w:val="00236D4A"/>
    <w:rsid w:val="00236EEC"/>
    <w:rsid w:val="0024010F"/>
    <w:rsid w:val="00240749"/>
    <w:rsid w:val="00243018"/>
    <w:rsid w:val="00243EC0"/>
    <w:rsid w:val="00244742"/>
    <w:rsid w:val="00245B7B"/>
    <w:rsid w:val="002564A4"/>
    <w:rsid w:val="00256D22"/>
    <w:rsid w:val="002609C4"/>
    <w:rsid w:val="0026736C"/>
    <w:rsid w:val="00272CDD"/>
    <w:rsid w:val="00275FD8"/>
    <w:rsid w:val="00281308"/>
    <w:rsid w:val="00281813"/>
    <w:rsid w:val="00284719"/>
    <w:rsid w:val="00296E29"/>
    <w:rsid w:val="00297ECB"/>
    <w:rsid w:val="002A0AC3"/>
    <w:rsid w:val="002A7BCF"/>
    <w:rsid w:val="002B19F3"/>
    <w:rsid w:val="002B4A0D"/>
    <w:rsid w:val="002B653E"/>
    <w:rsid w:val="002B6C90"/>
    <w:rsid w:val="002C40C9"/>
    <w:rsid w:val="002C55F2"/>
    <w:rsid w:val="002C6C1A"/>
    <w:rsid w:val="002D043A"/>
    <w:rsid w:val="002D07D1"/>
    <w:rsid w:val="002D3B58"/>
    <w:rsid w:val="002D6224"/>
    <w:rsid w:val="002E1474"/>
    <w:rsid w:val="002E3F4B"/>
    <w:rsid w:val="002F4B2D"/>
    <w:rsid w:val="003017B3"/>
    <w:rsid w:val="00304F8B"/>
    <w:rsid w:val="00305AA3"/>
    <w:rsid w:val="00327DDF"/>
    <w:rsid w:val="003354D2"/>
    <w:rsid w:val="00335BC6"/>
    <w:rsid w:val="003415D3"/>
    <w:rsid w:val="00344701"/>
    <w:rsid w:val="00346403"/>
    <w:rsid w:val="00347872"/>
    <w:rsid w:val="003528DA"/>
    <w:rsid w:val="00352B0F"/>
    <w:rsid w:val="00356690"/>
    <w:rsid w:val="00360459"/>
    <w:rsid w:val="00363E9F"/>
    <w:rsid w:val="00365497"/>
    <w:rsid w:val="0037077E"/>
    <w:rsid w:val="003708CA"/>
    <w:rsid w:val="00374DDD"/>
    <w:rsid w:val="00387A96"/>
    <w:rsid w:val="00390306"/>
    <w:rsid w:val="00393F6C"/>
    <w:rsid w:val="003A111C"/>
    <w:rsid w:val="003A2A48"/>
    <w:rsid w:val="003B732F"/>
    <w:rsid w:val="003C2096"/>
    <w:rsid w:val="003C34AE"/>
    <w:rsid w:val="003C4B2F"/>
    <w:rsid w:val="003C6231"/>
    <w:rsid w:val="003C650E"/>
    <w:rsid w:val="003D0BFE"/>
    <w:rsid w:val="003D4555"/>
    <w:rsid w:val="003D5700"/>
    <w:rsid w:val="003D6E8E"/>
    <w:rsid w:val="003E0F99"/>
    <w:rsid w:val="003E341B"/>
    <w:rsid w:val="003E6F35"/>
    <w:rsid w:val="003F388C"/>
    <w:rsid w:val="0040053F"/>
    <w:rsid w:val="004116CD"/>
    <w:rsid w:val="004144EC"/>
    <w:rsid w:val="00414D85"/>
    <w:rsid w:val="00417EB9"/>
    <w:rsid w:val="0042116C"/>
    <w:rsid w:val="00424CA9"/>
    <w:rsid w:val="004251C2"/>
    <w:rsid w:val="00431C3B"/>
    <w:rsid w:val="00431E9B"/>
    <w:rsid w:val="004373F6"/>
    <w:rsid w:val="004379E3"/>
    <w:rsid w:val="0044015E"/>
    <w:rsid w:val="0044291A"/>
    <w:rsid w:val="004429D7"/>
    <w:rsid w:val="00444ABD"/>
    <w:rsid w:val="00447DB4"/>
    <w:rsid w:val="004539F1"/>
    <w:rsid w:val="0045688C"/>
    <w:rsid w:val="00460F1D"/>
    <w:rsid w:val="00464912"/>
    <w:rsid w:val="00467661"/>
    <w:rsid w:val="004705B7"/>
    <w:rsid w:val="00472DBE"/>
    <w:rsid w:val="00474A19"/>
    <w:rsid w:val="00476C7C"/>
    <w:rsid w:val="004823C0"/>
    <w:rsid w:val="0048276B"/>
    <w:rsid w:val="00496B5F"/>
    <w:rsid w:val="00496F97"/>
    <w:rsid w:val="004A40D6"/>
    <w:rsid w:val="004A44FC"/>
    <w:rsid w:val="004B68D6"/>
    <w:rsid w:val="004E063A"/>
    <w:rsid w:val="004E3F1B"/>
    <w:rsid w:val="004E5704"/>
    <w:rsid w:val="004E7BEC"/>
    <w:rsid w:val="004F2071"/>
    <w:rsid w:val="004F4E49"/>
    <w:rsid w:val="0050044F"/>
    <w:rsid w:val="0050358C"/>
    <w:rsid w:val="00504B0C"/>
    <w:rsid w:val="00505D3D"/>
    <w:rsid w:val="00506AF6"/>
    <w:rsid w:val="00516B8D"/>
    <w:rsid w:val="00517E56"/>
    <w:rsid w:val="00522B3F"/>
    <w:rsid w:val="00530968"/>
    <w:rsid w:val="00532049"/>
    <w:rsid w:val="005356A7"/>
    <w:rsid w:val="00537FBC"/>
    <w:rsid w:val="00556934"/>
    <w:rsid w:val="005574D1"/>
    <w:rsid w:val="00565133"/>
    <w:rsid w:val="005657FE"/>
    <w:rsid w:val="00572BB1"/>
    <w:rsid w:val="0057750E"/>
    <w:rsid w:val="00580984"/>
    <w:rsid w:val="005811EE"/>
    <w:rsid w:val="00584811"/>
    <w:rsid w:val="00585784"/>
    <w:rsid w:val="00585A96"/>
    <w:rsid w:val="005938D2"/>
    <w:rsid w:val="00593AA6"/>
    <w:rsid w:val="00594161"/>
    <w:rsid w:val="00594749"/>
    <w:rsid w:val="005A16A2"/>
    <w:rsid w:val="005A74B3"/>
    <w:rsid w:val="005A75FD"/>
    <w:rsid w:val="005B1D21"/>
    <w:rsid w:val="005B4067"/>
    <w:rsid w:val="005B780C"/>
    <w:rsid w:val="005C1C22"/>
    <w:rsid w:val="005C3F41"/>
    <w:rsid w:val="005D0489"/>
    <w:rsid w:val="005D2D09"/>
    <w:rsid w:val="005D3DE0"/>
    <w:rsid w:val="005D46F6"/>
    <w:rsid w:val="005E0855"/>
    <w:rsid w:val="005E4810"/>
    <w:rsid w:val="005F52D5"/>
    <w:rsid w:val="005F65CD"/>
    <w:rsid w:val="006001F1"/>
    <w:rsid w:val="00600219"/>
    <w:rsid w:val="0060352E"/>
    <w:rsid w:val="00603DC4"/>
    <w:rsid w:val="00604E20"/>
    <w:rsid w:val="00607A71"/>
    <w:rsid w:val="006111A4"/>
    <w:rsid w:val="0061173A"/>
    <w:rsid w:val="0061693F"/>
    <w:rsid w:val="00620076"/>
    <w:rsid w:val="00627DB8"/>
    <w:rsid w:val="006343E9"/>
    <w:rsid w:val="00640161"/>
    <w:rsid w:val="00647598"/>
    <w:rsid w:val="00651071"/>
    <w:rsid w:val="00652769"/>
    <w:rsid w:val="0065542F"/>
    <w:rsid w:val="006554FF"/>
    <w:rsid w:val="00655874"/>
    <w:rsid w:val="00660DD0"/>
    <w:rsid w:val="006660FF"/>
    <w:rsid w:val="00670EA1"/>
    <w:rsid w:val="0067167D"/>
    <w:rsid w:val="00677CC2"/>
    <w:rsid w:val="0068108A"/>
    <w:rsid w:val="00681D6D"/>
    <w:rsid w:val="00683CD4"/>
    <w:rsid w:val="00685F52"/>
    <w:rsid w:val="006905DE"/>
    <w:rsid w:val="0069207B"/>
    <w:rsid w:val="0069394A"/>
    <w:rsid w:val="00696E12"/>
    <w:rsid w:val="006A7F57"/>
    <w:rsid w:val="006B057A"/>
    <w:rsid w:val="006B5789"/>
    <w:rsid w:val="006C0935"/>
    <w:rsid w:val="006C24B5"/>
    <w:rsid w:val="006C30C5"/>
    <w:rsid w:val="006C35FB"/>
    <w:rsid w:val="006C48FA"/>
    <w:rsid w:val="006C7F8C"/>
    <w:rsid w:val="006D256B"/>
    <w:rsid w:val="006D2D82"/>
    <w:rsid w:val="006D6122"/>
    <w:rsid w:val="006E5320"/>
    <w:rsid w:val="006E6246"/>
    <w:rsid w:val="006F11F9"/>
    <w:rsid w:val="006F318F"/>
    <w:rsid w:val="006F4226"/>
    <w:rsid w:val="006F5EB2"/>
    <w:rsid w:val="006F6CAB"/>
    <w:rsid w:val="0070017E"/>
    <w:rsid w:val="00700B2C"/>
    <w:rsid w:val="007039B3"/>
    <w:rsid w:val="007050A2"/>
    <w:rsid w:val="007078C2"/>
    <w:rsid w:val="00710198"/>
    <w:rsid w:val="00713084"/>
    <w:rsid w:val="00714F20"/>
    <w:rsid w:val="0071590F"/>
    <w:rsid w:val="00715914"/>
    <w:rsid w:val="00716829"/>
    <w:rsid w:val="00722B95"/>
    <w:rsid w:val="00724AEB"/>
    <w:rsid w:val="00726207"/>
    <w:rsid w:val="00730186"/>
    <w:rsid w:val="00731E00"/>
    <w:rsid w:val="00734673"/>
    <w:rsid w:val="00741EE8"/>
    <w:rsid w:val="007440B7"/>
    <w:rsid w:val="007500C8"/>
    <w:rsid w:val="00751036"/>
    <w:rsid w:val="0075106E"/>
    <w:rsid w:val="007532E6"/>
    <w:rsid w:val="007556B1"/>
    <w:rsid w:val="00756272"/>
    <w:rsid w:val="007662B5"/>
    <w:rsid w:val="0076681A"/>
    <w:rsid w:val="007715C9"/>
    <w:rsid w:val="00771613"/>
    <w:rsid w:val="00773F8F"/>
    <w:rsid w:val="00774D11"/>
    <w:rsid w:val="00774EDD"/>
    <w:rsid w:val="007757EC"/>
    <w:rsid w:val="00775B58"/>
    <w:rsid w:val="007775FC"/>
    <w:rsid w:val="007836C3"/>
    <w:rsid w:val="00783E89"/>
    <w:rsid w:val="00785A9E"/>
    <w:rsid w:val="007875B1"/>
    <w:rsid w:val="00791269"/>
    <w:rsid w:val="007912FD"/>
    <w:rsid w:val="00793915"/>
    <w:rsid w:val="007B04AA"/>
    <w:rsid w:val="007B4C4F"/>
    <w:rsid w:val="007B6DF6"/>
    <w:rsid w:val="007C2253"/>
    <w:rsid w:val="007C61D2"/>
    <w:rsid w:val="007D230B"/>
    <w:rsid w:val="007D3E02"/>
    <w:rsid w:val="007E163D"/>
    <w:rsid w:val="007E667A"/>
    <w:rsid w:val="007E6DD7"/>
    <w:rsid w:val="007F28C9"/>
    <w:rsid w:val="007F71CC"/>
    <w:rsid w:val="0080312D"/>
    <w:rsid w:val="00803587"/>
    <w:rsid w:val="008117E9"/>
    <w:rsid w:val="008221DC"/>
    <w:rsid w:val="00824498"/>
    <w:rsid w:val="0082759A"/>
    <w:rsid w:val="00840442"/>
    <w:rsid w:val="008439C8"/>
    <w:rsid w:val="00850F56"/>
    <w:rsid w:val="00851BD6"/>
    <w:rsid w:val="008527C0"/>
    <w:rsid w:val="00855E08"/>
    <w:rsid w:val="00856A31"/>
    <w:rsid w:val="00860B58"/>
    <w:rsid w:val="008628EA"/>
    <w:rsid w:val="00867927"/>
    <w:rsid w:val="00867B37"/>
    <w:rsid w:val="0087000E"/>
    <w:rsid w:val="00873411"/>
    <w:rsid w:val="0087395A"/>
    <w:rsid w:val="008754D0"/>
    <w:rsid w:val="00877BCD"/>
    <w:rsid w:val="008855C9"/>
    <w:rsid w:val="00886456"/>
    <w:rsid w:val="008945E0"/>
    <w:rsid w:val="0089527F"/>
    <w:rsid w:val="00896134"/>
    <w:rsid w:val="008A0864"/>
    <w:rsid w:val="008A362B"/>
    <w:rsid w:val="008A46E1"/>
    <w:rsid w:val="008A4F43"/>
    <w:rsid w:val="008B01EE"/>
    <w:rsid w:val="008B254C"/>
    <w:rsid w:val="008B2706"/>
    <w:rsid w:val="008B48FD"/>
    <w:rsid w:val="008B642A"/>
    <w:rsid w:val="008B76F9"/>
    <w:rsid w:val="008C0F29"/>
    <w:rsid w:val="008C28AD"/>
    <w:rsid w:val="008D0EE0"/>
    <w:rsid w:val="008D3422"/>
    <w:rsid w:val="008E0910"/>
    <w:rsid w:val="008E290E"/>
    <w:rsid w:val="008E531C"/>
    <w:rsid w:val="008E6067"/>
    <w:rsid w:val="008F54E7"/>
    <w:rsid w:val="008F7B19"/>
    <w:rsid w:val="00903422"/>
    <w:rsid w:val="009157B9"/>
    <w:rsid w:val="00915DF9"/>
    <w:rsid w:val="00921CE9"/>
    <w:rsid w:val="009254C3"/>
    <w:rsid w:val="009258B5"/>
    <w:rsid w:val="00930A0A"/>
    <w:rsid w:val="00931EC8"/>
    <w:rsid w:val="00932377"/>
    <w:rsid w:val="009331CD"/>
    <w:rsid w:val="00934C45"/>
    <w:rsid w:val="00934E68"/>
    <w:rsid w:val="00943C32"/>
    <w:rsid w:val="0094562B"/>
    <w:rsid w:val="00947D5A"/>
    <w:rsid w:val="009532A5"/>
    <w:rsid w:val="0095528E"/>
    <w:rsid w:val="00962120"/>
    <w:rsid w:val="0096753E"/>
    <w:rsid w:val="00972567"/>
    <w:rsid w:val="00982242"/>
    <w:rsid w:val="0098235D"/>
    <w:rsid w:val="009868E9"/>
    <w:rsid w:val="00986993"/>
    <w:rsid w:val="009944E6"/>
    <w:rsid w:val="009A42A7"/>
    <w:rsid w:val="009A49C9"/>
    <w:rsid w:val="009B02BE"/>
    <w:rsid w:val="009B69D4"/>
    <w:rsid w:val="009C1C85"/>
    <w:rsid w:val="009C5469"/>
    <w:rsid w:val="009D1818"/>
    <w:rsid w:val="009D2091"/>
    <w:rsid w:val="009E0B05"/>
    <w:rsid w:val="009E1049"/>
    <w:rsid w:val="009E43C7"/>
    <w:rsid w:val="009E50F1"/>
    <w:rsid w:val="009E5C72"/>
    <w:rsid w:val="009E5CFC"/>
    <w:rsid w:val="009F0047"/>
    <w:rsid w:val="009F1170"/>
    <w:rsid w:val="00A079CB"/>
    <w:rsid w:val="00A12128"/>
    <w:rsid w:val="00A12F48"/>
    <w:rsid w:val="00A14EA4"/>
    <w:rsid w:val="00A15512"/>
    <w:rsid w:val="00A20FCE"/>
    <w:rsid w:val="00A22C98"/>
    <w:rsid w:val="00A231E2"/>
    <w:rsid w:val="00A3101A"/>
    <w:rsid w:val="00A33D55"/>
    <w:rsid w:val="00A40424"/>
    <w:rsid w:val="00A446E7"/>
    <w:rsid w:val="00A52B0F"/>
    <w:rsid w:val="00A5632E"/>
    <w:rsid w:val="00A64912"/>
    <w:rsid w:val="00A70A74"/>
    <w:rsid w:val="00A800A8"/>
    <w:rsid w:val="00A8485E"/>
    <w:rsid w:val="00A84B2F"/>
    <w:rsid w:val="00A91966"/>
    <w:rsid w:val="00AA66AC"/>
    <w:rsid w:val="00AA671D"/>
    <w:rsid w:val="00AB17DE"/>
    <w:rsid w:val="00AB406C"/>
    <w:rsid w:val="00AC0886"/>
    <w:rsid w:val="00AC3E7B"/>
    <w:rsid w:val="00AD39CF"/>
    <w:rsid w:val="00AD5315"/>
    <w:rsid w:val="00AD5641"/>
    <w:rsid w:val="00AD7889"/>
    <w:rsid w:val="00AF021B"/>
    <w:rsid w:val="00AF06CF"/>
    <w:rsid w:val="00AF60B4"/>
    <w:rsid w:val="00B065B8"/>
    <w:rsid w:val="00B07CDB"/>
    <w:rsid w:val="00B10D2F"/>
    <w:rsid w:val="00B130B6"/>
    <w:rsid w:val="00B130CA"/>
    <w:rsid w:val="00B13FD7"/>
    <w:rsid w:val="00B16067"/>
    <w:rsid w:val="00B16A31"/>
    <w:rsid w:val="00B17DFD"/>
    <w:rsid w:val="00B209C2"/>
    <w:rsid w:val="00B23B08"/>
    <w:rsid w:val="00B26452"/>
    <w:rsid w:val="00B2799D"/>
    <w:rsid w:val="00B30475"/>
    <w:rsid w:val="00B308FE"/>
    <w:rsid w:val="00B33709"/>
    <w:rsid w:val="00B33B3C"/>
    <w:rsid w:val="00B3422F"/>
    <w:rsid w:val="00B35670"/>
    <w:rsid w:val="00B445F9"/>
    <w:rsid w:val="00B50ADC"/>
    <w:rsid w:val="00B538C4"/>
    <w:rsid w:val="00B566B1"/>
    <w:rsid w:val="00B63834"/>
    <w:rsid w:val="00B72734"/>
    <w:rsid w:val="00B72CBB"/>
    <w:rsid w:val="00B72D39"/>
    <w:rsid w:val="00B80199"/>
    <w:rsid w:val="00B80708"/>
    <w:rsid w:val="00B82D81"/>
    <w:rsid w:val="00B82DAA"/>
    <w:rsid w:val="00B83204"/>
    <w:rsid w:val="00B854E3"/>
    <w:rsid w:val="00B874EC"/>
    <w:rsid w:val="00B905B0"/>
    <w:rsid w:val="00B96183"/>
    <w:rsid w:val="00BA220B"/>
    <w:rsid w:val="00BA2950"/>
    <w:rsid w:val="00BA2AA6"/>
    <w:rsid w:val="00BA3A57"/>
    <w:rsid w:val="00BB0030"/>
    <w:rsid w:val="00BB208C"/>
    <w:rsid w:val="00BB22D3"/>
    <w:rsid w:val="00BB4E1A"/>
    <w:rsid w:val="00BB5C17"/>
    <w:rsid w:val="00BC015E"/>
    <w:rsid w:val="00BC1E4C"/>
    <w:rsid w:val="00BC5ED6"/>
    <w:rsid w:val="00BC7183"/>
    <w:rsid w:val="00BC76AC"/>
    <w:rsid w:val="00BD0ECB"/>
    <w:rsid w:val="00BD438A"/>
    <w:rsid w:val="00BE2155"/>
    <w:rsid w:val="00BE2213"/>
    <w:rsid w:val="00BE2B92"/>
    <w:rsid w:val="00BE4EA0"/>
    <w:rsid w:val="00BE719A"/>
    <w:rsid w:val="00BE720A"/>
    <w:rsid w:val="00BF0D73"/>
    <w:rsid w:val="00BF2465"/>
    <w:rsid w:val="00BF75C9"/>
    <w:rsid w:val="00C02164"/>
    <w:rsid w:val="00C02D44"/>
    <w:rsid w:val="00C02D7F"/>
    <w:rsid w:val="00C0544A"/>
    <w:rsid w:val="00C06187"/>
    <w:rsid w:val="00C11452"/>
    <w:rsid w:val="00C149D2"/>
    <w:rsid w:val="00C25E7F"/>
    <w:rsid w:val="00C2746F"/>
    <w:rsid w:val="00C278C8"/>
    <w:rsid w:val="00C324A0"/>
    <w:rsid w:val="00C3300F"/>
    <w:rsid w:val="00C35875"/>
    <w:rsid w:val="00C42BF8"/>
    <w:rsid w:val="00C42C54"/>
    <w:rsid w:val="00C43738"/>
    <w:rsid w:val="00C45171"/>
    <w:rsid w:val="00C470D0"/>
    <w:rsid w:val="00C47523"/>
    <w:rsid w:val="00C479AF"/>
    <w:rsid w:val="00C47A0D"/>
    <w:rsid w:val="00C50043"/>
    <w:rsid w:val="00C50B97"/>
    <w:rsid w:val="00C55D69"/>
    <w:rsid w:val="00C6434E"/>
    <w:rsid w:val="00C70CA8"/>
    <w:rsid w:val="00C7573B"/>
    <w:rsid w:val="00C75918"/>
    <w:rsid w:val="00C7737A"/>
    <w:rsid w:val="00C819CA"/>
    <w:rsid w:val="00C93B92"/>
    <w:rsid w:val="00C93C03"/>
    <w:rsid w:val="00CA10F0"/>
    <w:rsid w:val="00CA3A25"/>
    <w:rsid w:val="00CA66DC"/>
    <w:rsid w:val="00CB0E24"/>
    <w:rsid w:val="00CB1AA8"/>
    <w:rsid w:val="00CB2C8E"/>
    <w:rsid w:val="00CB3241"/>
    <w:rsid w:val="00CB4E5D"/>
    <w:rsid w:val="00CB602E"/>
    <w:rsid w:val="00CB6490"/>
    <w:rsid w:val="00CC3EF6"/>
    <w:rsid w:val="00CD1A1B"/>
    <w:rsid w:val="00CD2E90"/>
    <w:rsid w:val="00CE051D"/>
    <w:rsid w:val="00CE0D30"/>
    <w:rsid w:val="00CE1335"/>
    <w:rsid w:val="00CE3D2A"/>
    <w:rsid w:val="00CE493D"/>
    <w:rsid w:val="00CF07FA"/>
    <w:rsid w:val="00CF0A69"/>
    <w:rsid w:val="00CF0BB2"/>
    <w:rsid w:val="00CF3EE8"/>
    <w:rsid w:val="00CF7567"/>
    <w:rsid w:val="00D050E6"/>
    <w:rsid w:val="00D061B6"/>
    <w:rsid w:val="00D13441"/>
    <w:rsid w:val="00D150E7"/>
    <w:rsid w:val="00D255DF"/>
    <w:rsid w:val="00D3052B"/>
    <w:rsid w:val="00D31550"/>
    <w:rsid w:val="00D32F65"/>
    <w:rsid w:val="00D33B8A"/>
    <w:rsid w:val="00D341C4"/>
    <w:rsid w:val="00D45C57"/>
    <w:rsid w:val="00D52DC2"/>
    <w:rsid w:val="00D53BCC"/>
    <w:rsid w:val="00D6272A"/>
    <w:rsid w:val="00D62E3C"/>
    <w:rsid w:val="00D702DE"/>
    <w:rsid w:val="00D70DFB"/>
    <w:rsid w:val="00D710CE"/>
    <w:rsid w:val="00D73C22"/>
    <w:rsid w:val="00D74852"/>
    <w:rsid w:val="00D7567C"/>
    <w:rsid w:val="00D766DF"/>
    <w:rsid w:val="00D81485"/>
    <w:rsid w:val="00D82C4F"/>
    <w:rsid w:val="00D93801"/>
    <w:rsid w:val="00DA0085"/>
    <w:rsid w:val="00DA06AF"/>
    <w:rsid w:val="00DA0D6B"/>
    <w:rsid w:val="00DA186E"/>
    <w:rsid w:val="00DA1EE7"/>
    <w:rsid w:val="00DA4116"/>
    <w:rsid w:val="00DA41D5"/>
    <w:rsid w:val="00DA4C54"/>
    <w:rsid w:val="00DA4FCD"/>
    <w:rsid w:val="00DA6414"/>
    <w:rsid w:val="00DA7B63"/>
    <w:rsid w:val="00DB0CE5"/>
    <w:rsid w:val="00DB251C"/>
    <w:rsid w:val="00DB3241"/>
    <w:rsid w:val="00DB38AD"/>
    <w:rsid w:val="00DB4530"/>
    <w:rsid w:val="00DB4630"/>
    <w:rsid w:val="00DB692B"/>
    <w:rsid w:val="00DC4445"/>
    <w:rsid w:val="00DC4F88"/>
    <w:rsid w:val="00DE0A07"/>
    <w:rsid w:val="00DE37EA"/>
    <w:rsid w:val="00DE79F9"/>
    <w:rsid w:val="00DE7FEF"/>
    <w:rsid w:val="00E02532"/>
    <w:rsid w:val="00E05704"/>
    <w:rsid w:val="00E06CC3"/>
    <w:rsid w:val="00E11E44"/>
    <w:rsid w:val="00E13AFA"/>
    <w:rsid w:val="00E160FE"/>
    <w:rsid w:val="00E203E3"/>
    <w:rsid w:val="00E2168B"/>
    <w:rsid w:val="00E21F03"/>
    <w:rsid w:val="00E301C8"/>
    <w:rsid w:val="00E338EF"/>
    <w:rsid w:val="00E40FF8"/>
    <w:rsid w:val="00E41025"/>
    <w:rsid w:val="00E44D48"/>
    <w:rsid w:val="00E50FCF"/>
    <w:rsid w:val="00E544BB"/>
    <w:rsid w:val="00E578EC"/>
    <w:rsid w:val="00E57B0F"/>
    <w:rsid w:val="00E60423"/>
    <w:rsid w:val="00E62F35"/>
    <w:rsid w:val="00E661DB"/>
    <w:rsid w:val="00E662CB"/>
    <w:rsid w:val="00E714A4"/>
    <w:rsid w:val="00E74DC7"/>
    <w:rsid w:val="00E8075A"/>
    <w:rsid w:val="00E818A6"/>
    <w:rsid w:val="00E84A26"/>
    <w:rsid w:val="00E86920"/>
    <w:rsid w:val="00E93392"/>
    <w:rsid w:val="00E94D5E"/>
    <w:rsid w:val="00E94F4F"/>
    <w:rsid w:val="00EA139E"/>
    <w:rsid w:val="00EA581A"/>
    <w:rsid w:val="00EA7100"/>
    <w:rsid w:val="00EA7F9F"/>
    <w:rsid w:val="00EB0218"/>
    <w:rsid w:val="00EB1274"/>
    <w:rsid w:val="00EC40B7"/>
    <w:rsid w:val="00EC4757"/>
    <w:rsid w:val="00EC7EDB"/>
    <w:rsid w:val="00ED2BB6"/>
    <w:rsid w:val="00ED34E1"/>
    <w:rsid w:val="00ED3B8D"/>
    <w:rsid w:val="00EE00BA"/>
    <w:rsid w:val="00EE4377"/>
    <w:rsid w:val="00EE72A7"/>
    <w:rsid w:val="00EF2E3A"/>
    <w:rsid w:val="00F006E8"/>
    <w:rsid w:val="00F02EF9"/>
    <w:rsid w:val="00F072A7"/>
    <w:rsid w:val="00F078DC"/>
    <w:rsid w:val="00F07AA9"/>
    <w:rsid w:val="00F14593"/>
    <w:rsid w:val="00F171A1"/>
    <w:rsid w:val="00F23523"/>
    <w:rsid w:val="00F2429E"/>
    <w:rsid w:val="00F32BA8"/>
    <w:rsid w:val="00F3454F"/>
    <w:rsid w:val="00F349F1"/>
    <w:rsid w:val="00F34D33"/>
    <w:rsid w:val="00F4215A"/>
    <w:rsid w:val="00F4350D"/>
    <w:rsid w:val="00F50532"/>
    <w:rsid w:val="00F52169"/>
    <w:rsid w:val="00F567F7"/>
    <w:rsid w:val="00F56DE4"/>
    <w:rsid w:val="00F60F2F"/>
    <w:rsid w:val="00F61879"/>
    <w:rsid w:val="00F61B09"/>
    <w:rsid w:val="00F62036"/>
    <w:rsid w:val="00F64ED1"/>
    <w:rsid w:val="00F65B52"/>
    <w:rsid w:val="00F67BCA"/>
    <w:rsid w:val="00F71164"/>
    <w:rsid w:val="00F73BD6"/>
    <w:rsid w:val="00F838FB"/>
    <w:rsid w:val="00F83989"/>
    <w:rsid w:val="00F84DE9"/>
    <w:rsid w:val="00F85099"/>
    <w:rsid w:val="00F86339"/>
    <w:rsid w:val="00F86B70"/>
    <w:rsid w:val="00F87B6F"/>
    <w:rsid w:val="00F92C6C"/>
    <w:rsid w:val="00F9379C"/>
    <w:rsid w:val="00F9469F"/>
    <w:rsid w:val="00F9632C"/>
    <w:rsid w:val="00FA0A39"/>
    <w:rsid w:val="00FA0F44"/>
    <w:rsid w:val="00FA1E52"/>
    <w:rsid w:val="00FA31DE"/>
    <w:rsid w:val="00FA51CA"/>
    <w:rsid w:val="00FA5C23"/>
    <w:rsid w:val="00FA7D17"/>
    <w:rsid w:val="00FC3EB8"/>
    <w:rsid w:val="00FC7D25"/>
    <w:rsid w:val="00FD15DB"/>
    <w:rsid w:val="00FE4688"/>
    <w:rsid w:val="00FE4E66"/>
    <w:rsid w:val="00FE72D6"/>
    <w:rsid w:val="00FE79D0"/>
    <w:rsid w:val="00FF3D6E"/>
    <w:rsid w:val="00FF59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3EB17E7"/>
  <w15:docId w15:val="{F9FA0E5C-ECCD-492B-9B0E-D53EF8FD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customStyle="1" w:styleId="acthead5">
    <w:name w:val="acthead5"/>
    <w:basedOn w:val="Normal"/>
    <w:rsid w:val="005C1C22"/>
    <w:pPr>
      <w:spacing w:before="100" w:beforeAutospacing="1" w:after="100" w:afterAutospacing="1" w:line="240" w:lineRule="auto"/>
    </w:pPr>
    <w:rPr>
      <w:rFonts w:eastAsia="Times New Roman"/>
      <w:sz w:val="24"/>
      <w:szCs w:val="24"/>
      <w:lang w:eastAsia="en-AU"/>
    </w:rPr>
  </w:style>
  <w:style w:type="character" w:customStyle="1" w:styleId="LI-SectionsubsubparaAChar">
    <w:name w:val="LI - Section subsubpara (A) Char"/>
    <w:link w:val="LI-SectionsubsubparaA"/>
    <w:rsid w:val="006554FF"/>
    <w:rPr>
      <w:rFonts w:eastAsia="Times New Roman"/>
      <w:sz w:val="24"/>
      <w:szCs w:val="24"/>
    </w:rPr>
  </w:style>
  <w:style w:type="character" w:customStyle="1" w:styleId="charsectno0">
    <w:name w:val="charsectno"/>
    <w:rsid w:val="005C1C22"/>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semiHidden/>
    <w:unhideWhenUsed/>
    <w:rsid w:val="00D702DE"/>
    <w:rPr>
      <w:sz w:val="20"/>
    </w:rPr>
  </w:style>
  <w:style w:type="character" w:customStyle="1" w:styleId="CommentTextChar">
    <w:name w:val="Comment Text Char"/>
    <w:link w:val="CommentText"/>
    <w:uiPriority w:val="99"/>
    <w:semiHidden/>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link w:val="LI-Header"/>
    <w:rsid w:val="0040053F"/>
    <w:rPr>
      <w:i/>
      <w:sz w:val="18"/>
      <w:lang w:eastAsia="en-US"/>
    </w:rPr>
  </w:style>
  <w:style w:type="paragraph" w:customStyle="1" w:styleId="subsection">
    <w:name w:val="subsection"/>
    <w:basedOn w:val="Normal"/>
    <w:rsid w:val="005C1C22"/>
    <w:pPr>
      <w:spacing w:before="100" w:beforeAutospacing="1" w:after="100" w:afterAutospacing="1" w:line="240" w:lineRule="auto"/>
    </w:pPr>
    <w:rPr>
      <w:rFonts w:eastAsia="Times New Roman"/>
      <w:sz w:val="24"/>
      <w:szCs w:val="24"/>
      <w:lang w:eastAsia="en-AU"/>
    </w:rPr>
  </w:style>
  <w:style w:type="character" w:customStyle="1" w:styleId="LI-SubtitleChar">
    <w:name w:val="LI - Subtitle Char"/>
    <w:link w:val="LI-Subtitle"/>
    <w:rsid w:val="00243EC0"/>
    <w:rPr>
      <w:b/>
      <w:sz w:val="28"/>
      <w:szCs w:val="28"/>
    </w:rPr>
  </w:style>
  <w:style w:type="paragraph" w:customStyle="1" w:styleId="Default">
    <w:name w:val="Default"/>
    <w:basedOn w:val="Normal"/>
    <w:rsid w:val="00FA0F44"/>
    <w:pPr>
      <w:autoSpaceDE w:val="0"/>
      <w:autoSpaceDN w:val="0"/>
      <w:spacing w:line="240" w:lineRule="auto"/>
    </w:pPr>
    <w:rPr>
      <w:rFonts w:eastAsiaTheme="minorHAnsi"/>
      <w:color w:val="000000"/>
      <w:sz w:val="24"/>
      <w:szCs w:val="24"/>
      <w:lang w:eastAsia="en-AU"/>
    </w:rPr>
  </w:style>
  <w:style w:type="paragraph" w:styleId="FootnoteText">
    <w:name w:val="footnote text"/>
    <w:basedOn w:val="Normal"/>
    <w:link w:val="FootnoteTextChar"/>
    <w:semiHidden/>
    <w:unhideWhenUsed/>
    <w:rsid w:val="007912FD"/>
    <w:pPr>
      <w:spacing w:line="240" w:lineRule="auto"/>
    </w:pPr>
    <w:rPr>
      <w:rFonts w:ascii="Arial" w:eastAsia="Times New Roman" w:hAnsi="Arial" w:cs="Arial"/>
      <w:sz w:val="20"/>
    </w:rPr>
  </w:style>
  <w:style w:type="character" w:customStyle="1" w:styleId="FootnoteTextChar">
    <w:name w:val="Footnote Text Char"/>
    <w:basedOn w:val="DefaultParagraphFont"/>
    <w:link w:val="FootnoteText"/>
    <w:semiHidden/>
    <w:rsid w:val="007912FD"/>
    <w:rPr>
      <w:rFonts w:ascii="Arial" w:eastAsia="Times New Roman" w:hAnsi="Arial" w:cs="Arial"/>
      <w:lang w:eastAsia="en-US"/>
    </w:rPr>
  </w:style>
  <w:style w:type="character" w:styleId="FootnoteReference">
    <w:name w:val="footnote reference"/>
    <w:semiHidden/>
    <w:unhideWhenUsed/>
    <w:rsid w:val="007912FD"/>
    <w:rPr>
      <w:vertAlign w:val="superscript"/>
    </w:rPr>
  </w:style>
  <w:style w:type="paragraph" w:styleId="Revision">
    <w:name w:val="Revision"/>
    <w:hidden/>
    <w:uiPriority w:val="99"/>
    <w:semiHidden/>
    <w:rsid w:val="00272CDD"/>
    <w:rPr>
      <w:sz w:val="22"/>
      <w:lang w:eastAsia="en-US"/>
    </w:rPr>
  </w:style>
  <w:style w:type="paragraph" w:customStyle="1" w:styleId="li-bodytextnumbered0">
    <w:name w:val="li-bodytextnumbered"/>
    <w:basedOn w:val="Normal"/>
    <w:rsid w:val="00BE2B92"/>
    <w:pPr>
      <w:spacing w:before="100" w:beforeAutospacing="1" w:after="100" w:afterAutospacing="1" w:line="240" w:lineRule="auto"/>
    </w:pPr>
    <w:rPr>
      <w:rFonts w:eastAsia="Times New Roman"/>
      <w:sz w:val="24"/>
      <w:szCs w:val="24"/>
      <w:lang w:eastAsia="en-AU"/>
    </w:rPr>
  </w:style>
  <w:style w:type="character" w:customStyle="1" w:styleId="ilfuvd">
    <w:name w:val="ilfuvd"/>
    <w:basedOn w:val="DefaultParagraphFont"/>
    <w:rsid w:val="00BE2B92"/>
  </w:style>
  <w:style w:type="character" w:customStyle="1" w:styleId="st1">
    <w:name w:val="st1"/>
    <w:basedOn w:val="DefaultParagraphFont"/>
    <w:rsid w:val="00BE2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763424">
      <w:bodyDiv w:val="1"/>
      <w:marLeft w:val="0"/>
      <w:marRight w:val="0"/>
      <w:marTop w:val="0"/>
      <w:marBottom w:val="0"/>
      <w:divBdr>
        <w:top w:val="none" w:sz="0" w:space="0" w:color="auto"/>
        <w:left w:val="none" w:sz="0" w:space="0" w:color="auto"/>
        <w:bottom w:val="none" w:sz="0" w:space="0" w:color="auto"/>
        <w:right w:val="none" w:sz="0" w:space="0" w:color="auto"/>
      </w:divBdr>
    </w:div>
    <w:div w:id="349532704">
      <w:bodyDiv w:val="1"/>
      <w:marLeft w:val="0"/>
      <w:marRight w:val="0"/>
      <w:marTop w:val="0"/>
      <w:marBottom w:val="0"/>
      <w:divBdr>
        <w:top w:val="none" w:sz="0" w:space="0" w:color="auto"/>
        <w:left w:val="none" w:sz="0" w:space="0" w:color="auto"/>
        <w:bottom w:val="none" w:sz="0" w:space="0" w:color="auto"/>
        <w:right w:val="none" w:sz="0" w:space="0" w:color="auto"/>
      </w:divBdr>
      <w:divsChild>
        <w:div w:id="1620456792">
          <w:marLeft w:val="0"/>
          <w:marRight w:val="0"/>
          <w:marTop w:val="0"/>
          <w:marBottom w:val="0"/>
          <w:divBdr>
            <w:top w:val="none" w:sz="0" w:space="0" w:color="auto"/>
            <w:left w:val="none" w:sz="0" w:space="0" w:color="auto"/>
            <w:bottom w:val="none" w:sz="0" w:space="0" w:color="auto"/>
            <w:right w:val="none" w:sz="0" w:space="0" w:color="auto"/>
          </w:divBdr>
          <w:divsChild>
            <w:div w:id="34040395">
              <w:marLeft w:val="0"/>
              <w:marRight w:val="0"/>
              <w:marTop w:val="0"/>
              <w:marBottom w:val="0"/>
              <w:divBdr>
                <w:top w:val="none" w:sz="0" w:space="0" w:color="auto"/>
                <w:left w:val="none" w:sz="0" w:space="0" w:color="auto"/>
                <w:bottom w:val="none" w:sz="0" w:space="0" w:color="auto"/>
                <w:right w:val="none" w:sz="0" w:space="0" w:color="auto"/>
              </w:divBdr>
              <w:divsChild>
                <w:div w:id="1628049145">
                  <w:marLeft w:val="0"/>
                  <w:marRight w:val="0"/>
                  <w:marTop w:val="0"/>
                  <w:marBottom w:val="0"/>
                  <w:divBdr>
                    <w:top w:val="none" w:sz="0" w:space="0" w:color="auto"/>
                    <w:left w:val="none" w:sz="0" w:space="0" w:color="auto"/>
                    <w:bottom w:val="none" w:sz="0" w:space="0" w:color="auto"/>
                    <w:right w:val="none" w:sz="0" w:space="0" w:color="auto"/>
                  </w:divBdr>
                  <w:divsChild>
                    <w:div w:id="2130004519">
                      <w:marLeft w:val="0"/>
                      <w:marRight w:val="0"/>
                      <w:marTop w:val="0"/>
                      <w:marBottom w:val="0"/>
                      <w:divBdr>
                        <w:top w:val="none" w:sz="0" w:space="0" w:color="auto"/>
                        <w:left w:val="none" w:sz="0" w:space="0" w:color="auto"/>
                        <w:bottom w:val="none" w:sz="0" w:space="0" w:color="auto"/>
                        <w:right w:val="none" w:sz="0" w:space="0" w:color="auto"/>
                      </w:divBdr>
                      <w:divsChild>
                        <w:div w:id="1232737935">
                          <w:marLeft w:val="0"/>
                          <w:marRight w:val="0"/>
                          <w:marTop w:val="0"/>
                          <w:marBottom w:val="0"/>
                          <w:divBdr>
                            <w:top w:val="none" w:sz="0" w:space="0" w:color="auto"/>
                            <w:left w:val="none" w:sz="0" w:space="0" w:color="auto"/>
                            <w:bottom w:val="none" w:sz="0" w:space="0" w:color="auto"/>
                            <w:right w:val="none" w:sz="0" w:space="0" w:color="auto"/>
                          </w:divBdr>
                          <w:divsChild>
                            <w:div w:id="924413841">
                              <w:marLeft w:val="0"/>
                              <w:marRight w:val="0"/>
                              <w:marTop w:val="0"/>
                              <w:marBottom w:val="0"/>
                              <w:divBdr>
                                <w:top w:val="none" w:sz="0" w:space="0" w:color="auto"/>
                                <w:left w:val="none" w:sz="0" w:space="0" w:color="auto"/>
                                <w:bottom w:val="none" w:sz="0" w:space="0" w:color="auto"/>
                                <w:right w:val="none" w:sz="0" w:space="0" w:color="auto"/>
                              </w:divBdr>
                              <w:divsChild>
                                <w:div w:id="615212714">
                                  <w:marLeft w:val="0"/>
                                  <w:marRight w:val="0"/>
                                  <w:marTop w:val="0"/>
                                  <w:marBottom w:val="0"/>
                                  <w:divBdr>
                                    <w:top w:val="none" w:sz="0" w:space="0" w:color="auto"/>
                                    <w:left w:val="none" w:sz="0" w:space="0" w:color="auto"/>
                                    <w:bottom w:val="none" w:sz="0" w:space="0" w:color="auto"/>
                                    <w:right w:val="none" w:sz="0" w:space="0" w:color="auto"/>
                                  </w:divBdr>
                                  <w:divsChild>
                                    <w:div w:id="1933708647">
                                      <w:marLeft w:val="0"/>
                                      <w:marRight w:val="0"/>
                                      <w:marTop w:val="0"/>
                                      <w:marBottom w:val="0"/>
                                      <w:divBdr>
                                        <w:top w:val="none" w:sz="0" w:space="0" w:color="auto"/>
                                        <w:left w:val="none" w:sz="0" w:space="0" w:color="auto"/>
                                        <w:bottom w:val="none" w:sz="0" w:space="0" w:color="auto"/>
                                        <w:right w:val="none" w:sz="0" w:space="0" w:color="auto"/>
                                      </w:divBdr>
                                      <w:divsChild>
                                        <w:div w:id="1314143863">
                                          <w:marLeft w:val="0"/>
                                          <w:marRight w:val="0"/>
                                          <w:marTop w:val="0"/>
                                          <w:marBottom w:val="0"/>
                                          <w:divBdr>
                                            <w:top w:val="none" w:sz="0" w:space="0" w:color="auto"/>
                                            <w:left w:val="none" w:sz="0" w:space="0" w:color="auto"/>
                                            <w:bottom w:val="none" w:sz="0" w:space="0" w:color="auto"/>
                                            <w:right w:val="none" w:sz="0" w:space="0" w:color="auto"/>
                                          </w:divBdr>
                                          <w:divsChild>
                                            <w:div w:id="1607074898">
                                              <w:marLeft w:val="0"/>
                                              <w:marRight w:val="0"/>
                                              <w:marTop w:val="0"/>
                                              <w:marBottom w:val="0"/>
                                              <w:divBdr>
                                                <w:top w:val="none" w:sz="0" w:space="0" w:color="auto"/>
                                                <w:left w:val="none" w:sz="0" w:space="0" w:color="auto"/>
                                                <w:bottom w:val="none" w:sz="0" w:space="0" w:color="auto"/>
                                                <w:right w:val="none" w:sz="0" w:space="0" w:color="auto"/>
                                              </w:divBdr>
                                              <w:divsChild>
                                                <w:div w:id="1484737210">
                                                  <w:marLeft w:val="0"/>
                                                  <w:marRight w:val="0"/>
                                                  <w:marTop w:val="0"/>
                                                  <w:marBottom w:val="0"/>
                                                  <w:divBdr>
                                                    <w:top w:val="none" w:sz="0" w:space="0" w:color="auto"/>
                                                    <w:left w:val="none" w:sz="0" w:space="0" w:color="auto"/>
                                                    <w:bottom w:val="none" w:sz="0" w:space="0" w:color="auto"/>
                                                    <w:right w:val="none" w:sz="0" w:space="0" w:color="auto"/>
                                                  </w:divBdr>
                                                  <w:divsChild>
                                                    <w:div w:id="1032028054">
                                                      <w:marLeft w:val="0"/>
                                                      <w:marRight w:val="0"/>
                                                      <w:marTop w:val="0"/>
                                                      <w:marBottom w:val="0"/>
                                                      <w:divBdr>
                                                        <w:top w:val="none" w:sz="0" w:space="0" w:color="auto"/>
                                                        <w:left w:val="none" w:sz="0" w:space="0" w:color="auto"/>
                                                        <w:bottom w:val="none" w:sz="0" w:space="0" w:color="auto"/>
                                                        <w:right w:val="none" w:sz="0" w:space="0" w:color="auto"/>
                                                      </w:divBdr>
                                                      <w:divsChild>
                                                        <w:div w:id="4260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906035">
      <w:bodyDiv w:val="1"/>
      <w:marLeft w:val="0"/>
      <w:marRight w:val="0"/>
      <w:marTop w:val="0"/>
      <w:marBottom w:val="0"/>
      <w:divBdr>
        <w:top w:val="none" w:sz="0" w:space="0" w:color="auto"/>
        <w:left w:val="none" w:sz="0" w:space="0" w:color="auto"/>
        <w:bottom w:val="none" w:sz="0" w:space="0" w:color="auto"/>
        <w:right w:val="none" w:sz="0" w:space="0" w:color="auto"/>
      </w:divBdr>
    </w:div>
    <w:div w:id="199448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comlaw.gov.au" TargetMode="Externa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R20190005265366</RecordNumber>
    <ObjectiveID xmlns="da7a9ac0-bc47-4684-84e6-3a8e9ac80c12"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TaxCatchAll xmlns="beb4cffa-a87e-476d-882d-4d3866992d4f">
      <Value>6</Value>
    </TaxCatchAll>
    <o4e27953845640a0bff56e76153fbe6a xmlns="beb4cffa-a87e-476d-882d-4d3866992d4f">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o4e27953845640a0bff56e76153fbe6a>
    <bdf3bab5a81c426f8b5cbfa0265a271c xmlns="beb4cffa-a87e-476d-882d-4d3866992d4f">
      <Terms xmlns="http://schemas.microsoft.com/office/infopath/2007/PartnerControls"/>
    </bdf3bab5a81c426f8b5cbfa0265a271c>
    <IconOverlay xmlns="http://schemas.microsoft.com/sharepoint/v4" xsi:nil="true"/>
    <h347d40a5eb44329a0cf7599459f5873 xmlns="da7a9ac0-bc47-4684-84e6-3a8e9ac80c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olicy Work Document" ma:contentTypeID="0x010100B5F685A1365F544391EF8C813B164F3A82009F3E422DF83A794B8899A9A539F2255A" ma:contentTypeVersion="20" ma:contentTypeDescription="" ma:contentTypeScope="" ma:versionID="29b389128427709fd46998a02bbc2636">
  <xsd:schema xmlns:xsd="http://www.w3.org/2001/XMLSchema" xmlns:xs="http://www.w3.org/2001/XMLSchema" xmlns:p="http://schemas.microsoft.com/office/2006/metadata/properties" xmlns:ns2="da7a9ac0-bc47-4684-84e6-3a8e9ac80c12" xmlns:ns3="beb4cffa-a87e-476d-882d-4d3866992d4f" xmlns:ns5="17f478ab-373e-4295-9ff0-9b833ad01319" xmlns:ns6="http://schemas.microsoft.com/sharepoint/v4" targetNamespace="http://schemas.microsoft.com/office/2006/metadata/properties" ma:root="true" ma:fieldsID="cfe803dee47f7d3fd0970d2ff4c31ac9" ns2:_="" ns3:_="" ns5:_="" ns6:_="">
    <xsd:import namespace="da7a9ac0-bc47-4684-84e6-3a8e9ac80c12"/>
    <xsd:import namespace="beb4cffa-a87e-476d-882d-4d3866992d4f"/>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h347d40a5eb44329a0cf7599459f5873" minOccurs="0"/>
                <xsd:element ref="ns3:bdf3bab5a81c426f8b5cbfa0265a271c" minOccurs="0"/>
                <xsd:element ref="ns3:o4e27953845640a0bff56e76153fbe6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h347d40a5eb44329a0cf7599459f5873" ma:index="17" nillable="true" ma:displayName="PolicyWorkDocumentType_0" ma:hidden="true" ma:internalName="h347d40a5eb44329a0cf7599459f5873" ma:readOnly="false">
      <xsd:simpleType>
        <xsd:restriction base="dms:Note"/>
      </xsd:simpleType>
    </xsd:element>
    <xsd:element name="NotesLinks" ma:index="22"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b4cffa-a87e-476d-882d-4d3866992d4f"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4021960-3431-440c-bd63-c5b03cf2a8e7}" ma:internalName="TaxCatchAll" ma:showField="CatchAllData" ma:web="beb4cffa-a87e-476d-882d-4d3866992d4f">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4021960-3431-440c-bd63-c5b03cf2a8e7}" ma:internalName="TaxCatchAllLabel" ma:readOnly="true" ma:showField="CatchAllDataLabel" ma:web="beb4cffa-a87e-476d-882d-4d3866992d4f">
      <xsd:complexType>
        <xsd:complexContent>
          <xsd:extension base="dms:MultiChoiceLookup">
            <xsd:sequence>
              <xsd:element name="Value" type="dms:Lookup" maxOccurs="unbounded" minOccurs="0" nillable="true"/>
            </xsd:sequence>
          </xsd:extension>
        </xsd:complexContent>
      </xsd:complexType>
    </xsd:element>
    <xsd:element name="bdf3bab5a81c426f8b5cbfa0265a271c" ma:index="19" nillable="true" ma:taxonomy="true" ma:internalName="bdf3bab5a81c426f8b5cbfa0265a271c" ma:taxonomyFieldName="PolicyWorkDocumentType" ma:displayName="Policy Work Document Type" ma:fieldId="{bdf3bab5-a81c-426f-8b5c-bfa0265a271c}" ma:sspId="b38671ba-7d76-46f8-b8a5-5fc3a7d6229d" ma:termSetId="e91d3646-a785-43aa-9dda-899a61873d2f" ma:anchorId="00000000-0000-0000-0000-000000000000" ma:open="false" ma:isKeyword="false">
      <xsd:complexType>
        <xsd:sequence>
          <xsd:element ref="pc:Terms" minOccurs="0" maxOccurs="1"/>
        </xsd:sequence>
      </xsd:complexType>
    </xsd:element>
    <xsd:element name="o4e27953845640a0bff56e76153fbe6a" ma:index="20" ma:taxonomy="true" ma:internalName="o4e27953845640a0bff56e76153fbe6a" ma:taxonomyFieldName="SecurityClassification" ma:displayName="Security Classification" ma:default="6;#Sensitive|19fd2cb8-3e97-4464-ae71-8c2c2095d028" ma:fieldId="{84e27953-8456-40a0-bff5-6e76153fbe6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3"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4"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C271B-3F60-472E-9C7A-EE0971CD3CC3}">
  <ds:schemaRefs>
    <ds:schemaRef ds:uri="http://purl.org/dc/dcmitype/"/>
    <ds:schemaRef ds:uri="da7a9ac0-bc47-4684-84e6-3a8e9ac80c12"/>
    <ds:schemaRef ds:uri="http://schemas.microsoft.com/office/2006/documentManagement/types"/>
    <ds:schemaRef ds:uri="http://www.w3.org/XML/1998/namespace"/>
    <ds:schemaRef ds:uri="beb4cffa-a87e-476d-882d-4d3866992d4f"/>
    <ds:schemaRef ds:uri="http://schemas.microsoft.com/sharepoint/v4"/>
    <ds:schemaRef ds:uri="http://schemas.microsoft.com/office/2006/metadata/properties"/>
    <ds:schemaRef ds:uri="http://schemas.microsoft.com/office/infopath/2007/PartnerControls"/>
    <ds:schemaRef ds:uri="http://purl.org/dc/terms/"/>
    <ds:schemaRef ds:uri="http://schemas.openxmlformats.org/package/2006/metadata/core-properties"/>
    <ds:schemaRef ds:uri="17f478ab-373e-4295-9ff0-9b833ad01319"/>
    <ds:schemaRef ds:uri="http://purl.org/dc/elements/1.1/"/>
  </ds:schemaRefs>
</ds:datastoreItem>
</file>

<file path=customXml/itemProps2.xml><?xml version="1.0" encoding="utf-8"?>
<ds:datastoreItem xmlns:ds="http://schemas.openxmlformats.org/officeDocument/2006/customXml" ds:itemID="{F012C892-D292-4999-ADB7-A0E4683A53DF}">
  <ds:schemaRefs>
    <ds:schemaRef ds:uri="http://schemas.microsoft.com/sharepoint/v3/contenttype/forms"/>
  </ds:schemaRefs>
</ds:datastoreItem>
</file>

<file path=customXml/itemProps3.xml><?xml version="1.0" encoding="utf-8"?>
<ds:datastoreItem xmlns:ds="http://schemas.openxmlformats.org/officeDocument/2006/customXml" ds:itemID="{CD3A3145-EB79-4E54-BD26-F3BCB0BD0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beb4cffa-a87e-476d-882d-4d3866992d4f"/>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E6AF4E-F008-41B3-AAC5-A022E2462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7</Pages>
  <Words>1125</Words>
  <Characters>6415</Characters>
  <Application>Microsoft Office Word</Application>
  <DocSecurity>0</DocSecurity>
  <PresentationFormat/>
  <Lines>53</Lines>
  <Paragraphs>15</Paragraphs>
  <ScaleCrop>false</ScaleCrop>
  <HeadingPairs>
    <vt:vector size="2" baseType="variant">
      <vt:variant>
        <vt:lpstr>Title</vt:lpstr>
      </vt:variant>
      <vt:variant>
        <vt:i4>1</vt:i4>
      </vt:variant>
    </vt:vector>
  </HeadingPairs>
  <TitlesOfParts>
    <vt:vector size="1" baseType="lpstr">
      <vt:lpstr>ASIC Corporations (Derivative Transaction Reporting) Amendment Instrument 2016</vt:lpstr>
    </vt:vector>
  </TitlesOfParts>
  <Manager>Alex Orgaz-Barnier</Manager>
  <Company>ASIC</Company>
  <LinksUpToDate>false</LinksUpToDate>
  <CharactersWithSpaces>7525</CharactersWithSpaces>
  <SharedDoc>false</SharedDoc>
  <HyperlinkBase/>
  <HLinks>
    <vt:vector size="48" baseType="variant">
      <vt:variant>
        <vt:i4>6160468</vt:i4>
      </vt:variant>
      <vt:variant>
        <vt:i4>45</vt:i4>
      </vt:variant>
      <vt:variant>
        <vt:i4>0</vt:i4>
      </vt:variant>
      <vt:variant>
        <vt:i4>5</vt:i4>
      </vt:variant>
      <vt:variant>
        <vt:lpwstr>http://www.comlaw.gov.au/</vt:lpwstr>
      </vt:variant>
      <vt:variant>
        <vt:lpwstr/>
      </vt:variant>
      <vt:variant>
        <vt:i4>1310774</vt:i4>
      </vt:variant>
      <vt:variant>
        <vt:i4>38</vt:i4>
      </vt:variant>
      <vt:variant>
        <vt:i4>0</vt:i4>
      </vt:variant>
      <vt:variant>
        <vt:i4>5</vt:i4>
      </vt:variant>
      <vt:variant>
        <vt:lpwstr/>
      </vt:variant>
      <vt:variant>
        <vt:lpwstr>_Toc432087871</vt:lpwstr>
      </vt:variant>
      <vt:variant>
        <vt:i4>1310774</vt:i4>
      </vt:variant>
      <vt:variant>
        <vt:i4>32</vt:i4>
      </vt:variant>
      <vt:variant>
        <vt:i4>0</vt:i4>
      </vt:variant>
      <vt:variant>
        <vt:i4>5</vt:i4>
      </vt:variant>
      <vt:variant>
        <vt:lpwstr/>
      </vt:variant>
      <vt:variant>
        <vt:lpwstr>_Toc432087870</vt:lpwstr>
      </vt:variant>
      <vt:variant>
        <vt:i4>1376310</vt:i4>
      </vt:variant>
      <vt:variant>
        <vt:i4>26</vt:i4>
      </vt:variant>
      <vt:variant>
        <vt:i4>0</vt:i4>
      </vt:variant>
      <vt:variant>
        <vt:i4>5</vt:i4>
      </vt:variant>
      <vt:variant>
        <vt:lpwstr/>
      </vt:variant>
      <vt:variant>
        <vt:lpwstr>_Toc432087869</vt:lpwstr>
      </vt:variant>
      <vt:variant>
        <vt:i4>1376310</vt:i4>
      </vt:variant>
      <vt:variant>
        <vt:i4>20</vt:i4>
      </vt:variant>
      <vt:variant>
        <vt:i4>0</vt:i4>
      </vt:variant>
      <vt:variant>
        <vt:i4>5</vt:i4>
      </vt:variant>
      <vt:variant>
        <vt:lpwstr/>
      </vt:variant>
      <vt:variant>
        <vt:lpwstr>_Toc432087868</vt:lpwstr>
      </vt:variant>
      <vt:variant>
        <vt:i4>1376310</vt:i4>
      </vt:variant>
      <vt:variant>
        <vt:i4>14</vt:i4>
      </vt:variant>
      <vt:variant>
        <vt:i4>0</vt:i4>
      </vt:variant>
      <vt:variant>
        <vt:i4>5</vt:i4>
      </vt:variant>
      <vt:variant>
        <vt:lpwstr/>
      </vt:variant>
      <vt:variant>
        <vt:lpwstr>_Toc432087867</vt:lpwstr>
      </vt:variant>
      <vt:variant>
        <vt:i4>1376310</vt:i4>
      </vt:variant>
      <vt:variant>
        <vt:i4>8</vt:i4>
      </vt:variant>
      <vt:variant>
        <vt:i4>0</vt:i4>
      </vt:variant>
      <vt:variant>
        <vt:i4>5</vt:i4>
      </vt:variant>
      <vt:variant>
        <vt:lpwstr/>
      </vt:variant>
      <vt:variant>
        <vt:lpwstr>_Toc432087866</vt:lpwstr>
      </vt:variant>
      <vt:variant>
        <vt:i4>1376310</vt:i4>
      </vt:variant>
      <vt:variant>
        <vt:i4>2</vt:i4>
      </vt:variant>
      <vt:variant>
        <vt:i4>0</vt:i4>
      </vt:variant>
      <vt:variant>
        <vt:i4>5</vt:i4>
      </vt:variant>
      <vt:variant>
        <vt:lpwstr/>
      </vt:variant>
      <vt:variant>
        <vt:lpwstr>_Toc432087865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Corporations (Derivative Transaction Reporting) Amendment Instrument 2016</dc:title>
  <dc:subject>Class Order Relief for Trade Reporting Entities</dc:subject>
  <dc:creator>Ben Durnford</dc:creator>
  <cp:keywords>Deferral of UTI reporting</cp:keywords>
  <cp:lastModifiedBy>Narelle Kane</cp:lastModifiedBy>
  <cp:revision>2</cp:revision>
  <cp:lastPrinted>2019-02-20T23:27:00Z</cp:lastPrinted>
  <dcterms:created xsi:type="dcterms:W3CDTF">2019-10-01T01:00:00Z</dcterms:created>
  <dcterms:modified xsi:type="dcterms:W3CDTF">2019-10-01T01:00:00Z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A4621547</vt:lpwstr>
  </property>
  <property fmtid="{D5CDD505-2E9C-101B-9397-08002B2CF9AE}" pid="20" name="Objective-Title">
    <vt:lpwstr>Phase 3B reporting deferral - class order 14 - 0633 amendment</vt:lpwstr>
  </property>
  <property fmtid="{D5CDD505-2E9C-101B-9397-08002B2CF9AE}" pid="21" name="Objective-Comment">
    <vt:lpwstr/>
  </property>
  <property fmtid="{D5CDD505-2E9C-101B-9397-08002B2CF9AE}" pid="22" name="Objective-CreationStamp">
    <vt:filetime>2015-10-08T06:39:40Z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2015-10-08T07:47:16Z</vt:filetime>
  </property>
  <property fmtid="{D5CDD505-2E9C-101B-9397-08002B2CF9AE}" pid="27" name="Objective-Owner">
    <vt:lpwstr>Rhonda.Luo</vt:lpwstr>
  </property>
  <property fmtid="{D5CDD505-2E9C-101B-9397-08002B2CF9AE}" pid="28" name="Objective-Path">
    <vt:lpwstr>BCS:ASIC:POLICY &amp; REGULATORY FRAMEWORK:Policy Development:Markets:G20 OTC Derivative Reforms:Trade reporting (DTRs):Relief Applications:Phase 3B relief application - October 2015:</vt:lpwstr>
  </property>
  <property fmtid="{D5CDD505-2E9C-101B-9397-08002B2CF9AE}" pid="29" name="Objective-Parent">
    <vt:lpwstr>Phase 3B relief application - October 2015</vt:lpwstr>
  </property>
  <property fmtid="{D5CDD505-2E9C-101B-9397-08002B2CF9AE}" pid="30" name="Objective-State">
    <vt:lpwstr>Being Drafted</vt:lpwstr>
  </property>
  <property fmtid="{D5CDD505-2E9C-101B-9397-08002B2CF9AE}" pid="31" name="Objective-Version">
    <vt:lpwstr>0.2</vt:lpwstr>
  </property>
  <property fmtid="{D5CDD505-2E9C-101B-9397-08002B2CF9AE}" pid="32" name="Objective-VersionNumber">
    <vt:i4>2</vt:i4>
  </property>
  <property fmtid="{D5CDD505-2E9C-101B-9397-08002B2CF9AE}" pid="33" name="Objective-VersionComment">
    <vt:lpwstr>Version 2</vt:lpwstr>
  </property>
  <property fmtid="{D5CDD505-2E9C-101B-9397-08002B2CF9AE}" pid="34" name="Objective-FileNumber">
    <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ContentTypeId">
    <vt:lpwstr>0x010100B5F685A1365F544391EF8C813B164F3A82009F3E422DF83A794B8899A9A539F2255A</vt:lpwstr>
  </property>
  <property fmtid="{D5CDD505-2E9C-101B-9397-08002B2CF9AE}" pid="39" name="SecurityClassification">
    <vt:lpwstr>6;#Sensitive|19fd2cb8-3e97-4464-ae71-8c2c2095d028</vt:lpwstr>
  </property>
  <property fmtid="{D5CDD505-2E9C-101B-9397-08002B2CF9AE}" pid="40" name="PolicyWorkDocumentType">
    <vt:lpwstr/>
  </property>
  <property fmtid="{D5CDD505-2E9C-101B-9397-08002B2CF9AE}" pid="41" name="RecordPoint_WorkflowType">
    <vt:lpwstr>ActiveSubmitStub</vt:lpwstr>
  </property>
  <property fmtid="{D5CDD505-2E9C-101B-9397-08002B2CF9AE}" pid="42" name="RecordPoint_ActiveItemWebId">
    <vt:lpwstr>{beb4cffa-a87e-476d-882d-4d3866992d4f}</vt:lpwstr>
  </property>
  <property fmtid="{D5CDD505-2E9C-101B-9397-08002B2CF9AE}" pid="43" name="RecordPoint_ActiveItemSiteId">
    <vt:lpwstr>{17c60cf1-008c-4115-82e5-e12b1392a9ba}</vt:lpwstr>
  </property>
  <property fmtid="{D5CDD505-2E9C-101B-9397-08002B2CF9AE}" pid="44" name="RecordPoint_ActiveItemListId">
    <vt:lpwstr>{eff5351a-b648-4586-ad2b-124cbe458711}</vt:lpwstr>
  </property>
  <property fmtid="{D5CDD505-2E9C-101B-9397-08002B2CF9AE}" pid="45" name="RecordPoint_ActiveItemUniqueId">
    <vt:lpwstr>{aea06e4e-eb8a-442a-8713-34317c8d4d18}</vt:lpwstr>
  </property>
  <property fmtid="{D5CDD505-2E9C-101B-9397-08002B2CF9AE}" pid="46" name="RecordPoint_RecordNumberSubmitted">
    <vt:lpwstr>R20190005265366</vt:lpwstr>
  </property>
  <property fmtid="{D5CDD505-2E9C-101B-9397-08002B2CF9AE}" pid="47" name="RecordPoint_SubmissionDate">
    <vt:lpwstr/>
  </property>
  <property fmtid="{D5CDD505-2E9C-101B-9397-08002B2CF9AE}" pid="48" name="RecordPoint_ActiveItemMoved">
    <vt:lpwstr/>
  </property>
  <property fmtid="{D5CDD505-2E9C-101B-9397-08002B2CF9AE}" pid="49" name="RecordPoint_RecordFormat">
    <vt:lpwstr/>
  </property>
  <property fmtid="{D5CDD505-2E9C-101B-9397-08002B2CF9AE}" pid="50" name="bdf3bab5a81c426f8b5cbfa0265a271c">
    <vt:lpwstr/>
  </property>
  <property fmtid="{D5CDD505-2E9C-101B-9397-08002B2CF9AE}" pid="51" name="Order">
    <vt:r8>8500</vt:r8>
  </property>
  <property fmtid="{D5CDD505-2E9C-101B-9397-08002B2CF9AE}" pid="52" name="RecordPoint_SubmissionCompleted">
    <vt:lpwstr>2019-09-30T18:47:35.9163536+10:00</vt:lpwstr>
  </property>
</Properties>
</file>