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85" w:rsidRPr="00536B71" w:rsidRDefault="004A5D85" w:rsidP="004A5D85">
      <w:pPr>
        <w:rPr>
          <w:rFonts w:cs="Arial"/>
          <w:szCs w:val="20"/>
        </w:rPr>
      </w:pPr>
    </w:p>
    <w:p w:rsidR="004A5D85" w:rsidRDefault="004A5D85" w:rsidP="004A5D85">
      <w:pPr>
        <w:rPr>
          <w:b/>
          <w:sz w:val="32"/>
          <w:szCs w:val="32"/>
        </w:rPr>
      </w:pPr>
      <w:bookmarkStart w:id="0" w:name="OLE_LINK1"/>
      <w:bookmarkStart w:id="1" w:name="OLE_LINK2"/>
      <w:r>
        <w:rPr>
          <w:noProof/>
          <w:lang w:eastAsia="en-AU"/>
        </w:rPr>
        <w:drawing>
          <wp:inline distT="0" distB="0" distL="0" distR="0" wp14:anchorId="1A09BD4E" wp14:editId="02B024B8">
            <wp:extent cx="2052955" cy="1544320"/>
            <wp:effectExtent l="0" t="0" r="4445" b="0"/>
            <wp:docPr id="11" name="Picture 1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2955" cy="1544320"/>
                    </a:xfrm>
                    <a:prstGeom prst="rect">
                      <a:avLst/>
                    </a:prstGeom>
                    <a:noFill/>
                    <a:ln>
                      <a:noFill/>
                    </a:ln>
                  </pic:spPr>
                </pic:pic>
              </a:graphicData>
            </a:graphic>
          </wp:inline>
        </w:drawing>
      </w:r>
    </w:p>
    <w:p w:rsidR="004A5D85" w:rsidRDefault="004A5D85" w:rsidP="004A5D85">
      <w:pPr>
        <w:spacing w:before="140" w:after="140" w:line="280" w:lineRule="atLeast"/>
        <w:rPr>
          <w:rFonts w:cs="Arial"/>
          <w:b/>
          <w:sz w:val="32"/>
          <w:szCs w:val="32"/>
        </w:rPr>
      </w:pPr>
    </w:p>
    <w:p w:rsidR="004A5D85" w:rsidRPr="000C4B51" w:rsidRDefault="004A5D85" w:rsidP="004A5D85">
      <w:pPr>
        <w:spacing w:before="140" w:after="140" w:line="280" w:lineRule="atLeast"/>
        <w:rPr>
          <w:rFonts w:cs="Arial"/>
          <w:b/>
          <w:color w:val="000000" w:themeColor="text1"/>
          <w:sz w:val="32"/>
          <w:szCs w:val="32"/>
        </w:rPr>
      </w:pPr>
      <w:r w:rsidRPr="000C4B51">
        <w:rPr>
          <w:rFonts w:cs="Arial"/>
          <w:b/>
          <w:color w:val="000000" w:themeColor="text1"/>
          <w:sz w:val="32"/>
          <w:szCs w:val="32"/>
        </w:rPr>
        <w:t>Australian Transaction Reports and Analysis Centre Industry Contribution Determination 201</w:t>
      </w:r>
      <w:bookmarkEnd w:id="0"/>
      <w:bookmarkEnd w:id="1"/>
      <w:r>
        <w:rPr>
          <w:rFonts w:cs="Arial"/>
          <w:b/>
          <w:color w:val="000000" w:themeColor="text1"/>
          <w:sz w:val="32"/>
          <w:szCs w:val="32"/>
        </w:rPr>
        <w:t>9</w:t>
      </w:r>
      <w:r w:rsidRPr="000C4B51">
        <w:rPr>
          <w:rFonts w:cs="Arial"/>
          <w:b/>
          <w:color w:val="000000" w:themeColor="text1"/>
          <w:sz w:val="32"/>
          <w:szCs w:val="32"/>
        </w:rPr>
        <w:t xml:space="preserve"> (No. 1)</w:t>
      </w:r>
      <w:r w:rsidRPr="000C4B51">
        <w:rPr>
          <w:rFonts w:cs="Arial"/>
          <w:b/>
          <w:color w:val="000000" w:themeColor="text1"/>
          <w:szCs w:val="32"/>
          <w:vertAlign w:val="superscript"/>
        </w:rPr>
        <w:footnoteReference w:id="1"/>
      </w:r>
    </w:p>
    <w:p w:rsidR="004A5D85" w:rsidRPr="000C4B51" w:rsidRDefault="004A5D85" w:rsidP="004A5D85">
      <w:pPr>
        <w:spacing w:before="140" w:after="140" w:line="280" w:lineRule="atLeast"/>
        <w:rPr>
          <w:rFonts w:cs="Arial"/>
          <w:color w:val="000000" w:themeColor="text1"/>
        </w:rPr>
      </w:pPr>
      <w:r w:rsidRPr="000C4B51">
        <w:rPr>
          <w:rFonts w:cs="Arial"/>
          <w:i/>
          <w:color w:val="000000" w:themeColor="text1"/>
        </w:rPr>
        <w:t>Australian Transaction Reports and Analysis Centre Industry Contribution Act 2011</w:t>
      </w:r>
    </w:p>
    <w:p w:rsidR="004A5D85" w:rsidRDefault="004A5D85" w:rsidP="004A5D85">
      <w:pPr>
        <w:pBdr>
          <w:top w:val="single" w:sz="4" w:space="1" w:color="auto"/>
        </w:pBdr>
        <w:spacing w:before="140" w:after="140" w:line="280" w:lineRule="atLeast"/>
        <w:rPr>
          <w:rFonts w:cs="Arial"/>
          <w:color w:val="000000" w:themeColor="text1"/>
        </w:rPr>
      </w:pPr>
    </w:p>
    <w:p w:rsidR="004A5D85" w:rsidRPr="000C4B51" w:rsidRDefault="004A5D85" w:rsidP="004A5D85">
      <w:pPr>
        <w:pBdr>
          <w:top w:val="single" w:sz="4" w:space="1" w:color="auto"/>
        </w:pBdr>
        <w:spacing w:before="140" w:after="140" w:line="280" w:lineRule="atLeast"/>
        <w:rPr>
          <w:rFonts w:cs="Arial"/>
          <w:color w:val="000000" w:themeColor="text1"/>
        </w:rPr>
      </w:pPr>
      <w:r w:rsidRPr="000C4B51">
        <w:rPr>
          <w:rFonts w:cs="Arial"/>
          <w:color w:val="000000" w:themeColor="text1"/>
        </w:rPr>
        <w:t>I,</w:t>
      </w:r>
      <w:r w:rsidR="00B3635E">
        <w:rPr>
          <w:rFonts w:cs="Arial"/>
          <w:color w:val="000000" w:themeColor="text1"/>
        </w:rPr>
        <w:t xml:space="preserve"> </w:t>
      </w:r>
      <w:bookmarkStart w:id="2" w:name="_GoBack"/>
      <w:bookmarkEnd w:id="2"/>
      <w:r w:rsidR="00267AC9">
        <w:rPr>
          <w:rFonts w:cs="Arial"/>
          <w:color w:val="000000" w:themeColor="text1"/>
        </w:rPr>
        <w:t>Peter Dutton</w:t>
      </w:r>
      <w:r w:rsidRPr="000C4B51">
        <w:rPr>
          <w:rFonts w:cs="Arial"/>
          <w:color w:val="000000" w:themeColor="text1"/>
        </w:rPr>
        <w:t xml:space="preserve">, Minister for </w:t>
      </w:r>
      <w:r>
        <w:rPr>
          <w:rFonts w:cs="Arial"/>
          <w:color w:val="000000" w:themeColor="text1"/>
        </w:rPr>
        <w:t>Home Affairs</w:t>
      </w:r>
      <w:r w:rsidRPr="000C4B51">
        <w:rPr>
          <w:rFonts w:cs="Arial"/>
          <w:color w:val="000000" w:themeColor="text1"/>
        </w:rPr>
        <w:t xml:space="preserve">, make this Determination under subsection 9(1) of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rsidR="004A5D85" w:rsidRPr="000C4B51" w:rsidRDefault="004A5D85" w:rsidP="004A5D85">
      <w:pPr>
        <w:spacing w:before="140" w:after="140" w:line="280" w:lineRule="atLeast"/>
        <w:rPr>
          <w:rFonts w:cs="Arial"/>
          <w:color w:val="000000" w:themeColor="text1"/>
        </w:rPr>
      </w:pPr>
    </w:p>
    <w:p w:rsidR="004A5D85" w:rsidRDefault="004A5D85" w:rsidP="004A5D85">
      <w:pPr>
        <w:rPr>
          <w:color w:val="000000" w:themeColor="text1"/>
        </w:rPr>
      </w:pPr>
    </w:p>
    <w:p w:rsidR="004A5D85" w:rsidRPr="000C4B51" w:rsidRDefault="004A5D85" w:rsidP="004A5D85">
      <w:pPr>
        <w:rPr>
          <w:color w:val="000000" w:themeColor="text1"/>
        </w:rPr>
      </w:pPr>
    </w:p>
    <w:p w:rsidR="004A5D85" w:rsidRPr="000C4B51" w:rsidRDefault="004A5D85" w:rsidP="004A5D85">
      <w:pPr>
        <w:rPr>
          <w:rFonts w:cs="Arial"/>
          <w:color w:val="000000" w:themeColor="text1"/>
          <w:szCs w:val="20"/>
        </w:rPr>
      </w:pPr>
      <w:r w:rsidRPr="000C4B51">
        <w:rPr>
          <w:rFonts w:cs="Arial"/>
          <w:color w:val="000000" w:themeColor="text1"/>
          <w:szCs w:val="20"/>
        </w:rPr>
        <w:t>[Signed]</w:t>
      </w:r>
    </w:p>
    <w:p w:rsidR="004A5D85" w:rsidRDefault="004A5D85" w:rsidP="004A5D85">
      <w:pPr>
        <w:spacing w:before="140" w:after="140" w:line="280" w:lineRule="atLeast"/>
        <w:rPr>
          <w:rFonts w:cs="Arial"/>
          <w:color w:val="000000" w:themeColor="text1"/>
          <w:szCs w:val="20"/>
        </w:rPr>
      </w:pPr>
      <w:r>
        <w:rPr>
          <w:rFonts w:cs="Arial"/>
          <w:color w:val="000000" w:themeColor="text1"/>
          <w:szCs w:val="20"/>
        </w:rPr>
        <w:t>M</w:t>
      </w:r>
      <w:r w:rsidRPr="000C4B51">
        <w:rPr>
          <w:rFonts w:cs="Arial"/>
          <w:color w:val="000000" w:themeColor="text1"/>
          <w:szCs w:val="20"/>
        </w:rPr>
        <w:t xml:space="preserve">inister for </w:t>
      </w:r>
      <w:r>
        <w:rPr>
          <w:rFonts w:cs="Arial"/>
          <w:color w:val="000000" w:themeColor="text1"/>
          <w:szCs w:val="20"/>
        </w:rPr>
        <w:t>Home Affairs</w:t>
      </w:r>
    </w:p>
    <w:p w:rsidR="004A5D85" w:rsidRDefault="00267AC9" w:rsidP="004A5D85">
      <w:pPr>
        <w:spacing w:before="140" w:after="140" w:line="280" w:lineRule="atLeast"/>
        <w:rPr>
          <w:rFonts w:cs="Arial"/>
          <w:color w:val="000000" w:themeColor="text1"/>
          <w:szCs w:val="20"/>
        </w:rPr>
      </w:pPr>
      <w:r>
        <w:rPr>
          <w:rFonts w:cs="Arial"/>
          <w:color w:val="000000" w:themeColor="text1"/>
          <w:szCs w:val="20"/>
        </w:rPr>
        <w:t>25 September 2019</w:t>
      </w:r>
    </w:p>
    <w:p w:rsidR="004A5D85" w:rsidRPr="000C4B51" w:rsidRDefault="004A5D85" w:rsidP="004A5D85">
      <w:pPr>
        <w:spacing w:before="140" w:after="140" w:line="280" w:lineRule="atLeast"/>
        <w:rPr>
          <w:rFonts w:cs="Arial"/>
          <w:color w:val="000000" w:themeColor="text1"/>
          <w:szCs w:val="20"/>
        </w:rPr>
      </w:pPr>
    </w:p>
    <w:p w:rsidR="004A5D85" w:rsidRDefault="004A5D85" w:rsidP="004A5D85">
      <w:pPr>
        <w:spacing w:before="0" w:after="0"/>
        <w:rPr>
          <w:rFonts w:cs="Arial"/>
        </w:rPr>
      </w:pPr>
      <w:r>
        <w:rPr>
          <w:rFonts w:cs="Arial"/>
        </w:rPr>
        <w:br w:type="page"/>
      </w:r>
    </w:p>
    <w:p w:rsidR="004A5D85" w:rsidRPr="000C4B51" w:rsidRDefault="004A5D85" w:rsidP="004A5D85">
      <w:pPr>
        <w:spacing w:before="140" w:after="140" w:line="280" w:lineRule="atLeast"/>
        <w:ind w:left="634" w:hanging="634"/>
        <w:rPr>
          <w:rFonts w:cs="Arial"/>
          <w:b/>
          <w:color w:val="000000" w:themeColor="text1"/>
        </w:rPr>
      </w:pPr>
      <w:r w:rsidRPr="00FF2275">
        <w:rPr>
          <w:rFonts w:cs="Arial"/>
          <w:b/>
        </w:rPr>
        <w:lastRenderedPageBreak/>
        <w:t>1</w:t>
      </w:r>
      <w:r w:rsidRPr="00FF2275">
        <w:rPr>
          <w:rFonts w:cs="Arial"/>
          <w:b/>
        </w:rPr>
        <w:tab/>
      </w:r>
      <w:r w:rsidRPr="000C4B51">
        <w:rPr>
          <w:rFonts w:cs="Arial"/>
          <w:b/>
          <w:color w:val="000000" w:themeColor="text1"/>
        </w:rPr>
        <w:t>Name of Determination</w:t>
      </w:r>
    </w:p>
    <w:p w:rsidR="004A5D85" w:rsidRPr="000C4B51" w:rsidRDefault="004A5D85" w:rsidP="004A5D85">
      <w:pPr>
        <w:spacing w:before="140" w:after="140" w:line="280" w:lineRule="atLeast"/>
        <w:ind w:left="630"/>
        <w:rPr>
          <w:rFonts w:cs="Arial"/>
          <w:color w:val="000000" w:themeColor="text1"/>
        </w:rPr>
      </w:pPr>
      <w:r w:rsidRPr="000C4B51">
        <w:rPr>
          <w:rFonts w:cs="Arial"/>
          <w:color w:val="000000" w:themeColor="text1"/>
        </w:rPr>
        <w:t xml:space="preserve">This Determination is the </w:t>
      </w:r>
      <w:r w:rsidRPr="000C4B51">
        <w:rPr>
          <w:rFonts w:cs="Arial"/>
          <w:i/>
          <w:color w:val="000000" w:themeColor="text1"/>
        </w:rPr>
        <w:t>Australian Transaction Reports and Analysis Centre Industry Contribution Determination 201</w:t>
      </w:r>
      <w:r>
        <w:rPr>
          <w:rFonts w:cs="Arial"/>
          <w:i/>
          <w:color w:val="000000" w:themeColor="text1"/>
        </w:rPr>
        <w:t>9</w:t>
      </w:r>
      <w:r w:rsidRPr="000C4B51">
        <w:rPr>
          <w:rFonts w:cs="Arial"/>
          <w:i/>
          <w:color w:val="000000" w:themeColor="text1"/>
        </w:rPr>
        <w:t xml:space="preserve"> (No. 1)</w:t>
      </w:r>
      <w:r w:rsidRPr="000C4B51">
        <w:rPr>
          <w:rFonts w:cs="Arial"/>
          <w:color w:val="000000" w:themeColor="text1"/>
        </w:rPr>
        <w:t>.</w:t>
      </w:r>
    </w:p>
    <w:p w:rsidR="004A5D85" w:rsidRPr="000C4B51" w:rsidRDefault="004A5D85" w:rsidP="004A5D85">
      <w:pPr>
        <w:spacing w:before="140" w:after="140" w:line="280" w:lineRule="atLeast"/>
        <w:ind w:left="634" w:hanging="634"/>
        <w:rPr>
          <w:rFonts w:cs="Arial"/>
          <w:b/>
          <w:color w:val="000000" w:themeColor="text1"/>
        </w:rPr>
      </w:pPr>
      <w:r w:rsidRPr="000C4B51">
        <w:rPr>
          <w:rFonts w:cs="Arial"/>
          <w:b/>
          <w:color w:val="000000" w:themeColor="text1"/>
        </w:rPr>
        <w:t>2</w:t>
      </w:r>
      <w:r w:rsidRPr="000C4B51">
        <w:rPr>
          <w:rFonts w:cs="Arial"/>
          <w:b/>
          <w:color w:val="000000" w:themeColor="text1"/>
        </w:rPr>
        <w:tab/>
        <w:t>Commencement</w:t>
      </w:r>
    </w:p>
    <w:p w:rsidR="004A5D85" w:rsidRPr="000C4B51" w:rsidRDefault="004A5D85" w:rsidP="004A5D85">
      <w:pPr>
        <w:spacing w:before="140" w:after="140" w:line="280" w:lineRule="atLeast"/>
        <w:ind w:left="630"/>
        <w:rPr>
          <w:rFonts w:cs="Arial"/>
          <w:color w:val="000000" w:themeColor="text1"/>
        </w:rPr>
      </w:pPr>
      <w:r w:rsidRPr="000C4B51">
        <w:rPr>
          <w:rFonts w:cs="Arial"/>
          <w:color w:val="000000" w:themeColor="text1"/>
        </w:rPr>
        <w:t>This Determination commences on the day after it is registered.</w:t>
      </w:r>
    </w:p>
    <w:p w:rsidR="004A5D85" w:rsidRPr="000C4B51" w:rsidRDefault="004A5D85" w:rsidP="004A5D85">
      <w:pPr>
        <w:spacing w:before="140" w:after="140" w:line="280" w:lineRule="atLeast"/>
        <w:ind w:left="634" w:hanging="634"/>
        <w:rPr>
          <w:rFonts w:cs="Arial"/>
          <w:b/>
          <w:color w:val="000000" w:themeColor="text1"/>
        </w:rPr>
      </w:pPr>
      <w:r w:rsidRPr="000C4B51">
        <w:rPr>
          <w:rFonts w:cs="Arial"/>
          <w:b/>
          <w:color w:val="000000" w:themeColor="text1"/>
        </w:rPr>
        <w:t>3</w:t>
      </w:r>
      <w:r w:rsidRPr="000C4B51">
        <w:rPr>
          <w:rFonts w:cs="Arial"/>
          <w:b/>
          <w:color w:val="000000" w:themeColor="text1"/>
        </w:rPr>
        <w:tab/>
        <w:t>Definitions</w:t>
      </w:r>
    </w:p>
    <w:p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t>In this Determination:</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the</w:t>
      </w:r>
      <w:proofErr w:type="gramEnd"/>
      <w:r w:rsidRPr="000C4B51">
        <w:rPr>
          <w:rFonts w:cs="Arial"/>
          <w:b/>
          <w:i/>
          <w:color w:val="000000" w:themeColor="text1"/>
        </w:rPr>
        <w:t xml:space="preserve"> Act</w:t>
      </w:r>
      <w:r w:rsidRPr="000C4B51">
        <w:rPr>
          <w:rFonts w:cs="Arial"/>
          <w:color w:val="000000" w:themeColor="text1"/>
        </w:rPr>
        <w:t xml:space="preserve"> means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rsidR="004A5D85" w:rsidRPr="000C4B51" w:rsidRDefault="004A5D85" w:rsidP="004A5D85">
      <w:pPr>
        <w:spacing w:before="140" w:after="140" w:line="280" w:lineRule="atLeast"/>
        <w:ind w:left="1260"/>
        <w:rPr>
          <w:rFonts w:cs="Arial"/>
          <w:b/>
          <w:i/>
          <w:color w:val="000000" w:themeColor="text1"/>
        </w:rPr>
      </w:pPr>
      <w:r w:rsidRPr="000C4B51">
        <w:rPr>
          <w:rFonts w:cs="Arial"/>
          <w:b/>
          <w:i/>
          <w:color w:val="000000" w:themeColor="text1"/>
        </w:rPr>
        <w:t>ADI</w:t>
      </w:r>
      <w:r w:rsidRPr="000C4B51">
        <w:rPr>
          <w:rFonts w:cs="Arial"/>
          <w:i/>
          <w:color w:val="000000" w:themeColor="text1"/>
        </w:rPr>
        <w:t xml:space="preserve"> </w:t>
      </w:r>
      <w:r w:rsidRPr="000C4B51">
        <w:rPr>
          <w:rFonts w:cs="Arial"/>
          <w:color w:val="000000" w:themeColor="text1"/>
        </w:rPr>
        <w:t>(short for authorised deposit-taking institution)</w:t>
      </w:r>
      <w:r w:rsidRPr="000C4B51">
        <w:rPr>
          <w:rFonts w:cs="Arial"/>
          <w:i/>
          <w:color w:val="000000" w:themeColor="text1"/>
        </w:rPr>
        <w:t xml:space="preserve"> </w:t>
      </w:r>
      <w:r w:rsidRPr="000C4B51">
        <w:rPr>
          <w:rFonts w:cs="Arial"/>
          <w:color w:val="000000" w:themeColor="text1"/>
        </w:rPr>
        <w:t>has the same meaning as in the AML/CTF Act.</w:t>
      </w:r>
    </w:p>
    <w:p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AML/CTF Act</w:t>
      </w:r>
      <w:r w:rsidRPr="000C4B51">
        <w:rPr>
          <w:rFonts w:cs="Arial"/>
          <w:i/>
          <w:color w:val="000000" w:themeColor="text1"/>
        </w:rPr>
        <w:t xml:space="preserve"> </w:t>
      </w:r>
      <w:r w:rsidRPr="000C4B51">
        <w:rPr>
          <w:rFonts w:cs="Arial"/>
          <w:color w:val="000000" w:themeColor="text1"/>
        </w:rPr>
        <w:t xml:space="preserve">means the </w:t>
      </w:r>
      <w:r w:rsidRPr="000C4B51">
        <w:rPr>
          <w:rFonts w:cs="Arial"/>
          <w:i/>
          <w:color w:val="000000" w:themeColor="text1"/>
        </w:rPr>
        <w:t>Anti-Money Laundering and Counter-Terrorism Financing Act 2006</w:t>
      </w:r>
      <w:r w:rsidRPr="000C4B51">
        <w:rPr>
          <w:rFonts w:cs="Arial"/>
          <w:color w:val="000000" w:themeColor="text1"/>
        </w:rPr>
        <w: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acquired</w:t>
      </w:r>
      <w:proofErr w:type="gramEnd"/>
      <w:r w:rsidRPr="000C4B51">
        <w:rPr>
          <w:rFonts w:cs="Arial"/>
          <w:color w:val="000000" w:themeColor="text1"/>
        </w:rPr>
        <w:t xml:space="preserve"> refers to the acquisition of the business of an entity.</w:t>
      </w:r>
    </w:p>
    <w:p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AUSTRAC</w:t>
      </w:r>
      <w:r w:rsidRPr="000C4B51">
        <w:rPr>
          <w:rFonts w:cs="Arial"/>
          <w:color w:val="000000" w:themeColor="text1"/>
        </w:rPr>
        <w:t xml:space="preserve"> has the same meaning as in the AML/CTF Act.</w:t>
      </w:r>
    </w:p>
    <w:p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AUSTRAC CEO</w:t>
      </w:r>
      <w:r w:rsidRPr="000C4B51">
        <w:rPr>
          <w:rFonts w:cs="Arial"/>
          <w:color w:val="000000" w:themeColor="text1"/>
        </w:rPr>
        <w:t xml:space="preserve"> has the same meaning as in the AML/CTF Act.</w:t>
      </w:r>
    </w:p>
    <w:p w:rsidR="004A5D85" w:rsidRPr="000C4B51" w:rsidRDefault="004A5D85" w:rsidP="004A5D85">
      <w:pPr>
        <w:spacing w:before="140" w:after="140" w:line="280" w:lineRule="atLeast"/>
        <w:ind w:left="1260"/>
        <w:rPr>
          <w:rFonts w:cs="Arial"/>
          <w:b/>
          <w:color w:val="000000" w:themeColor="text1"/>
        </w:rPr>
      </w:pPr>
      <w:proofErr w:type="gramStart"/>
      <w:r w:rsidRPr="000C4B51">
        <w:rPr>
          <w:rFonts w:cs="Arial"/>
          <w:b/>
          <w:i/>
          <w:color w:val="000000" w:themeColor="text1"/>
        </w:rPr>
        <w:t>census</w:t>
      </w:r>
      <w:proofErr w:type="gramEnd"/>
      <w:r w:rsidRPr="000C4B51">
        <w:rPr>
          <w:rFonts w:cs="Arial"/>
          <w:b/>
          <w:i/>
          <w:color w:val="000000" w:themeColor="text1"/>
        </w:rPr>
        <w:t xml:space="preserve"> day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earnings</w:t>
      </w:r>
      <w:proofErr w:type="gramEnd"/>
      <w:r w:rsidRPr="000C4B51">
        <w:rPr>
          <w:rFonts w:cs="Arial"/>
          <w:color w:val="000000" w:themeColor="text1"/>
        </w:rPr>
        <w:t xml:space="preserve">, in relation to a leviable entity, means: </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if</w:t>
      </w:r>
      <w:proofErr w:type="gramEnd"/>
      <w:r w:rsidRPr="000C4B51">
        <w:rPr>
          <w:rFonts w:cs="Arial"/>
          <w:color w:val="000000" w:themeColor="text1"/>
        </w:rPr>
        <w:t xml:space="preserve"> the leviable entity is an ADI or a registered financial corporation – the total profit before tax, depreciation and amortisation (PBTDA), not adjusted for significant items; or</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if the leviable entity is a member of a group of leviable entities and any member of that group is an ADI or a registered financial corporation – the total profit before tax, depreciation and amortisation (PBTDA) not adjusted for significant items; or</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in</w:t>
      </w:r>
      <w:proofErr w:type="gramEnd"/>
      <w:r w:rsidRPr="000C4B51">
        <w:rPr>
          <w:rFonts w:cs="Arial"/>
          <w:color w:val="000000" w:themeColor="text1"/>
        </w:rPr>
        <w:t xml:space="preserve"> any other case – the total earnings before tax, interest, depreciation and amortisation (EBITDA) not adjusted for significant items;</w:t>
      </w:r>
    </w:p>
    <w:p w:rsidR="004A5D85" w:rsidRPr="000C4B51" w:rsidRDefault="004A5D85" w:rsidP="004A5D85">
      <w:pPr>
        <w:spacing w:before="140" w:after="140" w:line="280" w:lineRule="atLeast"/>
        <w:ind w:left="1260"/>
        <w:rPr>
          <w:rFonts w:cs="Arial"/>
          <w:color w:val="000000" w:themeColor="text1"/>
        </w:rPr>
      </w:pPr>
      <w:r w:rsidRPr="000C4B51">
        <w:rPr>
          <w:rFonts w:cs="Arial"/>
          <w:color w:val="000000" w:themeColor="text1"/>
        </w:rPr>
        <w:t>of the leviable entity, for a year ending in the previous financial year, the details of which have been recorded in accordance with the requirements for the roll maintained by the AUSTRAC CEO under section 51C of the AML/CTF Act.</w:t>
      </w:r>
    </w:p>
    <w:p w:rsidR="004A5D85" w:rsidRPr="000C4B51" w:rsidRDefault="004A5D85" w:rsidP="004A5D85">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1:</w:t>
      </w:r>
      <w:r w:rsidRPr="000C4B51">
        <w:rPr>
          <w:rFonts w:cs="Arial"/>
          <w:color w:val="000000" w:themeColor="text1"/>
          <w:sz w:val="18"/>
          <w:szCs w:val="18"/>
        </w:rPr>
        <w:tab/>
        <w:t>The above definition recognises that leviable entities may have annual accounting periods that end on other than 30 June in any year.</w:t>
      </w:r>
    </w:p>
    <w:p w:rsidR="004A5D85" w:rsidRPr="000C4B51" w:rsidRDefault="004A5D85" w:rsidP="004A5D85">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2:</w:t>
      </w:r>
      <w:r w:rsidRPr="000C4B51">
        <w:rPr>
          <w:rFonts w:cs="Arial"/>
          <w:color w:val="000000" w:themeColor="text1"/>
          <w:sz w:val="18"/>
          <w:szCs w:val="18"/>
        </w:rPr>
        <w:tab/>
        <w:t xml:space="preserve">The operation of the above definition in relation to leviable entities that are foreign companies or subsidiaries of foreign companies is affected by </w:t>
      </w:r>
      <w:proofErr w:type="spellStart"/>
      <w:r w:rsidRPr="000C4B51">
        <w:rPr>
          <w:rFonts w:cs="Arial"/>
          <w:color w:val="000000" w:themeColor="text1"/>
          <w:sz w:val="18"/>
          <w:szCs w:val="18"/>
        </w:rPr>
        <w:t>subitem</w:t>
      </w:r>
      <w:proofErr w:type="spellEnd"/>
      <w:r w:rsidRPr="000C4B51">
        <w:rPr>
          <w:rFonts w:cs="Arial"/>
          <w:color w:val="000000" w:themeColor="text1"/>
          <w:sz w:val="18"/>
          <w:szCs w:val="18"/>
        </w:rPr>
        <w:t> (2) of this item 3.</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financial</w:t>
      </w:r>
      <w:proofErr w:type="gramEnd"/>
      <w:r w:rsidRPr="000C4B51">
        <w:rPr>
          <w:rFonts w:cs="Arial"/>
          <w:b/>
          <w:i/>
          <w:color w:val="000000" w:themeColor="text1"/>
        </w:rPr>
        <w:t xml:space="preserve"> year</w:t>
      </w:r>
      <w:r w:rsidRPr="000C4B51">
        <w:rPr>
          <w:rFonts w:cs="Arial"/>
          <w:color w:val="000000" w:themeColor="text1"/>
        </w:rPr>
        <w:t xml:space="preserve"> means the financial year beginning on </w:t>
      </w:r>
      <w:r w:rsidRPr="00845A29">
        <w:rPr>
          <w:rFonts w:cs="Arial"/>
          <w:color w:val="000000" w:themeColor="text1"/>
        </w:rPr>
        <w:t>1 July 201</w:t>
      </w:r>
      <w:r>
        <w:rPr>
          <w:rFonts w:cs="Arial"/>
          <w:color w:val="000000" w:themeColor="text1"/>
        </w:rPr>
        <w:t>9</w:t>
      </w:r>
      <w:r w:rsidRPr="00845A29">
        <w:rPr>
          <w:rFonts w:cs="Arial"/>
          <w:color w:val="000000" w:themeColor="text1"/>
        </w:rPr>
        <w: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lastRenderedPageBreak/>
        <w:t>foreign</w:t>
      </w:r>
      <w:proofErr w:type="gramEnd"/>
      <w:r w:rsidRPr="000C4B51">
        <w:rPr>
          <w:rFonts w:cs="Arial"/>
          <w:b/>
          <w:i/>
          <w:color w:val="000000" w:themeColor="text1"/>
        </w:rPr>
        <w:t xml:space="preserve"> company</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group</w:t>
      </w:r>
      <w:proofErr w:type="gramEnd"/>
      <w:r w:rsidRPr="000C4B51">
        <w:rPr>
          <w:rFonts w:cs="Arial"/>
          <w:b/>
          <w:i/>
          <w:color w:val="000000" w:themeColor="text1"/>
        </w:rPr>
        <w:t xml:space="preserve"> of leviable entities</w:t>
      </w:r>
      <w:r w:rsidRPr="000C4B51">
        <w:rPr>
          <w:rFonts w:cs="Arial"/>
          <w:color w:val="000000" w:themeColor="text1"/>
        </w:rPr>
        <w:t xml:space="preserve"> means all leviable entities that are related bodies corporate.</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leviable</w:t>
      </w:r>
      <w:proofErr w:type="gramEnd"/>
      <w:r w:rsidRPr="000C4B51">
        <w:rPr>
          <w:rFonts w:cs="Arial"/>
          <w:b/>
          <w:i/>
          <w:color w:val="000000" w:themeColor="text1"/>
        </w:rPr>
        <w:t xml:space="preserve"> entity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leviable</w:t>
      </w:r>
      <w:proofErr w:type="gramEnd"/>
      <w:r w:rsidRPr="000C4B51">
        <w:rPr>
          <w:rFonts w:cs="Arial"/>
          <w:b/>
          <w:i/>
          <w:color w:val="000000" w:themeColor="text1"/>
        </w:rPr>
        <w:t xml:space="preserve"> report</w:t>
      </w:r>
      <w:r w:rsidRPr="000C4B51">
        <w:rPr>
          <w:rFonts w:cs="Arial"/>
          <w:color w:val="000000" w:themeColor="text1"/>
        </w:rPr>
        <w:t>, in relation to a leviable entity,</w:t>
      </w:r>
      <w:r w:rsidRPr="000C4B51">
        <w:rPr>
          <w:rFonts w:cs="Arial"/>
          <w:i/>
          <w:color w:val="000000" w:themeColor="text1"/>
        </w:rPr>
        <w:t xml:space="preserve"> </w:t>
      </w:r>
      <w:r w:rsidRPr="000C4B51">
        <w:rPr>
          <w:rFonts w:cs="Arial"/>
          <w:color w:val="000000" w:themeColor="text1"/>
        </w:rPr>
        <w:t xml:space="preserve">means one of the following reports given to the AUSTRAC CEO during the calendar year beginning on </w:t>
      </w:r>
      <w:r w:rsidRPr="00845A29">
        <w:rPr>
          <w:rFonts w:cs="Arial"/>
          <w:color w:val="000000" w:themeColor="text1"/>
        </w:rPr>
        <w:t>1 January 201</w:t>
      </w:r>
      <w:r>
        <w:rPr>
          <w:rFonts w:cs="Arial"/>
          <w:color w:val="000000" w:themeColor="text1"/>
        </w:rPr>
        <w:t>8</w:t>
      </w:r>
      <w:r w:rsidRPr="00845A29">
        <w:rPr>
          <w:rFonts w:cs="Arial"/>
          <w:color w:val="000000" w:themeColor="text1"/>
        </w:rPr>
        <w:t>:</w:t>
      </w:r>
    </w:p>
    <w:p w:rsidR="004A5D85" w:rsidRPr="000C4B51" w:rsidRDefault="004A5D85" w:rsidP="004A5D85">
      <w:pPr>
        <w:spacing w:before="140" w:after="140" w:line="280" w:lineRule="atLeast"/>
        <w:ind w:left="1890" w:hanging="630"/>
        <w:rPr>
          <w:rFonts w:cs="Arial"/>
          <w:color w:val="000000" w:themeColor="text1"/>
        </w:rPr>
      </w:pPr>
      <w:r w:rsidRPr="000C4B51" w:rsidDel="00E11975">
        <w:rPr>
          <w:rFonts w:cs="Arial"/>
          <w:color w:val="000000" w:themeColor="text1"/>
        </w:rPr>
        <w:t xml:space="preserve"> </w:t>
      </w:r>
      <w:r w:rsidRPr="000C4B51">
        <w:rPr>
          <w:rFonts w:cs="Arial"/>
          <w:color w:val="000000" w:themeColor="text1"/>
        </w:rPr>
        <w:t>(a)</w:t>
      </w:r>
      <w:r w:rsidRPr="000C4B51">
        <w:rPr>
          <w:rFonts w:cs="Arial"/>
          <w:color w:val="000000" w:themeColor="text1"/>
        </w:rPr>
        <w:tab/>
        <w:t>a report given by the leviable entity under subsections 43(2) or 45(2) of the AML/CTF Act (including a report given by the leviable entity in the form required for subsections 43(2) or 45(2), whether or not such a report was required to be given under either of those subsections); or</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a report of the type referred to in paragraph (a) that was given by another leviable entity that, as at the time the report was given, was a remittance affiliate of the leviable entity; or </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a</w:t>
      </w:r>
      <w:proofErr w:type="gramEnd"/>
      <w:r w:rsidRPr="000C4B51">
        <w:rPr>
          <w:rFonts w:cs="Arial"/>
          <w:color w:val="000000" w:themeColor="text1"/>
        </w:rPr>
        <w:t xml:space="preserve"> report of the type referred to in paragraph (a) that was given by another leviable entity that, prior to the census day, was acquired by the leviable entity.</w:t>
      </w:r>
    </w:p>
    <w:p w:rsidR="004A5D85" w:rsidRPr="000C4B51" w:rsidRDefault="004A5D85" w:rsidP="004A5D85">
      <w:pPr>
        <w:spacing w:before="140" w:after="140" w:line="280" w:lineRule="atLeast"/>
        <w:ind w:left="1260"/>
        <w:rPr>
          <w:rFonts w:cs="Arial"/>
          <w:color w:val="000000" w:themeColor="text1"/>
        </w:rPr>
      </w:pPr>
      <w:r w:rsidRPr="000C4B51">
        <w:rPr>
          <w:rFonts w:cs="Arial"/>
          <w:b/>
          <w:i/>
          <w:color w:val="000000" w:themeColor="text1"/>
        </w:rPr>
        <w:t>National Electricity Rules</w:t>
      </w:r>
      <w:r w:rsidRPr="000C4B51">
        <w:rPr>
          <w:rFonts w:cs="Arial"/>
          <w:color w:val="000000" w:themeColor="text1"/>
        </w:rPr>
        <w:t xml:space="preserve"> means the Rules made under the </w:t>
      </w:r>
      <w:r w:rsidRPr="000C4B51">
        <w:rPr>
          <w:rFonts w:cs="Arial"/>
          <w:i/>
          <w:color w:val="000000" w:themeColor="text1"/>
        </w:rPr>
        <w:t>National Electricity Law</w:t>
      </w:r>
      <w:r w:rsidRPr="000C4B51">
        <w:rPr>
          <w:rFonts w:cs="Arial"/>
          <w:color w:val="000000" w:themeColor="text1"/>
        </w:rPr>
        <w:t xml:space="preserve"> set out in the Schedule to the </w:t>
      </w:r>
      <w:r w:rsidRPr="000C4B51">
        <w:rPr>
          <w:rFonts w:cs="Arial"/>
          <w:i/>
          <w:color w:val="000000" w:themeColor="text1"/>
        </w:rPr>
        <w:t>National Electricity (South Australia) Act 1996</w:t>
      </w:r>
      <w:r w:rsidRPr="000C4B51">
        <w:rPr>
          <w:rFonts w:cs="Arial"/>
          <w:color w:val="000000" w:themeColor="text1"/>
        </w:rPr>
        <w:t xml:space="preserve"> (SA).</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previous</w:t>
      </w:r>
      <w:proofErr w:type="gramEnd"/>
      <w:r w:rsidRPr="000C4B51">
        <w:rPr>
          <w:rFonts w:cs="Arial"/>
          <w:b/>
          <w:i/>
          <w:color w:val="000000" w:themeColor="text1"/>
        </w:rPr>
        <w:t xml:space="preserve"> financial year</w:t>
      </w:r>
      <w:r w:rsidRPr="000C4B51">
        <w:rPr>
          <w:rFonts w:cs="Arial"/>
          <w:color w:val="000000" w:themeColor="text1"/>
        </w:rPr>
        <w:t xml:space="preserve"> means the financial year beginning on </w:t>
      </w:r>
      <w:r w:rsidRPr="00845A29">
        <w:rPr>
          <w:rFonts w:cs="Arial"/>
          <w:color w:val="000000" w:themeColor="text1"/>
        </w:rPr>
        <w:t>1 July 201</w:t>
      </w:r>
      <w:r>
        <w:rPr>
          <w:rFonts w:cs="Arial"/>
          <w:color w:val="000000" w:themeColor="text1"/>
        </w:rPr>
        <w:t>8</w:t>
      </w:r>
      <w:r w:rsidRPr="00845A29">
        <w:rPr>
          <w:rFonts w:cs="Arial"/>
          <w:color w:val="000000" w:themeColor="text1"/>
        </w:rPr>
        <w: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registered</w:t>
      </w:r>
      <w:proofErr w:type="gramEnd"/>
      <w:r w:rsidRPr="000C4B51">
        <w:rPr>
          <w:rFonts w:cs="Arial"/>
          <w:b/>
          <w:i/>
          <w:color w:val="000000" w:themeColor="text1"/>
        </w:rPr>
        <w:t xml:space="preserve"> financial corporation</w:t>
      </w:r>
      <w:r w:rsidRPr="000C4B51">
        <w:rPr>
          <w:rFonts w:cs="Arial"/>
          <w:b/>
          <w:color w:val="000000" w:themeColor="text1"/>
        </w:rPr>
        <w:t xml:space="preserve"> </w:t>
      </w:r>
      <w:r w:rsidRPr="000C4B51">
        <w:rPr>
          <w:rFonts w:cs="Arial"/>
          <w:color w:val="000000" w:themeColor="text1"/>
        </w:rPr>
        <w:t xml:space="preserve">has the same meaning as </w:t>
      </w:r>
      <w:r w:rsidRPr="000C4B51">
        <w:rPr>
          <w:rFonts w:cs="Arial"/>
          <w:i/>
          <w:color w:val="000000" w:themeColor="text1"/>
        </w:rPr>
        <w:t>registered entity</w:t>
      </w:r>
      <w:r w:rsidRPr="000C4B51">
        <w:rPr>
          <w:rFonts w:cs="Arial"/>
          <w:color w:val="000000" w:themeColor="text1"/>
        </w:rPr>
        <w:t xml:space="preserve"> in the </w:t>
      </w:r>
      <w:r w:rsidRPr="000C4B51">
        <w:rPr>
          <w:rFonts w:cs="Arial"/>
          <w:i/>
          <w:color w:val="000000" w:themeColor="text1"/>
        </w:rPr>
        <w:t>Financial Sector (Collection of Data) Act 2001</w:t>
      </w:r>
      <w:r w:rsidRPr="000C4B51">
        <w:rPr>
          <w:rFonts w:cs="Arial"/>
          <w:color w:val="000000" w:themeColor="text1"/>
        </w:rPr>
        <w: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related</w:t>
      </w:r>
      <w:proofErr w:type="gramEnd"/>
      <w:r w:rsidRPr="000C4B51">
        <w:rPr>
          <w:rFonts w:cs="Arial"/>
          <w:b/>
          <w:i/>
          <w:color w:val="000000" w:themeColor="text1"/>
        </w:rPr>
        <w:t xml:space="preserve"> bodies corporate</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remittance</w:t>
      </w:r>
      <w:proofErr w:type="gramEnd"/>
      <w:r w:rsidRPr="000C4B51">
        <w:rPr>
          <w:rFonts w:cs="Arial"/>
          <w:b/>
          <w:i/>
          <w:color w:val="000000" w:themeColor="text1"/>
        </w:rPr>
        <w:t xml:space="preserve"> affiliate</w:t>
      </w:r>
      <w:r w:rsidRPr="000C4B51">
        <w:rPr>
          <w:rFonts w:cs="Arial"/>
          <w:color w:val="000000" w:themeColor="text1"/>
        </w:rPr>
        <w:t xml:space="preserve"> means a leviable entity that:</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provides a designated service covered by item 31 or 32 of table 1 in section 6 of the AML/CTF Act; and</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provides</w:t>
      </w:r>
      <w:proofErr w:type="gramEnd"/>
      <w:r w:rsidRPr="000C4B51">
        <w:rPr>
          <w:rFonts w:cs="Arial"/>
          <w:color w:val="000000" w:themeColor="text1"/>
        </w:rPr>
        <w:t xml:space="preserve"> that service as part of a network of persons of a kind referred to in item 32A of that table operated by another leviable entity.</w:t>
      </w:r>
    </w:p>
    <w:p w:rsidR="004A5D85" w:rsidRPr="000C4B51" w:rsidRDefault="004A5D85" w:rsidP="004A5D85">
      <w:pPr>
        <w:spacing w:before="140" w:after="140" w:line="280" w:lineRule="atLeast"/>
        <w:ind w:left="1260"/>
        <w:rPr>
          <w:rFonts w:cs="Arial"/>
          <w:color w:val="000000" w:themeColor="text1"/>
        </w:rPr>
      </w:pPr>
      <w:proofErr w:type="gramStart"/>
      <w:r w:rsidRPr="000C4B51">
        <w:rPr>
          <w:rFonts w:cs="Arial"/>
          <w:b/>
          <w:i/>
          <w:color w:val="000000" w:themeColor="text1"/>
        </w:rPr>
        <w:t>subsidiary</w:t>
      </w:r>
      <w:proofErr w:type="gramEnd"/>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A reference in this Determination to the total profit or total earnings of a leviable entity that is a foreign company or a subsidiary of a foreign company is a reference to the total profit or total earnings of the leviable entity which are derived from operations in Australia.</w:t>
      </w:r>
    </w:p>
    <w:p w:rsidR="004A5D85" w:rsidRPr="000C4B51" w:rsidRDefault="004A5D85" w:rsidP="004A5D85">
      <w:pPr>
        <w:keepNext/>
        <w:spacing w:before="140" w:after="140" w:line="280" w:lineRule="atLeast"/>
        <w:ind w:left="634" w:hanging="634"/>
        <w:rPr>
          <w:rFonts w:cs="Arial"/>
          <w:b/>
          <w:color w:val="000000" w:themeColor="text1"/>
        </w:rPr>
      </w:pPr>
      <w:r w:rsidRPr="000C4B51">
        <w:rPr>
          <w:rFonts w:cs="Arial"/>
          <w:b/>
          <w:color w:val="000000" w:themeColor="text1"/>
        </w:rPr>
        <w:t>4</w:t>
      </w:r>
      <w:r w:rsidRPr="000C4B51">
        <w:rPr>
          <w:rFonts w:cs="Arial"/>
          <w:b/>
          <w:color w:val="000000" w:themeColor="text1"/>
        </w:rPr>
        <w:tab/>
        <w:t>Amount of instalment of levy</w:t>
      </w:r>
    </w:p>
    <w:p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(4), (5), (6) and (7).</w:t>
      </w:r>
    </w:p>
    <w:p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lastRenderedPageBreak/>
        <w:t>(2)</w:t>
      </w:r>
      <w:r w:rsidRPr="000C4B51">
        <w:rPr>
          <w:rFonts w:cs="Arial"/>
          <w:color w:val="000000" w:themeColor="text1"/>
        </w:rPr>
        <w:tab/>
        <w:t>For subsection 9(1) of the Act, the amount of the instalment of levy payable by a leviable entity for the financial year is to be calculated in accordance with the following formula:</w:t>
      </w:r>
    </w:p>
    <w:tbl>
      <w:tblPr>
        <w:tblW w:w="0" w:type="auto"/>
        <w:tblInd w:w="1368" w:type="dxa"/>
        <w:tblLook w:val="01E0" w:firstRow="1" w:lastRow="1" w:firstColumn="1" w:lastColumn="1" w:noHBand="0" w:noVBand="0"/>
      </w:tblPr>
      <w:tblGrid>
        <w:gridCol w:w="2426"/>
        <w:gridCol w:w="567"/>
        <w:gridCol w:w="3118"/>
      </w:tblGrid>
      <w:tr w:rsidR="004A5D85" w:rsidRPr="000C4B51" w:rsidTr="00676B4E">
        <w:trPr>
          <w:trHeight w:val="341"/>
        </w:trPr>
        <w:tc>
          <w:tcPr>
            <w:tcW w:w="2426" w:type="dxa"/>
            <w:vAlign w:val="center"/>
          </w:tcPr>
          <w:p w:rsidR="004A5D85" w:rsidRPr="000C4B51" w:rsidRDefault="004A5D85" w:rsidP="00676B4E">
            <w:pPr>
              <w:spacing w:after="0"/>
              <w:jc w:val="center"/>
              <w:rPr>
                <w:rFonts w:cs="Arial"/>
                <w:color w:val="000000" w:themeColor="text1"/>
              </w:rPr>
            </w:pPr>
            <w:r w:rsidRPr="000C4B51">
              <w:rPr>
                <w:rFonts w:cs="Arial"/>
                <w:color w:val="000000" w:themeColor="text1"/>
              </w:rPr>
              <w:t>earnings component</w:t>
            </w:r>
          </w:p>
        </w:tc>
        <w:tc>
          <w:tcPr>
            <w:tcW w:w="567" w:type="dxa"/>
            <w:vAlign w:val="center"/>
          </w:tcPr>
          <w:p w:rsidR="004A5D85" w:rsidRPr="000C4B51" w:rsidRDefault="004A5D85" w:rsidP="00676B4E">
            <w:pPr>
              <w:spacing w:after="0"/>
              <w:jc w:val="center"/>
              <w:rPr>
                <w:rFonts w:cs="Arial"/>
                <w:color w:val="000000" w:themeColor="text1"/>
              </w:rPr>
            </w:pPr>
            <w:r w:rsidRPr="000C4B51">
              <w:rPr>
                <w:rFonts w:cs="Arial"/>
                <w:color w:val="000000" w:themeColor="text1"/>
              </w:rPr>
              <w:t>+</w:t>
            </w:r>
          </w:p>
        </w:tc>
        <w:tc>
          <w:tcPr>
            <w:tcW w:w="3118" w:type="dxa"/>
            <w:vAlign w:val="center"/>
          </w:tcPr>
          <w:p w:rsidR="004A5D85" w:rsidRPr="000C4B51" w:rsidRDefault="004A5D85" w:rsidP="00676B4E">
            <w:pPr>
              <w:spacing w:after="0"/>
              <w:jc w:val="center"/>
              <w:rPr>
                <w:rFonts w:cs="Arial"/>
                <w:color w:val="000000" w:themeColor="text1"/>
              </w:rPr>
            </w:pPr>
            <w:r w:rsidRPr="000C4B51">
              <w:rPr>
                <w:rFonts w:cs="Arial"/>
                <w:color w:val="000000" w:themeColor="text1"/>
              </w:rPr>
              <w:t>transaction reporting component</w:t>
            </w:r>
          </w:p>
        </w:tc>
      </w:tr>
    </w:tbl>
    <w:p w:rsidR="004A5D85" w:rsidRPr="000C4B51" w:rsidRDefault="004A5D85" w:rsidP="004A5D85">
      <w:pPr>
        <w:spacing w:before="100" w:line="280" w:lineRule="atLeast"/>
        <w:ind w:left="1260" w:hanging="630"/>
        <w:rPr>
          <w:rFonts w:cs="Arial"/>
          <w:i/>
          <w:color w:val="000000" w:themeColor="text1"/>
        </w:rPr>
      </w:pPr>
      <w:r w:rsidRPr="000C4B51">
        <w:rPr>
          <w:rFonts w:cs="Arial"/>
          <w:i/>
          <w:color w:val="000000" w:themeColor="text1"/>
        </w:rPr>
        <w:t>Payment threshold</w:t>
      </w:r>
    </w:p>
    <w:p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 xml:space="preserve">If the amount calculated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less than $1,</w:t>
      </w:r>
      <w:r>
        <w:rPr>
          <w:rFonts w:cs="Arial"/>
          <w:color w:val="000000" w:themeColor="text1"/>
        </w:rPr>
        <w:t>1</w:t>
      </w:r>
      <w:r w:rsidRPr="000C4B51">
        <w:rPr>
          <w:rFonts w:cs="Arial"/>
          <w:color w:val="000000" w:themeColor="text1"/>
        </w:rPr>
        <w:t>00, then, for subsection 9(1) of the Act, the amount of the instalment of levy payable by the leviable entity for the financial year is nil.</w:t>
      </w:r>
    </w:p>
    <w:p w:rsidR="004A5D85" w:rsidRPr="000C4B51" w:rsidRDefault="004A5D85" w:rsidP="004A5D85">
      <w:pPr>
        <w:keepNext/>
        <w:spacing w:before="100" w:line="280" w:lineRule="atLeast"/>
        <w:ind w:left="1258" w:hanging="629"/>
        <w:rPr>
          <w:rFonts w:cs="Arial"/>
          <w:color w:val="000000" w:themeColor="text1"/>
        </w:rPr>
      </w:pPr>
      <w:r w:rsidRPr="000C4B51">
        <w:rPr>
          <w:rFonts w:cs="Arial"/>
          <w:i/>
          <w:color w:val="000000" w:themeColor="text1"/>
        </w:rPr>
        <w:t>Maximum payment amount</w:t>
      </w:r>
    </w:p>
    <w:p w:rsidR="004A5D85" w:rsidRPr="000C4B51" w:rsidRDefault="004A5D85" w:rsidP="004A5D85">
      <w:pPr>
        <w:keepNext/>
        <w:spacing w:before="100" w:line="280" w:lineRule="atLeast"/>
        <w:ind w:left="1258" w:hanging="629"/>
        <w:rPr>
          <w:rFonts w:cs="Arial"/>
          <w:color w:val="000000" w:themeColor="text1"/>
        </w:rPr>
      </w:pPr>
      <w:r w:rsidRPr="000C4B51">
        <w:rPr>
          <w:rFonts w:cs="Arial"/>
          <w:color w:val="000000" w:themeColor="text1"/>
        </w:rPr>
        <w:t>(4)</w:t>
      </w:r>
      <w:r w:rsidRPr="000C4B51">
        <w:rPr>
          <w:rFonts w:cs="Arial"/>
          <w:color w:val="000000" w:themeColor="text1"/>
        </w:rPr>
        <w:tab/>
        <w:t>For subsection 9(1) of the Act, the amount of the instalment of levy payable by a leviable entity for the financial year is:</w:t>
      </w:r>
    </w:p>
    <w:p w:rsidR="004A5D85" w:rsidRPr="00C0273C"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leviable entity that is not a part of a group of leviable entities and has earnings of greater than $5,000,000,000 – </w:t>
      </w:r>
      <w:r w:rsidRPr="00C0273C">
        <w:rPr>
          <w:rFonts w:cs="Arial"/>
          <w:color w:val="000000" w:themeColor="text1"/>
        </w:rPr>
        <w:t>$11,</w:t>
      </w:r>
      <w:r w:rsidR="00C0273C" w:rsidRPr="00C0273C">
        <w:rPr>
          <w:rFonts w:cs="Arial"/>
          <w:color w:val="000000" w:themeColor="text1"/>
        </w:rPr>
        <w:t>789</w:t>
      </w:r>
      <w:r w:rsidRPr="00C0273C">
        <w:rPr>
          <w:rFonts w:cs="Arial"/>
          <w:color w:val="000000" w:themeColor="text1"/>
        </w:rPr>
        <w:t>,</w:t>
      </w:r>
      <w:r w:rsidR="00C0273C" w:rsidRPr="00C0273C">
        <w:rPr>
          <w:rFonts w:cs="Arial"/>
          <w:color w:val="000000" w:themeColor="text1"/>
        </w:rPr>
        <w:t>812.27</w:t>
      </w:r>
      <w:r w:rsidRPr="00C0273C">
        <w:rPr>
          <w:rFonts w:cs="Arial"/>
          <w:color w:val="000000" w:themeColor="text1"/>
        </w:rPr>
        <w:t>; or</w:t>
      </w:r>
    </w:p>
    <w:p w:rsidR="004A5D85" w:rsidRPr="000C4B51" w:rsidRDefault="004A5D85" w:rsidP="004A5D85">
      <w:pPr>
        <w:spacing w:before="100" w:line="280" w:lineRule="atLeast"/>
        <w:ind w:left="1890" w:hanging="630"/>
        <w:rPr>
          <w:rFonts w:cs="Arial"/>
          <w:color w:val="000000" w:themeColor="text1"/>
        </w:rPr>
      </w:pPr>
      <w:r w:rsidRPr="00C0273C">
        <w:rPr>
          <w:rFonts w:cs="Arial"/>
          <w:color w:val="000000" w:themeColor="text1"/>
        </w:rPr>
        <w:t>(b)</w:t>
      </w:r>
      <w:r w:rsidRPr="00C0273C">
        <w:rPr>
          <w:rFonts w:cs="Arial"/>
          <w:color w:val="000000" w:themeColor="text1"/>
        </w:rPr>
        <w:tab/>
        <w:t>for a leviable entity that is part of a group of leviable entities the total earnings for which are greater than $5,000,000,000 – $</w:t>
      </w:r>
      <w:r w:rsidR="00C0273C" w:rsidRPr="00C0273C">
        <w:rPr>
          <w:rFonts w:cs="Arial"/>
          <w:color w:val="000000" w:themeColor="text1"/>
        </w:rPr>
        <w:t>11,789,812</w:t>
      </w:r>
      <w:r w:rsidR="00C0273C">
        <w:rPr>
          <w:rFonts w:cs="Arial"/>
          <w:color w:val="000000" w:themeColor="text1"/>
        </w:rPr>
        <w:t xml:space="preserve">.27 </w:t>
      </w:r>
      <w:r w:rsidRPr="000C4B51">
        <w:rPr>
          <w:rFonts w:cs="Arial"/>
          <w:color w:val="000000" w:themeColor="text1"/>
        </w:rPr>
        <w:t>divided by the number of leviable entities in the group.</w:t>
      </w:r>
    </w:p>
    <w:p w:rsidR="004A5D85" w:rsidRPr="000C4B51" w:rsidRDefault="004A5D85" w:rsidP="004A5D85">
      <w:pPr>
        <w:keepNext/>
        <w:spacing w:before="100" w:line="280" w:lineRule="atLeast"/>
        <w:ind w:left="1258" w:hanging="629"/>
        <w:rPr>
          <w:rFonts w:cs="Arial"/>
          <w:i/>
          <w:color w:val="000000" w:themeColor="text1"/>
        </w:rPr>
      </w:pPr>
      <w:r w:rsidRPr="000C4B51">
        <w:rPr>
          <w:rFonts w:cs="Arial"/>
          <w:i/>
          <w:color w:val="000000" w:themeColor="text1"/>
        </w:rPr>
        <w:t xml:space="preserve">Other </w:t>
      </w:r>
    </w:p>
    <w:p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(5)</w:t>
      </w:r>
      <w:r w:rsidRPr="000C4B51">
        <w:rPr>
          <w:rFonts w:cs="Arial"/>
          <w:color w:val="000000" w:themeColor="text1"/>
        </w:rPr>
        <w:tab/>
        <w:t>For subsection 9(1) of the Act, the amount of the instalment of levy payable for the financial year by a leviable entity that, in the previous financial year:</w:t>
      </w:r>
    </w:p>
    <w:p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provided</w:t>
      </w:r>
      <w:proofErr w:type="gramEnd"/>
      <w:r w:rsidRPr="000C4B51">
        <w:rPr>
          <w:rFonts w:cs="Arial"/>
          <w:color w:val="000000" w:themeColor="text1"/>
        </w:rPr>
        <w:t xml:space="preserve"> a designated service or services only in the capacity of a remittance affiliate; and</w:t>
      </w:r>
    </w:p>
    <w:p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did</w:t>
      </w:r>
      <w:proofErr w:type="gramEnd"/>
      <w:r w:rsidRPr="000C4B51">
        <w:rPr>
          <w:rFonts w:cs="Arial"/>
          <w:color w:val="000000" w:themeColor="text1"/>
        </w:rPr>
        <w:t xml:space="preserve"> not provide a designated service in any other capacity; </w:t>
      </w:r>
    </w:p>
    <w:p w:rsidR="004A5D85" w:rsidRPr="000C4B51" w:rsidRDefault="004A5D85" w:rsidP="004A5D85">
      <w:pPr>
        <w:spacing w:before="100" w:line="280" w:lineRule="atLeast"/>
        <w:ind w:left="1260"/>
        <w:rPr>
          <w:rFonts w:cs="Arial"/>
          <w:color w:val="000000" w:themeColor="text1"/>
        </w:rPr>
      </w:pPr>
      <w:proofErr w:type="gramStart"/>
      <w:r w:rsidRPr="000C4B51">
        <w:rPr>
          <w:rFonts w:cs="Arial"/>
          <w:color w:val="000000" w:themeColor="text1"/>
        </w:rPr>
        <w:t>is</w:t>
      </w:r>
      <w:proofErr w:type="gramEnd"/>
      <w:r w:rsidRPr="000C4B51">
        <w:rPr>
          <w:rFonts w:cs="Arial"/>
          <w:color w:val="000000" w:themeColor="text1"/>
        </w:rPr>
        <w:t xml:space="preserve"> nil.</w:t>
      </w:r>
    </w:p>
    <w:p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(6)</w:t>
      </w:r>
      <w:r w:rsidRPr="000C4B51">
        <w:rPr>
          <w:rFonts w:cs="Arial"/>
          <w:color w:val="000000" w:themeColor="text1"/>
        </w:rPr>
        <w:tab/>
        <w:t>For subsection 9(1) of the Act, the amount of the instalment of levy payable for the financial year by a leviable entity that, on the census day for the financial year, was a ‘Market Generator’ within the meaning of the National Electricity Rules, is nil.</w:t>
      </w:r>
    </w:p>
    <w:p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(7)</w:t>
      </w:r>
      <w:r w:rsidRPr="000C4B51">
        <w:rPr>
          <w:rFonts w:cs="Arial"/>
          <w:color w:val="000000" w:themeColor="text1"/>
        </w:rPr>
        <w:tab/>
        <w:t>For subsection 9(1) of the Act, the amount of the instalment of levy payable for the financial year by a leviable entity that is a body corporate established for a public purpose by an Act passed by the Parliament of the Commonwealth is nil.</w:t>
      </w:r>
    </w:p>
    <w:p w:rsidR="004A5D85" w:rsidRPr="000C4B51" w:rsidRDefault="004A5D85" w:rsidP="004A5D85">
      <w:pPr>
        <w:keepNext/>
        <w:spacing w:before="100" w:line="280" w:lineRule="atLeast"/>
        <w:ind w:left="634" w:hanging="634"/>
        <w:rPr>
          <w:rFonts w:cs="Arial"/>
          <w:b/>
          <w:color w:val="000000" w:themeColor="text1"/>
        </w:rPr>
      </w:pPr>
      <w:r w:rsidRPr="000C4B51">
        <w:rPr>
          <w:rFonts w:cs="Arial"/>
          <w:b/>
          <w:color w:val="000000" w:themeColor="text1"/>
        </w:rPr>
        <w:t>5</w:t>
      </w:r>
      <w:r w:rsidRPr="000C4B51">
        <w:rPr>
          <w:rFonts w:cs="Arial"/>
          <w:b/>
          <w:color w:val="000000" w:themeColor="text1"/>
        </w:rPr>
        <w:tab/>
        <w:t>Earnings component</w:t>
      </w:r>
    </w:p>
    <w:p w:rsidR="004A5D85" w:rsidRPr="000C4B51" w:rsidRDefault="004A5D85" w:rsidP="004A5D85">
      <w:pPr>
        <w:spacing w:before="100" w:line="280" w:lineRule="atLeast"/>
        <w:ind w:left="1260" w:hanging="630"/>
        <w:rPr>
          <w:rFonts w:cs="Arial"/>
          <w:color w:val="000000" w:themeColor="text1"/>
        </w:rPr>
      </w:pPr>
      <w:bookmarkStart w:id="3" w:name="OLE_LINK3"/>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and (4).</w:t>
      </w:r>
    </w:p>
    <w:p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The earnings component for a leviable entity is:</w:t>
      </w:r>
    </w:p>
    <w:p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leviable entity that is not part of a group of leviable entities – 0.04</w:t>
      </w:r>
      <w:r>
        <w:rPr>
          <w:rFonts w:cs="Arial"/>
          <w:color w:val="000000" w:themeColor="text1"/>
        </w:rPr>
        <w:t>7</w:t>
      </w:r>
      <w:r w:rsidRPr="000C4B51">
        <w:rPr>
          <w:rFonts w:cs="Arial"/>
          <w:color w:val="000000" w:themeColor="text1"/>
        </w:rPr>
        <w:t xml:space="preserve"> per cent of the earnings for the leviable entity; or</w:t>
      </w:r>
    </w:p>
    <w:p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leviable entity that is part of a group of leviable entities – 0.04</w:t>
      </w:r>
      <w:r>
        <w:rPr>
          <w:rFonts w:cs="Arial"/>
          <w:color w:val="000000" w:themeColor="text1"/>
        </w:rPr>
        <w:t>7</w:t>
      </w:r>
      <w:r w:rsidRPr="000C4B51">
        <w:rPr>
          <w:rFonts w:cs="Arial"/>
          <w:color w:val="000000" w:themeColor="text1"/>
        </w:rPr>
        <w:t xml:space="preserve"> per cent of the total earnings for the group of leviable entities, divided by the number of leviable entities in the group.</w:t>
      </w:r>
    </w:p>
    <w:bookmarkEnd w:id="3"/>
    <w:p w:rsidR="004A5D85" w:rsidRPr="000C4B51" w:rsidRDefault="004A5D85" w:rsidP="004A5D85">
      <w:pPr>
        <w:keepNext/>
        <w:spacing w:before="100" w:line="280" w:lineRule="atLeast"/>
        <w:ind w:left="629"/>
        <w:rPr>
          <w:rFonts w:cs="Arial"/>
          <w:i/>
          <w:color w:val="000000" w:themeColor="text1"/>
        </w:rPr>
      </w:pPr>
      <w:r w:rsidRPr="000C4B51">
        <w:rPr>
          <w:rFonts w:cs="Arial"/>
          <w:i/>
          <w:color w:val="000000" w:themeColor="text1"/>
        </w:rPr>
        <w:lastRenderedPageBreak/>
        <w:t>Earnings component threshold</w:t>
      </w:r>
    </w:p>
    <w:p w:rsidR="004A5D85" w:rsidRPr="000C4B51" w:rsidRDefault="004A5D85" w:rsidP="004A5D85">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The earnings component for a leviable entity:</w:t>
      </w:r>
    </w:p>
    <w:p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a</w:t>
      </w:r>
      <w:proofErr w:type="gramEnd"/>
      <w:r w:rsidRPr="000C4B51">
        <w:rPr>
          <w:rFonts w:cs="Arial"/>
          <w:color w:val="000000" w:themeColor="text1"/>
        </w:rPr>
        <w:t>)</w:t>
      </w:r>
      <w:r w:rsidRPr="000C4B51">
        <w:rPr>
          <w:rFonts w:cs="Arial"/>
          <w:color w:val="000000" w:themeColor="text1"/>
        </w:rPr>
        <w:tab/>
        <w:t>that is not part of a group of leviable entities and has earnings of less than $100,000,000; or</w:t>
      </w:r>
    </w:p>
    <w:p w:rsidR="004A5D85" w:rsidRPr="000C4B51" w:rsidRDefault="004A5D85" w:rsidP="004A5D85">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b</w:t>
      </w:r>
      <w:proofErr w:type="gramEnd"/>
      <w:r w:rsidRPr="000C4B51">
        <w:rPr>
          <w:rFonts w:cs="Arial"/>
          <w:color w:val="000000" w:themeColor="text1"/>
        </w:rPr>
        <w:t>)</w:t>
      </w:r>
      <w:r w:rsidRPr="000C4B51">
        <w:rPr>
          <w:rFonts w:cs="Arial"/>
          <w:color w:val="000000" w:themeColor="text1"/>
        </w:rPr>
        <w:tab/>
        <w:t>that is part of a group of leviable entities the total earnings for wh</w:t>
      </w:r>
      <w:r>
        <w:rPr>
          <w:rFonts w:cs="Arial"/>
          <w:color w:val="000000" w:themeColor="text1"/>
        </w:rPr>
        <w:t>ich are less than $100,000,000;</w:t>
      </w:r>
    </w:p>
    <w:p w:rsidR="004A5D85" w:rsidRPr="001C7F76" w:rsidRDefault="004A5D85" w:rsidP="004A5D85">
      <w:pPr>
        <w:spacing w:before="100" w:line="260" w:lineRule="atLeast"/>
        <w:ind w:left="1888" w:hanging="629"/>
        <w:rPr>
          <w:rFonts w:cs="Arial"/>
          <w:color w:val="000000" w:themeColor="text1"/>
        </w:rPr>
      </w:pPr>
      <w:proofErr w:type="gramStart"/>
      <w:r>
        <w:rPr>
          <w:rFonts w:cs="Arial"/>
          <w:color w:val="000000" w:themeColor="text1"/>
        </w:rPr>
        <w:t>is</w:t>
      </w:r>
      <w:proofErr w:type="gramEnd"/>
      <w:r>
        <w:rPr>
          <w:rFonts w:cs="Arial"/>
          <w:color w:val="000000" w:themeColor="text1"/>
        </w:rPr>
        <w:t xml:space="preserve"> nil.</w:t>
      </w:r>
    </w:p>
    <w:p w:rsidR="004A5D85" w:rsidRPr="000C4B51" w:rsidRDefault="004A5D85" w:rsidP="004A5D85">
      <w:pPr>
        <w:spacing w:before="140" w:after="140" w:line="280" w:lineRule="atLeast"/>
        <w:ind w:left="1260" w:hanging="630"/>
        <w:rPr>
          <w:rFonts w:cs="Arial"/>
          <w:i/>
          <w:color w:val="000000" w:themeColor="text1"/>
        </w:rPr>
      </w:pPr>
      <w:r w:rsidRPr="000C4B51">
        <w:rPr>
          <w:rFonts w:cs="Arial"/>
          <w:i/>
          <w:color w:val="000000" w:themeColor="text1"/>
        </w:rPr>
        <w:t>Earnings component cap</w:t>
      </w:r>
    </w:p>
    <w:p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(4)</w:t>
      </w:r>
      <w:r w:rsidRPr="000C4B51">
        <w:rPr>
          <w:rFonts w:cs="Arial"/>
          <w:color w:val="000000" w:themeColor="text1"/>
        </w:rPr>
        <w:tab/>
        <w:t xml:space="preserve">If the earnings component calculated for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greater than $</w:t>
      </w:r>
      <w:r>
        <w:rPr>
          <w:rFonts w:cs="Arial"/>
          <w:color w:val="000000" w:themeColor="text1"/>
        </w:rPr>
        <w:t>2,0</w:t>
      </w:r>
      <w:r w:rsidRPr="000C4B51">
        <w:rPr>
          <w:rFonts w:cs="Arial"/>
          <w:color w:val="000000" w:themeColor="text1"/>
        </w:rPr>
        <w:t>00,000, then:</w:t>
      </w:r>
    </w:p>
    <w:p w:rsidR="004A5D85" w:rsidRPr="000C4B51" w:rsidRDefault="004A5D85" w:rsidP="004A5D85">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leviable entity that is not part of a group of leviable entities – the earnings component for the leviable entity is $</w:t>
      </w:r>
      <w:r>
        <w:rPr>
          <w:rFonts w:cs="Arial"/>
          <w:color w:val="000000" w:themeColor="text1"/>
        </w:rPr>
        <w:t>2,0</w:t>
      </w:r>
      <w:r w:rsidRPr="000C4B51">
        <w:rPr>
          <w:rFonts w:cs="Arial"/>
          <w:color w:val="000000" w:themeColor="text1"/>
        </w:rPr>
        <w:t>00,000; or</w:t>
      </w:r>
    </w:p>
    <w:p w:rsidR="004A5D85" w:rsidRPr="006E4C5C" w:rsidRDefault="004A5D85" w:rsidP="006E4C5C">
      <w:pPr>
        <w:spacing w:before="140" w:after="140" w:line="280" w:lineRule="atLeast"/>
        <w:ind w:left="1843" w:hanging="630"/>
        <w:rPr>
          <w:rFonts w:cs="Arial"/>
          <w:b/>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leviable entity that is part of a group of leviable entities – the earnings componen</w:t>
      </w:r>
      <w:r>
        <w:rPr>
          <w:rFonts w:cs="Arial"/>
          <w:color w:val="000000" w:themeColor="text1"/>
        </w:rPr>
        <w:t>t for the leviable entity is $2,0</w:t>
      </w:r>
      <w:r w:rsidRPr="000C4B51">
        <w:rPr>
          <w:rFonts w:cs="Arial"/>
          <w:color w:val="000000" w:themeColor="text1"/>
        </w:rPr>
        <w:t>00,000, divided by the number of leviable entities in the group.</w:t>
      </w:r>
    </w:p>
    <w:p w:rsidR="004A5D85" w:rsidRPr="000C4B51" w:rsidRDefault="004A5D85" w:rsidP="004A5D85">
      <w:pPr>
        <w:keepNext/>
        <w:spacing w:before="140" w:after="140" w:line="280" w:lineRule="atLeast"/>
        <w:ind w:left="634" w:hanging="634"/>
        <w:rPr>
          <w:rFonts w:cs="Arial"/>
          <w:b/>
          <w:color w:val="000000" w:themeColor="text1"/>
        </w:rPr>
      </w:pPr>
      <w:r>
        <w:rPr>
          <w:rFonts w:cs="Arial"/>
          <w:b/>
          <w:color w:val="000000" w:themeColor="text1"/>
        </w:rPr>
        <w:t>6.</w:t>
      </w:r>
      <w:r>
        <w:rPr>
          <w:rFonts w:cs="Arial"/>
          <w:b/>
          <w:color w:val="000000" w:themeColor="text1"/>
        </w:rPr>
        <w:tab/>
      </w:r>
      <w:r w:rsidRPr="000C4B51">
        <w:rPr>
          <w:rFonts w:cs="Arial"/>
          <w:b/>
          <w:color w:val="000000" w:themeColor="text1"/>
        </w:rPr>
        <w:t>Transaction reporting component</w:t>
      </w:r>
    </w:p>
    <w:p w:rsidR="004A5D85" w:rsidRPr="000C4B51" w:rsidRDefault="004A5D85" w:rsidP="004A5D85">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w:t>
      </w:r>
      <w:proofErr w:type="spellEnd"/>
      <w:r w:rsidRPr="000C4B51">
        <w:rPr>
          <w:rFonts w:cs="Arial"/>
          <w:color w:val="000000" w:themeColor="text1"/>
        </w:rPr>
        <w:t xml:space="preserve"> (3).</w:t>
      </w:r>
    </w:p>
    <w:p w:rsidR="004A5D85" w:rsidRDefault="004A5D85" w:rsidP="004A5D85">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The transaction reporting component for a leviable entity is to be calculated in accordance with the following formula:</w:t>
      </w:r>
    </w:p>
    <w:p w:rsidR="004A5D85" w:rsidRPr="000C4B51" w:rsidRDefault="004A5D85" w:rsidP="004A5D85">
      <w:pPr>
        <w:spacing w:before="100" w:after="0" w:line="280" w:lineRule="atLeast"/>
        <w:ind w:left="1888" w:hanging="629"/>
        <w:rPr>
          <w:rFonts w:cs="Arial"/>
          <w:color w:val="000000" w:themeColor="text1"/>
        </w:rPr>
      </w:pPr>
      <w:r>
        <w:rPr>
          <w:rFonts w:cs="Arial"/>
          <w:color w:val="000000" w:themeColor="text1"/>
        </w:rPr>
        <w:t>(a)</w:t>
      </w:r>
      <w:r>
        <w:rPr>
          <w:rFonts w:cs="Arial"/>
          <w:color w:val="000000" w:themeColor="text1"/>
        </w:rPr>
        <w:tab/>
      </w:r>
      <w:proofErr w:type="gramStart"/>
      <w:r w:rsidRPr="00AF67CE">
        <w:rPr>
          <w:rFonts w:cs="Arial"/>
          <w:color w:val="000000" w:themeColor="text1"/>
        </w:rPr>
        <w:t>if</w:t>
      </w:r>
      <w:proofErr w:type="gramEnd"/>
      <w:r w:rsidRPr="00AF67CE">
        <w:rPr>
          <w:rFonts w:cs="Arial"/>
          <w:color w:val="000000" w:themeColor="text1"/>
        </w:rPr>
        <w:t xml:space="preserve"> the total value of the leviable reports that the entity gave in the 201</w:t>
      </w:r>
      <w:r>
        <w:rPr>
          <w:rFonts w:cs="Arial"/>
          <w:color w:val="000000" w:themeColor="text1"/>
        </w:rPr>
        <w:t>8</w:t>
      </w:r>
      <w:r>
        <w:rPr>
          <w:color w:val="44546A"/>
        </w:rPr>
        <w:t xml:space="preserve"> </w:t>
      </w:r>
      <w:r>
        <w:rPr>
          <w:rFonts w:cs="Arial"/>
          <w:color w:val="000000" w:themeColor="text1"/>
        </w:rPr>
        <w:t>calendar year was less than $15 billion:</w:t>
      </w:r>
    </w:p>
    <w:tbl>
      <w:tblPr>
        <w:tblW w:w="6395" w:type="dxa"/>
        <w:tblInd w:w="1985" w:type="dxa"/>
        <w:tblLook w:val="01E0" w:firstRow="1" w:lastRow="1" w:firstColumn="1" w:lastColumn="1" w:noHBand="0" w:noVBand="0"/>
      </w:tblPr>
      <w:tblGrid>
        <w:gridCol w:w="2070"/>
        <w:gridCol w:w="907"/>
        <w:gridCol w:w="3418"/>
      </w:tblGrid>
      <w:tr w:rsidR="004A5D85" w:rsidRPr="000C4B51" w:rsidTr="00676B4E">
        <w:tc>
          <w:tcPr>
            <w:tcW w:w="2070" w:type="dxa"/>
            <w:vAlign w:val="center"/>
          </w:tcPr>
          <w:p w:rsidR="004A5D85" w:rsidRPr="000C4B51" w:rsidRDefault="004A5D85" w:rsidP="00676B4E">
            <w:pPr>
              <w:spacing w:before="140" w:after="140" w:line="280" w:lineRule="atLeast"/>
              <w:jc w:val="center"/>
              <w:rPr>
                <w:rFonts w:cs="Arial"/>
                <w:color w:val="000000" w:themeColor="text1"/>
              </w:rPr>
            </w:pPr>
            <w:r w:rsidRPr="000C4B51">
              <w:rPr>
                <w:rFonts w:cs="Arial"/>
                <w:color w:val="000000" w:themeColor="text1"/>
              </w:rPr>
              <w:t>1.</w:t>
            </w:r>
            <w:r>
              <w:rPr>
                <w:rFonts w:cs="Arial"/>
                <w:color w:val="000000" w:themeColor="text1"/>
              </w:rPr>
              <w:t>3</w:t>
            </w:r>
            <w:r w:rsidRPr="000C4B51">
              <w:rPr>
                <w:rFonts w:cs="Arial"/>
                <w:color w:val="000000" w:themeColor="text1"/>
              </w:rPr>
              <w:t xml:space="preserve"> cents for each leviable report</w:t>
            </w:r>
          </w:p>
        </w:tc>
        <w:tc>
          <w:tcPr>
            <w:tcW w:w="907" w:type="dxa"/>
            <w:vAlign w:val="center"/>
          </w:tcPr>
          <w:p w:rsidR="004A5D85" w:rsidRPr="000C4B51" w:rsidRDefault="004A5D85" w:rsidP="00676B4E">
            <w:pPr>
              <w:spacing w:before="140" w:after="140" w:line="280" w:lineRule="atLeast"/>
              <w:jc w:val="center"/>
              <w:rPr>
                <w:rFonts w:cs="Arial"/>
                <w:color w:val="000000" w:themeColor="text1"/>
              </w:rPr>
            </w:pPr>
            <w:r>
              <w:rPr>
                <w:rFonts w:cs="Arial"/>
                <w:color w:val="000000" w:themeColor="text1"/>
              </w:rPr>
              <w:t>plus</w:t>
            </w:r>
          </w:p>
        </w:tc>
        <w:tc>
          <w:tcPr>
            <w:tcW w:w="3418" w:type="dxa"/>
            <w:vAlign w:val="center"/>
          </w:tcPr>
          <w:p w:rsidR="004A5D85" w:rsidRPr="000C4B51" w:rsidRDefault="004A5D85" w:rsidP="00676B4E">
            <w:pPr>
              <w:spacing w:before="140" w:after="140" w:line="280" w:lineRule="atLeast"/>
              <w:jc w:val="center"/>
              <w:rPr>
                <w:rFonts w:cs="Arial"/>
                <w:color w:val="000000" w:themeColor="text1"/>
              </w:rPr>
            </w:pPr>
            <w:r w:rsidRPr="006D2CDA">
              <w:rPr>
                <w:rFonts w:cs="Arial"/>
                <w:color w:val="000000" w:themeColor="text1"/>
              </w:rPr>
              <w:t>0.000</w:t>
            </w:r>
            <w:r w:rsidR="00D17C6F" w:rsidRPr="00D17C6F">
              <w:rPr>
                <w:rFonts w:cs="Arial"/>
                <w:color w:val="000000" w:themeColor="text1"/>
              </w:rPr>
              <w:t>93503</w:t>
            </w:r>
            <w:r w:rsidRPr="000C4B51">
              <w:rPr>
                <w:rFonts w:cs="Arial"/>
                <w:color w:val="000000" w:themeColor="text1"/>
              </w:rPr>
              <w:t xml:space="preserve"> per cent of the value of </w:t>
            </w:r>
            <w:r>
              <w:rPr>
                <w:rFonts w:cs="Arial"/>
                <w:color w:val="000000" w:themeColor="text1"/>
              </w:rPr>
              <w:t xml:space="preserve">the </w:t>
            </w:r>
            <w:r w:rsidRPr="000C4B51">
              <w:rPr>
                <w:rFonts w:cs="Arial"/>
                <w:color w:val="000000" w:themeColor="text1"/>
              </w:rPr>
              <w:t>leviable report</w:t>
            </w:r>
          </w:p>
        </w:tc>
      </w:tr>
    </w:tbl>
    <w:p w:rsidR="004A5D85" w:rsidRDefault="004A5D85" w:rsidP="004A5D85">
      <w:pPr>
        <w:spacing w:before="100" w:after="0" w:line="280" w:lineRule="atLeast"/>
        <w:ind w:left="1888" w:hanging="629"/>
        <w:rPr>
          <w:rFonts w:cs="Arial"/>
          <w:color w:val="000000" w:themeColor="text1"/>
        </w:rPr>
      </w:pPr>
      <w:r>
        <w:rPr>
          <w:rFonts w:cs="Arial"/>
          <w:color w:val="000000" w:themeColor="text1"/>
        </w:rPr>
        <w:tab/>
      </w:r>
      <w:proofErr w:type="gramStart"/>
      <w:r>
        <w:rPr>
          <w:rFonts w:cs="Arial"/>
          <w:color w:val="000000" w:themeColor="text1"/>
        </w:rPr>
        <w:t>or</w:t>
      </w:r>
      <w:proofErr w:type="gramEnd"/>
    </w:p>
    <w:p w:rsidR="004A5D85" w:rsidRPr="000C4B51" w:rsidRDefault="004A5D85" w:rsidP="004A5D85">
      <w:pPr>
        <w:spacing w:before="100" w:after="0" w:line="280" w:lineRule="atLeast"/>
        <w:ind w:left="1888" w:hanging="629"/>
        <w:rPr>
          <w:rFonts w:cs="Arial"/>
          <w:color w:val="000000" w:themeColor="text1"/>
        </w:rPr>
      </w:pPr>
      <w:r>
        <w:rPr>
          <w:rFonts w:cs="Arial"/>
          <w:color w:val="000000" w:themeColor="text1"/>
        </w:rPr>
        <w:t>(b)</w:t>
      </w:r>
      <w:r>
        <w:rPr>
          <w:rFonts w:cs="Arial"/>
          <w:color w:val="000000" w:themeColor="text1"/>
        </w:rPr>
        <w:tab/>
      </w:r>
      <w:proofErr w:type="gramStart"/>
      <w:r w:rsidRPr="00AF67CE">
        <w:rPr>
          <w:rFonts w:cs="Arial"/>
          <w:color w:val="000000" w:themeColor="text1"/>
        </w:rPr>
        <w:t>if</w:t>
      </w:r>
      <w:proofErr w:type="gramEnd"/>
      <w:r w:rsidRPr="00AF67CE">
        <w:rPr>
          <w:rFonts w:cs="Arial"/>
          <w:color w:val="000000" w:themeColor="text1"/>
        </w:rPr>
        <w:t xml:space="preserve"> the total value of the leviable reports that the entity gave in the 201</w:t>
      </w:r>
      <w:r>
        <w:rPr>
          <w:rFonts w:cs="Arial"/>
          <w:color w:val="000000" w:themeColor="text1"/>
        </w:rPr>
        <w:t>8</w:t>
      </w:r>
      <w:r w:rsidRPr="00AF67CE">
        <w:rPr>
          <w:rFonts w:cs="Arial"/>
          <w:color w:val="000000" w:themeColor="text1"/>
        </w:rPr>
        <w:t xml:space="preserve"> calendar year was $15 billion or more</w:t>
      </w:r>
      <w:r>
        <w:rPr>
          <w:rFonts w:cs="Arial"/>
          <w:color w:val="000000" w:themeColor="text1"/>
        </w:rPr>
        <w:t>:</w:t>
      </w:r>
    </w:p>
    <w:tbl>
      <w:tblPr>
        <w:tblW w:w="6395" w:type="dxa"/>
        <w:tblInd w:w="1985" w:type="dxa"/>
        <w:tblLook w:val="01E0" w:firstRow="1" w:lastRow="1" w:firstColumn="1" w:lastColumn="1" w:noHBand="0" w:noVBand="0"/>
      </w:tblPr>
      <w:tblGrid>
        <w:gridCol w:w="2070"/>
        <w:gridCol w:w="907"/>
        <w:gridCol w:w="3418"/>
      </w:tblGrid>
      <w:tr w:rsidR="004A5D85" w:rsidRPr="000C4B51" w:rsidTr="00676B4E">
        <w:tc>
          <w:tcPr>
            <w:tcW w:w="2070" w:type="dxa"/>
            <w:vAlign w:val="center"/>
          </w:tcPr>
          <w:p w:rsidR="004A5D85" w:rsidRPr="000C4B51" w:rsidRDefault="004A5D85" w:rsidP="00676B4E">
            <w:pPr>
              <w:spacing w:before="140" w:after="140" w:line="280" w:lineRule="atLeast"/>
              <w:jc w:val="center"/>
              <w:rPr>
                <w:rFonts w:cs="Arial"/>
                <w:color w:val="000000" w:themeColor="text1"/>
              </w:rPr>
            </w:pPr>
            <w:r w:rsidRPr="000C4B51">
              <w:rPr>
                <w:rFonts w:cs="Arial"/>
                <w:color w:val="000000" w:themeColor="text1"/>
              </w:rPr>
              <w:t>1.</w:t>
            </w:r>
            <w:r>
              <w:rPr>
                <w:rFonts w:cs="Arial"/>
                <w:color w:val="000000" w:themeColor="text1"/>
              </w:rPr>
              <w:t>3</w:t>
            </w:r>
            <w:r w:rsidRPr="000C4B51">
              <w:rPr>
                <w:rFonts w:cs="Arial"/>
                <w:color w:val="000000" w:themeColor="text1"/>
              </w:rPr>
              <w:t xml:space="preserve"> cents for each leviable report</w:t>
            </w:r>
          </w:p>
        </w:tc>
        <w:tc>
          <w:tcPr>
            <w:tcW w:w="907" w:type="dxa"/>
            <w:vAlign w:val="center"/>
          </w:tcPr>
          <w:p w:rsidR="004A5D85" w:rsidRPr="000C4B51" w:rsidRDefault="004A5D85" w:rsidP="00676B4E">
            <w:pPr>
              <w:spacing w:before="140" w:after="140" w:line="280" w:lineRule="atLeast"/>
              <w:jc w:val="center"/>
              <w:rPr>
                <w:rFonts w:cs="Arial"/>
                <w:color w:val="000000" w:themeColor="text1"/>
              </w:rPr>
            </w:pPr>
            <w:r>
              <w:rPr>
                <w:rFonts w:cs="Arial"/>
                <w:color w:val="000000" w:themeColor="text1"/>
              </w:rPr>
              <w:t>plus</w:t>
            </w:r>
          </w:p>
        </w:tc>
        <w:tc>
          <w:tcPr>
            <w:tcW w:w="3418" w:type="dxa"/>
            <w:vAlign w:val="center"/>
          </w:tcPr>
          <w:p w:rsidR="004A5D85" w:rsidRPr="000C4B51" w:rsidRDefault="004A5D85" w:rsidP="00676B4E">
            <w:pPr>
              <w:spacing w:before="140" w:after="140" w:line="280" w:lineRule="atLeast"/>
              <w:jc w:val="center"/>
              <w:rPr>
                <w:rFonts w:cs="Arial"/>
                <w:color w:val="000000" w:themeColor="text1"/>
              </w:rPr>
            </w:pPr>
            <w:r w:rsidRPr="006D2CDA">
              <w:rPr>
                <w:rFonts w:cs="Arial"/>
                <w:color w:val="000000" w:themeColor="text1"/>
              </w:rPr>
              <w:t>0.00</w:t>
            </w:r>
            <w:r w:rsidR="00767FBA" w:rsidRPr="00767FBA">
              <w:rPr>
                <w:rFonts w:cs="Arial"/>
                <w:color w:val="000000" w:themeColor="text1"/>
              </w:rPr>
              <w:t>114134</w:t>
            </w:r>
            <w:r w:rsidRPr="000C4B51">
              <w:rPr>
                <w:rFonts w:cs="Arial"/>
                <w:color w:val="000000" w:themeColor="text1"/>
              </w:rPr>
              <w:t xml:space="preserve"> per cent of the value of </w:t>
            </w:r>
            <w:r>
              <w:rPr>
                <w:rFonts w:cs="Arial"/>
                <w:color w:val="000000" w:themeColor="text1"/>
              </w:rPr>
              <w:t xml:space="preserve">the </w:t>
            </w:r>
            <w:r w:rsidRPr="000C4B51">
              <w:rPr>
                <w:rFonts w:cs="Arial"/>
                <w:color w:val="000000" w:themeColor="text1"/>
              </w:rPr>
              <w:t>leviable report</w:t>
            </w:r>
          </w:p>
        </w:tc>
      </w:tr>
    </w:tbl>
    <w:p w:rsidR="004A5D85" w:rsidRPr="000C4B51" w:rsidRDefault="004A5D85" w:rsidP="004A5D85">
      <w:pPr>
        <w:spacing w:before="140" w:after="140" w:line="280" w:lineRule="atLeast"/>
        <w:ind w:left="1258" w:hanging="629"/>
        <w:rPr>
          <w:rFonts w:cs="Arial"/>
          <w:color w:val="000000" w:themeColor="text1"/>
        </w:rPr>
      </w:pPr>
      <w:r>
        <w:rPr>
          <w:rFonts w:cs="Arial"/>
          <w:color w:val="000000" w:themeColor="text1"/>
        </w:rPr>
        <w:t>(3)</w:t>
      </w:r>
      <w:r>
        <w:rPr>
          <w:rFonts w:cs="Arial"/>
          <w:color w:val="000000" w:themeColor="text1"/>
        </w:rPr>
        <w:tab/>
      </w:r>
      <w:r w:rsidRPr="000C4B51">
        <w:rPr>
          <w:rFonts w:cs="Arial"/>
          <w:color w:val="000000" w:themeColor="text1"/>
        </w:rPr>
        <w:t xml:space="preserve">If a leviable report of the type referred to in paragraph (b) or (c) of the definition of </w:t>
      </w:r>
      <w:r w:rsidRPr="000C4B51">
        <w:rPr>
          <w:rFonts w:cs="Arial"/>
          <w:i/>
          <w:color w:val="000000" w:themeColor="text1"/>
        </w:rPr>
        <w:t>leviable report</w:t>
      </w:r>
      <w:r w:rsidRPr="000C4B51">
        <w:rPr>
          <w:rFonts w:cs="Arial"/>
          <w:color w:val="000000" w:themeColor="text1"/>
        </w:rPr>
        <w:t xml:space="preserve"> is used in the calculation of a leviable entity’s transaction reporting component, the same report cannot be used in the calculation of any other leviable entity’s transaction reporting component.</w:t>
      </w:r>
    </w:p>
    <w:p w:rsidR="00FC0449" w:rsidRDefault="004A5D85" w:rsidP="004A5D85">
      <w:r w:rsidRPr="000C4B51">
        <w:rPr>
          <w:rFonts w:cs="Arial"/>
          <w:color w:val="000000" w:themeColor="text1"/>
        </w:rPr>
        <w:t>(4)</w:t>
      </w:r>
      <w:r w:rsidRPr="000C4B51">
        <w:rPr>
          <w:rFonts w:cs="Arial"/>
          <w:color w:val="000000" w:themeColor="text1"/>
        </w:rPr>
        <w:tab/>
        <w:t xml:space="preserve">In this item, a reference to the </w:t>
      </w:r>
      <w:r w:rsidRPr="000C4B51">
        <w:rPr>
          <w:rFonts w:cs="Arial"/>
          <w:i/>
          <w:color w:val="000000" w:themeColor="text1"/>
        </w:rPr>
        <w:t>value of a leviable report</w:t>
      </w:r>
      <w:r w:rsidRPr="000C4B51">
        <w:rPr>
          <w:rFonts w:cs="Arial"/>
          <w:color w:val="000000" w:themeColor="text1"/>
        </w:rPr>
        <w:t xml:space="preserve"> is a reference to the </w:t>
      </w:r>
      <w:r>
        <w:rPr>
          <w:rFonts w:cs="Arial"/>
          <w:color w:val="000000" w:themeColor="text1"/>
        </w:rPr>
        <w:t xml:space="preserve">value of the </w:t>
      </w:r>
      <w:r w:rsidRPr="000C4B51">
        <w:rPr>
          <w:rFonts w:cs="Arial"/>
          <w:color w:val="000000" w:themeColor="text1"/>
        </w:rPr>
        <w:t>transaction to which the leviable report relates.</w:t>
      </w:r>
    </w:p>
    <w:sectPr w:rsidR="00FC04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0C" w:rsidRDefault="0001610C" w:rsidP="004A5D85">
      <w:pPr>
        <w:spacing w:before="0" w:after="0" w:line="240" w:lineRule="auto"/>
      </w:pPr>
      <w:r>
        <w:separator/>
      </w:r>
    </w:p>
  </w:endnote>
  <w:endnote w:type="continuationSeparator" w:id="0">
    <w:p w:rsidR="0001610C" w:rsidRDefault="0001610C" w:rsidP="004A5D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0C" w:rsidRDefault="0001610C" w:rsidP="004A5D85">
      <w:pPr>
        <w:spacing w:before="0" w:after="0" w:line="240" w:lineRule="auto"/>
      </w:pPr>
      <w:r>
        <w:separator/>
      </w:r>
    </w:p>
  </w:footnote>
  <w:footnote w:type="continuationSeparator" w:id="0">
    <w:p w:rsidR="0001610C" w:rsidRDefault="0001610C" w:rsidP="004A5D85">
      <w:pPr>
        <w:spacing w:before="0" w:after="0" w:line="240" w:lineRule="auto"/>
      </w:pPr>
      <w:r>
        <w:continuationSeparator/>
      </w:r>
    </w:p>
  </w:footnote>
  <w:footnote w:id="1">
    <w:p w:rsidR="004A5D85" w:rsidRPr="007010FF" w:rsidRDefault="004A5D85" w:rsidP="004A5D85">
      <w:pPr>
        <w:pStyle w:val="FootnoteText"/>
        <w:rPr>
          <w:rFonts w:ascii="Arial" w:hAnsi="Arial" w:cs="Arial"/>
          <w:sz w:val="18"/>
          <w:szCs w:val="18"/>
        </w:rPr>
      </w:pPr>
      <w:r w:rsidRPr="007010FF">
        <w:rPr>
          <w:rStyle w:val="FootnoteReference"/>
          <w:rFonts w:eastAsiaTheme="majorEastAsia" w:cs="Arial"/>
        </w:rPr>
        <w:footnoteRef/>
      </w:r>
      <w:r w:rsidRPr="007010FF">
        <w:rPr>
          <w:rFonts w:ascii="Arial" w:hAnsi="Arial" w:cs="Arial"/>
        </w:rPr>
        <w:t xml:space="preserve"> </w:t>
      </w:r>
      <w:r w:rsidRPr="007010FF">
        <w:rPr>
          <w:rFonts w:ascii="Arial" w:hAnsi="Arial" w:cs="Arial"/>
          <w:sz w:val="18"/>
          <w:szCs w:val="18"/>
        </w:rPr>
        <w:t xml:space="preserve">All legislative instruments and compilations are registered on the </w:t>
      </w:r>
      <w:r w:rsidRPr="00845A29">
        <w:rPr>
          <w:rFonts w:ascii="Arial" w:hAnsi="Arial" w:cs="Arial"/>
          <w:sz w:val="18"/>
          <w:szCs w:val="18"/>
        </w:rPr>
        <w:t>Federal Register of Legislati</w:t>
      </w:r>
      <w:r>
        <w:rPr>
          <w:rFonts w:ascii="Arial" w:hAnsi="Arial" w:cs="Arial"/>
          <w:sz w:val="18"/>
          <w:szCs w:val="18"/>
        </w:rPr>
        <w:t xml:space="preserve">on, managed in accordance with the </w:t>
      </w:r>
      <w:r w:rsidRPr="00845A29">
        <w:rPr>
          <w:rFonts w:ascii="Arial" w:hAnsi="Arial" w:cs="Arial"/>
          <w:i/>
          <w:sz w:val="18"/>
          <w:szCs w:val="18"/>
        </w:rPr>
        <w:t>Legislation Act 2003</w:t>
      </w:r>
      <w:r>
        <w:rPr>
          <w:rFonts w:ascii="Arial" w:hAnsi="Arial" w:cs="Arial"/>
          <w:sz w:val="18"/>
          <w:szCs w:val="18"/>
        </w:rPr>
        <w:t>.</w:t>
      </w:r>
      <w:r w:rsidRPr="00845A29">
        <w:rPr>
          <w:rFonts w:ascii="Arial" w:hAnsi="Arial" w:cs="Arial"/>
          <w:sz w:val="18"/>
          <w:szCs w:val="18"/>
        </w:rPr>
        <w:t xml:space="preserve"> </w:t>
      </w:r>
      <w:r>
        <w:rPr>
          <w:rFonts w:ascii="Arial" w:hAnsi="Arial" w:cs="Arial"/>
          <w:sz w:val="18"/>
          <w:szCs w:val="18"/>
        </w:rPr>
        <w:t xml:space="preserve"> </w:t>
      </w:r>
      <w:r w:rsidRPr="00845A29">
        <w:rPr>
          <w:rFonts w:ascii="Arial" w:hAnsi="Arial" w:cs="Arial"/>
          <w:sz w:val="18"/>
          <w:szCs w:val="18"/>
        </w:rPr>
        <w:t>See</w:t>
      </w:r>
      <w:r w:rsidRPr="00E30CC4">
        <w:rPr>
          <w:rFonts w:ascii="Arial" w:hAnsi="Arial" w:cs="Arial"/>
          <w:color w:val="FF0000"/>
          <w:sz w:val="18"/>
          <w:szCs w:val="18"/>
        </w:rPr>
        <w:t xml:space="preserve"> </w:t>
      </w:r>
      <w:hyperlink r:id="rId1" w:history="1">
        <w:r w:rsidRPr="00845A29">
          <w:rPr>
            <w:rStyle w:val="Hyperlink"/>
            <w:rFonts w:ascii="Arial" w:hAnsi="Arial" w:cs="Arial"/>
            <w:sz w:val="18"/>
            <w:szCs w:val="18"/>
          </w:rPr>
          <w:t>Federal Register of Legislation</w:t>
        </w:r>
      </w:hyperlink>
      <w:r w:rsidRPr="00E30CC4">
        <w:rPr>
          <w:rFonts w:ascii="Arial" w:hAnsi="Arial" w:cs="Arial"/>
          <w:color w:val="FF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85"/>
    <w:rsid w:val="0001610C"/>
    <w:rsid w:val="00267AC9"/>
    <w:rsid w:val="002D0F78"/>
    <w:rsid w:val="004A5D85"/>
    <w:rsid w:val="006E4C5C"/>
    <w:rsid w:val="00767FBA"/>
    <w:rsid w:val="00B3635E"/>
    <w:rsid w:val="00BB744F"/>
    <w:rsid w:val="00C0273C"/>
    <w:rsid w:val="00D17C6F"/>
    <w:rsid w:val="00FC0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6F1A"/>
  <w15:chartTrackingRefBased/>
  <w15:docId w15:val="{CB1E05A5-1B96-435D-BA2E-D791E388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85"/>
    <w:pPr>
      <w:spacing w:before="120" w:after="120" w:line="276" w:lineRule="auto"/>
    </w:pPr>
    <w:rPr>
      <w:rFonts w:ascii="Calibri" w:hAnsi="Calibri"/>
      <w:color w:val="5F5F5F"/>
      <w:sz w:val="24"/>
    </w:rPr>
  </w:style>
  <w:style w:type="paragraph" w:styleId="Heading1">
    <w:name w:val="heading 1"/>
    <w:basedOn w:val="Normal"/>
    <w:next w:val="Normal"/>
    <w:link w:val="Heading1Char"/>
    <w:uiPriority w:val="9"/>
    <w:qFormat/>
    <w:rsid w:val="004A5D85"/>
    <w:pPr>
      <w:keepNext/>
      <w:keepLines/>
      <w:pageBreakBefore/>
      <w:pBdr>
        <w:bottom w:val="single" w:sz="4" w:space="1" w:color="auto"/>
      </w:pBdr>
      <w:spacing w:before="0" w:after="480"/>
      <w:outlineLvl w:val="0"/>
    </w:pPr>
    <w:rPr>
      <w:rFonts w:eastAsiaTheme="majorEastAsia" w:cstheme="majorBidi"/>
      <w:b/>
      <w:bCs/>
      <w:color w:val="01426A"/>
      <w:sz w:val="4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85"/>
    <w:rPr>
      <w:rFonts w:ascii="Calibri" w:eastAsiaTheme="majorEastAsia" w:hAnsi="Calibri" w:cstheme="majorBidi"/>
      <w:b/>
      <w:bCs/>
      <w:color w:val="01426A"/>
      <w:sz w:val="44"/>
      <w:szCs w:val="52"/>
    </w:rPr>
  </w:style>
  <w:style w:type="character" w:styleId="Hyperlink">
    <w:name w:val="Hyperlink"/>
    <w:basedOn w:val="DefaultParagraphFont"/>
    <w:uiPriority w:val="99"/>
    <w:unhideWhenUsed/>
    <w:rsid w:val="004A5D85"/>
    <w:rPr>
      <w:color w:val="0563C1" w:themeColor="hyperlink"/>
      <w:u w:val="single"/>
    </w:rPr>
  </w:style>
  <w:style w:type="paragraph" w:styleId="FootnoteText">
    <w:name w:val="footnote text"/>
    <w:basedOn w:val="Normal"/>
    <w:link w:val="FootnoteTextChar"/>
    <w:semiHidden/>
    <w:rsid w:val="004A5D85"/>
    <w:pPr>
      <w:spacing w:line="240" w:lineRule="auto"/>
    </w:pPr>
    <w:rPr>
      <w:rFonts w:ascii="Times New Roman" w:eastAsia="Times New Roman" w:hAnsi="Times New Roman" w:cs="Times New Roman"/>
      <w:color w:val="595959" w:themeColor="text1" w:themeTint="A6"/>
      <w:sz w:val="20"/>
      <w:szCs w:val="20"/>
      <w:lang w:eastAsia="en-AU"/>
    </w:rPr>
  </w:style>
  <w:style w:type="character" w:customStyle="1" w:styleId="FootnoteTextChar">
    <w:name w:val="Footnote Text Char"/>
    <w:basedOn w:val="DefaultParagraphFont"/>
    <w:link w:val="FootnoteText"/>
    <w:semiHidden/>
    <w:rsid w:val="004A5D85"/>
    <w:rPr>
      <w:rFonts w:ascii="Times New Roman" w:eastAsia="Times New Roman" w:hAnsi="Times New Roman" w:cs="Times New Roman"/>
      <w:color w:val="595959" w:themeColor="text1" w:themeTint="A6"/>
      <w:sz w:val="20"/>
      <w:szCs w:val="20"/>
      <w:lang w:eastAsia="en-AU"/>
    </w:rPr>
  </w:style>
  <w:style w:type="character" w:styleId="FootnoteReference">
    <w:name w:val="footnote reference"/>
    <w:basedOn w:val="DefaultParagraphFont"/>
    <w:semiHidden/>
    <w:rsid w:val="004A5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McDowell</dc:creator>
  <cp:keywords/>
  <dc:description/>
  <cp:lastModifiedBy>Hugh Dixon</cp:lastModifiedBy>
  <cp:revision>4</cp:revision>
  <dcterms:created xsi:type="dcterms:W3CDTF">2019-09-13T03:37:00Z</dcterms:created>
  <dcterms:modified xsi:type="dcterms:W3CDTF">2019-10-02T06:17:00Z</dcterms:modified>
</cp:coreProperties>
</file>