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4C964DC9" w14:textId="6F92EBC7" w:rsidR="007F21C2" w:rsidRDefault="00533C8E" w:rsidP="00533C8E">
      <w:pPr>
        <w:ind w:right="-483"/>
        <w:jc w:val="center"/>
        <w:rPr>
          <w:bCs/>
          <w:i/>
          <w:szCs w:val="24"/>
        </w:rPr>
      </w:pPr>
      <w:r w:rsidRPr="00533C8E">
        <w:rPr>
          <w:bCs/>
          <w:i/>
          <w:szCs w:val="24"/>
        </w:rPr>
        <w:t xml:space="preserve">Health Insurance (Section 3C </w:t>
      </w:r>
      <w:r w:rsidR="00B23481">
        <w:rPr>
          <w:bCs/>
          <w:i/>
          <w:szCs w:val="24"/>
        </w:rPr>
        <w:t>General Medical</w:t>
      </w:r>
      <w:r w:rsidRPr="00533C8E">
        <w:rPr>
          <w:bCs/>
          <w:i/>
          <w:szCs w:val="24"/>
        </w:rPr>
        <w:t xml:space="preserve"> Services – </w:t>
      </w:r>
      <w:r w:rsidR="00B23481">
        <w:rPr>
          <w:bCs/>
          <w:i/>
          <w:szCs w:val="24"/>
        </w:rPr>
        <w:t>Heart Health Assessment No.2</w:t>
      </w:r>
      <w:r>
        <w:rPr>
          <w:bCs/>
          <w:i/>
          <w:szCs w:val="24"/>
        </w:rPr>
        <w:t>) Amendment Determination 2019</w:t>
      </w:r>
    </w:p>
    <w:p w14:paraId="784EED36" w14:textId="77777777" w:rsidR="00533C8E" w:rsidRPr="00533C8E" w:rsidRDefault="00533C8E" w:rsidP="00533C8E">
      <w:pPr>
        <w:ind w:right="-483"/>
        <w:jc w:val="center"/>
        <w:rPr>
          <w:bCs/>
          <w:i/>
          <w:szCs w:val="24"/>
          <w:highlight w:val="yellow"/>
        </w:rPr>
      </w:pPr>
    </w:p>
    <w:p w14:paraId="3D32FAC7" w14:textId="5681BBD7" w:rsidR="007F21C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provides that the Minister may, by legislative instrument, determine that a health service not specified in an item in the </w:t>
      </w:r>
      <w:r w:rsidR="00B23481">
        <w:rPr>
          <w:color w:val="000000"/>
          <w:shd w:val="clear" w:color="auto" w:fill="FFFFFF"/>
        </w:rPr>
        <w:t>general medical services table</w:t>
      </w:r>
      <w:r>
        <w:rPr>
          <w:color w:val="000000"/>
          <w:shd w:val="clear" w:color="auto" w:fill="FFFFFF"/>
        </w:rPr>
        <w:t xml:space="preserve"> (the Table)</w:t>
      </w:r>
      <w:r w:rsidRPr="00D87426">
        <w:rPr>
          <w:color w:val="000000"/>
          <w:shd w:val="clear" w:color="auto" w:fill="FFFFFF"/>
        </w:rPr>
        <w:t xml:space="preserve"> shall, in specified circumstances and for specified statutory provisions, be treated as if it were specified in the </w:t>
      </w:r>
      <w:r>
        <w:rPr>
          <w:color w:val="000000"/>
          <w:shd w:val="clear" w:color="auto" w:fill="FFFFFF"/>
        </w:rPr>
        <w:t>Table</w:t>
      </w:r>
      <w:r w:rsidRPr="00D87426">
        <w:rPr>
          <w:color w:val="000000"/>
          <w:shd w:val="clear" w:color="auto" w:fill="FFFFFF"/>
        </w:rPr>
        <w:t>.</w:t>
      </w:r>
      <w:r>
        <w:rPr>
          <w:color w:val="000000"/>
          <w:shd w:val="clear" w:color="auto" w:fill="FFFFFF"/>
        </w:rPr>
        <w:t xml:space="preserve"> </w:t>
      </w:r>
    </w:p>
    <w:p w14:paraId="67CB6734" w14:textId="77777777" w:rsidR="007F21C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143179A" w14:textId="009D7E5D" w:rsidR="007F21C2" w:rsidRPr="0033464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highlight w:val="yellow"/>
          <w:shd w:val="clear" w:color="auto" w:fill="FFFFFF"/>
        </w:rPr>
      </w:pPr>
      <w:r>
        <w:t xml:space="preserve">The Table is set out in the regulations made under subsection 4(1) of the Act, which is repealed and re-made each year. The most recent version of the regulations is the </w:t>
      </w:r>
      <w:r>
        <w:rPr>
          <w:i/>
          <w:iCs/>
        </w:rPr>
        <w:t>Health Insurance (</w:t>
      </w:r>
      <w:r w:rsidR="00B23481">
        <w:rPr>
          <w:i/>
          <w:iCs/>
        </w:rPr>
        <w:t xml:space="preserve">General Medical </w:t>
      </w:r>
      <w:r>
        <w:rPr>
          <w:i/>
          <w:iCs/>
        </w:rPr>
        <w:t>Services Table) Regulations 2019</w:t>
      </w:r>
      <w:r>
        <w:t>.</w:t>
      </w:r>
    </w:p>
    <w:p w14:paraId="05ED1D08" w14:textId="77777777" w:rsidR="007F21C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47F6437" w14:textId="0F9A0295" w:rsidR="007F21C2" w:rsidRPr="0092616B" w:rsidRDefault="00BB09A8"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B09A8">
        <w:t xml:space="preserve">This instrument relies on subsection 33(3) of the </w:t>
      </w:r>
      <w:r w:rsidRPr="00A66BD1">
        <w:rPr>
          <w:i/>
        </w:rPr>
        <w:t>Acts Interpretation Act 1901</w:t>
      </w:r>
      <w:r w:rsidRPr="00BB09A8">
        <w:t xml:space="preserve"> (AIA).  </w:t>
      </w:r>
      <w:r w:rsidR="007F21C2">
        <w:t xml:space="preserve">Subsection 33(3) of the </w:t>
      </w:r>
      <w:r w:rsidRPr="00533C8E">
        <w:t>AIA</w:t>
      </w:r>
      <w:r w:rsidR="007F21C2">
        <w:rPr>
          <w:i/>
        </w:rPr>
        <w:t xml:space="preserve"> </w:t>
      </w:r>
      <w:r w:rsidR="007F21C2"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rsidR="007F21C2">
        <w:t>t.</w:t>
      </w:r>
    </w:p>
    <w:p w14:paraId="5634930A" w14:textId="77777777" w:rsidR="007F21C2" w:rsidRPr="00EB601D" w:rsidRDefault="007F21C2" w:rsidP="007F21C2">
      <w:pPr>
        <w:autoSpaceDE w:val="0"/>
        <w:autoSpaceDN w:val="0"/>
        <w:adjustRightInd w:val="0"/>
        <w:ind w:right="-483"/>
        <w:rPr>
          <w:szCs w:val="24"/>
          <w:highlight w:val="yellow"/>
        </w:rPr>
      </w:pPr>
    </w:p>
    <w:p w14:paraId="39F9C75E" w14:textId="77777777" w:rsidR="007F21C2" w:rsidRPr="00CD4A21" w:rsidRDefault="007F21C2" w:rsidP="007F21C2">
      <w:pPr>
        <w:rPr>
          <w:b/>
          <w:szCs w:val="24"/>
          <w:lang w:val="en-US" w:eastAsia="en-US"/>
        </w:rPr>
      </w:pPr>
      <w:r w:rsidRPr="00CD4A21">
        <w:rPr>
          <w:b/>
          <w:szCs w:val="24"/>
          <w:lang w:val="en-US" w:eastAsia="en-US"/>
        </w:rPr>
        <w:t>Purpose</w:t>
      </w:r>
    </w:p>
    <w:p w14:paraId="10C8445E" w14:textId="77777777" w:rsidR="008F2859" w:rsidRDefault="008F2859" w:rsidP="008F2859">
      <w:pPr>
        <w:rPr>
          <w:sz w:val="22"/>
        </w:rPr>
      </w:pPr>
      <w:r>
        <w:t xml:space="preserve">The amendments made by the </w:t>
      </w:r>
      <w:r>
        <w:rPr>
          <w:i/>
          <w:iCs/>
        </w:rPr>
        <w:t>Health Insurance (Section 3C General Medical Services – Heart Health Assessment No.2) Amendment Determination 2019</w:t>
      </w:r>
      <w:r>
        <w:t xml:space="preserve"> (the Amendment Determination) is part of a consequential change to the heart health assessment services from 1 November 2019.</w:t>
      </w:r>
    </w:p>
    <w:p w14:paraId="6DF38C88" w14:textId="77777777" w:rsidR="008F2859" w:rsidRDefault="008F2859" w:rsidP="008F2859">
      <w:pPr>
        <w:rPr>
          <w:lang w:eastAsia="en-US"/>
        </w:rPr>
      </w:pPr>
    </w:p>
    <w:p w14:paraId="33633B10" w14:textId="77777777" w:rsidR="008F2859" w:rsidRDefault="008F2859" w:rsidP="008F2859">
      <w:r>
        <w:t xml:space="preserve">On 1 April 2019, two new health assessment services (items 699 and 177) were introduced to provide patients a comprehensive assessment of their cardiovascular health, identification of any physical or lifestyle-related risks to their cardiovascular health, and a comprehensive preventive health care plan to improve their cardiovascular health. </w:t>
      </w:r>
    </w:p>
    <w:p w14:paraId="00DD9FD2" w14:textId="77777777" w:rsidR="008F2859" w:rsidRDefault="008F2859" w:rsidP="008F2859"/>
    <w:p w14:paraId="0E23F6C7" w14:textId="77777777" w:rsidR="00A94774" w:rsidRDefault="00A94774" w:rsidP="00A94774">
      <w:pPr>
        <w:spacing w:after="240"/>
      </w:pPr>
      <w:r>
        <w:t xml:space="preserve">The </w:t>
      </w:r>
      <w:r>
        <w:rPr>
          <w:i/>
          <w:iCs/>
        </w:rPr>
        <w:t xml:space="preserve">Health Insurance (Section 3C General Medical Services – Heart Health Assessment No.2) Determination 2019 </w:t>
      </w:r>
      <w:r>
        <w:t>(the Principal Determination) listed the new items to subsidise access to heart health assessment services lasting at least 20 minutes by a general practitioner (item 699) or a medical practitioner working in general practice (item 177). A patient is currently eligible for a Medicare benefit of $73.95 for a service to which item 699 applied and $59.15 for a service to which item 177 applied.</w:t>
      </w:r>
    </w:p>
    <w:p w14:paraId="14BEF707" w14:textId="490CA8D6" w:rsidR="00A94774" w:rsidRDefault="00A94774" w:rsidP="00A94774">
      <w:r>
        <w:t xml:space="preserve">From 1 November 2019, the </w:t>
      </w:r>
      <w:r>
        <w:rPr>
          <w:i/>
          <w:iCs/>
        </w:rPr>
        <w:t xml:space="preserve">Health Insurance Legislation Amendment (2019 Measures No. 1) Regulations 2019 </w:t>
      </w:r>
      <w:r>
        <w:t>will increase the Medicare benefit amount a patient will be eligible for</w:t>
      </w:r>
      <w:r w:rsidR="006025F2">
        <w:t xml:space="preserve"> a service provided under </w:t>
      </w:r>
      <w:r>
        <w:t>items 699 and 177, from 85% of the schedule fee to 100% of the schedule fee. Increasing the benefit to 100% of the schedule fee will align the heart health assessment items with other health assessment services in Group A14 of the Table, which have a benefit of 100% of the schedule fee.</w:t>
      </w:r>
    </w:p>
    <w:p w14:paraId="7D178D00" w14:textId="77777777" w:rsidR="00A94774" w:rsidRDefault="00A94774" w:rsidP="00A94774"/>
    <w:p w14:paraId="0B892174" w14:textId="74CEBA5A" w:rsidR="00A94774" w:rsidRDefault="00A94774" w:rsidP="00A94774">
      <w:r>
        <w:lastRenderedPageBreak/>
        <w:t>The purpose of the Amendment Determination is to maintain the benefit parity through a reduction of the schedule fees for the items so there is no change in the amount of Medicare benefit a patient will be eligible for a heart health assessment service. A patient will continue to be eligible for a Medicare benefit of $73.95 for a service to which item 699 applies and $59.15 for a service to which item 177 applies.</w:t>
      </w:r>
    </w:p>
    <w:p w14:paraId="2D120EDF" w14:textId="77777777" w:rsidR="008F2859" w:rsidRDefault="008F2859" w:rsidP="00B23481">
      <w:pPr>
        <w:ind w:right="-483"/>
        <w:rPr>
          <w:szCs w:val="24"/>
        </w:rPr>
      </w:pPr>
    </w:p>
    <w:p w14:paraId="44FA3300" w14:textId="77777777" w:rsidR="007F21C2" w:rsidRDefault="007F21C2" w:rsidP="007F21C2">
      <w:pPr>
        <w:rPr>
          <w:b/>
        </w:rPr>
      </w:pPr>
      <w:r w:rsidRPr="00A853D1">
        <w:rPr>
          <w:b/>
        </w:rPr>
        <w:t>Consultation</w:t>
      </w:r>
    </w:p>
    <w:p w14:paraId="18C3FF2B" w14:textId="73D5C61F" w:rsidR="00B43642" w:rsidRDefault="00B43642" w:rsidP="00B43642">
      <w:pPr>
        <w:rPr>
          <w:sz w:val="22"/>
        </w:rPr>
      </w:pPr>
      <w:r>
        <w:t xml:space="preserve">Consultation was not undertaken on the instrument as the changes are machinery in nature and do not affect the nature of the heart health assessment services or the Medicare benefit amount a patient will receive. The change is administrative only and will provide that the heart health assessment items reflect equivalent items in Group </w:t>
      </w:r>
      <w:r w:rsidR="006025F2">
        <w:t>A</w:t>
      </w:r>
      <w:r>
        <w:t xml:space="preserve">14 of the Medicare Benefits Schedule, which have a benefit calculation of 100% of the schedule fee. </w:t>
      </w:r>
    </w:p>
    <w:p w14:paraId="43B6B95E" w14:textId="77777777" w:rsidR="00A11317" w:rsidRDefault="00A11317" w:rsidP="00A11317">
      <w:pPr>
        <w:rPr>
          <w:szCs w:val="24"/>
        </w:rPr>
      </w:pPr>
    </w:p>
    <w:p w14:paraId="5EC4BF33" w14:textId="77777777" w:rsidR="007F21C2" w:rsidRPr="00A853D1" w:rsidRDefault="007F21C2" w:rsidP="007F21C2">
      <w:pPr>
        <w:rPr>
          <w:szCs w:val="24"/>
        </w:rPr>
      </w:pPr>
      <w:r w:rsidRPr="00A853D1">
        <w:rPr>
          <w:szCs w:val="24"/>
        </w:rPr>
        <w:t xml:space="preserve">Details of the Determination are set out in the </w:t>
      </w:r>
      <w:r w:rsidRPr="00A853D1">
        <w:rPr>
          <w:szCs w:val="24"/>
          <w:u w:val="single"/>
        </w:rPr>
        <w:t>Attachment</w:t>
      </w:r>
      <w:r w:rsidRPr="00A853D1">
        <w:rPr>
          <w:szCs w:val="24"/>
        </w:rPr>
        <w:t>.</w:t>
      </w:r>
    </w:p>
    <w:p w14:paraId="3CE7FD17" w14:textId="10A16688" w:rsidR="007F21C2" w:rsidRPr="00A853D1" w:rsidRDefault="007F21C2" w:rsidP="00041158">
      <w:pPr>
        <w:tabs>
          <w:tab w:val="left" w:pos="567"/>
        </w:tabs>
        <w:spacing w:before="240"/>
        <w:rPr>
          <w:szCs w:val="24"/>
        </w:rPr>
      </w:pPr>
      <w:r w:rsidRPr="00A853D1">
        <w:rPr>
          <w:szCs w:val="24"/>
        </w:rPr>
        <w:t xml:space="preserve">The Determination commences </w:t>
      </w:r>
      <w:r w:rsidR="00041158">
        <w:rPr>
          <w:szCs w:val="24"/>
        </w:rPr>
        <w:t>immediately after the</w:t>
      </w:r>
      <w:r w:rsidR="00A11317">
        <w:rPr>
          <w:szCs w:val="24"/>
        </w:rPr>
        <w:t xml:space="preserve"> commencement of </w:t>
      </w:r>
      <w:r w:rsidR="00856AFA">
        <w:rPr>
          <w:szCs w:val="24"/>
        </w:rPr>
        <w:t xml:space="preserve">Schedule 1 of </w:t>
      </w:r>
      <w:r w:rsidR="00A11317">
        <w:rPr>
          <w:szCs w:val="24"/>
        </w:rPr>
        <w:t xml:space="preserve">the </w:t>
      </w:r>
      <w:r w:rsidR="00041158" w:rsidRPr="00A14CF0">
        <w:rPr>
          <w:i/>
          <w:szCs w:val="24"/>
        </w:rPr>
        <w:t>Health Insurance Legislation Amendment (2019 Measures No.</w:t>
      </w:r>
      <w:r w:rsidR="00DA6A38">
        <w:rPr>
          <w:i/>
          <w:szCs w:val="24"/>
        </w:rPr>
        <w:t xml:space="preserve"> </w:t>
      </w:r>
      <w:r w:rsidR="00041158" w:rsidRPr="00A14CF0">
        <w:rPr>
          <w:i/>
          <w:szCs w:val="24"/>
        </w:rPr>
        <w:t>1) Regulations 2019</w:t>
      </w:r>
      <w:r w:rsidR="00041158">
        <w:rPr>
          <w:i/>
          <w:szCs w:val="24"/>
        </w:rPr>
        <w:t>.</w:t>
      </w:r>
    </w:p>
    <w:p w14:paraId="2AE534F9" w14:textId="77777777" w:rsidR="007F21C2" w:rsidRPr="00A853D1" w:rsidRDefault="007F21C2" w:rsidP="007F21C2">
      <w:pPr>
        <w:rPr>
          <w:szCs w:val="24"/>
        </w:rPr>
      </w:pPr>
    </w:p>
    <w:p w14:paraId="362DF13A" w14:textId="3FFD02F3" w:rsidR="007F21C2" w:rsidRPr="00A853D1" w:rsidRDefault="007F21C2" w:rsidP="007F21C2">
      <w:pPr>
        <w:spacing w:after="200" w:line="276" w:lineRule="auto"/>
        <w:rPr>
          <w:szCs w:val="24"/>
        </w:rPr>
      </w:pPr>
      <w:r>
        <w:rPr>
          <w:szCs w:val="24"/>
        </w:rPr>
        <w:t>T</w:t>
      </w:r>
      <w:r w:rsidRPr="00A853D1">
        <w:rPr>
          <w:szCs w:val="24"/>
        </w:rPr>
        <w:t xml:space="preserve">he Determination is a legislative instrument for the purposes of the </w:t>
      </w:r>
      <w:r w:rsidRPr="00A853D1">
        <w:rPr>
          <w:i/>
        </w:rPr>
        <w:t>Legislation Act 2003</w:t>
      </w:r>
      <w:r w:rsidRPr="00A853D1">
        <w:rPr>
          <w:szCs w:val="24"/>
        </w:rPr>
        <w:t>.</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15A63A27" w14:textId="2081CE1A" w:rsidR="00AE7239" w:rsidRDefault="00A1739A" w:rsidP="000337CB">
      <w:pPr>
        <w:tabs>
          <w:tab w:val="left" w:pos="4820"/>
        </w:tabs>
        <w:rPr>
          <w:i/>
          <w:szCs w:val="24"/>
        </w:rPr>
      </w:pPr>
      <w:r w:rsidRPr="00A853D1">
        <w:rPr>
          <w:i/>
          <w:szCs w:val="24"/>
        </w:rPr>
        <w:tab/>
        <w:t>Health Insurance Act 1973</w:t>
      </w:r>
    </w:p>
    <w:p w14:paraId="2412D13B" w14:textId="2AD7034C" w:rsidR="00A1739A" w:rsidRDefault="00A1739A" w:rsidP="000337CB">
      <w:pPr>
        <w:tabs>
          <w:tab w:val="left" w:pos="4820"/>
        </w:tabs>
        <w:rPr>
          <w:i/>
          <w:szCs w:val="24"/>
        </w:rPr>
      </w:pPr>
    </w:p>
    <w:p w14:paraId="5C6E2460" w14:textId="77777777" w:rsidR="00DA6A38" w:rsidRDefault="00DA6A38">
      <w:pPr>
        <w:spacing w:after="200" w:line="276" w:lineRule="auto"/>
        <w:rPr>
          <w:b/>
          <w:szCs w:val="24"/>
        </w:rPr>
      </w:pPr>
      <w:r>
        <w:rPr>
          <w:b/>
          <w:szCs w:val="24"/>
        </w:rPr>
        <w:br w:type="page"/>
      </w:r>
    </w:p>
    <w:p w14:paraId="44848EAA" w14:textId="04D0E1AC" w:rsidR="00AE7239" w:rsidRPr="009C0610" w:rsidRDefault="00AE7239" w:rsidP="00AE7239">
      <w:pPr>
        <w:spacing w:after="200" w:line="276" w:lineRule="auto"/>
        <w:jc w:val="right"/>
        <w:rPr>
          <w:b/>
          <w:szCs w:val="24"/>
        </w:rPr>
      </w:pPr>
      <w:r w:rsidRPr="009C0610">
        <w:rPr>
          <w:b/>
          <w:szCs w:val="24"/>
        </w:rPr>
        <w:lastRenderedPageBreak/>
        <w:t>ATTACHMENT</w:t>
      </w:r>
    </w:p>
    <w:p w14:paraId="6AF32ABC" w14:textId="1E9BD3A6" w:rsidR="007F21C2" w:rsidRPr="00215191" w:rsidRDefault="00AE7239" w:rsidP="007F21C2">
      <w:pPr>
        <w:pStyle w:val="BodyText"/>
        <w:rPr>
          <w:i/>
          <w:szCs w:val="24"/>
        </w:rPr>
      </w:pPr>
      <w:r w:rsidRPr="00215191">
        <w:rPr>
          <w:szCs w:val="24"/>
        </w:rPr>
        <w:t xml:space="preserve">Details of the </w:t>
      </w:r>
      <w:r w:rsidR="00913495" w:rsidRPr="00913495">
        <w:rPr>
          <w:bCs/>
          <w:i/>
          <w:szCs w:val="24"/>
        </w:rPr>
        <w:t>Health Insurance (Section 3C General Medical Services – Heart Health Assessment No.2) Amendment Determination 2019</w:t>
      </w:r>
    </w:p>
    <w:p w14:paraId="3A8422E0" w14:textId="310BD7EC" w:rsidR="00AE7239" w:rsidRDefault="00AE7239" w:rsidP="00AE7239">
      <w:pPr>
        <w:pStyle w:val="BodyText"/>
        <w:rPr>
          <w:b w:val="0"/>
          <w:i/>
          <w:szCs w:val="24"/>
        </w:rPr>
      </w:pPr>
    </w:p>
    <w:p w14:paraId="6FA10D68" w14:textId="77777777" w:rsidR="007F21C2" w:rsidRPr="00215191" w:rsidRDefault="007F21C2" w:rsidP="007F21C2">
      <w:pPr>
        <w:pStyle w:val="BodyText"/>
        <w:rPr>
          <w:b w:val="0"/>
          <w:szCs w:val="24"/>
          <w:u w:val="single"/>
        </w:rPr>
      </w:pPr>
      <w:r w:rsidRPr="00215191">
        <w:rPr>
          <w:b w:val="0"/>
          <w:szCs w:val="24"/>
          <w:u w:val="single"/>
        </w:rPr>
        <w:t xml:space="preserve">Section 1 – Name </w:t>
      </w:r>
    </w:p>
    <w:p w14:paraId="108C44CC" w14:textId="77777777" w:rsidR="007F21C2" w:rsidRPr="00215191" w:rsidRDefault="007F21C2" w:rsidP="007F21C2">
      <w:pPr>
        <w:pStyle w:val="BodyText"/>
        <w:rPr>
          <w:b w:val="0"/>
          <w:szCs w:val="24"/>
          <w:u w:val="single"/>
        </w:rPr>
      </w:pPr>
    </w:p>
    <w:p w14:paraId="55DD07EA" w14:textId="016C7948" w:rsidR="001B7F67" w:rsidRPr="001B7F67" w:rsidRDefault="007F21C2" w:rsidP="001B7F67">
      <w:pPr>
        <w:pStyle w:val="BodyText"/>
        <w:rPr>
          <w:i/>
          <w:szCs w:val="24"/>
        </w:rPr>
      </w:pPr>
      <w:r w:rsidRPr="00215191">
        <w:rPr>
          <w:b w:val="0"/>
          <w:szCs w:val="24"/>
        </w:rPr>
        <w:t xml:space="preserve">Section 1 provides for the </w:t>
      </w:r>
      <w:r w:rsidR="008F2859">
        <w:rPr>
          <w:b w:val="0"/>
          <w:szCs w:val="24"/>
        </w:rPr>
        <w:t>instrument</w:t>
      </w:r>
      <w:r w:rsidRPr="00215191">
        <w:rPr>
          <w:b w:val="0"/>
          <w:szCs w:val="24"/>
        </w:rPr>
        <w:t xml:space="preserve"> to be referred to as the </w:t>
      </w:r>
      <w:r w:rsidR="004B0D4E" w:rsidRPr="004B0D4E">
        <w:rPr>
          <w:b w:val="0"/>
          <w:i/>
        </w:rPr>
        <w:t>Health Insurance (Section 3C General Medical Services – Heart Health Assessment No.2) Amendment Determination 2019</w:t>
      </w:r>
      <w:r w:rsidR="001B7F67" w:rsidRPr="004B0D4E">
        <w:rPr>
          <w:b w:val="0"/>
          <w:bCs/>
          <w:szCs w:val="24"/>
        </w:rPr>
        <w:t>.</w:t>
      </w:r>
      <w:r w:rsidR="001B7F67" w:rsidRPr="00A166DD">
        <w:rPr>
          <w:b w:val="0"/>
          <w:bCs/>
          <w:szCs w:val="24"/>
        </w:rPr>
        <w:t xml:space="preserve"> </w:t>
      </w:r>
    </w:p>
    <w:p w14:paraId="2EED3B7A" w14:textId="77777777" w:rsidR="007F21C2" w:rsidRPr="00241E6B" w:rsidRDefault="007F21C2" w:rsidP="00A166DD">
      <w:pPr>
        <w:pStyle w:val="Heading1"/>
        <w:jc w:val="left"/>
      </w:pPr>
    </w:p>
    <w:p w14:paraId="5E0F74FC" w14:textId="77777777" w:rsidR="007F21C2" w:rsidRPr="00215191" w:rsidRDefault="007F21C2" w:rsidP="007F21C2">
      <w:pPr>
        <w:pStyle w:val="BodyText"/>
        <w:rPr>
          <w:b w:val="0"/>
          <w:szCs w:val="24"/>
          <w:u w:val="single"/>
        </w:rPr>
      </w:pPr>
      <w:r w:rsidRPr="00215191">
        <w:rPr>
          <w:b w:val="0"/>
          <w:szCs w:val="24"/>
          <w:u w:val="single"/>
        </w:rPr>
        <w:t xml:space="preserve">Section 2 – Commencement </w:t>
      </w:r>
    </w:p>
    <w:p w14:paraId="1207D432" w14:textId="77777777" w:rsidR="007F21C2" w:rsidRPr="00215191" w:rsidRDefault="007F21C2" w:rsidP="007F21C2">
      <w:pPr>
        <w:pStyle w:val="BodyText"/>
        <w:rPr>
          <w:b w:val="0"/>
          <w:szCs w:val="24"/>
          <w:u w:val="single"/>
        </w:rPr>
      </w:pPr>
    </w:p>
    <w:p w14:paraId="5164442D" w14:textId="25532EB4" w:rsidR="007F21C2" w:rsidRPr="004B0D4E" w:rsidRDefault="007F21C2" w:rsidP="007F21C2">
      <w:pPr>
        <w:pStyle w:val="BodyText"/>
        <w:rPr>
          <w:b w:val="0"/>
          <w:i/>
          <w:szCs w:val="24"/>
        </w:rPr>
      </w:pPr>
      <w:r w:rsidRPr="00215191">
        <w:rPr>
          <w:b w:val="0"/>
          <w:szCs w:val="24"/>
        </w:rPr>
        <w:t xml:space="preserve">Section 2 provides that the </w:t>
      </w:r>
      <w:r w:rsidR="008F2859">
        <w:rPr>
          <w:b w:val="0"/>
          <w:szCs w:val="24"/>
        </w:rPr>
        <w:t>instrument</w:t>
      </w:r>
      <w:r w:rsidRPr="00215191">
        <w:rPr>
          <w:b w:val="0"/>
          <w:szCs w:val="24"/>
        </w:rPr>
        <w:t xml:space="preserve"> commences </w:t>
      </w:r>
      <w:r w:rsidR="004B0D4E">
        <w:rPr>
          <w:b w:val="0"/>
          <w:szCs w:val="24"/>
        </w:rPr>
        <w:t xml:space="preserve">immediately after commencement of </w:t>
      </w:r>
      <w:r w:rsidR="00856AFA">
        <w:rPr>
          <w:b w:val="0"/>
          <w:szCs w:val="24"/>
        </w:rPr>
        <w:t xml:space="preserve">Schedule 1 of </w:t>
      </w:r>
      <w:r w:rsidR="004B0D4E">
        <w:rPr>
          <w:b w:val="0"/>
          <w:szCs w:val="24"/>
        </w:rPr>
        <w:t xml:space="preserve">the </w:t>
      </w:r>
      <w:r w:rsidR="004B0D4E" w:rsidRPr="00913495">
        <w:rPr>
          <w:b w:val="0"/>
          <w:i/>
        </w:rPr>
        <w:t>Health</w:t>
      </w:r>
      <w:r w:rsidR="004B0D4E" w:rsidRPr="004B0D4E">
        <w:rPr>
          <w:b w:val="0"/>
          <w:i/>
          <w:szCs w:val="24"/>
        </w:rPr>
        <w:t xml:space="preserve"> Insurance Legislation Amendment (2019 Measures No.</w:t>
      </w:r>
      <w:r w:rsidR="00B43642">
        <w:rPr>
          <w:b w:val="0"/>
          <w:i/>
          <w:szCs w:val="24"/>
        </w:rPr>
        <w:t xml:space="preserve"> </w:t>
      </w:r>
      <w:r w:rsidR="004B0D4E" w:rsidRPr="004B0D4E">
        <w:rPr>
          <w:b w:val="0"/>
          <w:i/>
          <w:szCs w:val="24"/>
        </w:rPr>
        <w:t>1) Regulations 2019</w:t>
      </w:r>
      <w:r w:rsidR="004B0D4E">
        <w:rPr>
          <w:b w:val="0"/>
          <w:i/>
          <w:szCs w:val="24"/>
        </w:rPr>
        <w:t>.</w:t>
      </w:r>
    </w:p>
    <w:p w14:paraId="0E984D2A" w14:textId="77777777" w:rsidR="007F21C2" w:rsidRPr="00215191" w:rsidRDefault="007F21C2" w:rsidP="007F21C2">
      <w:pPr>
        <w:pStyle w:val="BodyText"/>
        <w:rPr>
          <w:b w:val="0"/>
          <w:szCs w:val="24"/>
        </w:rPr>
      </w:pPr>
    </w:p>
    <w:p w14:paraId="03D4FD6F" w14:textId="77777777" w:rsidR="007F21C2" w:rsidRPr="00215191" w:rsidRDefault="007F21C2" w:rsidP="007F21C2">
      <w:pPr>
        <w:pStyle w:val="BodyText"/>
        <w:rPr>
          <w:b w:val="0"/>
          <w:szCs w:val="24"/>
          <w:u w:val="single"/>
        </w:rPr>
      </w:pPr>
      <w:r w:rsidRPr="00215191">
        <w:rPr>
          <w:b w:val="0"/>
          <w:szCs w:val="24"/>
          <w:u w:val="single"/>
        </w:rPr>
        <w:t>Section 3 – Authority</w:t>
      </w:r>
    </w:p>
    <w:p w14:paraId="1D0B2F24" w14:textId="77777777" w:rsidR="007F21C2" w:rsidRPr="00215191" w:rsidRDefault="007F21C2" w:rsidP="007F21C2">
      <w:pPr>
        <w:pStyle w:val="BodyText"/>
        <w:rPr>
          <w:b w:val="0"/>
          <w:szCs w:val="24"/>
          <w:u w:val="single"/>
        </w:rPr>
      </w:pPr>
    </w:p>
    <w:p w14:paraId="511C4B2C" w14:textId="0EDD2610" w:rsidR="007F21C2" w:rsidRPr="00215191" w:rsidRDefault="007F21C2" w:rsidP="007F21C2">
      <w:pPr>
        <w:pStyle w:val="BodyText"/>
        <w:rPr>
          <w:b w:val="0"/>
        </w:rPr>
      </w:pPr>
      <w:r w:rsidRPr="00215191">
        <w:rPr>
          <w:b w:val="0"/>
        </w:rPr>
        <w:t xml:space="preserve">Section 3 provides that the </w:t>
      </w:r>
      <w:r w:rsidR="008F2859">
        <w:rPr>
          <w:b w:val="0"/>
        </w:rPr>
        <w:t>instrument</w:t>
      </w:r>
      <w:r w:rsidRPr="00215191">
        <w:rPr>
          <w:b w:val="0"/>
        </w:rPr>
        <w:t xml:space="preserve"> is made under subsection 3C(1) of the </w:t>
      </w:r>
      <w:r w:rsidRPr="00215191">
        <w:rPr>
          <w:b w:val="0"/>
          <w:i/>
        </w:rPr>
        <w:t>Health Insurance Act 1973</w:t>
      </w:r>
      <w:r w:rsidRPr="00215191">
        <w:rPr>
          <w:b w:val="0"/>
        </w:rPr>
        <w:t>.</w:t>
      </w:r>
    </w:p>
    <w:p w14:paraId="457CC1AF" w14:textId="77777777" w:rsidR="007F21C2" w:rsidRPr="00215191" w:rsidRDefault="007F21C2" w:rsidP="007F21C2">
      <w:pPr>
        <w:pStyle w:val="BodyText"/>
        <w:rPr>
          <w:b w:val="0"/>
        </w:rPr>
      </w:pPr>
    </w:p>
    <w:p w14:paraId="5E1F2339" w14:textId="77777777" w:rsidR="007F21C2" w:rsidRPr="00627FDA" w:rsidRDefault="007F21C2" w:rsidP="007F21C2">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6B973AF0" w14:textId="77777777" w:rsidR="007F21C2" w:rsidRPr="00627FDA" w:rsidRDefault="007F21C2" w:rsidP="007F21C2">
      <w:pPr>
        <w:pStyle w:val="BodyText"/>
        <w:rPr>
          <w:b w:val="0"/>
          <w:szCs w:val="24"/>
          <w:highlight w:val="yellow"/>
          <w:u w:val="single"/>
        </w:rPr>
      </w:pPr>
    </w:p>
    <w:p w14:paraId="23BD0559" w14:textId="7019C4AD" w:rsidR="007F21C2" w:rsidRDefault="007F21C2" w:rsidP="007F21C2">
      <w:pPr>
        <w:pStyle w:val="BodyText"/>
        <w:rPr>
          <w:b w:val="0"/>
          <w:szCs w:val="24"/>
        </w:rPr>
      </w:pPr>
      <w:r w:rsidRPr="00D21765">
        <w:rPr>
          <w:b w:val="0"/>
          <w:szCs w:val="24"/>
        </w:rPr>
        <w:t xml:space="preserve">Section 4 provides that each instrument that is specified in a Schedule to this </w:t>
      </w:r>
      <w:r w:rsidR="008F2859">
        <w:rPr>
          <w:b w:val="0"/>
          <w:szCs w:val="24"/>
        </w:rPr>
        <w:t>instrument</w:t>
      </w:r>
      <w:r w:rsidRPr="00D21765">
        <w:rPr>
          <w:b w:val="0"/>
          <w:szCs w:val="24"/>
        </w:rPr>
        <w:t xml:space="preserve"> is amended or repealed as set out in the applicable items in the Schedule concerned, and any other item in a Schedule to this </w:t>
      </w:r>
      <w:r w:rsidR="008F2859">
        <w:rPr>
          <w:b w:val="0"/>
          <w:szCs w:val="24"/>
        </w:rPr>
        <w:t>instrument</w:t>
      </w:r>
      <w:r w:rsidRPr="00D21765">
        <w:rPr>
          <w:b w:val="0"/>
          <w:szCs w:val="24"/>
        </w:rPr>
        <w:t xml:space="preserve"> has effect according to its terms.</w:t>
      </w:r>
    </w:p>
    <w:p w14:paraId="2582DA0F" w14:textId="77777777" w:rsidR="007F21C2" w:rsidRDefault="007F21C2" w:rsidP="007F21C2">
      <w:pPr>
        <w:pStyle w:val="BodyText"/>
        <w:rPr>
          <w:b w:val="0"/>
          <w:szCs w:val="24"/>
          <w:u w:val="single"/>
        </w:rPr>
      </w:pPr>
    </w:p>
    <w:p w14:paraId="27F44A2B" w14:textId="15ED2313" w:rsidR="007F21C2" w:rsidRDefault="007F21C2" w:rsidP="007F21C2">
      <w:pPr>
        <w:pStyle w:val="Header"/>
        <w:tabs>
          <w:tab w:val="num" w:pos="1080"/>
        </w:tabs>
        <w:rPr>
          <w:szCs w:val="24"/>
          <w:u w:val="single"/>
        </w:rPr>
      </w:pPr>
      <w:r w:rsidRPr="00215191">
        <w:rPr>
          <w:szCs w:val="24"/>
          <w:u w:val="single"/>
        </w:rPr>
        <w:t xml:space="preserve">Schedule </w:t>
      </w:r>
      <w:r>
        <w:rPr>
          <w:szCs w:val="24"/>
          <w:u w:val="single"/>
        </w:rPr>
        <w:t xml:space="preserve">1 </w:t>
      </w:r>
      <w:r w:rsidRPr="00215191">
        <w:rPr>
          <w:szCs w:val="24"/>
          <w:u w:val="single"/>
        </w:rPr>
        <w:t xml:space="preserve">– </w:t>
      </w:r>
      <w:r>
        <w:rPr>
          <w:szCs w:val="24"/>
          <w:u w:val="single"/>
        </w:rPr>
        <w:t>Amendments</w:t>
      </w:r>
    </w:p>
    <w:p w14:paraId="61CE097E" w14:textId="77777777" w:rsidR="007F21C2" w:rsidRDefault="007F21C2" w:rsidP="007F21C2">
      <w:pPr>
        <w:pStyle w:val="Header"/>
        <w:tabs>
          <w:tab w:val="num" w:pos="1080"/>
        </w:tabs>
        <w:rPr>
          <w:szCs w:val="24"/>
          <w:u w:val="single"/>
        </w:rPr>
      </w:pPr>
    </w:p>
    <w:p w14:paraId="4B5D7001" w14:textId="26987280" w:rsidR="004B0D4E" w:rsidRPr="004B0D4E" w:rsidRDefault="004B0D4E" w:rsidP="004B0D4E">
      <w:pPr>
        <w:pStyle w:val="Header"/>
        <w:tabs>
          <w:tab w:val="num" w:pos="1080"/>
        </w:tabs>
        <w:rPr>
          <w:szCs w:val="24"/>
        </w:rPr>
      </w:pPr>
      <w:r w:rsidRPr="004B0D4E">
        <w:rPr>
          <w:i/>
          <w:szCs w:val="24"/>
        </w:rPr>
        <w:t>Health Insurance (Section 3C General Medical Services – Heart Health Assessment No.2) Determination 2019</w:t>
      </w:r>
    </w:p>
    <w:p w14:paraId="4D49D101" w14:textId="77777777" w:rsidR="007F21C2" w:rsidRDefault="007F21C2" w:rsidP="007F21C2">
      <w:pPr>
        <w:pStyle w:val="Header"/>
        <w:tabs>
          <w:tab w:val="num" w:pos="1080"/>
        </w:tabs>
        <w:rPr>
          <w:i/>
          <w:szCs w:val="24"/>
        </w:rPr>
      </w:pPr>
    </w:p>
    <w:p w14:paraId="23E3ED94" w14:textId="252F5015" w:rsidR="007F21C2" w:rsidRDefault="00A11C7C" w:rsidP="007F21C2">
      <w:pPr>
        <w:pStyle w:val="Header"/>
        <w:tabs>
          <w:tab w:val="num" w:pos="1080"/>
        </w:tabs>
        <w:rPr>
          <w:b/>
          <w:szCs w:val="24"/>
        </w:rPr>
      </w:pPr>
      <w:r>
        <w:rPr>
          <w:b/>
          <w:szCs w:val="24"/>
        </w:rPr>
        <w:t>Item</w:t>
      </w:r>
      <w:r w:rsidR="00DA6A38">
        <w:rPr>
          <w:b/>
          <w:szCs w:val="24"/>
        </w:rPr>
        <w:t xml:space="preserve"> </w:t>
      </w:r>
      <w:r w:rsidR="00397DFA">
        <w:rPr>
          <w:b/>
          <w:szCs w:val="24"/>
        </w:rPr>
        <w:t>1</w:t>
      </w:r>
      <w:r w:rsidR="007F21C2">
        <w:rPr>
          <w:b/>
          <w:szCs w:val="24"/>
        </w:rPr>
        <w:t xml:space="preserve"> – </w:t>
      </w:r>
      <w:r w:rsidR="004B0D4E">
        <w:rPr>
          <w:b/>
          <w:szCs w:val="24"/>
        </w:rPr>
        <w:t>Schedule 1</w:t>
      </w:r>
      <w:r w:rsidR="00DA6A38">
        <w:rPr>
          <w:b/>
          <w:szCs w:val="24"/>
        </w:rPr>
        <w:t xml:space="preserve"> (item 699, column 3)</w:t>
      </w:r>
    </w:p>
    <w:p w14:paraId="0950E5DE" w14:textId="030FC325" w:rsidR="00DA6A38" w:rsidRPr="00DA6A38" w:rsidRDefault="00DA6A38" w:rsidP="007F21C2">
      <w:pPr>
        <w:pStyle w:val="Header"/>
        <w:tabs>
          <w:tab w:val="num" w:pos="1080"/>
        </w:tabs>
        <w:rPr>
          <w:szCs w:val="24"/>
        </w:rPr>
      </w:pPr>
      <w:r>
        <w:rPr>
          <w:szCs w:val="24"/>
        </w:rPr>
        <w:t xml:space="preserve">Item 1 omits the schedule fee </w:t>
      </w:r>
      <w:r w:rsidRPr="00DA6A38">
        <w:rPr>
          <w:szCs w:val="24"/>
        </w:rPr>
        <w:t xml:space="preserve">of $86.95 </w:t>
      </w:r>
      <w:r>
        <w:rPr>
          <w:szCs w:val="24"/>
        </w:rPr>
        <w:t xml:space="preserve">for item 699 and substitutes with an amended fee of $73.95. </w:t>
      </w:r>
      <w:r w:rsidR="008F2859">
        <w:rPr>
          <w:szCs w:val="24"/>
        </w:rPr>
        <w:t>There will be no change to the Medicare benefit amount the patient receives for a service ($73.95</w:t>
      </w:r>
      <w:r w:rsidR="00B43642">
        <w:rPr>
          <w:szCs w:val="24"/>
        </w:rPr>
        <w:t>)</w:t>
      </w:r>
      <w:r w:rsidR="008F2859">
        <w:rPr>
          <w:szCs w:val="24"/>
        </w:rPr>
        <w:t xml:space="preserve"> due to the amendments made by the </w:t>
      </w:r>
      <w:r w:rsidR="00B43642" w:rsidRPr="00913495">
        <w:rPr>
          <w:i/>
        </w:rPr>
        <w:t>Health</w:t>
      </w:r>
      <w:r w:rsidR="00B43642" w:rsidRPr="004B0D4E">
        <w:rPr>
          <w:i/>
          <w:szCs w:val="24"/>
        </w:rPr>
        <w:t xml:space="preserve"> Insurance Legislation Amendment (2019 Measures No.</w:t>
      </w:r>
      <w:r w:rsidR="00B43642">
        <w:rPr>
          <w:b/>
          <w:i/>
          <w:szCs w:val="24"/>
        </w:rPr>
        <w:t xml:space="preserve"> </w:t>
      </w:r>
      <w:r w:rsidR="00B43642" w:rsidRPr="004B0D4E">
        <w:rPr>
          <w:i/>
          <w:szCs w:val="24"/>
        </w:rPr>
        <w:t>1) Regulations 2019</w:t>
      </w:r>
      <w:r w:rsidR="008F2859">
        <w:rPr>
          <w:szCs w:val="24"/>
        </w:rPr>
        <w:t>).</w:t>
      </w:r>
    </w:p>
    <w:p w14:paraId="1916D30C" w14:textId="77777777" w:rsidR="00DA6A38" w:rsidRDefault="00DA6A38" w:rsidP="004B0D4E">
      <w:pPr>
        <w:pStyle w:val="Header"/>
        <w:tabs>
          <w:tab w:val="num" w:pos="1080"/>
        </w:tabs>
        <w:rPr>
          <w:szCs w:val="24"/>
        </w:rPr>
      </w:pPr>
    </w:p>
    <w:p w14:paraId="4D0AF93F" w14:textId="3C8E7D30" w:rsidR="00DA6A38" w:rsidRPr="00DA6A38" w:rsidRDefault="00DA6A38" w:rsidP="004B0D4E">
      <w:pPr>
        <w:pStyle w:val="Header"/>
        <w:tabs>
          <w:tab w:val="num" w:pos="1080"/>
        </w:tabs>
        <w:rPr>
          <w:b/>
          <w:szCs w:val="24"/>
        </w:rPr>
      </w:pPr>
      <w:r w:rsidRPr="00DA6A38">
        <w:rPr>
          <w:b/>
          <w:szCs w:val="24"/>
        </w:rPr>
        <w:t>Item 2 – Schedule 1 (item 177, column 3)</w:t>
      </w:r>
    </w:p>
    <w:p w14:paraId="78A48F3C" w14:textId="33E69D90" w:rsidR="008F2859" w:rsidRPr="00DA6A38" w:rsidRDefault="00DA6A38" w:rsidP="008F2859">
      <w:pPr>
        <w:pStyle w:val="Header"/>
        <w:tabs>
          <w:tab w:val="num" w:pos="1080"/>
        </w:tabs>
        <w:rPr>
          <w:szCs w:val="24"/>
        </w:rPr>
      </w:pPr>
      <w:r>
        <w:rPr>
          <w:szCs w:val="24"/>
        </w:rPr>
        <w:t>Item 2 omits the schedule fee of $69.55 for item 177 and substitutes with an amended fee of $59.15.</w:t>
      </w:r>
      <w:r w:rsidR="008F2859">
        <w:rPr>
          <w:szCs w:val="24"/>
        </w:rPr>
        <w:t xml:space="preserve"> There will be no change to the Medicare benefit amount the patient receives for a service ($59.15</w:t>
      </w:r>
      <w:r w:rsidR="00B43642">
        <w:rPr>
          <w:szCs w:val="24"/>
        </w:rPr>
        <w:t>)</w:t>
      </w:r>
      <w:r w:rsidR="008F2859">
        <w:rPr>
          <w:szCs w:val="24"/>
        </w:rPr>
        <w:t xml:space="preserve"> due to the amendments made by the </w:t>
      </w:r>
      <w:r w:rsidR="00B43642" w:rsidRPr="00913495">
        <w:rPr>
          <w:i/>
        </w:rPr>
        <w:t>Health</w:t>
      </w:r>
      <w:r w:rsidR="00B43642" w:rsidRPr="004B0D4E">
        <w:rPr>
          <w:i/>
          <w:szCs w:val="24"/>
        </w:rPr>
        <w:t xml:space="preserve"> Insurance Legislation Amendment (2019 Measures No.</w:t>
      </w:r>
      <w:r w:rsidR="00B43642">
        <w:rPr>
          <w:b/>
          <w:i/>
          <w:szCs w:val="24"/>
        </w:rPr>
        <w:t xml:space="preserve"> </w:t>
      </w:r>
      <w:r w:rsidR="00B43642" w:rsidRPr="004B0D4E">
        <w:rPr>
          <w:i/>
          <w:szCs w:val="24"/>
        </w:rPr>
        <w:t>1) Regulations 2019</w:t>
      </w:r>
      <w:r w:rsidR="008F2859">
        <w:rPr>
          <w:szCs w:val="24"/>
        </w:rPr>
        <w:t>).</w:t>
      </w:r>
    </w:p>
    <w:p w14:paraId="4165642B" w14:textId="146696C2" w:rsidR="00DA6A38" w:rsidRDefault="00DA6A38" w:rsidP="004B0D4E">
      <w:pPr>
        <w:pStyle w:val="Header"/>
        <w:tabs>
          <w:tab w:val="num" w:pos="1080"/>
        </w:tabs>
        <w:rPr>
          <w:szCs w:val="24"/>
        </w:rPr>
      </w:pPr>
    </w:p>
    <w:p w14:paraId="62FD3D76" w14:textId="560FD2BD" w:rsidR="00DA6A38" w:rsidRDefault="00DA6A38" w:rsidP="004B0D4E">
      <w:pPr>
        <w:pStyle w:val="Header"/>
        <w:tabs>
          <w:tab w:val="num" w:pos="1080"/>
        </w:tabs>
        <w:rPr>
          <w:szCs w:val="24"/>
        </w:rPr>
      </w:pPr>
    </w:p>
    <w:p w14:paraId="38148A22" w14:textId="77777777" w:rsidR="00DA6A38" w:rsidRDefault="00DA6A38" w:rsidP="004B0D4E">
      <w:pPr>
        <w:pStyle w:val="Header"/>
        <w:tabs>
          <w:tab w:val="num" w:pos="1080"/>
        </w:tabs>
        <w:rPr>
          <w:szCs w:val="24"/>
        </w:rPr>
      </w:pPr>
    </w:p>
    <w:p w14:paraId="0386EB25" w14:textId="77777777" w:rsidR="00DA6A38" w:rsidRDefault="00DA6A38">
      <w:pPr>
        <w:spacing w:after="200" w:line="276" w:lineRule="auto"/>
        <w:rPr>
          <w:b/>
          <w:sz w:val="28"/>
          <w:szCs w:val="28"/>
        </w:rPr>
      </w:pPr>
      <w:r>
        <w:rPr>
          <w:b/>
          <w:sz w:val="28"/>
          <w:szCs w:val="28"/>
        </w:rPr>
        <w:br w:type="page"/>
      </w:r>
    </w:p>
    <w:p w14:paraId="359DE4BE" w14:textId="3BF6BB94" w:rsidR="00AE7239" w:rsidRPr="00B86A9F" w:rsidRDefault="00AE7239" w:rsidP="00AE7239">
      <w:pPr>
        <w:spacing w:before="360" w:after="120"/>
        <w:jc w:val="center"/>
        <w:rPr>
          <w:b/>
          <w:sz w:val="28"/>
          <w:szCs w:val="28"/>
        </w:rPr>
      </w:pPr>
      <w:r w:rsidRPr="00B86A9F">
        <w:rPr>
          <w:b/>
          <w:sz w:val="28"/>
          <w:szCs w:val="28"/>
        </w:rPr>
        <w:lastRenderedPageBreak/>
        <w:t>Statement of Compatibility with Human Rights</w:t>
      </w:r>
    </w:p>
    <w:p w14:paraId="055D1CE7" w14:textId="77777777" w:rsidR="00AE7239" w:rsidRPr="00B86A9F" w:rsidRDefault="00AE7239" w:rsidP="00AE7239">
      <w:pPr>
        <w:spacing w:before="120" w:after="120"/>
        <w:jc w:val="center"/>
        <w:rPr>
          <w:szCs w:val="24"/>
        </w:rPr>
      </w:pPr>
      <w:r w:rsidRPr="00B86A9F">
        <w:rPr>
          <w:i/>
          <w:szCs w:val="24"/>
        </w:rPr>
        <w:t>Prepared in accordance with Part 3 of the Human Rights (Parliamentary Scrutiny) Act 2011</w:t>
      </w:r>
    </w:p>
    <w:p w14:paraId="602A6F28" w14:textId="77777777" w:rsidR="00AE7239" w:rsidRPr="00B86A9F" w:rsidRDefault="00AE7239" w:rsidP="00AE7239">
      <w:pPr>
        <w:spacing w:before="120" w:after="120"/>
        <w:jc w:val="center"/>
        <w:rPr>
          <w:szCs w:val="24"/>
        </w:rPr>
      </w:pPr>
    </w:p>
    <w:p w14:paraId="56F735EF" w14:textId="507D5E12" w:rsidR="00AE7239" w:rsidRPr="00FD602D" w:rsidRDefault="00913495" w:rsidP="00AE7239">
      <w:pPr>
        <w:jc w:val="center"/>
        <w:rPr>
          <w:b/>
          <w:i/>
          <w:szCs w:val="24"/>
        </w:rPr>
      </w:pPr>
      <w:r w:rsidRPr="00913495">
        <w:rPr>
          <w:b/>
          <w:i/>
          <w:iCs/>
        </w:rPr>
        <w:t>Health Insurance (Section 3C General Medical Services – Heart Health Assessment No.2) Amendment Determination 2019</w:t>
      </w:r>
      <w:r w:rsidR="00AE7239" w:rsidRPr="00FD602D">
        <w:rPr>
          <w:b/>
          <w:i/>
          <w:szCs w:val="24"/>
        </w:rPr>
        <w:br/>
      </w:r>
    </w:p>
    <w:p w14:paraId="64DCFAF2" w14:textId="77777777" w:rsidR="00AE7239" w:rsidRPr="00B86A9F" w:rsidRDefault="00AE7239" w:rsidP="00AE7239">
      <w:pPr>
        <w:jc w:val="center"/>
        <w:rPr>
          <w:szCs w:val="24"/>
        </w:rPr>
      </w:pPr>
      <w:r w:rsidRPr="00B86A9F">
        <w:rPr>
          <w:szCs w:val="24"/>
        </w:rPr>
        <w:t xml:space="preserve">This </w:t>
      </w:r>
      <w:r>
        <w:rPr>
          <w:szCs w:val="24"/>
        </w:rPr>
        <w:t>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0C94100D" w14:textId="77777777" w:rsidR="00AE7239" w:rsidRPr="00EB601D" w:rsidRDefault="00AE7239" w:rsidP="00AE7239">
      <w:pPr>
        <w:jc w:val="center"/>
        <w:rPr>
          <w:szCs w:val="24"/>
          <w:highlight w:val="yellow"/>
        </w:rPr>
      </w:pPr>
    </w:p>
    <w:p w14:paraId="2738790C" w14:textId="77777777" w:rsidR="00AE7239" w:rsidRPr="00B86A9F" w:rsidRDefault="00AE7239" w:rsidP="00AE7239">
      <w:pPr>
        <w:spacing w:before="120" w:after="120"/>
        <w:rPr>
          <w:b/>
          <w:szCs w:val="24"/>
        </w:rPr>
      </w:pPr>
      <w:r w:rsidRPr="00B86A9F">
        <w:rPr>
          <w:b/>
          <w:szCs w:val="24"/>
        </w:rPr>
        <w:t>Overview of the Determination</w:t>
      </w:r>
    </w:p>
    <w:p w14:paraId="7DB5E6DC" w14:textId="77777777" w:rsidR="008F2859" w:rsidRDefault="008F2859" w:rsidP="008F2859">
      <w:pPr>
        <w:rPr>
          <w:sz w:val="22"/>
        </w:rPr>
      </w:pPr>
      <w:r>
        <w:t xml:space="preserve">The amendments made by the </w:t>
      </w:r>
      <w:r>
        <w:rPr>
          <w:i/>
          <w:iCs/>
        </w:rPr>
        <w:t>Health Insurance (Section 3C General Medical Services – Heart Health Assessment No.2) Amendment Determination 2019</w:t>
      </w:r>
      <w:r>
        <w:t xml:space="preserve"> (the Amendment Determination) is part of a consequential change to the heart health assessment services from 1 November 2019.</w:t>
      </w:r>
    </w:p>
    <w:p w14:paraId="46668D3E" w14:textId="77777777" w:rsidR="008F2859" w:rsidRDefault="008F2859" w:rsidP="008F2859">
      <w:pPr>
        <w:rPr>
          <w:lang w:eastAsia="en-US"/>
        </w:rPr>
      </w:pPr>
    </w:p>
    <w:p w14:paraId="67455F29" w14:textId="77777777" w:rsidR="008F2859" w:rsidRDefault="008F2859" w:rsidP="008F2859">
      <w:r>
        <w:t xml:space="preserve">On 1 April 2019, two new health assessment services (items 699 and 177) were introduced to provide patients a comprehensive assessment of their cardiovascular health, identification of any physical or lifestyle-related risks to their cardiovascular health, and a comprehensive preventive health care plan to improve their cardiovascular health. </w:t>
      </w:r>
    </w:p>
    <w:p w14:paraId="0DBF6FA7" w14:textId="77777777" w:rsidR="00A94774" w:rsidRDefault="00A94774" w:rsidP="00A94774"/>
    <w:p w14:paraId="042B0AE6" w14:textId="77777777" w:rsidR="00A94774" w:rsidRDefault="00A94774" w:rsidP="00A94774">
      <w:pPr>
        <w:spacing w:after="240"/>
      </w:pPr>
      <w:r>
        <w:t xml:space="preserve">The </w:t>
      </w:r>
      <w:r>
        <w:rPr>
          <w:i/>
          <w:iCs/>
        </w:rPr>
        <w:t xml:space="preserve">Health Insurance (Section 3C General Medical Services – Heart Health Assessment No.2) Determination 2019 </w:t>
      </w:r>
      <w:r>
        <w:t>(the Principal Determination) listed the new items to subsidise access to heart health assessment services lasting at least 20 minutes by a general practitioner (item 699) or a medical practitioner working in general practice (item 177). A patient is currently eligible for a Medicare benefit of $73.95 for a service to which item 699 applied and $59.15 for a service to which item 177 applied.</w:t>
      </w:r>
    </w:p>
    <w:p w14:paraId="17AA6739" w14:textId="77777777" w:rsidR="006025F2" w:rsidRDefault="006025F2" w:rsidP="006025F2">
      <w:r>
        <w:t xml:space="preserve">From 1 November 2019, the </w:t>
      </w:r>
      <w:r>
        <w:rPr>
          <w:i/>
          <w:iCs/>
        </w:rPr>
        <w:t xml:space="preserve">Health Insurance Legislation Amendment (2019 Measures No. 1) Regulations 2019 </w:t>
      </w:r>
      <w:r>
        <w:t>will increase the Medicare benefit amount a patient will be eligible for a service provided under items 699 and 177, from 85% of the schedule fee to 100% of the schedule fee. Increasing the benefit to 100% of the schedule fee will align the heart health assessment items with other health assessment services in Group A14 of the Table, which have a benefit of 100% of the schedule fee.</w:t>
      </w:r>
    </w:p>
    <w:p w14:paraId="7F46BF95" w14:textId="77777777" w:rsidR="006025F2" w:rsidRDefault="006025F2" w:rsidP="006025F2"/>
    <w:p w14:paraId="5830BB14" w14:textId="77777777" w:rsidR="006025F2" w:rsidRDefault="006025F2" w:rsidP="006025F2">
      <w:r>
        <w:t>The purpose of the Amendment Determination is to maintain the benefit parity through a reduction of the schedule fees for the items so there is no change in the amount of Medicare benefit a patient will be eligible for a heart health assessment service. A patient will continue to be eligible for a Medicare benefit of $73.95 for a service to which item 699 applies and $59.15 for a service to which item 177 applies.</w:t>
      </w:r>
    </w:p>
    <w:p w14:paraId="00BB4B5C" w14:textId="77777777" w:rsidR="00AE7239" w:rsidRPr="00B86A9F" w:rsidRDefault="00AE7239" w:rsidP="00AE7239">
      <w:pPr>
        <w:spacing w:before="120" w:after="120"/>
        <w:rPr>
          <w:b/>
          <w:szCs w:val="24"/>
        </w:rPr>
      </w:pPr>
      <w:r w:rsidRPr="00B86A9F">
        <w:rPr>
          <w:b/>
          <w:szCs w:val="24"/>
        </w:rPr>
        <w:t>Human rights implications</w:t>
      </w:r>
    </w:p>
    <w:p w14:paraId="2C46C4AA" w14:textId="77777777" w:rsidR="00AE7239" w:rsidRPr="00B86A9F" w:rsidRDefault="00AE7239" w:rsidP="00AE7239">
      <w:pPr>
        <w:spacing w:before="120" w:after="120"/>
        <w:rPr>
          <w:szCs w:val="24"/>
        </w:rPr>
      </w:pPr>
      <w:r w:rsidRPr="00B86A9F">
        <w:rPr>
          <w:szCs w:val="24"/>
        </w:rPr>
        <w:t>Th</w:t>
      </w:r>
      <w:r>
        <w:rPr>
          <w:szCs w:val="24"/>
        </w:rPr>
        <w:t>is</w:t>
      </w:r>
      <w:r w:rsidRPr="00B86A9F">
        <w:rPr>
          <w:szCs w:val="24"/>
        </w:rPr>
        <w:t xml:space="preserve"> </w:t>
      </w:r>
      <w:r>
        <w:rPr>
          <w:szCs w:val="24"/>
        </w:rPr>
        <w:t>instrument</w:t>
      </w:r>
      <w:r w:rsidRPr="00B86A9F">
        <w:rPr>
          <w:szCs w:val="24"/>
        </w:rPr>
        <w:t xml:space="preserve"> engages Articles 9 and 12 of the International Covenant on Economic Social and Cultural Rights (ICESCR), specifically the rights to health and social security. </w:t>
      </w:r>
    </w:p>
    <w:p w14:paraId="31F38919" w14:textId="77777777" w:rsidR="00AE7239" w:rsidRPr="00B86A9F" w:rsidRDefault="00AE7239" w:rsidP="00AE7239">
      <w:pPr>
        <w:spacing w:before="120" w:after="120"/>
        <w:rPr>
          <w:i/>
          <w:szCs w:val="24"/>
        </w:rPr>
      </w:pPr>
      <w:r w:rsidRPr="00B86A9F">
        <w:rPr>
          <w:i/>
          <w:szCs w:val="24"/>
        </w:rPr>
        <w:t>The Right to Health</w:t>
      </w:r>
    </w:p>
    <w:p w14:paraId="66DF532B" w14:textId="77777777" w:rsidR="00AE7239" w:rsidRPr="00B86A9F" w:rsidRDefault="00AE7239" w:rsidP="00AE7239">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Pr="00B86A9F">
        <w:rPr>
          <w:szCs w:val="24"/>
        </w:rPr>
        <w:lastRenderedPageBreak/>
        <w:t xml:space="preserve">healthy, but is a right to a system of health protection which provides equality of opportunity for people to enjoy the highest attainable level of health. </w:t>
      </w:r>
    </w:p>
    <w:p w14:paraId="20867AF7" w14:textId="30016D25" w:rsidR="00AE7239" w:rsidRPr="00B86A9F" w:rsidRDefault="00AE7239" w:rsidP="00AE7239">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2282BE5" w14:textId="309D75DE" w:rsidR="00AE7239" w:rsidRPr="00B86A9F" w:rsidRDefault="00AE7239" w:rsidP="00AE7239">
      <w:pPr>
        <w:spacing w:before="120" w:after="120"/>
        <w:rPr>
          <w:i/>
          <w:szCs w:val="24"/>
        </w:rPr>
      </w:pPr>
      <w:r w:rsidRPr="00B86A9F">
        <w:rPr>
          <w:i/>
          <w:szCs w:val="24"/>
        </w:rPr>
        <w:t xml:space="preserve">The Right to Social Security </w:t>
      </w:r>
    </w:p>
    <w:p w14:paraId="3A28EC0C" w14:textId="77777777" w:rsidR="00AE7239" w:rsidRPr="00B86A9F" w:rsidRDefault="00AE7239" w:rsidP="00AE7239">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EF46BDD" w14:textId="77777777" w:rsidR="00AE7239" w:rsidRPr="00B86A9F" w:rsidRDefault="00AE7239" w:rsidP="00AE7239">
      <w:pPr>
        <w:spacing w:before="120" w:after="120"/>
        <w:rPr>
          <w:szCs w:val="24"/>
        </w:rPr>
      </w:pPr>
      <w:r w:rsidRPr="00B86A9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1DADF85" w14:textId="77777777" w:rsidR="00AE7239" w:rsidRPr="00B86A9F" w:rsidRDefault="00AE7239" w:rsidP="00AE7239">
      <w:pPr>
        <w:spacing w:before="120" w:after="120"/>
        <w:rPr>
          <w:szCs w:val="24"/>
          <w:u w:val="single"/>
        </w:rPr>
      </w:pPr>
      <w:r w:rsidRPr="00B86A9F">
        <w:rPr>
          <w:szCs w:val="24"/>
          <w:u w:val="single"/>
        </w:rPr>
        <w:t xml:space="preserve">Analysis </w:t>
      </w:r>
    </w:p>
    <w:p w14:paraId="2429702F" w14:textId="4AC0BCC9" w:rsidR="00A94774" w:rsidRDefault="00A94774" w:rsidP="00926535">
      <w:pPr>
        <w:rPr>
          <w:sz w:val="22"/>
        </w:rPr>
      </w:pPr>
      <w:r>
        <w:t xml:space="preserve">This instrument maintains the right to health and social security. This instrument is part of a package of legislative changes which will make consequential amendments to the heart health assessment services from 1 November 2019. The </w:t>
      </w:r>
      <w:r>
        <w:rPr>
          <w:i/>
          <w:iCs/>
        </w:rPr>
        <w:t xml:space="preserve">Health Insurance Legislation Amendment (2019 Measures No. 1) Regulations 2019 </w:t>
      </w:r>
      <w:r>
        <w:t>will increase the Medicare benefit amount a patient will be eligible for</w:t>
      </w:r>
      <w:r w:rsidR="00926535" w:rsidRPr="00926535">
        <w:t xml:space="preserve"> a service provided under items 699 and 177</w:t>
      </w:r>
      <w:r w:rsidR="00926535">
        <w:t>,</w:t>
      </w:r>
      <w:r>
        <w:t xml:space="preserve"> from 85% of the schedule fee to 100% of the schedule fee. Increasing the benefit to 100% of the schedule fee will align the heart health assessment services with other heart health assessment services in Group A14 of the Table, which have a benefit of 100% of the schedule fee.  </w:t>
      </w:r>
    </w:p>
    <w:p w14:paraId="64C174D8" w14:textId="77777777" w:rsidR="00A94774" w:rsidRDefault="00A94774" w:rsidP="00A94774"/>
    <w:p w14:paraId="6CAC5E07" w14:textId="77777777" w:rsidR="00A94774" w:rsidRDefault="00A94774" w:rsidP="00A94774">
      <w:r>
        <w:t>Subject to commencement of that instrument, this instrument will reduce the schedule fees for the heart health assessment items so there is no change in the Medicare benefit amount a patient will recei</w:t>
      </w:r>
      <w:bookmarkStart w:id="0" w:name="_GoBack"/>
      <w:bookmarkEnd w:id="0"/>
      <w:r>
        <w:t>ve. A patient will continue to be eligible for a Medicare benefit of $73.95 for a service to which item 699 applies and $59.15 for a service to which item 177 applies.</w:t>
      </w:r>
    </w:p>
    <w:p w14:paraId="4B2868C1" w14:textId="77777777" w:rsidR="00AE7239" w:rsidRPr="00B86A9F" w:rsidRDefault="00AE7239" w:rsidP="00AE7239">
      <w:pPr>
        <w:spacing w:before="120" w:after="120" w:line="276" w:lineRule="auto"/>
        <w:rPr>
          <w:rFonts w:eastAsia="Calibri"/>
          <w:b/>
          <w:szCs w:val="24"/>
          <w:lang w:eastAsia="en-US"/>
        </w:rPr>
      </w:pPr>
      <w:r w:rsidRPr="00B86A9F">
        <w:rPr>
          <w:rFonts w:eastAsia="Calibri"/>
          <w:b/>
          <w:szCs w:val="24"/>
          <w:lang w:eastAsia="en-US"/>
        </w:rPr>
        <w:t xml:space="preserve">Conclusion </w:t>
      </w:r>
    </w:p>
    <w:p w14:paraId="684785EF" w14:textId="4DE175FA" w:rsidR="00AE7239" w:rsidRPr="00B86A9F" w:rsidRDefault="00AE7239" w:rsidP="00AE7239">
      <w:pPr>
        <w:rPr>
          <w:szCs w:val="24"/>
        </w:rPr>
      </w:pPr>
      <w:r w:rsidRPr="00B86A9F">
        <w:rPr>
          <w:szCs w:val="24"/>
        </w:rPr>
        <w:t xml:space="preserve">This </w:t>
      </w:r>
      <w:r>
        <w:rPr>
          <w:szCs w:val="24"/>
        </w:rPr>
        <w:t>instrument</w:t>
      </w:r>
      <w:r w:rsidRPr="00B86A9F">
        <w:rPr>
          <w:szCs w:val="24"/>
        </w:rPr>
        <w:t xml:space="preserve"> is compatible with human rights as it </w:t>
      </w:r>
      <w:r w:rsidR="001B7F67">
        <w:rPr>
          <w:szCs w:val="24"/>
        </w:rPr>
        <w:t xml:space="preserve">maintains </w:t>
      </w:r>
      <w:r>
        <w:rPr>
          <w:szCs w:val="24"/>
        </w:rPr>
        <w:t xml:space="preserve">the right to health and the right to social security. </w:t>
      </w:r>
    </w:p>
    <w:p w14:paraId="1AEA0927" w14:textId="77777777" w:rsidR="00AE7239" w:rsidRPr="00B86A9F" w:rsidRDefault="00AE7239" w:rsidP="00AE7239">
      <w:pPr>
        <w:rPr>
          <w:rFonts w:eastAsia="Calibri"/>
          <w:szCs w:val="24"/>
          <w:lang w:eastAsia="en-US"/>
        </w:rPr>
      </w:pPr>
    </w:p>
    <w:p w14:paraId="3A59A490" w14:textId="241838DF" w:rsidR="00537502" w:rsidRPr="00537502" w:rsidRDefault="00913495" w:rsidP="00537502">
      <w:pPr>
        <w:jc w:val="center"/>
        <w:rPr>
          <w:b/>
        </w:rPr>
      </w:pPr>
      <w:r>
        <w:rPr>
          <w:b/>
        </w:rPr>
        <w:t>Andrew Simpson</w:t>
      </w:r>
    </w:p>
    <w:p w14:paraId="1C0B0B5F" w14:textId="77777777" w:rsidR="00537502" w:rsidRPr="00537502" w:rsidRDefault="00537502" w:rsidP="00537502">
      <w:pPr>
        <w:jc w:val="center"/>
        <w:rPr>
          <w:b/>
        </w:rPr>
      </w:pPr>
      <w:r w:rsidRPr="00537502">
        <w:rPr>
          <w:b/>
        </w:rPr>
        <w:t>Assistant Secretary</w:t>
      </w:r>
    </w:p>
    <w:p w14:paraId="6EBFF3EE" w14:textId="11926B75" w:rsidR="00537502" w:rsidRPr="00537502" w:rsidRDefault="00D5088D" w:rsidP="00537502">
      <w:pPr>
        <w:jc w:val="center"/>
        <w:rPr>
          <w:b/>
        </w:rPr>
      </w:pPr>
      <w:r>
        <w:rPr>
          <w:b/>
        </w:rPr>
        <w:t xml:space="preserve">MBS </w:t>
      </w:r>
      <w:r w:rsidR="00913495">
        <w:rPr>
          <w:b/>
        </w:rPr>
        <w:t>Review Unit</w:t>
      </w:r>
    </w:p>
    <w:p w14:paraId="54FDE90C" w14:textId="77777777" w:rsidR="00537502" w:rsidRPr="00537502" w:rsidRDefault="00537502" w:rsidP="00537502">
      <w:pPr>
        <w:jc w:val="center"/>
        <w:rPr>
          <w:b/>
        </w:rPr>
      </w:pPr>
      <w:r w:rsidRPr="00537502">
        <w:rPr>
          <w:b/>
        </w:rPr>
        <w:t>Medical Benefits Division</w:t>
      </w:r>
    </w:p>
    <w:p w14:paraId="2BE2474E" w14:textId="77777777" w:rsidR="00537502" w:rsidRPr="00537502" w:rsidRDefault="00537502" w:rsidP="00537502">
      <w:pPr>
        <w:jc w:val="center"/>
        <w:rPr>
          <w:b/>
        </w:rPr>
      </w:pPr>
      <w:r w:rsidRPr="00537502">
        <w:rPr>
          <w:b/>
        </w:rPr>
        <w:t>Health Financing Group</w:t>
      </w:r>
    </w:p>
    <w:p w14:paraId="6624FBC8" w14:textId="22D63BED" w:rsidR="00AE7239" w:rsidRPr="00AE7239" w:rsidRDefault="00537502" w:rsidP="00537502">
      <w:pPr>
        <w:jc w:val="center"/>
        <w:rPr>
          <w:rFonts w:eastAsia="Calibri"/>
          <w:szCs w:val="24"/>
          <w:lang w:eastAsia="en-US"/>
        </w:rPr>
      </w:pPr>
      <w:r w:rsidRPr="00537502">
        <w:rPr>
          <w:b/>
        </w:rPr>
        <w:t>Department of Health</w:t>
      </w:r>
    </w:p>
    <w:sectPr w:rsidR="00AE7239" w:rsidRPr="00AE7239" w:rsidSect="005C2A0E">
      <w:headerReference w:type="even" r:id="rId11"/>
      <w:headerReference w:type="default" r:id="rId12"/>
      <w:headerReference w:type="first" r:id="rId13"/>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42A73559" w:rsidR="00E23B6B" w:rsidRDefault="00E23B6B">
        <w:pPr>
          <w:pStyle w:val="Header"/>
          <w:jc w:val="center"/>
        </w:pPr>
        <w:r>
          <w:fldChar w:fldCharType="begin"/>
        </w:r>
        <w:r>
          <w:instrText xml:space="preserve"> PAGE   \* MERGEFORMAT </w:instrText>
        </w:r>
        <w:r>
          <w:fldChar w:fldCharType="separate"/>
        </w:r>
        <w:r w:rsidR="006403F2">
          <w:rPr>
            <w:noProof/>
          </w:rPr>
          <w:t>5</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073C35B0" w:rsidR="00E23B6B" w:rsidRDefault="00E23B6B">
        <w:pPr>
          <w:pStyle w:val="Header"/>
          <w:jc w:val="center"/>
        </w:pPr>
        <w:r>
          <w:fldChar w:fldCharType="begin"/>
        </w:r>
        <w:r>
          <w:instrText xml:space="preserve"> PAGE   \* MERGEFORMAT </w:instrText>
        </w:r>
        <w:r>
          <w:fldChar w:fldCharType="separate"/>
        </w:r>
        <w:r w:rsidR="006403F2">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25" w15:restartNumberingAfterBreak="0">
    <w:nsid w:val="5F5A5678"/>
    <w:multiLevelType w:val="hybridMultilevel"/>
    <w:tmpl w:val="00C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3"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4"/>
  </w:num>
  <w:num w:numId="4">
    <w:abstractNumId w:val="15"/>
  </w:num>
  <w:num w:numId="5">
    <w:abstractNumId w:val="18"/>
  </w:num>
  <w:num w:numId="6">
    <w:abstractNumId w:val="13"/>
  </w:num>
  <w:num w:numId="7">
    <w:abstractNumId w:val="31"/>
  </w:num>
  <w:num w:numId="8">
    <w:abstractNumId w:val="10"/>
  </w:num>
  <w:num w:numId="9">
    <w:abstractNumId w:val="7"/>
  </w:num>
  <w:num w:numId="10">
    <w:abstractNumId w:val="33"/>
  </w:num>
  <w:num w:numId="11">
    <w:abstractNumId w:val="30"/>
  </w:num>
  <w:num w:numId="12">
    <w:abstractNumId w:val="16"/>
  </w:num>
  <w:num w:numId="13">
    <w:abstractNumId w:val="17"/>
  </w:num>
  <w:num w:numId="14">
    <w:abstractNumId w:val="28"/>
  </w:num>
  <w:num w:numId="15">
    <w:abstractNumId w:val="11"/>
  </w:num>
  <w:num w:numId="16">
    <w:abstractNumId w:val="20"/>
  </w:num>
  <w:num w:numId="17">
    <w:abstractNumId w:val="23"/>
  </w:num>
  <w:num w:numId="18">
    <w:abstractNumId w:val="21"/>
  </w:num>
  <w:num w:numId="19">
    <w:abstractNumId w:val="6"/>
  </w:num>
  <w:num w:numId="20">
    <w:abstractNumId w:val="1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12"/>
  </w:num>
  <w:num w:numId="26">
    <w:abstractNumId w:val="1"/>
  </w:num>
  <w:num w:numId="27">
    <w:abstractNumId w:val="5"/>
  </w:num>
  <w:num w:numId="28">
    <w:abstractNumId w:val="9"/>
  </w:num>
  <w:num w:numId="29">
    <w:abstractNumId w:val="29"/>
  </w:num>
  <w:num w:numId="30">
    <w:abstractNumId w:val="3"/>
  </w:num>
  <w:num w:numId="31">
    <w:abstractNumId w:val="26"/>
  </w:num>
  <w:num w:numId="32">
    <w:abstractNumId w:val="24"/>
  </w:num>
  <w:num w:numId="33">
    <w:abstractNumId w:val="32"/>
  </w:num>
  <w:num w:numId="34">
    <w:abstractNumId w:val="8"/>
  </w:num>
  <w:num w:numId="35">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D66"/>
    <w:rsid w:val="0000441D"/>
    <w:rsid w:val="00004E17"/>
    <w:rsid w:val="00005906"/>
    <w:rsid w:val="00007B65"/>
    <w:rsid w:val="00011852"/>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1D51"/>
    <w:rsid w:val="00033034"/>
    <w:rsid w:val="000337CB"/>
    <w:rsid w:val="00034E86"/>
    <w:rsid w:val="0003591F"/>
    <w:rsid w:val="00041158"/>
    <w:rsid w:val="00041849"/>
    <w:rsid w:val="0004426E"/>
    <w:rsid w:val="00044A2A"/>
    <w:rsid w:val="000509BA"/>
    <w:rsid w:val="0005224B"/>
    <w:rsid w:val="0005533C"/>
    <w:rsid w:val="00063242"/>
    <w:rsid w:val="000640CF"/>
    <w:rsid w:val="00064BA4"/>
    <w:rsid w:val="00067F59"/>
    <w:rsid w:val="000710DD"/>
    <w:rsid w:val="0007187A"/>
    <w:rsid w:val="000727E0"/>
    <w:rsid w:val="00073983"/>
    <w:rsid w:val="00073BC9"/>
    <w:rsid w:val="00076C34"/>
    <w:rsid w:val="00076FE3"/>
    <w:rsid w:val="00080116"/>
    <w:rsid w:val="00081188"/>
    <w:rsid w:val="00081C37"/>
    <w:rsid w:val="00095119"/>
    <w:rsid w:val="0009514A"/>
    <w:rsid w:val="000969EF"/>
    <w:rsid w:val="000A199B"/>
    <w:rsid w:val="000A31F2"/>
    <w:rsid w:val="000A424E"/>
    <w:rsid w:val="000A45BE"/>
    <w:rsid w:val="000A467F"/>
    <w:rsid w:val="000A6D18"/>
    <w:rsid w:val="000A6FB3"/>
    <w:rsid w:val="000A7B9B"/>
    <w:rsid w:val="000B0C6E"/>
    <w:rsid w:val="000B25E0"/>
    <w:rsid w:val="000B3452"/>
    <w:rsid w:val="000B36DF"/>
    <w:rsid w:val="000B500D"/>
    <w:rsid w:val="000C04B2"/>
    <w:rsid w:val="000C1226"/>
    <w:rsid w:val="000C12EE"/>
    <w:rsid w:val="000C3D8A"/>
    <w:rsid w:val="000C46E6"/>
    <w:rsid w:val="000C4B3D"/>
    <w:rsid w:val="000C5BA2"/>
    <w:rsid w:val="000C6797"/>
    <w:rsid w:val="000C6FF8"/>
    <w:rsid w:val="000C7FE1"/>
    <w:rsid w:val="000D1325"/>
    <w:rsid w:val="000D1A87"/>
    <w:rsid w:val="000D2300"/>
    <w:rsid w:val="000D3B79"/>
    <w:rsid w:val="000D7803"/>
    <w:rsid w:val="000E0C87"/>
    <w:rsid w:val="000E0F43"/>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0F7CA8"/>
    <w:rsid w:val="001000CE"/>
    <w:rsid w:val="00104751"/>
    <w:rsid w:val="0010617D"/>
    <w:rsid w:val="00106763"/>
    <w:rsid w:val="001068B6"/>
    <w:rsid w:val="00107F36"/>
    <w:rsid w:val="0011066E"/>
    <w:rsid w:val="00113B2E"/>
    <w:rsid w:val="00120766"/>
    <w:rsid w:val="00121189"/>
    <w:rsid w:val="00121A66"/>
    <w:rsid w:val="00130BF2"/>
    <w:rsid w:val="001310D8"/>
    <w:rsid w:val="00132087"/>
    <w:rsid w:val="00134B27"/>
    <w:rsid w:val="00135D0D"/>
    <w:rsid w:val="001400C4"/>
    <w:rsid w:val="00141323"/>
    <w:rsid w:val="00141E8C"/>
    <w:rsid w:val="00143943"/>
    <w:rsid w:val="00145918"/>
    <w:rsid w:val="00145D25"/>
    <w:rsid w:val="00145DED"/>
    <w:rsid w:val="001519E4"/>
    <w:rsid w:val="00152304"/>
    <w:rsid w:val="00153D99"/>
    <w:rsid w:val="00154FC4"/>
    <w:rsid w:val="0015521F"/>
    <w:rsid w:val="00161063"/>
    <w:rsid w:val="001641C0"/>
    <w:rsid w:val="0016646C"/>
    <w:rsid w:val="00167DA1"/>
    <w:rsid w:val="00167EC6"/>
    <w:rsid w:val="0017187F"/>
    <w:rsid w:val="001734C9"/>
    <w:rsid w:val="00174E96"/>
    <w:rsid w:val="001770D9"/>
    <w:rsid w:val="0017759F"/>
    <w:rsid w:val="0018012F"/>
    <w:rsid w:val="00180742"/>
    <w:rsid w:val="00181B3E"/>
    <w:rsid w:val="00181F74"/>
    <w:rsid w:val="00182F72"/>
    <w:rsid w:val="00183C10"/>
    <w:rsid w:val="0018422D"/>
    <w:rsid w:val="0018451D"/>
    <w:rsid w:val="001865F8"/>
    <w:rsid w:val="001867EA"/>
    <w:rsid w:val="00187EE5"/>
    <w:rsid w:val="00190FC9"/>
    <w:rsid w:val="0019289B"/>
    <w:rsid w:val="001929C3"/>
    <w:rsid w:val="0019464A"/>
    <w:rsid w:val="00195A6A"/>
    <w:rsid w:val="001964FE"/>
    <w:rsid w:val="001965DA"/>
    <w:rsid w:val="0019711F"/>
    <w:rsid w:val="001978CE"/>
    <w:rsid w:val="001A4BE2"/>
    <w:rsid w:val="001A5BC0"/>
    <w:rsid w:val="001A7249"/>
    <w:rsid w:val="001A7EF8"/>
    <w:rsid w:val="001B0111"/>
    <w:rsid w:val="001B3714"/>
    <w:rsid w:val="001B5ED9"/>
    <w:rsid w:val="001B602D"/>
    <w:rsid w:val="001B66AF"/>
    <w:rsid w:val="001B7092"/>
    <w:rsid w:val="001B7F67"/>
    <w:rsid w:val="001C1B86"/>
    <w:rsid w:val="001C261D"/>
    <w:rsid w:val="001C35BC"/>
    <w:rsid w:val="001C5FC1"/>
    <w:rsid w:val="001C6713"/>
    <w:rsid w:val="001D6B46"/>
    <w:rsid w:val="001D778A"/>
    <w:rsid w:val="001D7D62"/>
    <w:rsid w:val="001E014D"/>
    <w:rsid w:val="001E10DC"/>
    <w:rsid w:val="001E2D6D"/>
    <w:rsid w:val="001E3B02"/>
    <w:rsid w:val="001E5391"/>
    <w:rsid w:val="001E5787"/>
    <w:rsid w:val="001E579F"/>
    <w:rsid w:val="001E57BC"/>
    <w:rsid w:val="001E5DE7"/>
    <w:rsid w:val="001E63F3"/>
    <w:rsid w:val="001E7C25"/>
    <w:rsid w:val="001E7CED"/>
    <w:rsid w:val="001F0923"/>
    <w:rsid w:val="001F108B"/>
    <w:rsid w:val="001F1F27"/>
    <w:rsid w:val="001F75F3"/>
    <w:rsid w:val="00200145"/>
    <w:rsid w:val="002003CA"/>
    <w:rsid w:val="002003F7"/>
    <w:rsid w:val="00200971"/>
    <w:rsid w:val="0020245D"/>
    <w:rsid w:val="00203952"/>
    <w:rsid w:val="00203F23"/>
    <w:rsid w:val="00204413"/>
    <w:rsid w:val="00210EE7"/>
    <w:rsid w:val="002111BB"/>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348"/>
    <w:rsid w:val="00233BEB"/>
    <w:rsid w:val="00236DF2"/>
    <w:rsid w:val="0024152E"/>
    <w:rsid w:val="00242974"/>
    <w:rsid w:val="0024351D"/>
    <w:rsid w:val="00244D84"/>
    <w:rsid w:val="00247818"/>
    <w:rsid w:val="00250061"/>
    <w:rsid w:val="00250414"/>
    <w:rsid w:val="00250642"/>
    <w:rsid w:val="00251E4A"/>
    <w:rsid w:val="00251F50"/>
    <w:rsid w:val="00253E30"/>
    <w:rsid w:val="0025493F"/>
    <w:rsid w:val="00254E5D"/>
    <w:rsid w:val="0025509E"/>
    <w:rsid w:val="00257E4D"/>
    <w:rsid w:val="00262865"/>
    <w:rsid w:val="00263279"/>
    <w:rsid w:val="002643FC"/>
    <w:rsid w:val="002671DA"/>
    <w:rsid w:val="00270055"/>
    <w:rsid w:val="00273BB7"/>
    <w:rsid w:val="00274073"/>
    <w:rsid w:val="0027545F"/>
    <w:rsid w:val="0027610D"/>
    <w:rsid w:val="00281918"/>
    <w:rsid w:val="00282571"/>
    <w:rsid w:val="00282B79"/>
    <w:rsid w:val="00282C2A"/>
    <w:rsid w:val="00284483"/>
    <w:rsid w:val="00285256"/>
    <w:rsid w:val="00287AEF"/>
    <w:rsid w:val="00287B08"/>
    <w:rsid w:val="00290B98"/>
    <w:rsid w:val="002944D4"/>
    <w:rsid w:val="00296763"/>
    <w:rsid w:val="00296E1C"/>
    <w:rsid w:val="0029737E"/>
    <w:rsid w:val="00297AD0"/>
    <w:rsid w:val="002A0CC8"/>
    <w:rsid w:val="002A3243"/>
    <w:rsid w:val="002A5CDF"/>
    <w:rsid w:val="002A68B3"/>
    <w:rsid w:val="002A6B78"/>
    <w:rsid w:val="002B2AC5"/>
    <w:rsid w:val="002B2E78"/>
    <w:rsid w:val="002B49DE"/>
    <w:rsid w:val="002B4E4D"/>
    <w:rsid w:val="002B5085"/>
    <w:rsid w:val="002B53D3"/>
    <w:rsid w:val="002B6D15"/>
    <w:rsid w:val="002B7177"/>
    <w:rsid w:val="002C4F5B"/>
    <w:rsid w:val="002C54A1"/>
    <w:rsid w:val="002C59F8"/>
    <w:rsid w:val="002C5DCD"/>
    <w:rsid w:val="002D03AB"/>
    <w:rsid w:val="002D2A4E"/>
    <w:rsid w:val="002D449F"/>
    <w:rsid w:val="002D5294"/>
    <w:rsid w:val="002D5DFC"/>
    <w:rsid w:val="002D5E92"/>
    <w:rsid w:val="002D6269"/>
    <w:rsid w:val="002D629A"/>
    <w:rsid w:val="002E0751"/>
    <w:rsid w:val="002E12C3"/>
    <w:rsid w:val="002E13E2"/>
    <w:rsid w:val="002E3493"/>
    <w:rsid w:val="002E35BF"/>
    <w:rsid w:val="002E5F5C"/>
    <w:rsid w:val="002E6FD5"/>
    <w:rsid w:val="002E7D88"/>
    <w:rsid w:val="002F0434"/>
    <w:rsid w:val="002F1707"/>
    <w:rsid w:val="002F2F33"/>
    <w:rsid w:val="002F3A26"/>
    <w:rsid w:val="002F3C7E"/>
    <w:rsid w:val="002F449C"/>
    <w:rsid w:val="002F4CD2"/>
    <w:rsid w:val="002F6069"/>
    <w:rsid w:val="002F7549"/>
    <w:rsid w:val="00300EFB"/>
    <w:rsid w:val="00301D49"/>
    <w:rsid w:val="00302114"/>
    <w:rsid w:val="003025C7"/>
    <w:rsid w:val="00302F5C"/>
    <w:rsid w:val="00304080"/>
    <w:rsid w:val="0031124D"/>
    <w:rsid w:val="00312ED1"/>
    <w:rsid w:val="00313554"/>
    <w:rsid w:val="00317B55"/>
    <w:rsid w:val="0032155B"/>
    <w:rsid w:val="003239D0"/>
    <w:rsid w:val="00324908"/>
    <w:rsid w:val="0033493D"/>
    <w:rsid w:val="00335AE6"/>
    <w:rsid w:val="00337DE1"/>
    <w:rsid w:val="00340BDB"/>
    <w:rsid w:val="00340E39"/>
    <w:rsid w:val="00341145"/>
    <w:rsid w:val="003412CB"/>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E39"/>
    <w:rsid w:val="003760ED"/>
    <w:rsid w:val="003775D7"/>
    <w:rsid w:val="00380CBA"/>
    <w:rsid w:val="00381278"/>
    <w:rsid w:val="0038127E"/>
    <w:rsid w:val="00384080"/>
    <w:rsid w:val="003840C0"/>
    <w:rsid w:val="00386C22"/>
    <w:rsid w:val="003876E6"/>
    <w:rsid w:val="003903F4"/>
    <w:rsid w:val="00391AFA"/>
    <w:rsid w:val="003937EF"/>
    <w:rsid w:val="00393E9B"/>
    <w:rsid w:val="00395942"/>
    <w:rsid w:val="00397A97"/>
    <w:rsid w:val="00397DFA"/>
    <w:rsid w:val="003A280D"/>
    <w:rsid w:val="003A5A70"/>
    <w:rsid w:val="003A6230"/>
    <w:rsid w:val="003A6299"/>
    <w:rsid w:val="003B1976"/>
    <w:rsid w:val="003B27BA"/>
    <w:rsid w:val="003B366C"/>
    <w:rsid w:val="003B38C1"/>
    <w:rsid w:val="003B59A9"/>
    <w:rsid w:val="003B6B63"/>
    <w:rsid w:val="003B7C31"/>
    <w:rsid w:val="003C02D4"/>
    <w:rsid w:val="003C37E3"/>
    <w:rsid w:val="003C4CBD"/>
    <w:rsid w:val="003C546B"/>
    <w:rsid w:val="003C7719"/>
    <w:rsid w:val="003D08EF"/>
    <w:rsid w:val="003D0FBD"/>
    <w:rsid w:val="003D2A6D"/>
    <w:rsid w:val="003E005B"/>
    <w:rsid w:val="003E04DA"/>
    <w:rsid w:val="003E1249"/>
    <w:rsid w:val="003E1D75"/>
    <w:rsid w:val="003E3544"/>
    <w:rsid w:val="003E35A8"/>
    <w:rsid w:val="003E77CB"/>
    <w:rsid w:val="003F47FD"/>
    <w:rsid w:val="003F4B52"/>
    <w:rsid w:val="003F718C"/>
    <w:rsid w:val="003F73BA"/>
    <w:rsid w:val="003F73F0"/>
    <w:rsid w:val="00401423"/>
    <w:rsid w:val="00403105"/>
    <w:rsid w:val="00404F11"/>
    <w:rsid w:val="004052E8"/>
    <w:rsid w:val="00405890"/>
    <w:rsid w:val="00405EF4"/>
    <w:rsid w:val="0041028C"/>
    <w:rsid w:val="00411365"/>
    <w:rsid w:val="0041237F"/>
    <w:rsid w:val="00412B6C"/>
    <w:rsid w:val="0041439E"/>
    <w:rsid w:val="00414613"/>
    <w:rsid w:val="00415B19"/>
    <w:rsid w:val="0041767B"/>
    <w:rsid w:val="00420205"/>
    <w:rsid w:val="00421D5F"/>
    <w:rsid w:val="00422831"/>
    <w:rsid w:val="004228D7"/>
    <w:rsid w:val="00424197"/>
    <w:rsid w:val="00425F40"/>
    <w:rsid w:val="004265AA"/>
    <w:rsid w:val="00426A8D"/>
    <w:rsid w:val="00430861"/>
    <w:rsid w:val="00432D4D"/>
    <w:rsid w:val="00433DCE"/>
    <w:rsid w:val="0043405A"/>
    <w:rsid w:val="00437B1B"/>
    <w:rsid w:val="004405B8"/>
    <w:rsid w:val="00441339"/>
    <w:rsid w:val="004417A2"/>
    <w:rsid w:val="00442F9D"/>
    <w:rsid w:val="00444EDF"/>
    <w:rsid w:val="004456A4"/>
    <w:rsid w:val="00445A6D"/>
    <w:rsid w:val="00446A6B"/>
    <w:rsid w:val="0045189C"/>
    <w:rsid w:val="004636B4"/>
    <w:rsid w:val="00464099"/>
    <w:rsid w:val="004641DC"/>
    <w:rsid w:val="00464AC7"/>
    <w:rsid w:val="004669A4"/>
    <w:rsid w:val="00466A5B"/>
    <w:rsid w:val="0046799A"/>
    <w:rsid w:val="004723D2"/>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62CC"/>
    <w:rsid w:val="00497023"/>
    <w:rsid w:val="00497EC1"/>
    <w:rsid w:val="004A0313"/>
    <w:rsid w:val="004A0A89"/>
    <w:rsid w:val="004A0BE6"/>
    <w:rsid w:val="004A2249"/>
    <w:rsid w:val="004A26E0"/>
    <w:rsid w:val="004A4A2C"/>
    <w:rsid w:val="004A524A"/>
    <w:rsid w:val="004A56D3"/>
    <w:rsid w:val="004A6B0F"/>
    <w:rsid w:val="004B0D4E"/>
    <w:rsid w:val="004B1ECE"/>
    <w:rsid w:val="004B27F3"/>
    <w:rsid w:val="004B38C8"/>
    <w:rsid w:val="004B3C12"/>
    <w:rsid w:val="004B5C2E"/>
    <w:rsid w:val="004B7149"/>
    <w:rsid w:val="004B7CB9"/>
    <w:rsid w:val="004C10BA"/>
    <w:rsid w:val="004C1122"/>
    <w:rsid w:val="004C27EB"/>
    <w:rsid w:val="004C357A"/>
    <w:rsid w:val="004C37D3"/>
    <w:rsid w:val="004C405B"/>
    <w:rsid w:val="004C5B35"/>
    <w:rsid w:val="004C6112"/>
    <w:rsid w:val="004C68D1"/>
    <w:rsid w:val="004C6AE7"/>
    <w:rsid w:val="004C72E8"/>
    <w:rsid w:val="004C75DE"/>
    <w:rsid w:val="004D03E3"/>
    <w:rsid w:val="004D04DF"/>
    <w:rsid w:val="004D1BF4"/>
    <w:rsid w:val="004D2ECB"/>
    <w:rsid w:val="004D480B"/>
    <w:rsid w:val="004D6074"/>
    <w:rsid w:val="004D7821"/>
    <w:rsid w:val="004E10C5"/>
    <w:rsid w:val="004E22A7"/>
    <w:rsid w:val="004E39E6"/>
    <w:rsid w:val="004E71DC"/>
    <w:rsid w:val="004E7F97"/>
    <w:rsid w:val="004F1563"/>
    <w:rsid w:val="004F20B0"/>
    <w:rsid w:val="004F60F0"/>
    <w:rsid w:val="004F7682"/>
    <w:rsid w:val="005012BC"/>
    <w:rsid w:val="00502156"/>
    <w:rsid w:val="00502277"/>
    <w:rsid w:val="005042B5"/>
    <w:rsid w:val="00505C67"/>
    <w:rsid w:val="0050625D"/>
    <w:rsid w:val="00510A4F"/>
    <w:rsid w:val="005119E9"/>
    <w:rsid w:val="00512A65"/>
    <w:rsid w:val="005130BE"/>
    <w:rsid w:val="005140F2"/>
    <w:rsid w:val="00516787"/>
    <w:rsid w:val="0051709B"/>
    <w:rsid w:val="0052165A"/>
    <w:rsid w:val="00521802"/>
    <w:rsid w:val="0052430B"/>
    <w:rsid w:val="00525D51"/>
    <w:rsid w:val="00532CD3"/>
    <w:rsid w:val="00533C8E"/>
    <w:rsid w:val="005345A9"/>
    <w:rsid w:val="00534D8A"/>
    <w:rsid w:val="00535742"/>
    <w:rsid w:val="00536AC6"/>
    <w:rsid w:val="00537502"/>
    <w:rsid w:val="0054004F"/>
    <w:rsid w:val="00542913"/>
    <w:rsid w:val="00542ABE"/>
    <w:rsid w:val="005440E4"/>
    <w:rsid w:val="005444FD"/>
    <w:rsid w:val="005452CD"/>
    <w:rsid w:val="00545434"/>
    <w:rsid w:val="00546DB4"/>
    <w:rsid w:val="005474A5"/>
    <w:rsid w:val="00547D82"/>
    <w:rsid w:val="005504B4"/>
    <w:rsid w:val="00550DAB"/>
    <w:rsid w:val="00552105"/>
    <w:rsid w:val="0055354D"/>
    <w:rsid w:val="00554543"/>
    <w:rsid w:val="005555B8"/>
    <w:rsid w:val="005642D9"/>
    <w:rsid w:val="00564C2B"/>
    <w:rsid w:val="00564C37"/>
    <w:rsid w:val="00564D84"/>
    <w:rsid w:val="00570F2B"/>
    <w:rsid w:val="0057258C"/>
    <w:rsid w:val="00573651"/>
    <w:rsid w:val="00573C5B"/>
    <w:rsid w:val="00574E71"/>
    <w:rsid w:val="00580AA6"/>
    <w:rsid w:val="005811D8"/>
    <w:rsid w:val="00581904"/>
    <w:rsid w:val="00582B3F"/>
    <w:rsid w:val="00583643"/>
    <w:rsid w:val="00585309"/>
    <w:rsid w:val="005857E8"/>
    <w:rsid w:val="005858CB"/>
    <w:rsid w:val="00585B1F"/>
    <w:rsid w:val="0058699E"/>
    <w:rsid w:val="00586CE9"/>
    <w:rsid w:val="00590B04"/>
    <w:rsid w:val="00592F78"/>
    <w:rsid w:val="00594EB6"/>
    <w:rsid w:val="005960D0"/>
    <w:rsid w:val="0059798F"/>
    <w:rsid w:val="00597EC9"/>
    <w:rsid w:val="005A0300"/>
    <w:rsid w:val="005A163F"/>
    <w:rsid w:val="005A3D73"/>
    <w:rsid w:val="005A3D8D"/>
    <w:rsid w:val="005A445D"/>
    <w:rsid w:val="005A5A94"/>
    <w:rsid w:val="005B00DC"/>
    <w:rsid w:val="005B0EA3"/>
    <w:rsid w:val="005B1B0A"/>
    <w:rsid w:val="005B453E"/>
    <w:rsid w:val="005B5062"/>
    <w:rsid w:val="005B5F95"/>
    <w:rsid w:val="005B6234"/>
    <w:rsid w:val="005B7596"/>
    <w:rsid w:val="005C21EA"/>
    <w:rsid w:val="005C2A0E"/>
    <w:rsid w:val="005C4A91"/>
    <w:rsid w:val="005C5824"/>
    <w:rsid w:val="005C6118"/>
    <w:rsid w:val="005D3575"/>
    <w:rsid w:val="005D3CED"/>
    <w:rsid w:val="005D538F"/>
    <w:rsid w:val="005D63D9"/>
    <w:rsid w:val="005D68D1"/>
    <w:rsid w:val="005E293A"/>
    <w:rsid w:val="005E49E7"/>
    <w:rsid w:val="005E56FE"/>
    <w:rsid w:val="005E62D6"/>
    <w:rsid w:val="005E6A82"/>
    <w:rsid w:val="005E7398"/>
    <w:rsid w:val="005F04DC"/>
    <w:rsid w:val="005F0F6C"/>
    <w:rsid w:val="005F1A7F"/>
    <w:rsid w:val="005F1F44"/>
    <w:rsid w:val="00601165"/>
    <w:rsid w:val="006025F2"/>
    <w:rsid w:val="00607971"/>
    <w:rsid w:val="00611A4E"/>
    <w:rsid w:val="006122C0"/>
    <w:rsid w:val="0061281D"/>
    <w:rsid w:val="00613C46"/>
    <w:rsid w:val="00616889"/>
    <w:rsid w:val="00617F77"/>
    <w:rsid w:val="0062186B"/>
    <w:rsid w:val="00622FC8"/>
    <w:rsid w:val="00623004"/>
    <w:rsid w:val="00627C91"/>
    <w:rsid w:val="00635031"/>
    <w:rsid w:val="006369D4"/>
    <w:rsid w:val="00636C51"/>
    <w:rsid w:val="006403F2"/>
    <w:rsid w:val="006407FA"/>
    <w:rsid w:val="006427B2"/>
    <w:rsid w:val="00642BEB"/>
    <w:rsid w:val="00647426"/>
    <w:rsid w:val="00647590"/>
    <w:rsid w:val="006526F5"/>
    <w:rsid w:val="0065701A"/>
    <w:rsid w:val="00657702"/>
    <w:rsid w:val="006619F5"/>
    <w:rsid w:val="00661A76"/>
    <w:rsid w:val="006629F9"/>
    <w:rsid w:val="006639F0"/>
    <w:rsid w:val="0066562D"/>
    <w:rsid w:val="00670998"/>
    <w:rsid w:val="00672050"/>
    <w:rsid w:val="00673872"/>
    <w:rsid w:val="00674A34"/>
    <w:rsid w:val="00685515"/>
    <w:rsid w:val="0068642A"/>
    <w:rsid w:val="00694C76"/>
    <w:rsid w:val="00694F4A"/>
    <w:rsid w:val="00695DBD"/>
    <w:rsid w:val="006A029B"/>
    <w:rsid w:val="006A17A1"/>
    <w:rsid w:val="006A61C5"/>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2047"/>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6970"/>
    <w:rsid w:val="00750378"/>
    <w:rsid w:val="007505FB"/>
    <w:rsid w:val="007524B0"/>
    <w:rsid w:val="00752997"/>
    <w:rsid w:val="007533EC"/>
    <w:rsid w:val="0075625A"/>
    <w:rsid w:val="00757618"/>
    <w:rsid w:val="00762606"/>
    <w:rsid w:val="00762B45"/>
    <w:rsid w:val="0076544A"/>
    <w:rsid w:val="00767402"/>
    <w:rsid w:val="0077044D"/>
    <w:rsid w:val="0077194F"/>
    <w:rsid w:val="00774454"/>
    <w:rsid w:val="00774ABF"/>
    <w:rsid w:val="00776E17"/>
    <w:rsid w:val="00780DD4"/>
    <w:rsid w:val="00782D07"/>
    <w:rsid w:val="007859F8"/>
    <w:rsid w:val="00791384"/>
    <w:rsid w:val="0079191B"/>
    <w:rsid w:val="00791C27"/>
    <w:rsid w:val="0079239C"/>
    <w:rsid w:val="007934F3"/>
    <w:rsid w:val="00795A80"/>
    <w:rsid w:val="00796464"/>
    <w:rsid w:val="00796F15"/>
    <w:rsid w:val="007A0403"/>
    <w:rsid w:val="007A12F5"/>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767F"/>
    <w:rsid w:val="007C79FB"/>
    <w:rsid w:val="007D3891"/>
    <w:rsid w:val="007D4584"/>
    <w:rsid w:val="007D4A14"/>
    <w:rsid w:val="007D5365"/>
    <w:rsid w:val="007E0017"/>
    <w:rsid w:val="007E0D9D"/>
    <w:rsid w:val="007E1F01"/>
    <w:rsid w:val="007E4B14"/>
    <w:rsid w:val="007E4B4C"/>
    <w:rsid w:val="007E7ABF"/>
    <w:rsid w:val="007F0907"/>
    <w:rsid w:val="007F0D24"/>
    <w:rsid w:val="007F10B5"/>
    <w:rsid w:val="007F1C81"/>
    <w:rsid w:val="007F21C2"/>
    <w:rsid w:val="007F6ABA"/>
    <w:rsid w:val="0080144C"/>
    <w:rsid w:val="00804A98"/>
    <w:rsid w:val="00805995"/>
    <w:rsid w:val="00805C3A"/>
    <w:rsid w:val="008061B8"/>
    <w:rsid w:val="008129B1"/>
    <w:rsid w:val="00815168"/>
    <w:rsid w:val="00817A12"/>
    <w:rsid w:val="00822092"/>
    <w:rsid w:val="0082437E"/>
    <w:rsid w:val="008259FD"/>
    <w:rsid w:val="00825B2C"/>
    <w:rsid w:val="00825D67"/>
    <w:rsid w:val="00826C1C"/>
    <w:rsid w:val="0083200D"/>
    <w:rsid w:val="00832E86"/>
    <w:rsid w:val="00833BAB"/>
    <w:rsid w:val="00833FCC"/>
    <w:rsid w:val="008356E6"/>
    <w:rsid w:val="008360AA"/>
    <w:rsid w:val="00836856"/>
    <w:rsid w:val="00837412"/>
    <w:rsid w:val="00840877"/>
    <w:rsid w:val="0084180A"/>
    <w:rsid w:val="0084197A"/>
    <w:rsid w:val="00841EDA"/>
    <w:rsid w:val="00843425"/>
    <w:rsid w:val="008443D0"/>
    <w:rsid w:val="00845708"/>
    <w:rsid w:val="00846239"/>
    <w:rsid w:val="00846484"/>
    <w:rsid w:val="008470DE"/>
    <w:rsid w:val="008478EE"/>
    <w:rsid w:val="00852FB1"/>
    <w:rsid w:val="0085475F"/>
    <w:rsid w:val="00855470"/>
    <w:rsid w:val="00855C39"/>
    <w:rsid w:val="00856225"/>
    <w:rsid w:val="0085681C"/>
    <w:rsid w:val="00856AFA"/>
    <w:rsid w:val="008604B1"/>
    <w:rsid w:val="008609B1"/>
    <w:rsid w:val="008645C4"/>
    <w:rsid w:val="00867884"/>
    <w:rsid w:val="00867AC8"/>
    <w:rsid w:val="008734F5"/>
    <w:rsid w:val="00875104"/>
    <w:rsid w:val="008774D2"/>
    <w:rsid w:val="00880E40"/>
    <w:rsid w:val="00880F49"/>
    <w:rsid w:val="00881F08"/>
    <w:rsid w:val="00883771"/>
    <w:rsid w:val="00883C9D"/>
    <w:rsid w:val="00883EFE"/>
    <w:rsid w:val="008869CA"/>
    <w:rsid w:val="008905BA"/>
    <w:rsid w:val="0089513F"/>
    <w:rsid w:val="00895699"/>
    <w:rsid w:val="008977A0"/>
    <w:rsid w:val="008A153F"/>
    <w:rsid w:val="008A2B90"/>
    <w:rsid w:val="008A54A9"/>
    <w:rsid w:val="008A5912"/>
    <w:rsid w:val="008A6188"/>
    <w:rsid w:val="008A7735"/>
    <w:rsid w:val="008A79C6"/>
    <w:rsid w:val="008B28F2"/>
    <w:rsid w:val="008B3A89"/>
    <w:rsid w:val="008B444F"/>
    <w:rsid w:val="008B683E"/>
    <w:rsid w:val="008C0EF7"/>
    <w:rsid w:val="008C11A2"/>
    <w:rsid w:val="008C20F7"/>
    <w:rsid w:val="008C5F1C"/>
    <w:rsid w:val="008D06D8"/>
    <w:rsid w:val="008D1B01"/>
    <w:rsid w:val="008D25D7"/>
    <w:rsid w:val="008D2A83"/>
    <w:rsid w:val="008D2D7B"/>
    <w:rsid w:val="008D2D98"/>
    <w:rsid w:val="008D44EB"/>
    <w:rsid w:val="008D6F0F"/>
    <w:rsid w:val="008E3E1A"/>
    <w:rsid w:val="008E4039"/>
    <w:rsid w:val="008F1AA9"/>
    <w:rsid w:val="008F2859"/>
    <w:rsid w:val="008F7C5B"/>
    <w:rsid w:val="009049C0"/>
    <w:rsid w:val="00906257"/>
    <w:rsid w:val="009069D6"/>
    <w:rsid w:val="00910EF6"/>
    <w:rsid w:val="00912380"/>
    <w:rsid w:val="009124F6"/>
    <w:rsid w:val="00912BC1"/>
    <w:rsid w:val="009133D9"/>
    <w:rsid w:val="00913495"/>
    <w:rsid w:val="00913B67"/>
    <w:rsid w:val="00914EA6"/>
    <w:rsid w:val="00915B08"/>
    <w:rsid w:val="00916953"/>
    <w:rsid w:val="0092164E"/>
    <w:rsid w:val="00921856"/>
    <w:rsid w:val="00921DD1"/>
    <w:rsid w:val="009225FE"/>
    <w:rsid w:val="00923D31"/>
    <w:rsid w:val="00923F94"/>
    <w:rsid w:val="00926535"/>
    <w:rsid w:val="00926DD3"/>
    <w:rsid w:val="0092705D"/>
    <w:rsid w:val="00931ADA"/>
    <w:rsid w:val="009323C5"/>
    <w:rsid w:val="00932C51"/>
    <w:rsid w:val="00935308"/>
    <w:rsid w:val="009361FD"/>
    <w:rsid w:val="009406D2"/>
    <w:rsid w:val="00940F17"/>
    <w:rsid w:val="009414C5"/>
    <w:rsid w:val="009427F2"/>
    <w:rsid w:val="00944F64"/>
    <w:rsid w:val="00945CE1"/>
    <w:rsid w:val="009462C7"/>
    <w:rsid w:val="009467A8"/>
    <w:rsid w:val="00951A0B"/>
    <w:rsid w:val="00953383"/>
    <w:rsid w:val="00955683"/>
    <w:rsid w:val="009574A8"/>
    <w:rsid w:val="009648F3"/>
    <w:rsid w:val="00964D68"/>
    <w:rsid w:val="00965025"/>
    <w:rsid w:val="009654C8"/>
    <w:rsid w:val="00967E51"/>
    <w:rsid w:val="00971039"/>
    <w:rsid w:val="00971B7B"/>
    <w:rsid w:val="00971D3B"/>
    <w:rsid w:val="009722EF"/>
    <w:rsid w:val="00972D48"/>
    <w:rsid w:val="00975E68"/>
    <w:rsid w:val="00977A95"/>
    <w:rsid w:val="009812FA"/>
    <w:rsid w:val="00982385"/>
    <w:rsid w:val="00982585"/>
    <w:rsid w:val="009857AA"/>
    <w:rsid w:val="00985908"/>
    <w:rsid w:val="00985DC9"/>
    <w:rsid w:val="00985FA9"/>
    <w:rsid w:val="00987A99"/>
    <w:rsid w:val="009902F7"/>
    <w:rsid w:val="0099448D"/>
    <w:rsid w:val="00995A06"/>
    <w:rsid w:val="00995C33"/>
    <w:rsid w:val="009A222A"/>
    <w:rsid w:val="009A26CA"/>
    <w:rsid w:val="009A6FE7"/>
    <w:rsid w:val="009B0285"/>
    <w:rsid w:val="009B1FD2"/>
    <w:rsid w:val="009B3AEB"/>
    <w:rsid w:val="009B7AE2"/>
    <w:rsid w:val="009C0610"/>
    <w:rsid w:val="009C20ED"/>
    <w:rsid w:val="009C210D"/>
    <w:rsid w:val="009C2D83"/>
    <w:rsid w:val="009C3EB5"/>
    <w:rsid w:val="009C42BD"/>
    <w:rsid w:val="009C444B"/>
    <w:rsid w:val="009D299D"/>
    <w:rsid w:val="009D3773"/>
    <w:rsid w:val="009D499D"/>
    <w:rsid w:val="009D5C03"/>
    <w:rsid w:val="009D6EF4"/>
    <w:rsid w:val="009D6F9C"/>
    <w:rsid w:val="009D72AA"/>
    <w:rsid w:val="009D7484"/>
    <w:rsid w:val="009E2AEA"/>
    <w:rsid w:val="009E3183"/>
    <w:rsid w:val="009E36E1"/>
    <w:rsid w:val="009E3783"/>
    <w:rsid w:val="009E3EA3"/>
    <w:rsid w:val="009E3ED4"/>
    <w:rsid w:val="009F0715"/>
    <w:rsid w:val="009F1615"/>
    <w:rsid w:val="009F45FE"/>
    <w:rsid w:val="009F5B74"/>
    <w:rsid w:val="009F6717"/>
    <w:rsid w:val="00A01F6A"/>
    <w:rsid w:val="00A0321B"/>
    <w:rsid w:val="00A045CA"/>
    <w:rsid w:val="00A04DC3"/>
    <w:rsid w:val="00A0597B"/>
    <w:rsid w:val="00A05DAD"/>
    <w:rsid w:val="00A06FB4"/>
    <w:rsid w:val="00A0745A"/>
    <w:rsid w:val="00A101EB"/>
    <w:rsid w:val="00A11317"/>
    <w:rsid w:val="00A11C7C"/>
    <w:rsid w:val="00A14878"/>
    <w:rsid w:val="00A14CF0"/>
    <w:rsid w:val="00A166DD"/>
    <w:rsid w:val="00A1707B"/>
    <w:rsid w:val="00A1739A"/>
    <w:rsid w:val="00A17694"/>
    <w:rsid w:val="00A17F2C"/>
    <w:rsid w:val="00A232B9"/>
    <w:rsid w:val="00A33007"/>
    <w:rsid w:val="00A33893"/>
    <w:rsid w:val="00A34C9A"/>
    <w:rsid w:val="00A34D89"/>
    <w:rsid w:val="00A41364"/>
    <w:rsid w:val="00A41F72"/>
    <w:rsid w:val="00A42C74"/>
    <w:rsid w:val="00A44708"/>
    <w:rsid w:val="00A44A25"/>
    <w:rsid w:val="00A51120"/>
    <w:rsid w:val="00A54891"/>
    <w:rsid w:val="00A54CA1"/>
    <w:rsid w:val="00A56516"/>
    <w:rsid w:val="00A62031"/>
    <w:rsid w:val="00A65D80"/>
    <w:rsid w:val="00A66BD1"/>
    <w:rsid w:val="00A672A7"/>
    <w:rsid w:val="00A714DD"/>
    <w:rsid w:val="00A73044"/>
    <w:rsid w:val="00A7379C"/>
    <w:rsid w:val="00A73CF1"/>
    <w:rsid w:val="00A75C9A"/>
    <w:rsid w:val="00A76AC8"/>
    <w:rsid w:val="00A835D4"/>
    <w:rsid w:val="00A853D1"/>
    <w:rsid w:val="00A85AA3"/>
    <w:rsid w:val="00A86302"/>
    <w:rsid w:val="00A90EE0"/>
    <w:rsid w:val="00A9123D"/>
    <w:rsid w:val="00A918D2"/>
    <w:rsid w:val="00A91DC0"/>
    <w:rsid w:val="00A91EEC"/>
    <w:rsid w:val="00A92534"/>
    <w:rsid w:val="00A927C4"/>
    <w:rsid w:val="00A92BCA"/>
    <w:rsid w:val="00A93B9E"/>
    <w:rsid w:val="00A94774"/>
    <w:rsid w:val="00AA0F9E"/>
    <w:rsid w:val="00AA2734"/>
    <w:rsid w:val="00AA3015"/>
    <w:rsid w:val="00AA3E46"/>
    <w:rsid w:val="00AA401A"/>
    <w:rsid w:val="00AA4399"/>
    <w:rsid w:val="00AA4D97"/>
    <w:rsid w:val="00AA59AF"/>
    <w:rsid w:val="00AB04F6"/>
    <w:rsid w:val="00AB05D5"/>
    <w:rsid w:val="00AB0E8F"/>
    <w:rsid w:val="00AB2611"/>
    <w:rsid w:val="00AB35DC"/>
    <w:rsid w:val="00AB419D"/>
    <w:rsid w:val="00AB52D0"/>
    <w:rsid w:val="00AC046B"/>
    <w:rsid w:val="00AC1E16"/>
    <w:rsid w:val="00AC1EDB"/>
    <w:rsid w:val="00AC3A0C"/>
    <w:rsid w:val="00AC3EEC"/>
    <w:rsid w:val="00AC50EE"/>
    <w:rsid w:val="00AC54F8"/>
    <w:rsid w:val="00AC57A5"/>
    <w:rsid w:val="00AC5D4C"/>
    <w:rsid w:val="00AC65E8"/>
    <w:rsid w:val="00AC681D"/>
    <w:rsid w:val="00AC6FF1"/>
    <w:rsid w:val="00AD0F67"/>
    <w:rsid w:val="00AD1A30"/>
    <w:rsid w:val="00AD3565"/>
    <w:rsid w:val="00AD700A"/>
    <w:rsid w:val="00AD7E8E"/>
    <w:rsid w:val="00AE0F81"/>
    <w:rsid w:val="00AE136A"/>
    <w:rsid w:val="00AE330D"/>
    <w:rsid w:val="00AE7239"/>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1FF9"/>
    <w:rsid w:val="00B14C3A"/>
    <w:rsid w:val="00B167A2"/>
    <w:rsid w:val="00B174E3"/>
    <w:rsid w:val="00B23481"/>
    <w:rsid w:val="00B2772E"/>
    <w:rsid w:val="00B27A5B"/>
    <w:rsid w:val="00B316A5"/>
    <w:rsid w:val="00B316E7"/>
    <w:rsid w:val="00B32A4E"/>
    <w:rsid w:val="00B3398C"/>
    <w:rsid w:val="00B3435C"/>
    <w:rsid w:val="00B34BDE"/>
    <w:rsid w:val="00B34EF9"/>
    <w:rsid w:val="00B3578F"/>
    <w:rsid w:val="00B35DAD"/>
    <w:rsid w:val="00B36D34"/>
    <w:rsid w:val="00B36EB3"/>
    <w:rsid w:val="00B41AE8"/>
    <w:rsid w:val="00B43642"/>
    <w:rsid w:val="00B445D0"/>
    <w:rsid w:val="00B44EDB"/>
    <w:rsid w:val="00B45C4D"/>
    <w:rsid w:val="00B53FF2"/>
    <w:rsid w:val="00B54620"/>
    <w:rsid w:val="00B5466C"/>
    <w:rsid w:val="00B55CDD"/>
    <w:rsid w:val="00B56E4F"/>
    <w:rsid w:val="00B63345"/>
    <w:rsid w:val="00B63A7A"/>
    <w:rsid w:val="00B652B0"/>
    <w:rsid w:val="00B70D13"/>
    <w:rsid w:val="00B7119B"/>
    <w:rsid w:val="00B71CF1"/>
    <w:rsid w:val="00B72847"/>
    <w:rsid w:val="00B73A3D"/>
    <w:rsid w:val="00B74168"/>
    <w:rsid w:val="00B746F1"/>
    <w:rsid w:val="00B748AE"/>
    <w:rsid w:val="00B75D53"/>
    <w:rsid w:val="00B75DB2"/>
    <w:rsid w:val="00B7681E"/>
    <w:rsid w:val="00B81EB1"/>
    <w:rsid w:val="00B832A3"/>
    <w:rsid w:val="00B83AFF"/>
    <w:rsid w:val="00B84886"/>
    <w:rsid w:val="00B84958"/>
    <w:rsid w:val="00B85F0D"/>
    <w:rsid w:val="00B86A9F"/>
    <w:rsid w:val="00B910E8"/>
    <w:rsid w:val="00B93137"/>
    <w:rsid w:val="00B9328C"/>
    <w:rsid w:val="00B94CD8"/>
    <w:rsid w:val="00B9595D"/>
    <w:rsid w:val="00B96F16"/>
    <w:rsid w:val="00B97A54"/>
    <w:rsid w:val="00BA073E"/>
    <w:rsid w:val="00BA0974"/>
    <w:rsid w:val="00BA3D73"/>
    <w:rsid w:val="00BA58AC"/>
    <w:rsid w:val="00BA5D5A"/>
    <w:rsid w:val="00BA67DC"/>
    <w:rsid w:val="00BA69CB"/>
    <w:rsid w:val="00BA7C49"/>
    <w:rsid w:val="00BB00BA"/>
    <w:rsid w:val="00BB09A8"/>
    <w:rsid w:val="00BB112B"/>
    <w:rsid w:val="00BB14DD"/>
    <w:rsid w:val="00BB1B81"/>
    <w:rsid w:val="00BB1CDA"/>
    <w:rsid w:val="00BB25B1"/>
    <w:rsid w:val="00BB2CD8"/>
    <w:rsid w:val="00BB4114"/>
    <w:rsid w:val="00BB49CB"/>
    <w:rsid w:val="00BB5D4D"/>
    <w:rsid w:val="00BB6375"/>
    <w:rsid w:val="00BC459E"/>
    <w:rsid w:val="00BC4AAE"/>
    <w:rsid w:val="00BC5DCD"/>
    <w:rsid w:val="00BC626B"/>
    <w:rsid w:val="00BC7397"/>
    <w:rsid w:val="00BD0628"/>
    <w:rsid w:val="00BD304A"/>
    <w:rsid w:val="00BD7FD9"/>
    <w:rsid w:val="00BE1022"/>
    <w:rsid w:val="00BE283F"/>
    <w:rsid w:val="00BE2ECA"/>
    <w:rsid w:val="00BE2EFA"/>
    <w:rsid w:val="00BE3768"/>
    <w:rsid w:val="00BE5947"/>
    <w:rsid w:val="00BE597C"/>
    <w:rsid w:val="00BE6870"/>
    <w:rsid w:val="00BE71FD"/>
    <w:rsid w:val="00BE798E"/>
    <w:rsid w:val="00BE7B19"/>
    <w:rsid w:val="00BF23A6"/>
    <w:rsid w:val="00BF3B3D"/>
    <w:rsid w:val="00BF564D"/>
    <w:rsid w:val="00BF591D"/>
    <w:rsid w:val="00BF5A87"/>
    <w:rsid w:val="00BF6341"/>
    <w:rsid w:val="00BF65F3"/>
    <w:rsid w:val="00BF78F4"/>
    <w:rsid w:val="00C0045E"/>
    <w:rsid w:val="00C00FC7"/>
    <w:rsid w:val="00C00FD8"/>
    <w:rsid w:val="00C05E84"/>
    <w:rsid w:val="00C073E4"/>
    <w:rsid w:val="00C07C34"/>
    <w:rsid w:val="00C13962"/>
    <w:rsid w:val="00C154E6"/>
    <w:rsid w:val="00C158B5"/>
    <w:rsid w:val="00C16A92"/>
    <w:rsid w:val="00C16E23"/>
    <w:rsid w:val="00C2082B"/>
    <w:rsid w:val="00C20DBA"/>
    <w:rsid w:val="00C21605"/>
    <w:rsid w:val="00C27213"/>
    <w:rsid w:val="00C32EFA"/>
    <w:rsid w:val="00C33771"/>
    <w:rsid w:val="00C3394C"/>
    <w:rsid w:val="00C3411B"/>
    <w:rsid w:val="00C34230"/>
    <w:rsid w:val="00C3661B"/>
    <w:rsid w:val="00C377F4"/>
    <w:rsid w:val="00C42112"/>
    <w:rsid w:val="00C435EB"/>
    <w:rsid w:val="00C44B76"/>
    <w:rsid w:val="00C44D13"/>
    <w:rsid w:val="00C45768"/>
    <w:rsid w:val="00C4692B"/>
    <w:rsid w:val="00C46A0C"/>
    <w:rsid w:val="00C4704F"/>
    <w:rsid w:val="00C473F7"/>
    <w:rsid w:val="00C501E5"/>
    <w:rsid w:val="00C5100A"/>
    <w:rsid w:val="00C51884"/>
    <w:rsid w:val="00C53A4A"/>
    <w:rsid w:val="00C549BC"/>
    <w:rsid w:val="00C54EA7"/>
    <w:rsid w:val="00C56251"/>
    <w:rsid w:val="00C5667B"/>
    <w:rsid w:val="00C56A65"/>
    <w:rsid w:val="00C56FE0"/>
    <w:rsid w:val="00C6072B"/>
    <w:rsid w:val="00C6094D"/>
    <w:rsid w:val="00C61B33"/>
    <w:rsid w:val="00C62733"/>
    <w:rsid w:val="00C62FDC"/>
    <w:rsid w:val="00C6632F"/>
    <w:rsid w:val="00C67460"/>
    <w:rsid w:val="00C724F5"/>
    <w:rsid w:val="00C73066"/>
    <w:rsid w:val="00C73399"/>
    <w:rsid w:val="00C743D2"/>
    <w:rsid w:val="00C77A1F"/>
    <w:rsid w:val="00C80647"/>
    <w:rsid w:val="00C80836"/>
    <w:rsid w:val="00C8277B"/>
    <w:rsid w:val="00C83772"/>
    <w:rsid w:val="00C84DDE"/>
    <w:rsid w:val="00C85162"/>
    <w:rsid w:val="00C874E5"/>
    <w:rsid w:val="00C87864"/>
    <w:rsid w:val="00C90EAC"/>
    <w:rsid w:val="00C917FD"/>
    <w:rsid w:val="00C93D01"/>
    <w:rsid w:val="00C958FA"/>
    <w:rsid w:val="00C96958"/>
    <w:rsid w:val="00C96A6B"/>
    <w:rsid w:val="00CA1F34"/>
    <w:rsid w:val="00CA62C0"/>
    <w:rsid w:val="00CA73CB"/>
    <w:rsid w:val="00CA7980"/>
    <w:rsid w:val="00CA79BB"/>
    <w:rsid w:val="00CB4161"/>
    <w:rsid w:val="00CB43A2"/>
    <w:rsid w:val="00CB6DE1"/>
    <w:rsid w:val="00CB759F"/>
    <w:rsid w:val="00CB7730"/>
    <w:rsid w:val="00CC12A0"/>
    <w:rsid w:val="00CC26A8"/>
    <w:rsid w:val="00CC2D16"/>
    <w:rsid w:val="00CC3E30"/>
    <w:rsid w:val="00CC4CED"/>
    <w:rsid w:val="00CC6EBB"/>
    <w:rsid w:val="00CD4A21"/>
    <w:rsid w:val="00CE1A40"/>
    <w:rsid w:val="00CE1D6D"/>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98D"/>
    <w:rsid w:val="00D14302"/>
    <w:rsid w:val="00D15F17"/>
    <w:rsid w:val="00D161BE"/>
    <w:rsid w:val="00D162D9"/>
    <w:rsid w:val="00D259FD"/>
    <w:rsid w:val="00D30F03"/>
    <w:rsid w:val="00D33180"/>
    <w:rsid w:val="00D34E5E"/>
    <w:rsid w:val="00D35495"/>
    <w:rsid w:val="00D4044B"/>
    <w:rsid w:val="00D4046C"/>
    <w:rsid w:val="00D41D2D"/>
    <w:rsid w:val="00D42638"/>
    <w:rsid w:val="00D44316"/>
    <w:rsid w:val="00D448E6"/>
    <w:rsid w:val="00D44EB2"/>
    <w:rsid w:val="00D4743F"/>
    <w:rsid w:val="00D5065B"/>
    <w:rsid w:val="00D5088D"/>
    <w:rsid w:val="00D51CBC"/>
    <w:rsid w:val="00D5274F"/>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0862"/>
    <w:rsid w:val="00D738DF"/>
    <w:rsid w:val="00D7566A"/>
    <w:rsid w:val="00D85008"/>
    <w:rsid w:val="00D869A8"/>
    <w:rsid w:val="00D87426"/>
    <w:rsid w:val="00D8754D"/>
    <w:rsid w:val="00D909CB"/>
    <w:rsid w:val="00D92717"/>
    <w:rsid w:val="00D93E05"/>
    <w:rsid w:val="00D9515D"/>
    <w:rsid w:val="00DA1252"/>
    <w:rsid w:val="00DA3A08"/>
    <w:rsid w:val="00DA4715"/>
    <w:rsid w:val="00DA62DF"/>
    <w:rsid w:val="00DA6A38"/>
    <w:rsid w:val="00DA7439"/>
    <w:rsid w:val="00DB0DA9"/>
    <w:rsid w:val="00DB108A"/>
    <w:rsid w:val="00DC1776"/>
    <w:rsid w:val="00DC33A5"/>
    <w:rsid w:val="00DC4340"/>
    <w:rsid w:val="00DC6F5E"/>
    <w:rsid w:val="00DC7898"/>
    <w:rsid w:val="00DD19F8"/>
    <w:rsid w:val="00DD1C70"/>
    <w:rsid w:val="00DD3239"/>
    <w:rsid w:val="00DD4747"/>
    <w:rsid w:val="00DE07E4"/>
    <w:rsid w:val="00DE0877"/>
    <w:rsid w:val="00DE0FF8"/>
    <w:rsid w:val="00DE3EBF"/>
    <w:rsid w:val="00DE6D39"/>
    <w:rsid w:val="00DE7345"/>
    <w:rsid w:val="00DF1FD4"/>
    <w:rsid w:val="00DF50EE"/>
    <w:rsid w:val="00DF51CA"/>
    <w:rsid w:val="00DF5581"/>
    <w:rsid w:val="00DF7501"/>
    <w:rsid w:val="00DF7936"/>
    <w:rsid w:val="00E02B4C"/>
    <w:rsid w:val="00E04B6F"/>
    <w:rsid w:val="00E13833"/>
    <w:rsid w:val="00E17001"/>
    <w:rsid w:val="00E17406"/>
    <w:rsid w:val="00E20AE5"/>
    <w:rsid w:val="00E20F00"/>
    <w:rsid w:val="00E21297"/>
    <w:rsid w:val="00E23A38"/>
    <w:rsid w:val="00E23B6B"/>
    <w:rsid w:val="00E265A0"/>
    <w:rsid w:val="00E266DE"/>
    <w:rsid w:val="00E311F5"/>
    <w:rsid w:val="00E31262"/>
    <w:rsid w:val="00E34BF8"/>
    <w:rsid w:val="00E35B1E"/>
    <w:rsid w:val="00E4250F"/>
    <w:rsid w:val="00E44A7E"/>
    <w:rsid w:val="00E46A7E"/>
    <w:rsid w:val="00E46CE8"/>
    <w:rsid w:val="00E51559"/>
    <w:rsid w:val="00E548DB"/>
    <w:rsid w:val="00E552BD"/>
    <w:rsid w:val="00E55649"/>
    <w:rsid w:val="00E56A50"/>
    <w:rsid w:val="00E5798A"/>
    <w:rsid w:val="00E57A3E"/>
    <w:rsid w:val="00E605A2"/>
    <w:rsid w:val="00E628D9"/>
    <w:rsid w:val="00E639EB"/>
    <w:rsid w:val="00E63ADA"/>
    <w:rsid w:val="00E640E0"/>
    <w:rsid w:val="00E645F6"/>
    <w:rsid w:val="00E64C5F"/>
    <w:rsid w:val="00E664F4"/>
    <w:rsid w:val="00E70355"/>
    <w:rsid w:val="00E72037"/>
    <w:rsid w:val="00E72855"/>
    <w:rsid w:val="00E73636"/>
    <w:rsid w:val="00E7377F"/>
    <w:rsid w:val="00E738C6"/>
    <w:rsid w:val="00E74710"/>
    <w:rsid w:val="00E74C1D"/>
    <w:rsid w:val="00E80439"/>
    <w:rsid w:val="00E81B2F"/>
    <w:rsid w:val="00E844ED"/>
    <w:rsid w:val="00E85810"/>
    <w:rsid w:val="00E85B0A"/>
    <w:rsid w:val="00E85F9D"/>
    <w:rsid w:val="00E90558"/>
    <w:rsid w:val="00E909CD"/>
    <w:rsid w:val="00E92248"/>
    <w:rsid w:val="00E92BD1"/>
    <w:rsid w:val="00E935A1"/>
    <w:rsid w:val="00E93FB6"/>
    <w:rsid w:val="00E95832"/>
    <w:rsid w:val="00EA1715"/>
    <w:rsid w:val="00EA31FD"/>
    <w:rsid w:val="00EA4349"/>
    <w:rsid w:val="00EA4EE4"/>
    <w:rsid w:val="00EA5A32"/>
    <w:rsid w:val="00EB2F51"/>
    <w:rsid w:val="00EB3BF0"/>
    <w:rsid w:val="00EB601D"/>
    <w:rsid w:val="00EB6CCD"/>
    <w:rsid w:val="00EC0273"/>
    <w:rsid w:val="00EC25BA"/>
    <w:rsid w:val="00EC35E3"/>
    <w:rsid w:val="00EC362E"/>
    <w:rsid w:val="00ED0AD5"/>
    <w:rsid w:val="00ED1DE2"/>
    <w:rsid w:val="00ED1F31"/>
    <w:rsid w:val="00ED3630"/>
    <w:rsid w:val="00ED42ED"/>
    <w:rsid w:val="00ED7140"/>
    <w:rsid w:val="00ED77E5"/>
    <w:rsid w:val="00ED78F5"/>
    <w:rsid w:val="00EE026E"/>
    <w:rsid w:val="00EE3C59"/>
    <w:rsid w:val="00EE5B70"/>
    <w:rsid w:val="00EE66B6"/>
    <w:rsid w:val="00EE7B48"/>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11185"/>
    <w:rsid w:val="00F111B3"/>
    <w:rsid w:val="00F11DDA"/>
    <w:rsid w:val="00F12E98"/>
    <w:rsid w:val="00F14DDA"/>
    <w:rsid w:val="00F15284"/>
    <w:rsid w:val="00F169CB"/>
    <w:rsid w:val="00F207AB"/>
    <w:rsid w:val="00F2161A"/>
    <w:rsid w:val="00F21724"/>
    <w:rsid w:val="00F2198A"/>
    <w:rsid w:val="00F21A81"/>
    <w:rsid w:val="00F21CC1"/>
    <w:rsid w:val="00F22347"/>
    <w:rsid w:val="00F22D61"/>
    <w:rsid w:val="00F2324D"/>
    <w:rsid w:val="00F2428F"/>
    <w:rsid w:val="00F25075"/>
    <w:rsid w:val="00F27444"/>
    <w:rsid w:val="00F317CA"/>
    <w:rsid w:val="00F319F3"/>
    <w:rsid w:val="00F31BFB"/>
    <w:rsid w:val="00F323E7"/>
    <w:rsid w:val="00F324D2"/>
    <w:rsid w:val="00F32A56"/>
    <w:rsid w:val="00F335E4"/>
    <w:rsid w:val="00F35361"/>
    <w:rsid w:val="00F35509"/>
    <w:rsid w:val="00F358C3"/>
    <w:rsid w:val="00F3781E"/>
    <w:rsid w:val="00F413D8"/>
    <w:rsid w:val="00F42100"/>
    <w:rsid w:val="00F42A9B"/>
    <w:rsid w:val="00F45470"/>
    <w:rsid w:val="00F464FE"/>
    <w:rsid w:val="00F465F9"/>
    <w:rsid w:val="00F47621"/>
    <w:rsid w:val="00F52CF2"/>
    <w:rsid w:val="00F557D5"/>
    <w:rsid w:val="00F570AB"/>
    <w:rsid w:val="00F57A71"/>
    <w:rsid w:val="00F60A1A"/>
    <w:rsid w:val="00F61C28"/>
    <w:rsid w:val="00F61E69"/>
    <w:rsid w:val="00F633B7"/>
    <w:rsid w:val="00F645F1"/>
    <w:rsid w:val="00F6591A"/>
    <w:rsid w:val="00F65C51"/>
    <w:rsid w:val="00F70D35"/>
    <w:rsid w:val="00F715A6"/>
    <w:rsid w:val="00F71BF0"/>
    <w:rsid w:val="00F7546C"/>
    <w:rsid w:val="00F76EC7"/>
    <w:rsid w:val="00F77B00"/>
    <w:rsid w:val="00F80C9D"/>
    <w:rsid w:val="00F83B6F"/>
    <w:rsid w:val="00F84470"/>
    <w:rsid w:val="00F857BC"/>
    <w:rsid w:val="00F90273"/>
    <w:rsid w:val="00F90BD0"/>
    <w:rsid w:val="00F92F25"/>
    <w:rsid w:val="00F93ACB"/>
    <w:rsid w:val="00F93C4F"/>
    <w:rsid w:val="00F95994"/>
    <w:rsid w:val="00F973ED"/>
    <w:rsid w:val="00FA03C0"/>
    <w:rsid w:val="00FA49C5"/>
    <w:rsid w:val="00FA5BD2"/>
    <w:rsid w:val="00FA6175"/>
    <w:rsid w:val="00FA6784"/>
    <w:rsid w:val="00FA7E00"/>
    <w:rsid w:val="00FB1780"/>
    <w:rsid w:val="00FB35C6"/>
    <w:rsid w:val="00FB4C5A"/>
    <w:rsid w:val="00FB56A1"/>
    <w:rsid w:val="00FB5BFA"/>
    <w:rsid w:val="00FB6F79"/>
    <w:rsid w:val="00FC10F6"/>
    <w:rsid w:val="00FC4892"/>
    <w:rsid w:val="00FC61D1"/>
    <w:rsid w:val="00FC7C25"/>
    <w:rsid w:val="00FD1C2E"/>
    <w:rsid w:val="00FD3574"/>
    <w:rsid w:val="00FD602D"/>
    <w:rsid w:val="00FD60D2"/>
    <w:rsid w:val="00FD6A7D"/>
    <w:rsid w:val="00FD6FC9"/>
    <w:rsid w:val="00FE02C2"/>
    <w:rsid w:val="00FE2D34"/>
    <w:rsid w:val="00FE3222"/>
    <w:rsid w:val="00FF26F6"/>
    <w:rsid w:val="00FF2A2E"/>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58"/>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23790067">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72467998">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03063961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8EC0F28-4D3F-4332-9080-3A89E428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14</cp:revision>
  <cp:lastPrinted>2019-09-03T01:17:00Z</cp:lastPrinted>
  <dcterms:created xsi:type="dcterms:W3CDTF">2019-08-21T23:43:00Z</dcterms:created>
  <dcterms:modified xsi:type="dcterms:W3CDTF">2019-09-18T04:52:00Z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